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940"/>
        <w:spacing w:after="0"/>
        <w:rPr>
          <w:sz w:val="20"/>
          <w:szCs w:val="20"/>
          <w:color w:val="auto"/>
        </w:rPr>
      </w:pPr>
      <w:r>
        <w:rPr>
          <w:rFonts w:ascii="Courier New" w:cs="Courier New" w:eastAsia="Courier New" w:hAnsi="Courier New"/>
          <w:sz w:val="15"/>
          <w:szCs w:val="15"/>
          <w:color w:val="auto"/>
        </w:rPr>
        <w:t>SECURITIES AND EXCHANGE COMMISSION</w:t>
      </w:r>
    </w:p>
    <w:p>
      <w:pPr>
        <w:ind w:left="2460"/>
        <w:spacing w:after="0"/>
        <w:tabs>
          <w:tab w:leader="none" w:pos="4100" w:val="left"/>
        </w:tabs>
        <w:rPr>
          <w:sz w:val="20"/>
          <w:szCs w:val="20"/>
          <w:color w:val="auto"/>
        </w:rPr>
      </w:pPr>
      <w:r>
        <w:rPr>
          <w:rFonts w:ascii="Courier New" w:cs="Courier New" w:eastAsia="Courier New" w:hAnsi="Courier New"/>
          <w:sz w:val="15"/>
          <w:szCs w:val="15"/>
          <w:color w:val="auto"/>
        </w:rPr>
        <w:t>Washington, D. C.</w:t>
      </w:r>
      <w:r>
        <w:rPr>
          <w:sz w:val="20"/>
          <w:szCs w:val="20"/>
          <w:color w:val="auto"/>
        </w:rPr>
        <w:tab/>
      </w:r>
      <w:r>
        <w:rPr>
          <w:rFonts w:ascii="Courier New" w:cs="Courier New" w:eastAsia="Courier New" w:hAnsi="Courier New"/>
          <w:sz w:val="14"/>
          <w:szCs w:val="14"/>
          <w:color w:val="auto"/>
        </w:rPr>
        <w:t>20549</w:t>
      </w:r>
    </w:p>
    <w:p>
      <w:pPr>
        <w:ind w:left="2980"/>
        <w:spacing w:after="0" w:line="238" w:lineRule="auto"/>
        <w:rPr>
          <w:sz w:val="20"/>
          <w:szCs w:val="20"/>
          <w:color w:val="auto"/>
        </w:rPr>
      </w:pPr>
      <w:r>
        <w:rPr>
          <w:rFonts w:ascii="Courier New" w:cs="Courier New" w:eastAsia="Courier New" w:hAnsi="Courier New"/>
          <w:sz w:val="15"/>
          <w:szCs w:val="15"/>
          <w:color w:val="auto"/>
        </w:rPr>
        <w:t>___________</w:t>
      </w:r>
    </w:p>
    <w:p>
      <w:pPr>
        <w:spacing w:after="0" w:line="167" w:lineRule="exact"/>
        <w:rPr>
          <w:sz w:val="24"/>
          <w:szCs w:val="24"/>
          <w:color w:val="auto"/>
        </w:rPr>
      </w:pPr>
    </w:p>
    <w:p>
      <w:pPr>
        <w:ind w:left="3080"/>
        <w:spacing w:after="0"/>
        <w:rPr>
          <w:sz w:val="20"/>
          <w:szCs w:val="20"/>
          <w:color w:val="auto"/>
        </w:rPr>
      </w:pPr>
      <w:r>
        <w:rPr>
          <w:rFonts w:ascii="Courier New" w:cs="Courier New" w:eastAsia="Courier New" w:hAnsi="Courier New"/>
          <w:sz w:val="15"/>
          <w:szCs w:val="15"/>
          <w:color w:val="auto"/>
        </w:rPr>
        <w:t>FORM 10-K</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(Mark One)</w:t>
      </w:r>
    </w:p>
    <w:p>
      <w:pPr>
        <w:spacing w:after="0" w:line="5" w:lineRule="exact"/>
        <w:rPr>
          <w:sz w:val="24"/>
          <w:szCs w:val="24"/>
          <w:color w:val="auto"/>
        </w:rPr>
      </w:pPr>
    </w:p>
    <w:p>
      <w:pPr>
        <w:ind w:left="440" w:right="3499" w:hanging="430"/>
        <w:spacing w:after="0" w:line="234" w:lineRule="auto"/>
        <w:tabs>
          <w:tab w:leader="none" w:pos="4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 [FEE REQUIRED]</w:t>
      </w:r>
    </w:p>
    <w:p>
      <w:pPr>
        <w:spacing w:after="0" w:line="237" w:lineRule="auto"/>
        <w:rPr>
          <w:sz w:val="20"/>
          <w:szCs w:val="20"/>
          <w:color w:val="auto"/>
        </w:rPr>
      </w:pPr>
      <w:r>
        <w:rPr>
          <w:rFonts w:ascii="Courier New" w:cs="Courier New" w:eastAsia="Courier New" w:hAnsi="Courier New"/>
          <w:sz w:val="15"/>
          <w:szCs w:val="15"/>
          <w:color w:val="auto"/>
        </w:rPr>
        <w:t>For the fiscal year ended February 3, 1996</w:t>
      </w:r>
    </w:p>
    <w:p>
      <w:pPr>
        <w:ind w:left="2280"/>
        <w:spacing w:after="0" w:line="238" w:lineRule="auto"/>
        <w:rPr>
          <w:sz w:val="20"/>
          <w:szCs w:val="20"/>
          <w:color w:val="auto"/>
        </w:rPr>
      </w:pPr>
      <w:r>
        <w:rPr>
          <w:rFonts w:ascii="Courier New" w:cs="Courier New" w:eastAsia="Courier New" w:hAnsi="Courier New"/>
          <w:sz w:val="15"/>
          <w:szCs w:val="15"/>
          <w:color w:val="auto"/>
        </w:rPr>
        <w:t>----------------</w:t>
      </w:r>
    </w:p>
    <w:p>
      <w:pPr>
        <w:ind w:left="3420"/>
        <w:spacing w:after="0" w:line="238" w:lineRule="auto"/>
        <w:rPr>
          <w:sz w:val="20"/>
          <w:szCs w:val="20"/>
          <w:color w:val="auto"/>
        </w:rPr>
      </w:pPr>
      <w:r>
        <w:rPr>
          <w:rFonts w:ascii="Courier New" w:cs="Courier New" w:eastAsia="Courier New" w:hAnsi="Courier New"/>
          <w:sz w:val="15"/>
          <w:szCs w:val="15"/>
          <w:color w:val="auto"/>
        </w:rPr>
        <w:t>OR</w:t>
      </w:r>
    </w:p>
    <w:p>
      <w:pPr>
        <w:spacing w:after="0" w:line="167" w:lineRule="exact"/>
        <w:rPr>
          <w:sz w:val="24"/>
          <w:szCs w:val="24"/>
          <w:color w:val="auto"/>
        </w:rPr>
      </w:pPr>
    </w:p>
    <w:p>
      <w:pPr>
        <w:ind w:left="280" w:hanging="270"/>
        <w:spacing w:after="0"/>
        <w:tabs>
          <w:tab w:leader="none" w:pos="2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w:t>
      </w:r>
    </w:p>
    <w:p>
      <w:pPr>
        <w:ind w:left="540"/>
        <w:spacing w:after="0" w:line="237" w:lineRule="auto"/>
        <w:rPr>
          <w:sz w:val="20"/>
          <w:szCs w:val="20"/>
          <w:color w:val="auto"/>
        </w:rPr>
      </w:pPr>
      <w:r>
        <w:rPr>
          <w:rFonts w:ascii="Courier New" w:cs="Courier New" w:eastAsia="Courier New" w:hAnsi="Courier New"/>
          <w:sz w:val="15"/>
          <w:szCs w:val="15"/>
          <w:color w:val="auto"/>
        </w:rPr>
        <w:t>EXCHANGE ACT OF 1934 [NO FEE REQUIRED]</w:t>
      </w:r>
    </w:p>
    <w:p>
      <w:pPr>
        <w:spacing w:after="0" w:line="238" w:lineRule="auto"/>
        <w:rPr>
          <w:sz w:val="20"/>
          <w:szCs w:val="20"/>
          <w:color w:val="auto"/>
        </w:rPr>
      </w:pPr>
      <w:r>
        <w:rPr>
          <w:rFonts w:ascii="Courier New" w:cs="Courier New" w:eastAsia="Courier New" w:hAnsi="Courier New"/>
          <w:sz w:val="15"/>
          <w:szCs w:val="15"/>
          <w:color w:val="auto"/>
        </w:rPr>
        <w:t>For the transition period from ______________ to ______________</w:t>
      </w:r>
    </w:p>
    <w:p>
      <w:pPr>
        <w:spacing w:after="0" w:line="167"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Commission file number 1-8344</w:t>
      </w:r>
    </w:p>
    <w:p>
      <w:pPr>
        <w:ind w:left="42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THE LIMITED, INC.</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ind w:left="1060"/>
        <w:spacing w:after="0" w:line="238" w:lineRule="auto"/>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39"/>
          </w:cols>
          <w:pgMar w:left="220" w:top="561" w:right="1440" w:bottom="1440" w:gutter="0" w:footer="0" w:header="0"/>
        </w:sectPr>
      </w:pPr>
    </w:p>
    <w:p>
      <w:pPr>
        <w:spacing w:after="0" w:line="167" w:lineRule="exact"/>
        <w:rPr>
          <w:sz w:val="24"/>
          <w:szCs w:val="24"/>
          <w:color w:val="auto"/>
        </w:rPr>
      </w:pPr>
    </w:p>
    <w:p>
      <w:pPr>
        <w:ind w:left="1140"/>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(State or other jurisdiction of</w:t>
      </w:r>
    </w:p>
    <w:p>
      <w:pPr>
        <w:ind w:left="360"/>
        <w:spacing w:after="0" w:line="237" w:lineRule="auto"/>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ind w:left="1060"/>
        <w:spacing w:after="0"/>
        <w:rPr>
          <w:sz w:val="20"/>
          <w:szCs w:val="20"/>
          <w:color w:val="auto"/>
        </w:rPr>
      </w:pPr>
      <w:r>
        <w:rPr>
          <w:rFonts w:ascii="Courier New" w:cs="Courier New" w:eastAsia="Courier New" w:hAnsi="Courier New"/>
          <w:sz w:val="15"/>
          <w:szCs w:val="15"/>
          <w:color w:val="auto"/>
        </w:rPr>
        <w:t>31-1029810</w:t>
      </w:r>
    </w:p>
    <w:p>
      <w:pPr>
        <w:ind w:left="62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(I.R.S.Employer Identification No.)</w:t>
      </w:r>
    </w:p>
    <w:p>
      <w:pPr>
        <w:spacing w:after="0" w:line="339" w:lineRule="exact"/>
        <w:rPr>
          <w:sz w:val="24"/>
          <w:szCs w:val="24"/>
          <w:color w:val="auto"/>
        </w:rPr>
      </w:pPr>
    </w:p>
    <w:p>
      <w:pPr>
        <w:sectPr>
          <w:pgSz w:w="11900" w:h="16838" w:orient="portrait"/>
          <w:cols w:equalWidth="0" w:num="2">
            <w:col w:w="3500" w:space="440"/>
            <w:col w:w="6299"/>
          </w:cols>
          <w:pgMar w:left="220" w:top="56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Three Limited Parkway, P.O. Box 16000, Columbus, Ohio</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ind w:left="160"/>
        <w:spacing w:after="0"/>
        <w:rPr>
          <w:sz w:val="20"/>
          <w:szCs w:val="20"/>
          <w:color w:val="auto"/>
        </w:rPr>
      </w:pPr>
      <w:r>
        <w:rPr>
          <w:rFonts w:ascii="Courier New" w:cs="Courier New" w:eastAsia="Courier New" w:hAnsi="Courier New"/>
          <w:sz w:val="15"/>
          <w:szCs w:val="15"/>
          <w:color w:val="auto"/>
        </w:rPr>
        <w:t>43216</w:t>
      </w:r>
    </w:p>
    <w:p>
      <w:pPr>
        <w:spacing w:after="0" w:line="5" w:lineRule="exact"/>
        <w:rPr>
          <w:sz w:val="24"/>
          <w:szCs w:val="24"/>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(Zip Code)</w:t>
      </w:r>
    </w:p>
    <w:p>
      <w:pPr>
        <w:spacing w:after="0" w:line="173" w:lineRule="exact"/>
        <w:rPr>
          <w:sz w:val="24"/>
          <w:szCs w:val="24"/>
          <w:color w:val="auto"/>
        </w:rPr>
      </w:pPr>
    </w:p>
    <w:p>
      <w:pPr>
        <w:sectPr>
          <w:pgSz w:w="11900" w:h="16838" w:orient="portrait"/>
          <w:cols w:equalWidth="0" w:num="2">
            <w:col w:w="4820" w:space="360"/>
            <w:col w:w="5059"/>
          </w:cols>
          <w:pgMar w:left="220" w:top="561" w:right="1440" w:bottom="1440" w:gutter="0" w:footer="0" w:header="0"/>
          <w:type w:val="continuous"/>
        </w:sectPr>
      </w:pPr>
    </w:p>
    <w:p>
      <w:pPr>
        <w:jc w:val="right"/>
        <w:ind w:right="4539"/>
        <w:spacing w:after="0" w:line="234" w:lineRule="auto"/>
        <w:rPr>
          <w:sz w:val="20"/>
          <w:szCs w:val="20"/>
          <w:color w:val="auto"/>
        </w:rPr>
      </w:pPr>
      <w:r>
        <w:rPr>
          <w:rFonts w:ascii="Courier New" w:cs="Courier New" w:eastAsia="Courier New" w:hAnsi="Courier New"/>
          <w:sz w:val="15"/>
          <w:szCs w:val="15"/>
          <w:color w:val="auto"/>
        </w:rPr>
        <w:t>Registrant's telephone number, including area code (614) 479-7000 --------------</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ind w:left="440"/>
        <w:spacing w:after="0"/>
        <w:tabs>
          <w:tab w:leader="none" w:pos="3320" w:val="left"/>
        </w:tabs>
        <w:rPr>
          <w:sz w:val="20"/>
          <w:szCs w:val="20"/>
          <w:color w:val="auto"/>
        </w:rPr>
      </w:pPr>
      <w:r>
        <w:rPr>
          <w:rFonts w:ascii="Courier New" w:cs="Courier New" w:eastAsia="Courier New" w:hAnsi="Courier New"/>
          <w:sz w:val="15"/>
          <w:szCs w:val="15"/>
          <w:color w:val="auto"/>
        </w:rPr>
        <w:t>Title of each class</w:t>
      </w:r>
      <w:r>
        <w:rPr>
          <w:sz w:val="20"/>
          <w:szCs w:val="20"/>
          <w:color w:val="auto"/>
        </w:rPr>
        <w:tab/>
      </w:r>
      <w:r>
        <w:rPr>
          <w:rFonts w:ascii="Courier New" w:cs="Courier New" w:eastAsia="Courier New" w:hAnsi="Courier New"/>
          <w:sz w:val="14"/>
          <w:szCs w:val="14"/>
          <w:color w:val="auto"/>
        </w:rPr>
        <w:t>Name of each exchange on which registered</w:t>
      </w:r>
    </w:p>
    <w:p>
      <w:pPr>
        <w:spacing w:after="0" w:line="5" w:lineRule="exact"/>
        <w:rPr>
          <w:sz w:val="24"/>
          <w:szCs w:val="24"/>
          <w:color w:val="auto"/>
        </w:rPr>
      </w:pPr>
    </w:p>
    <w:p>
      <w:pPr>
        <w:ind w:left="440"/>
        <w:spacing w:after="0"/>
        <w:tabs>
          <w:tab w:leader="none" w:pos="33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3" w:lineRule="exact"/>
        <w:rPr>
          <w:sz w:val="24"/>
          <w:szCs w:val="24"/>
          <w:color w:val="auto"/>
        </w:rPr>
      </w:pPr>
    </w:p>
    <w:p>
      <w:pPr>
        <w:ind w:left="440"/>
        <w:spacing w:after="0"/>
        <w:tabs>
          <w:tab w:leader="none" w:pos="3320" w:val="left"/>
        </w:tabs>
        <w:rPr>
          <w:sz w:val="20"/>
          <w:szCs w:val="20"/>
          <w:color w:val="auto"/>
        </w:rPr>
      </w:pPr>
      <w:r>
        <w:rPr>
          <w:rFonts w:ascii="Courier New" w:cs="Courier New" w:eastAsia="Courier New" w:hAnsi="Courier New"/>
          <w:sz w:val="15"/>
          <w:szCs w:val="15"/>
          <w:color w:val="auto"/>
        </w:rPr>
        <w:t>Common Stock, $.50 Par Value</w:t>
      </w:r>
      <w:r>
        <w:rPr>
          <w:sz w:val="20"/>
          <w:szCs w:val="20"/>
          <w:color w:val="auto"/>
        </w:rPr>
        <w:tab/>
      </w:r>
      <w:r>
        <w:rPr>
          <w:rFonts w:ascii="Courier New" w:cs="Courier New" w:eastAsia="Courier New" w:hAnsi="Courier New"/>
          <w:sz w:val="14"/>
          <w:szCs w:val="14"/>
          <w:color w:val="auto"/>
        </w:rPr>
        <w:t>The New York Stock Exchange</w:t>
      </w:r>
    </w:p>
    <w:p>
      <w:pPr>
        <w:spacing w:after="0"/>
        <w:tabs>
          <w:tab w:leader="none" w:pos="5320" w:val="left"/>
        </w:tabs>
        <w:rPr>
          <w:sz w:val="20"/>
          <w:szCs w:val="20"/>
          <w:color w:val="auto"/>
        </w:rPr>
      </w:pPr>
      <w:r>
        <w:rPr>
          <w:rFonts w:ascii="Courier New" w:cs="Courier New" w:eastAsia="Courier New" w:hAnsi="Courier New"/>
          <w:sz w:val="15"/>
          <w:szCs w:val="15"/>
          <w:color w:val="auto"/>
        </w:rPr>
        <w:t>Securities registered pursuant to Section 12(g) of the Act:</w:t>
      </w:r>
      <w:r>
        <w:rPr>
          <w:sz w:val="20"/>
          <w:szCs w:val="20"/>
          <w:color w:val="auto"/>
        </w:rPr>
        <w:tab/>
      </w:r>
      <w:r>
        <w:rPr>
          <w:rFonts w:ascii="Courier New" w:cs="Courier New" w:eastAsia="Courier New" w:hAnsi="Courier New"/>
          <w:sz w:val="14"/>
          <w:szCs w:val="14"/>
          <w:color w:val="auto"/>
        </w:rPr>
        <w:t>None.</w:t>
      </w:r>
    </w:p>
    <w:p>
      <w:pPr>
        <w:sectPr>
          <w:pgSz w:w="11900" w:h="16838" w:orient="portrait"/>
          <w:cols w:equalWidth="0" w:num="1">
            <w:col w:w="10239"/>
          </w:cols>
          <w:pgMar w:left="220" w:top="561" w:right="1440" w:bottom="1440" w:gutter="0" w:footer="0" w:header="0"/>
          <w:type w:val="continuous"/>
        </w:sectPr>
      </w:pPr>
    </w:p>
    <w:p>
      <w:pPr>
        <w:spacing w:after="0" w:line="173" w:lineRule="exact"/>
        <w:rPr>
          <w:sz w:val="24"/>
          <w:szCs w:val="24"/>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and (2) has been subject to the filing requirements for</w:t>
      </w:r>
    </w:p>
    <w:p>
      <w:pPr>
        <w:sectPr>
          <w:pgSz w:w="11900" w:h="16838" w:orient="portrait"/>
          <w:cols w:equalWidth="0" w:num="1">
            <w:col w:w="10239"/>
          </w:cols>
          <w:pgMar w:left="220" w:top="561" w:right="1440" w:bottom="1440" w:gutter="0" w:footer="0" w:header="0"/>
          <w:type w:val="continuous"/>
        </w:sectPr>
      </w:pPr>
    </w:p>
    <w:p>
      <w:pPr>
        <w:spacing w:after="0" w:line="232" w:lineRule="auto"/>
        <w:tabs>
          <w:tab w:leader="none" w:pos="1660" w:val="left"/>
          <w:tab w:leader="none" w:pos="2260" w:val="left"/>
          <w:tab w:leader="none" w:pos="2880" w:val="left"/>
        </w:tabs>
        <w:rPr>
          <w:sz w:val="20"/>
          <w:szCs w:val="20"/>
          <w:color w:val="auto"/>
        </w:rPr>
      </w:pPr>
      <w:r>
        <w:rPr>
          <w:rFonts w:ascii="Courier New" w:cs="Courier New" w:eastAsia="Courier New" w:hAnsi="Courier New"/>
          <w:sz w:val="15"/>
          <w:szCs w:val="15"/>
          <w:color w:val="auto"/>
        </w:rPr>
        <w:t>the past 90 days.</w:t>
        <w:tab/>
        <w:t>Yes</w:t>
      </w:r>
      <w:r>
        <w:rPr>
          <w:sz w:val="20"/>
          <w:szCs w:val="20"/>
          <w:color w:val="auto"/>
        </w:rPr>
        <w:tab/>
      </w: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5"/>
          <w:szCs w:val="15"/>
          <w:color w:val="auto"/>
        </w:rPr>
        <w:t>No</w:t>
      </w:r>
    </w:p>
    <w:p>
      <w:pPr>
        <w:ind w:left="1940"/>
        <w:spacing w:after="0" w:line="237" w:lineRule="auto"/>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4"/>
          <w:szCs w:val="24"/>
          <w:color w:val="auto"/>
        </w:rPr>
      </w:pPr>
    </w:p>
    <w:p>
      <w:pPr>
        <w:sectPr>
          <w:pgSz w:w="11900" w:h="16838" w:orient="portrait"/>
          <w:cols w:equalWidth="0" w:num="2">
            <w:col w:w="3080" w:space="0"/>
            <w:col w:w="7159"/>
          </w:cols>
          <w:pgMar w:left="220" w:top="561" w:right="1440" w:bottom="1440" w:gutter="0" w:footer="0" w:header="0"/>
          <w:type w:val="continuous"/>
        </w:sectPr>
      </w:pPr>
    </w:p>
    <w:p>
      <w:pPr>
        <w:ind w:right="3239"/>
        <w:spacing w:after="0" w:line="236"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___</w:t>
      </w:r>
    </w:p>
    <w:p>
      <w:pPr>
        <w:spacing w:after="0" w:line="174" w:lineRule="exact"/>
        <w:rPr>
          <w:sz w:val="24"/>
          <w:szCs w:val="24"/>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Aggregate market value of the registrant's Common Stock held by non-affiliates of the registrant as of March 18, 1996: $5,448,463,287.</w:t>
      </w:r>
    </w:p>
    <w:p>
      <w:pPr>
        <w:spacing w:after="0" w:line="173" w:lineRule="exact"/>
        <w:rPr>
          <w:sz w:val="24"/>
          <w:szCs w:val="24"/>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Number of shares outstanding of the registrant's Common Stock as of March 18, 1996: 270,731,095.</w:t>
      </w:r>
    </w:p>
    <w:p>
      <w:pPr>
        <w:spacing w:after="0" w:line="16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73" w:lineRule="exact"/>
        <w:rPr>
          <w:sz w:val="24"/>
          <w:szCs w:val="24"/>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Portions of the registrant's annual report to shareholders for the fiscal year ended February 3, 1996 are incorporated by reference into Part I and Part II, and portions of the registrant's proxy statement for the Annual Meeting of Shareholders scheduled for May 20, 1996 are incorporated by reference into Part III.</w:t>
      </w:r>
    </w:p>
    <w:p>
      <w:pPr>
        <w:sectPr>
          <w:pgSz w:w="11900" w:h="16838" w:orient="portrait"/>
          <w:cols w:equalWidth="0" w:num="1">
            <w:col w:w="10239"/>
          </w:cols>
          <w:pgMar w:left="220" w:top="561" w:right="1440" w:bottom="1440" w:gutter="0" w:footer="0" w:header="0"/>
          <w:type w:val="continuous"/>
        </w:sectPr>
      </w:pPr>
    </w:p>
    <w:bookmarkStart w:id="1" w:name="page2"/>
    <w:bookmarkEnd w:id="1"/>
    <w:p>
      <w:pPr>
        <w:ind w:left="3240"/>
        <w:spacing w:after="0"/>
        <w:rPr>
          <w:sz w:val="20"/>
          <w:szCs w:val="20"/>
          <w:color w:val="auto"/>
        </w:rPr>
      </w:pPr>
      <w:r>
        <w:rPr>
          <w:rFonts w:ascii="Courier New" w:cs="Courier New" w:eastAsia="Courier New" w:hAnsi="Courier New"/>
          <w:sz w:val="15"/>
          <w:szCs w:val="15"/>
          <w:color w:val="auto"/>
        </w:rPr>
        <w:t>PART I</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BUSINESS.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Limited, Inc., a Delaware corporation (the "Company", which term sometimes includes Intimate Brands, Inc.), is principally engaged in the purchase, distribution and sale of women's apparel, lingerie, men's apparel, personal care products, children's apparel and a wide variety of sporting goods. The Company operates an integrated distribution system which supports the Company's retail activities. These activities are conducted under various trade names through the retail stores and catalogue divisions of the Company. Merchandise is targeted to appeal to customers in specialty markets who have distinctive consumer characteristics. The Company's women's apparel divisions offer regular and special-sized fashion apparel at various price levels, including shirts, blouses, sweaters, pants, skirts, coats and dresses. In addition, the Company offers lingerie and accessories, men's apparel, fragrances, bed, bath, personal care products, specialty gift items, children's apparel and a wide variety of sporting goods.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of Operations.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As of February 3, 1996, the Company operated the following divisions: (1) Intimate Brands, Inc. ("IBI") (a corporation in which the Company holds an 83% interest) which consists of three lingerie divisions including two retail divisions and one catalogue division (Victoria's Secret Catalogue) and two personal care divisions, (2) five women's apparel retail divisions, (3) the Emerging divisions which consist of two men's apparel divisions, one children's apparel division and one sporting goods division. The following chart reflects the retail divisions and the number of stores in operation in each division at February 3, 1996 and January 28, 1995.</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17"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0"/>
        </w:trPr>
        <w:tc>
          <w:tcPr>
            <w:tcW w:w="2720" w:type="dxa"/>
            <w:vAlign w:val="bottom"/>
          </w:tcPr>
          <w:p>
            <w:pPr>
              <w:ind w:left="360"/>
              <w:spacing w:after="0"/>
              <w:rPr>
                <w:sz w:val="20"/>
                <w:szCs w:val="20"/>
                <w:color w:val="auto"/>
              </w:rPr>
            </w:pPr>
            <w:r>
              <w:rPr>
                <w:rFonts w:ascii="Courier New" w:cs="Courier New" w:eastAsia="Courier New" w:hAnsi="Courier New"/>
                <w:sz w:val="15"/>
                <w:szCs w:val="15"/>
                <w:color w:val="auto"/>
              </w:rPr>
              <w:t>RETAIL DIVISIONS</w:t>
            </w:r>
          </w:p>
        </w:tc>
        <w:tc>
          <w:tcPr>
            <w:tcW w:w="22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NUMBER OF STORES</w:t>
            </w:r>
          </w:p>
        </w:tc>
      </w:tr>
      <w:tr>
        <w:trPr>
          <w:trHeight w:val="168"/>
        </w:trPr>
        <w:tc>
          <w:tcPr>
            <w:tcW w:w="27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22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2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February</w:t>
            </w:r>
          </w:p>
        </w:tc>
        <w:tc>
          <w:tcPr>
            <w:tcW w:w="1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January</w:t>
            </w:r>
          </w:p>
        </w:tc>
      </w:tr>
      <w:tr>
        <w:trPr>
          <w:trHeight w:val="168"/>
        </w:trPr>
        <w:tc>
          <w:tcPr>
            <w:tcW w:w="272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3, 1996</w:t>
            </w:r>
          </w:p>
        </w:tc>
        <w:tc>
          <w:tcPr>
            <w:tcW w:w="1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4"/>
              </w:rPr>
              <w:t>28, 1995</w:t>
            </w:r>
          </w:p>
        </w:tc>
      </w:tr>
      <w:tr>
        <w:trPr>
          <w:trHeight w:val="168"/>
        </w:trPr>
        <w:tc>
          <w:tcPr>
            <w:tcW w:w="272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Women's</w:t>
            </w: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6"/>
        </w:trPr>
        <w:tc>
          <w:tcPr>
            <w:tcW w:w="2720" w:type="dxa"/>
            <w:vAlign w:val="bottom"/>
          </w:tcPr>
          <w:p>
            <w:pPr>
              <w:ind w:left="180"/>
              <w:spacing w:after="0"/>
              <w:rPr>
                <w:sz w:val="20"/>
                <w:szCs w:val="20"/>
                <w:color w:val="auto"/>
              </w:rPr>
            </w:pPr>
            <w:r>
              <w:rPr>
                <w:rFonts w:ascii="Courier New" w:cs="Courier New" w:eastAsia="Courier New" w:hAnsi="Courier New"/>
                <w:sz w:val="15"/>
                <w:szCs w:val="15"/>
                <w:color w:val="auto"/>
              </w:rPr>
              <w:t>Express</w:t>
            </w: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737</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716</w:t>
            </w: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Lerner New York</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835</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846</w:t>
            </w: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Lane Bryant</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828</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812</w:t>
            </w: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Limited Stores</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689</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709</w:t>
            </w: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Henri Bendel</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272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Total Women's</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3,093</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3,087</w:t>
            </w: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Emerging</w:t>
            </w: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Structure</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518</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466</w:t>
            </w: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Abercrombie &amp; Fitch Co.</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100</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w:t>
            </w: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The Limited Too</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288</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210</w:t>
            </w: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Galyan's Trading Co.</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2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Total Emerging</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912</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743</w:t>
            </w: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Intimate Brands, Inc.</w:t>
            </w: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Victoria's Secret Stores</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671</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601</w:t>
            </w: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Cacique</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120</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114</w:t>
            </w: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Bath &amp; Body Works</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498</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318</w:t>
            </w: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Penhaligon's</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272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Total Intimate Brands, Inc.</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1,293</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1,037</w:t>
            </w:r>
          </w:p>
        </w:tc>
      </w:tr>
      <w:tr>
        <w:trPr>
          <w:trHeight w:val="168"/>
        </w:trPr>
        <w:tc>
          <w:tcPr>
            <w:tcW w:w="272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5,298</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4,867</w:t>
            </w:r>
          </w:p>
        </w:tc>
      </w:tr>
      <w:tr>
        <w:trPr>
          <w:trHeight w:val="168"/>
        </w:trPr>
        <w:tc>
          <w:tcPr>
            <w:tcW w:w="272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4"/>
              </w:rPr>
              <w:t>========</w:t>
            </w:r>
          </w:p>
        </w:tc>
      </w:tr>
    </w:tbl>
    <w:p>
      <w:pPr>
        <w:spacing w:after="0" w:line="200" w:lineRule="exact"/>
        <w:rPr>
          <w:sz w:val="20"/>
          <w:szCs w:val="20"/>
          <w:color w:val="auto"/>
        </w:rPr>
      </w:pPr>
    </w:p>
    <w:p>
      <w:pPr>
        <w:spacing w:after="0" w:line="309"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The following table shows the changes in the number of retail stores operated by the Company for the past five fiscal years:</w:t>
      </w:r>
    </w:p>
    <w:p>
      <w:pPr>
        <w:sectPr>
          <w:pgSz w:w="11900" w:h="16838" w:orient="portrait"/>
          <w:cols w:equalWidth="0" w:num="1">
            <w:col w:w="10239"/>
          </w:cols>
          <w:pgMar w:left="220" w:top="11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Fiscal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Beginning</w:t>
      </w:r>
    </w:p>
    <w:p>
      <w:pPr>
        <w:spacing w:after="0" w:line="9" w:lineRule="exact"/>
        <w:rPr>
          <w:sz w:val="20"/>
          <w:szCs w:val="20"/>
          <w:color w:val="auto"/>
        </w:rPr>
      </w:pPr>
    </w:p>
    <w:p>
      <w:pPr>
        <w:sectPr>
          <w:pgSz w:w="11900" w:h="16838" w:orient="portrait"/>
          <w:cols w:equalWidth="0" w:num="2">
            <w:col w:w="1240" w:space="260"/>
            <w:col w:w="8739"/>
          </w:cols>
          <w:pgMar w:left="220" w:top="1122" w:right="1440" w:bottom="1440" w:gutter="0" w:footer="0" w:header="0"/>
          <w:type w:val="continuous"/>
        </w:sectPr>
      </w:pPr>
    </w:p>
    <w:p>
      <w:pPr>
        <w:ind w:left="800"/>
        <w:spacing w:after="0"/>
        <w:rPr>
          <w:sz w:val="20"/>
          <w:szCs w:val="20"/>
          <w:color w:val="auto"/>
        </w:rPr>
      </w:pPr>
      <w:r>
        <w:rPr>
          <w:rFonts w:ascii="Courier New" w:cs="Courier New" w:eastAsia="Courier New" w:hAnsi="Courier New"/>
          <w:sz w:val="14"/>
          <w:szCs w:val="14"/>
          <w:color w:val="auto"/>
        </w:rPr>
        <w:t>Year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of Year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Acquired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Opened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Closed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End of Year</w:t>
      </w:r>
    </w:p>
    <w:p>
      <w:pPr>
        <w:spacing w:after="0" w:line="3" w:lineRule="exact"/>
        <w:rPr>
          <w:sz w:val="20"/>
          <w:szCs w:val="20"/>
          <w:color w:val="auto"/>
        </w:rPr>
      </w:pPr>
    </w:p>
    <w:p>
      <w:pPr>
        <w:sectPr>
          <w:pgSz w:w="11900" w:h="16838" w:orient="portrait"/>
          <w:cols w:equalWidth="0" w:num="6">
            <w:col w:w="1140" w:space="440"/>
            <w:col w:w="620" w:space="260"/>
            <w:col w:w="700" w:space="180"/>
            <w:col w:w="520" w:space="180"/>
            <w:col w:w="520" w:space="260"/>
            <w:col w:w="5419"/>
          </w:cols>
          <w:pgMar w:left="220" w:top="1122" w:right="1440" w:bottom="1440" w:gutter="0" w:footer="0" w:header="0"/>
          <w:type w:val="continuous"/>
        </w:sectPr>
      </w:pPr>
    </w:p>
    <w:p>
      <w:pPr>
        <w:ind w:left="1580" w:hanging="783"/>
        <w:spacing w:after="0"/>
        <w:tabs>
          <w:tab w:leader="none" w:pos="15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w:t>
      </w:r>
    </w:p>
    <w:p>
      <w:pPr>
        <w:spacing w:after="0" w:line="166"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6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88"/>
              </w:rPr>
              <w:t>1991</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3,760</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484</w:t>
            </w: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4,194</w:t>
            </w:r>
          </w:p>
        </w:tc>
      </w:tr>
      <w:tr>
        <w:trPr>
          <w:trHeight w:val="168"/>
        </w:trPr>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88"/>
              </w:rPr>
              <w:t>1992</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4,194</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323</w:t>
            </w: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(92)</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4,425</w:t>
            </w:r>
          </w:p>
        </w:tc>
      </w:tr>
      <w:tr>
        <w:trPr>
          <w:trHeight w:val="168"/>
        </w:trPr>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88"/>
              </w:rPr>
              <w:t>1993</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4,425</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322</w:t>
            </w: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(124)</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4,623</w:t>
            </w:r>
          </w:p>
        </w:tc>
      </w:tr>
      <w:tr>
        <w:trPr>
          <w:trHeight w:val="168"/>
        </w:trPr>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88"/>
              </w:rPr>
              <w:t>1994</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4,623</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358</w:t>
            </w: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(114)</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4,867</w:t>
            </w:r>
          </w:p>
        </w:tc>
      </w:tr>
      <w:tr>
        <w:trPr>
          <w:trHeight w:val="168"/>
        </w:trPr>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88"/>
              </w:rPr>
              <w:t>1995</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4,867</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504</w:t>
            </w: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(79)</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5,298</w:t>
            </w:r>
          </w:p>
        </w:tc>
      </w:tr>
    </w:tbl>
    <w:p>
      <w:pPr>
        <w:spacing w:after="0" w:line="200" w:lineRule="exact"/>
        <w:rPr>
          <w:sz w:val="20"/>
          <w:szCs w:val="20"/>
          <w:color w:val="auto"/>
        </w:rPr>
      </w:pPr>
    </w:p>
    <w:p>
      <w:pPr>
        <w:spacing w:after="0" w:line="309"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Company also operates Mast Industries, Inc., a contract manufacturer and apparel importer, and Gryphon Development, Inc. ("Gryphon") which is a subsidiary of IBI. Gryphon creates, develops and contract manufactures most of the bath and personal care products sold by the Company.</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1122" w:right="1440" w:bottom="1440" w:gutter="0" w:footer="0" w:header="0"/>
          <w:type w:val="continuous"/>
        </w:sectPr>
      </w:pPr>
    </w:p>
    <w:bookmarkStart w:id="3" w:name="page4"/>
    <w:bookmarkEnd w:id="3"/>
    <w:p>
      <w:pPr>
        <w:ind w:right="3319"/>
        <w:spacing w:after="0" w:line="236" w:lineRule="auto"/>
        <w:rPr>
          <w:sz w:val="20"/>
          <w:szCs w:val="20"/>
          <w:color w:val="auto"/>
        </w:rPr>
      </w:pPr>
      <w:r>
        <w:rPr>
          <w:rFonts w:ascii="Courier New" w:cs="Courier New" w:eastAsia="Courier New" w:hAnsi="Courier New"/>
          <w:sz w:val="15"/>
          <w:szCs w:val="15"/>
          <w:color w:val="auto"/>
        </w:rPr>
        <w:t>During fiscal year 1995, the Company purchased merchandise from approximately 5,300 suppliers and factories located throughout the world. Approximately 55% of the Company's merchandise is purchased in foreign markets and a portion of merchandise purchased in the domestic market is manufactured overseas. Company records, however, do not track between foreign and domestic sources for merchandise purchased domestically. No more than 5% of goods purchased originated from any single manufacturer.</w:t>
      </w:r>
    </w:p>
    <w:p>
      <w:pPr>
        <w:spacing w:after="0" w:line="17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Most of the merchandise and related materials for the Company's stores is shipped to the Company's distribution centers in the Columbus, Ohio area, where the merchandise is received and inspected. The Company uses common and contract carriers to distribute merchandise and related materials to its stores. The Company's divisions generally have independent distribution capabilities and no division receives priority over any other division. There are no distribution channels between the divisions.</w:t>
      </w:r>
    </w:p>
    <w:p>
      <w:pPr>
        <w:spacing w:after="0" w:line="176" w:lineRule="exact"/>
        <w:rPr>
          <w:sz w:val="20"/>
          <w:szCs w:val="20"/>
          <w:color w:val="auto"/>
        </w:rPr>
      </w:pPr>
    </w:p>
    <w:p>
      <w:pPr>
        <w:jc w:val="both"/>
        <w:ind w:right="3399"/>
        <w:spacing w:after="0" w:line="236" w:lineRule="auto"/>
        <w:rPr>
          <w:sz w:val="20"/>
          <w:szCs w:val="20"/>
          <w:color w:val="auto"/>
        </w:rPr>
      </w:pPr>
      <w:r>
        <w:rPr>
          <w:rFonts w:ascii="Courier New" w:cs="Courier New" w:eastAsia="Courier New" w:hAnsi="Courier New"/>
          <w:sz w:val="15"/>
          <w:szCs w:val="15"/>
          <w:color w:val="auto"/>
        </w:rPr>
        <w:t>The Company's policy is to maintain sufficient quantities of inventory on hand in its retail stores and distribution centers so that it can offer customers a full selection of current merchandise. The Company emphasizes rapid turnover and takes markdowns where required to keep merchandise fresh and current with fashion trends.</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 views the retail apparel market as having two principal selling seasons, Spring and Fall. As is generally the case in the apparel industry, the Company experiences its peak sales activity during the Fall season. This seasonal sales pattern results in increased inventory and accounts receivable during the Fall and Christmas selling periods. During fiscal year 1995, the highest inventory level approximated $1.436 billion at the November 1995 month-end and the lowest inventory level approximated $943 million at the February 1995 month-end.</w:t>
      </w:r>
    </w:p>
    <w:p>
      <w:pPr>
        <w:spacing w:after="0" w:line="177"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Merchandise sales are paid for in cash or by personal check, credit cards issued by third parties or credit cards issued by the Company's credit card processing venture, World Financial Network National Bank ("WFNNB"), for customers of Express, Lerner New York, Lane Bryant, Limited, Henri Bendel, Victoria's Secret Stores, Victoria's Secret Catalogue, Structure and Abercrombie &amp; Fitch. WFNNB was a wholly-owned subsidiary of the Company prior to January 1996, when a 60% interest was sold to a New York investment firm, resulting in the formation of a joint venture which will focus on providing private-label and bank card transaction processing and database management services to retailers, including the Company's private-label credit card operations. Further information regarding this transaction is contained in Note 2 of the Notes to Consolidated Financial Statements included in The Limited, Inc., 1995 Annual Report to Shareholders, portions of which are annexed hereto as Exhibit 13 (the "1995 Annual Report") and is incorporated herein by reference.</w:t>
      </w:r>
    </w:p>
    <w:p>
      <w:pPr>
        <w:spacing w:after="0" w:line="16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Company offers its customers a liberal return policy stated as "No Sale is Ever Final." The Company believes that certain of its competitors offer similar credit card and service policies.</w:t>
      </w:r>
    </w:p>
    <w:p>
      <w:pPr>
        <w:spacing w:after="0" w:line="174" w:lineRule="exact"/>
        <w:rPr>
          <w:sz w:val="20"/>
          <w:szCs w:val="20"/>
          <w:color w:val="auto"/>
        </w:rPr>
      </w:pPr>
    </w:p>
    <w:p>
      <w:pPr>
        <w:ind w:right="4019"/>
        <w:spacing w:after="0" w:line="234" w:lineRule="auto"/>
        <w:rPr>
          <w:sz w:val="20"/>
          <w:szCs w:val="20"/>
          <w:color w:val="auto"/>
        </w:rPr>
      </w:pPr>
      <w:r>
        <w:rPr>
          <w:rFonts w:ascii="Courier New" w:cs="Courier New" w:eastAsia="Courier New" w:hAnsi="Courier New"/>
          <w:sz w:val="15"/>
          <w:szCs w:val="15"/>
          <w:color w:val="auto"/>
        </w:rPr>
        <w:t>The following is a brief description of each of the Company's operating divisions, including their respective target markets.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24"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Women's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Express - Everyday European street fashion, as it is happening, 22-40 year old women.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Lerner New York - Fashionable sportwear for the value-minded customer.</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Lane Bryant - Fashionable sportwear, ready-to-wear, lingerie, accessories and hosiery for the larger-sized (14 - 28) customer.</w:t>
      </w:r>
    </w:p>
    <w:p>
      <w:pPr>
        <w:spacing w:after="0" w:line="173" w:lineRule="exact"/>
        <w:rPr>
          <w:sz w:val="20"/>
          <w:szCs w:val="20"/>
          <w:color w:val="auto"/>
        </w:rPr>
      </w:pPr>
    </w:p>
    <w:p>
      <w:pPr>
        <w:ind w:right="3239"/>
        <w:spacing w:after="0" w:line="261" w:lineRule="auto"/>
        <w:rPr>
          <w:sz w:val="20"/>
          <w:szCs w:val="20"/>
          <w:color w:val="auto"/>
        </w:rPr>
      </w:pPr>
      <w:r>
        <w:rPr>
          <w:rFonts w:ascii="Courier New" w:cs="Courier New" w:eastAsia="Courier New" w:hAnsi="Courier New"/>
          <w:sz w:val="14"/>
          <w:szCs w:val="14"/>
          <w:color w:val="auto"/>
        </w:rPr>
        <w:t>Limited - Classic American clothing for women, aged 25-45, who are sophisticated versus trendy and who want clothing that's high-quality and versatile.</w:t>
      </w:r>
    </w:p>
    <w:p>
      <w:pPr>
        <w:spacing w:after="0" w:line="160" w:lineRule="exact"/>
        <w:rPr>
          <w:sz w:val="20"/>
          <w:szCs w:val="20"/>
          <w:color w:val="auto"/>
        </w:rPr>
      </w:pPr>
    </w:p>
    <w:p>
      <w:pPr>
        <w:ind w:right="4279"/>
        <w:spacing w:after="0" w:line="261" w:lineRule="auto"/>
        <w:rPr>
          <w:sz w:val="20"/>
          <w:szCs w:val="20"/>
          <w:color w:val="auto"/>
        </w:rPr>
      </w:pPr>
      <w:r>
        <w:rPr>
          <w:rFonts w:ascii="Courier New" w:cs="Courier New" w:eastAsia="Courier New" w:hAnsi="Courier New"/>
          <w:sz w:val="14"/>
          <w:szCs w:val="14"/>
          <w:color w:val="auto"/>
        </w:rPr>
        <w:t>Henri Bendel - Fashion apparel, cosmetics, accessories and gifts for professional women, aged 30-plus, from higher-income households.</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Emerging</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Structure - European-inspired sportswear and ready-to-wear, with a distinctive American casual interpretation for 18-40 year old men.</w:t>
      </w:r>
    </w:p>
    <w:p>
      <w:pPr>
        <w:spacing w:after="0" w:line="173"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Abercrombie &amp; Fitch Co. - Natural American-style sportwear-casual, classic, spirited-for young-minded men and women, aged 15-30.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Limited Too - American casual fashion for girls to age 14.</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Galyan's - The "coolest" destination in sports retailing for sports enthusiasts and wanna-be's of all ages and both genders.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Additional information about the Company's business, including its revenues and profits for the last three years, plus selling square footage and other information about each of the Company's operating divisions, is set forth under the caption "Management's Discussion and Analysis" of the 1995 Annual Report and is incorporated herein by reference.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Intimate Brands, Inc.</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Victoria's Secret Stores - Most successful brand of elegant intimate apparel, foundations and related products for women aged 15 and above.</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Cacique - Beautiful, high-quality, French-inspired lingerie for sophisticated women, age 25-plus.</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Victoria's Secret Catalogue - The premier catalogue of women's intimate apparel and clothing presented in an aspirational lifestyle setting for women aged 18 and over.</w:t>
      </w:r>
    </w:p>
    <w:p>
      <w:pPr>
        <w:spacing w:after="0" w:line="174"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Bath &amp; Body Works - Healthy, natural, good-for-you personal care products and gifts of superior efficacy and value from America's heartland for men and women of all ages.</w:t>
      </w:r>
    </w:p>
    <w:p>
      <w:pPr>
        <w:spacing w:after="0" w:line="174"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Penhaligon's - Highly desirable, world-class purveyor of classic scents and fine English gifts for sophisticated, well-traveled men and women.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17"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Competition.</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sale of apparel, personal care products and sporting goods through retail stores is a highly competitive business with numerous competitors, including individual and chain fashion specialty stores and department stores. Design, price, service, selection and quality are the principal competitive factors in retail store sales. The Company's catalogue division competes with numerous national and regional catalogue merchandisers in catalogue sales. Design, price, quality and catalogue presentation are the principal competitive factors in catalogue sales.</w:t>
      </w:r>
    </w:p>
    <w:p>
      <w:pPr>
        <w:spacing w:after="0" w:line="177" w:lineRule="exact"/>
        <w:rPr>
          <w:sz w:val="20"/>
          <w:szCs w:val="20"/>
          <w:color w:val="auto"/>
        </w:rPr>
      </w:pPr>
    </w:p>
    <w:p>
      <w:pPr>
        <w:ind w:right="3499"/>
        <w:spacing w:after="0" w:line="258" w:lineRule="auto"/>
        <w:rPr>
          <w:sz w:val="20"/>
          <w:szCs w:val="20"/>
          <w:color w:val="auto"/>
        </w:rPr>
      </w:pPr>
      <w:r>
        <w:rPr>
          <w:rFonts w:ascii="Courier New" w:cs="Courier New" w:eastAsia="Courier New" w:hAnsi="Courier New"/>
          <w:sz w:val="14"/>
          <w:szCs w:val="14"/>
          <w:color w:val="auto"/>
        </w:rPr>
        <w:t>The Company is unable to estimate the number of competitors or its relative competitive position due to the large number of companies selling apparel and personal care products at retail, both through stores and catalogues.</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Associate Relations.</w:t>
      </w:r>
    </w:p>
    <w:p>
      <w:pPr>
        <w:spacing w:after="0" w:line="173" w:lineRule="exact"/>
        <w:rPr>
          <w:sz w:val="20"/>
          <w:szCs w:val="20"/>
          <w:color w:val="auto"/>
        </w:rPr>
      </w:pPr>
    </w:p>
    <w:p>
      <w:pPr>
        <w:jc w:val="both"/>
        <w:ind w:right="3679"/>
        <w:spacing w:after="0" w:line="235" w:lineRule="auto"/>
        <w:rPr>
          <w:sz w:val="20"/>
          <w:szCs w:val="20"/>
          <w:color w:val="auto"/>
        </w:rPr>
      </w:pPr>
      <w:r>
        <w:rPr>
          <w:rFonts w:ascii="Courier New" w:cs="Courier New" w:eastAsia="Courier New" w:hAnsi="Courier New"/>
          <w:sz w:val="15"/>
          <w:szCs w:val="15"/>
          <w:color w:val="auto"/>
        </w:rPr>
        <w:t>On February 3, 1996, the Company employed approximately 104,000 associates, 74,500 of whom were part-time. In addition, temporary associates are hired during peak periods, such as the Christmas season.</w:t>
      </w:r>
    </w:p>
    <w:p>
      <w:pPr>
        <w:spacing w:after="0" w:line="16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PROPERTIES.</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The Company's business is principally conducted from office, distribution and shipping facilities located in the Columbus, Ohio area. Additional facilities are located in New York City, New York, Indianapolis, Indiana, Andover, Massachusetts, Kettering, Ohio, and London, England.</w:t>
      </w:r>
    </w:p>
    <w:p>
      <w:pPr>
        <w:spacing w:after="0" w:line="17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distribution and shipping facilities owned by the Company consist of seven buildings located in Columbus, Ohio, comprising approximately 5.2 million square feet.</w:t>
      </w:r>
    </w:p>
    <w:p>
      <w:pPr>
        <w:spacing w:after="0" w:line="174"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Substantially all of the retail stores operated by the Company are located in leased facilities, primarily in shopping centers throughout the continental United States. The leases expire at various dates principally between 1996 and 2016 and generally do not have renewal options.</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Typically, when space is leased for a retail store in a shopping center, all improvements, including interior walls, floors, ceilings, fixtures and decorations, are supplied by the tenant. In certain cases, the landlord of the property may provide a construction allowance to defray a portion of the cost of improvements. The cost of improvements varies widely, depending on the size and location of the store. Rental terms for new locations usually include a fixed minimum rent plus a percentage of sales in excess of a specified amount. Certain operating costs such as common area maintenance, utilities, insurance, and taxes are typically paid by tenants.</w:t>
      </w:r>
    </w:p>
    <w:p>
      <w:pPr>
        <w:spacing w:after="0" w:line="172"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applicable.</w:t>
      </w:r>
    </w:p>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applicable.</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17" w:right="1440" w:bottom="1440" w:gutter="0" w:footer="0" w:header="0"/>
        </w:sectPr>
      </w:pPr>
    </w:p>
    <w:bookmarkStart w:id="6" w:name="page7"/>
    <w:bookmarkEnd w:id="6"/>
    <w:p>
      <w:pPr>
        <w:spacing w:after="0"/>
        <w:tabs>
          <w:tab w:leader="none" w:pos="1740" w:val="left"/>
        </w:tabs>
        <w:rPr>
          <w:sz w:val="20"/>
          <w:szCs w:val="20"/>
          <w:color w:val="auto"/>
        </w:rPr>
      </w:pPr>
      <w:r>
        <w:rPr>
          <w:rFonts w:ascii="Courier New" w:cs="Courier New" w:eastAsia="Courier New" w:hAnsi="Courier New"/>
          <w:sz w:val="15"/>
          <w:szCs w:val="15"/>
          <w:color w:val="auto"/>
        </w:rPr>
        <w:t>SUPPLEMENTAL ITEM.</w:t>
      </w:r>
      <w:r>
        <w:rPr>
          <w:sz w:val="20"/>
          <w:szCs w:val="20"/>
          <w:color w:val="auto"/>
        </w:rPr>
        <w:tab/>
      </w:r>
      <w:r>
        <w:rPr>
          <w:rFonts w:ascii="Courier New" w:cs="Courier New" w:eastAsia="Courier New" w:hAnsi="Courier New"/>
          <w:sz w:val="14"/>
          <w:szCs w:val="14"/>
          <w:color w:val="auto"/>
        </w:rPr>
        <w:t>EXECUTIVE OFFICERS OF THE REGISTRANT.</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Set forth below is certain information regarding the executive officers of the Company as of February 3, 1996.</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Leslie H. Wexner, 58, has been Chairman of the Board of Directors of the Company for more than five years and its President and Chief Executive Officer since he founded the Company in 1963.</w:t>
      </w:r>
    </w:p>
    <w:p>
      <w:pPr>
        <w:spacing w:after="0" w:line="174" w:lineRule="exact"/>
        <w:rPr>
          <w:sz w:val="20"/>
          <w:szCs w:val="20"/>
          <w:color w:val="auto"/>
        </w:rPr>
      </w:pPr>
    </w:p>
    <w:p>
      <w:pPr>
        <w:jc w:val="both"/>
        <w:ind w:right="3239"/>
        <w:spacing w:after="0" w:line="258" w:lineRule="auto"/>
        <w:rPr>
          <w:sz w:val="20"/>
          <w:szCs w:val="20"/>
          <w:color w:val="auto"/>
        </w:rPr>
      </w:pPr>
      <w:r>
        <w:rPr>
          <w:rFonts w:ascii="Courier New" w:cs="Courier New" w:eastAsia="Courier New" w:hAnsi="Courier New"/>
          <w:sz w:val="14"/>
          <w:szCs w:val="14"/>
          <w:color w:val="auto"/>
        </w:rPr>
        <w:t>Kenneth B. Gilman, 49, has been Vice Chairman and Chief Financial Officer of the Company since June 1993. Mr. Gilman was the Executive Vice President and Chief Financial Officer of the Company for more than five years prior thereto.</w:t>
      </w:r>
    </w:p>
    <w:p>
      <w:pPr>
        <w:spacing w:after="0" w:line="161"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Michael Weiss, 54, has been Vice Chairman of the Company since June 1993. Mr. Weiss was the Chief Executive Officer of the Company's Express division for more than five years prior thereto.</w:t>
      </w:r>
    </w:p>
    <w:p>
      <w:pPr>
        <w:spacing w:after="0" w:line="174"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Bella Wexner, over 65 years of age, has been the Secretary of the Company for more than five years.</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Martin Trust, 61, has been President of Mast Industries, Inc., a wholly-owned subsidiary of the Company, for more than five years.</w:t>
      </w:r>
    </w:p>
    <w:p>
      <w:pPr>
        <w:spacing w:after="0" w:line="173" w:lineRule="exact"/>
        <w:rPr>
          <w:sz w:val="20"/>
          <w:szCs w:val="20"/>
          <w:color w:val="auto"/>
        </w:rPr>
      </w:pPr>
    </w:p>
    <w:p>
      <w:pPr>
        <w:jc w:val="both"/>
        <w:ind w:right="3319"/>
        <w:spacing w:after="0" w:line="258" w:lineRule="auto"/>
        <w:rPr>
          <w:sz w:val="20"/>
          <w:szCs w:val="20"/>
          <w:color w:val="auto"/>
        </w:rPr>
      </w:pPr>
      <w:r>
        <w:rPr>
          <w:rFonts w:ascii="Courier New" w:cs="Courier New" w:eastAsia="Courier New" w:hAnsi="Courier New"/>
          <w:sz w:val="14"/>
          <w:szCs w:val="14"/>
          <w:color w:val="auto"/>
        </w:rPr>
        <w:t>Arnold F. Kanarick, 55, has been Executive Vice President and Director of Human Resources since October 1992. Mr. Kanarick was Vice President, Human Resources of Analog Devices, a manufacturer of semiconductors, from 1985 to 1992.</w:t>
      </w:r>
    </w:p>
    <w:p>
      <w:pPr>
        <w:spacing w:after="0" w:line="161"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Wade H. Buff, 61, has been Vice President, Internal Audit of the Company for more than five years.</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Alfred S. Dietzel, 64, has been Vice President, Financial and Public Relations of the Company for more than five years.</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Samuel P. Fried, 44, has been Vice President and General Counsel of the Company since November 1991. Mr. Fried was Vice President and General Counsel of Exide Corporation, a manufacturer of automotive and industrial batteries, from February 1987 to October 1991.</w:t>
      </w:r>
    </w:p>
    <w:p>
      <w:pPr>
        <w:spacing w:after="0" w:line="175" w:lineRule="exact"/>
        <w:rPr>
          <w:sz w:val="20"/>
          <w:szCs w:val="20"/>
          <w:color w:val="auto"/>
        </w:rPr>
      </w:pPr>
    </w:p>
    <w:p>
      <w:pPr>
        <w:jc w:val="both"/>
        <w:ind w:right="3579"/>
        <w:spacing w:after="0" w:line="235" w:lineRule="auto"/>
        <w:rPr>
          <w:sz w:val="20"/>
          <w:szCs w:val="20"/>
          <w:color w:val="auto"/>
        </w:rPr>
      </w:pPr>
      <w:r>
        <w:rPr>
          <w:rFonts w:ascii="Courier New" w:cs="Courier New" w:eastAsia="Courier New" w:hAnsi="Courier New"/>
          <w:sz w:val="15"/>
          <w:szCs w:val="15"/>
          <w:color w:val="auto"/>
        </w:rPr>
        <w:t>William K. Gerber, 41, has been Vice President, Finance of the Company since August 1993. Mr. Gerber was Vice President and Corporate Controller of the Company for more than five years prior thereto.</w:t>
      </w:r>
    </w:p>
    <w:p>
      <w:pPr>
        <w:spacing w:after="0" w:line="174"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Patrick C. Hectorne, 43, has been Treasurer of the Company since August 1993. Mr. Hectorne was Assistant Treasurer of the Company for more than five years prior thereto.</w:t>
      </w:r>
    </w:p>
    <w:p>
      <w:pPr>
        <w:spacing w:after="0" w:line="174"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Charles W. Hinson, 59, has been President, Store Planning of the Company for more than five years.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Kent A. Kleeberger, 44, has been Corporate Controller of the Company Since July 1995. Mr. Kleeberger was Vice President and Controller at Victoria's Secret Catalogue from February 1993 to June 1995 and Director of Accounting Operations at Victoria's's Secret Catalogue from August 1991 to January 1993 and Director of Financial Reporting at The Limited, Inc. prior thereto.</w:t>
      </w:r>
    </w:p>
    <w:p>
      <w:pPr>
        <w:spacing w:after="0" w:line="174"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Jack Listanowsky, 48, has been Vice President and Chief Sourcing and Production Officer of the Company since March 1995. Mr. Listanowsky was Executive Vice President, Manufacturing and Operations for Liz Claiborne, Inc. for more than five years prior thereto.</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17" w:right="1440" w:bottom="1440" w:gutter="0" w:footer="0" w:header="0"/>
        </w:sectPr>
      </w:pPr>
    </w:p>
    <w:bookmarkStart w:id="7" w:name="page8"/>
    <w:bookmarkEnd w:id="7"/>
    <w:p>
      <w:pPr>
        <w:ind w:right="3579"/>
        <w:spacing w:after="0" w:line="234" w:lineRule="auto"/>
        <w:rPr>
          <w:sz w:val="20"/>
          <w:szCs w:val="20"/>
          <w:color w:val="auto"/>
        </w:rPr>
      </w:pPr>
      <w:r>
        <w:rPr>
          <w:rFonts w:ascii="Courier New" w:cs="Courier New" w:eastAsia="Courier New" w:hAnsi="Courier New"/>
          <w:sz w:val="15"/>
          <w:szCs w:val="15"/>
          <w:color w:val="auto"/>
        </w:rPr>
        <w:t>Timothy B. Lyons, 49, has been Vice President, Taxes of the Company for more than five years.</w:t>
      </w:r>
    </w:p>
    <w:p>
      <w:pPr>
        <w:spacing w:after="0" w:line="173" w:lineRule="exact"/>
        <w:rPr>
          <w:sz w:val="20"/>
          <w:szCs w:val="20"/>
          <w:color w:val="auto"/>
        </w:rPr>
      </w:pPr>
    </w:p>
    <w:p>
      <w:pPr>
        <w:ind w:right="3499"/>
        <w:spacing w:after="0" w:line="258" w:lineRule="auto"/>
        <w:rPr>
          <w:sz w:val="20"/>
          <w:szCs w:val="20"/>
          <w:color w:val="auto"/>
        </w:rPr>
      </w:pPr>
      <w:r>
        <w:rPr>
          <w:rFonts w:ascii="Courier New" w:cs="Courier New" w:eastAsia="Courier New" w:hAnsi="Courier New"/>
          <w:sz w:val="14"/>
          <w:szCs w:val="14"/>
          <w:color w:val="auto"/>
        </w:rPr>
        <w:t>Edward G. Razek, 47, has been Vice President and Director of Marketing of the Company since November 1993. Mr. Razek was the Executive Vice President of Marketing for Limited Stores for more than five years prior thereto.</w:t>
      </w:r>
    </w:p>
    <w:p>
      <w:pPr>
        <w:spacing w:after="0" w:line="161"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Jon Ricker, 46, has been Vice President and Chief Information Officer of the Company since February 1996. Mr. Ricker was Vice President and Chief Information Officer for Bell South from mid-1993 and Vice President, Corporate Systems Development for Federal Express from 1990 to mid-1993.</w:t>
      </w:r>
    </w:p>
    <w:p>
      <w:pPr>
        <w:spacing w:after="0" w:line="175" w:lineRule="exact"/>
        <w:rPr>
          <w:sz w:val="20"/>
          <w:szCs w:val="20"/>
          <w:color w:val="auto"/>
        </w:rPr>
      </w:pPr>
    </w:p>
    <w:p>
      <w:pPr>
        <w:jc w:val="both"/>
        <w:ind w:right="3499"/>
        <w:spacing w:after="0" w:line="235" w:lineRule="auto"/>
        <w:rPr>
          <w:sz w:val="20"/>
          <w:szCs w:val="20"/>
          <w:color w:val="auto"/>
        </w:rPr>
      </w:pPr>
      <w:r>
        <w:rPr>
          <w:rFonts w:ascii="Courier New" w:cs="Courier New" w:eastAsia="Courier New" w:hAnsi="Courier New"/>
          <w:sz w:val="15"/>
          <w:szCs w:val="15"/>
          <w:color w:val="auto"/>
        </w:rPr>
        <w:t>Bruce A. Soll, 38, has been Vice President of the Company since October 1991. Mr. Soll was Counselor/Director of Policy Planning for the U.S. Department of Commerce from February 1989 to September 1991.</w:t>
      </w:r>
    </w:p>
    <w:p>
      <w:pPr>
        <w:spacing w:after="0" w:line="174"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All of the above officers serve at the pleasure of the Board of Directors of the Company.</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24" w:right="1440" w:bottom="1440" w:gutter="0" w:footer="0" w:header="0"/>
        </w:sectPr>
      </w:pPr>
    </w:p>
    <w:bookmarkStart w:id="8" w:name="page9"/>
    <w:bookmarkEnd w:id="8"/>
    <w:p>
      <w:pPr>
        <w:ind w:left="3160"/>
        <w:spacing w:after="0"/>
        <w:rPr>
          <w:sz w:val="20"/>
          <w:szCs w:val="20"/>
          <w:color w:val="auto"/>
        </w:rPr>
      </w:pPr>
      <w:r>
        <w:rPr>
          <w:rFonts w:ascii="Courier New" w:cs="Courier New" w:eastAsia="Courier New" w:hAnsi="Courier New"/>
          <w:sz w:val="15"/>
          <w:szCs w:val="15"/>
          <w:color w:val="auto"/>
        </w:rPr>
        <w:t>PART II</w:t>
      </w:r>
    </w:p>
    <w:p>
      <w:pPr>
        <w:spacing w:after="0" w:line="173" w:lineRule="exact"/>
        <w:rPr>
          <w:sz w:val="20"/>
          <w:szCs w:val="20"/>
          <w:color w:val="auto"/>
        </w:rPr>
      </w:pPr>
    </w:p>
    <w:p>
      <w:pPr>
        <w:ind w:left="880" w:right="3679" w:hanging="874"/>
        <w:spacing w:after="0" w:line="234" w:lineRule="auto"/>
        <w:tabs>
          <w:tab w:leader="none" w:pos="860" w:val="left"/>
        </w:tabs>
        <w:rPr>
          <w:sz w:val="20"/>
          <w:szCs w:val="20"/>
          <w:color w:val="auto"/>
        </w:rPr>
      </w:pPr>
      <w:r>
        <w:rPr>
          <w:rFonts w:ascii="Courier New" w:cs="Courier New" w:eastAsia="Courier New" w:hAnsi="Courier New"/>
          <w:sz w:val="15"/>
          <w:szCs w:val="15"/>
          <w:color w:val="auto"/>
        </w:rPr>
        <w:t>ITEM 5.</w:t>
        <w:tab/>
        <w:t>MARKET FOR THE REGISTRANT'S COMMON EQUITY AND RELATED STOCKHOLDER MATTERS.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Information regarding markets in which the Company's common stock was traded during fiscal years 1995 and 1994, approximate number of holders of common stock, and quarterly cash dividend per share information of the Company's common stock for the fiscal years 1995 and 1994 is set forth under the caption "Market Price and Dividend Information" of the 1995 Annual Report and is incorporated herein by reference.</w:t>
      </w:r>
    </w:p>
    <w:p>
      <w:pPr>
        <w:spacing w:after="0" w:line="16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SELECTED FINANCIAL DATA.</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Selected financial data is set forth under the caption "Financial Summary" on pages 40 and 41 of the 1995 Annual Report and is incorporated herein by reference.</w:t>
      </w:r>
    </w:p>
    <w:p>
      <w:pPr>
        <w:spacing w:after="0" w:line="174" w:lineRule="exact"/>
        <w:rPr>
          <w:sz w:val="20"/>
          <w:szCs w:val="20"/>
          <w:color w:val="auto"/>
        </w:rPr>
      </w:pPr>
    </w:p>
    <w:p>
      <w:pPr>
        <w:ind w:left="880" w:right="3839" w:hanging="874"/>
        <w:spacing w:after="0" w:line="234" w:lineRule="auto"/>
        <w:tabs>
          <w:tab w:leader="none" w:pos="860" w:val="left"/>
        </w:tabs>
        <w:rPr>
          <w:sz w:val="20"/>
          <w:szCs w:val="20"/>
          <w:color w:val="auto"/>
        </w:rPr>
      </w:pPr>
      <w:r>
        <w:rPr>
          <w:rFonts w:ascii="Courier New" w:cs="Courier New" w:eastAsia="Courier New" w:hAnsi="Courier New"/>
          <w:sz w:val="15"/>
          <w:szCs w:val="15"/>
          <w:color w:val="auto"/>
        </w:rPr>
        <w:t>ITEM 7.</w:t>
        <w:tab/>
        <w:t>MANAGEMENT'S DISCUSSION AND ANALYSIS OF FINANCIAL CONDITION AND RESULTS OF OPERATIONS.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is set forth under the caption "Management's Discussion and Analysis" of the 1995 Annual Report and is incorporated herein by reference.</w:t>
      </w:r>
    </w:p>
    <w:p>
      <w:pPr>
        <w:spacing w:after="0" w:line="33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Consolidated Financial Statements of the Company and subsidiaries, the Notes to Consolidated Financial Statements and the Report of Independent Accountants are set forth in the 1995 Annual Report and are incorporated herein by reference.</w:t>
      </w:r>
    </w:p>
    <w:p>
      <w:pPr>
        <w:spacing w:after="0" w:line="175" w:lineRule="exact"/>
        <w:rPr>
          <w:sz w:val="20"/>
          <w:szCs w:val="20"/>
          <w:color w:val="auto"/>
        </w:rPr>
      </w:pPr>
    </w:p>
    <w:p>
      <w:pPr>
        <w:ind w:left="880" w:right="3839" w:hanging="874"/>
        <w:spacing w:after="0" w:line="234" w:lineRule="auto"/>
        <w:tabs>
          <w:tab w:leader="none" w:pos="860" w:val="left"/>
        </w:tabs>
        <w:rPr>
          <w:sz w:val="20"/>
          <w:szCs w:val="20"/>
          <w:color w:val="auto"/>
        </w:rPr>
      </w:pPr>
      <w:r>
        <w:rPr>
          <w:rFonts w:ascii="Courier New" w:cs="Courier New" w:eastAsia="Courier New" w:hAnsi="Courier New"/>
          <w:sz w:val="15"/>
          <w:szCs w:val="15"/>
          <w:color w:val="auto"/>
        </w:rPr>
        <w:t>ITEM 9.</w:t>
        <w:tab/>
        <w:t>CHANGES IN AND DISAGREEMENTS WITH ACCOUNTANTS ON ACCOUNTING AND FINANCIAL DISCLOSURE.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applicable.</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III</w:t>
      </w:r>
    </w:p>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4"/>
          <w:szCs w:val="14"/>
          <w:color w:val="auto"/>
        </w:rPr>
        <w:t>DIRECTORS AND EXECUTIVE OFFICERS OF THE REGISTRANT.</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Information regarding directors of the Company is set forth under the captions "ELECTION OF DIRECTORS - Nominees and Directors", "- Business Experience", "-Information Concerning the Board of Directors" and "- Security Ownership of Directors and Management" on pages 1 through 6 of the Company's proxy statement for the Annual Meeting of Shareholders to be held May 20, 1996 (the "Proxy Statement") and is incorporated herein by reference. Information regarding executive officers is set forth herein under the caption "SUPPLEMENTAL ITEM. EXECUTIVE OFFICERS OF THE REGISTRANT" in Part I.</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17" w:right="1440" w:bottom="1440" w:gutter="0" w:footer="0" w:header="0"/>
        </w:sectPr>
      </w:pPr>
    </w:p>
    <w:bookmarkStart w:id="9" w:name="page10"/>
    <w:bookmarkEnd w:id="9"/>
    <w:p>
      <w:pPr>
        <w:spacing w:after="0"/>
        <w:tabs>
          <w:tab w:leader="none" w:pos="860"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4"/>
          <w:szCs w:val="14"/>
          <w:color w:val="auto"/>
        </w:rPr>
        <w:t>EXECUTIVE COMPENSATION.</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Information regarding executive compensation is set forth under the caption "EXECUTIVE COMPENSATION" on pages 8 through 11 of the Proxy Statement and is incorporated herein by reference. Such incorporation by reference shall not be deemed to specifically incorporate by reference the information referred to in Item 402(a)(8) of Regulation S-K.</w:t>
      </w:r>
    </w:p>
    <w:p>
      <w:pPr>
        <w:spacing w:after="0" w:line="16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4"/>
          <w:szCs w:val="14"/>
          <w:color w:val="auto"/>
        </w:rPr>
        <w:t>SECURITY OWNERSHIP OF CERTAIN BENEFICIAL OWNERS AND MANAGEMENT.</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Information regarding the security ownership of certain beneficial owners and management is set forth under the captions "ELECTION OF DIRECTORS - Security Ownership of Directors and Management" on pages 4 through 6 of the Proxy Statement and "PRINCIPAL HOLDERS OF VOTING SECURITIES" on page 17 of the Proxy Statement and is incorporated herein by reference.</w:t>
      </w:r>
    </w:p>
    <w:p>
      <w:pPr>
        <w:spacing w:after="0" w:line="16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4"/>
          <w:szCs w:val="14"/>
          <w:color w:val="auto"/>
        </w:rPr>
        <w:t>CERTAIN RELATIONSHIPS AND RELATED TRANSACTIONS.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Information regarding certain relationships and related transactions is set forth under the captions "ELECTION OF DIRECTORS - Business Experience" on pages 2 and 3 of the Proxy Statement and "ELECTION OF DIRECTORS - Certain Relationships and Related Transactions" on pages 6 and 7 of the Proxy Statement and is incorporated herein by reference.</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IV</w:t>
      </w:r>
    </w:p>
    <w:p>
      <w:pPr>
        <w:spacing w:after="0" w:line="166" w:lineRule="exact"/>
        <w:rPr>
          <w:sz w:val="20"/>
          <w:szCs w:val="20"/>
          <w:color w:val="auto"/>
        </w:rPr>
      </w:pPr>
    </w:p>
    <w:p>
      <w:pPr>
        <w:spacing w:after="0"/>
        <w:tabs>
          <w:tab w:leader="none" w:pos="860" w:val="left"/>
          <w:tab w:leader="none" w:pos="5760" w:val="left"/>
        </w:tabs>
        <w:rPr>
          <w:sz w:val="20"/>
          <w:szCs w:val="20"/>
          <w:color w:val="auto"/>
        </w:rPr>
      </w:pPr>
      <w:r>
        <w:rPr>
          <w:rFonts w:ascii="Courier New" w:cs="Courier New" w:eastAsia="Courier New" w:hAnsi="Courier New"/>
          <w:sz w:val="15"/>
          <w:szCs w:val="15"/>
          <w:color w:val="auto"/>
        </w:rPr>
        <w:t>ITEM 14.</w:t>
        <w:tab/>
        <w:t>EXHIBITS, FINANCIAL STATEMENT SCHEDULES AND REPORTS ON</w:t>
      </w:r>
      <w:r>
        <w:rPr>
          <w:sz w:val="20"/>
          <w:szCs w:val="20"/>
          <w:color w:val="auto"/>
        </w:rPr>
        <w:tab/>
      </w:r>
      <w:r>
        <w:rPr>
          <w:rFonts w:ascii="Courier New" w:cs="Courier New" w:eastAsia="Courier New" w:hAnsi="Courier New"/>
          <w:sz w:val="14"/>
          <w:szCs w:val="14"/>
          <w:color w:val="auto"/>
        </w:rPr>
        <w:t>FORM 8-K.</w:t>
      </w:r>
    </w:p>
    <w:p>
      <w:pPr>
        <w:spacing w:after="0" w:line="166" w:lineRule="exact"/>
        <w:rPr>
          <w:sz w:val="20"/>
          <w:szCs w:val="20"/>
          <w:color w:val="auto"/>
        </w:rPr>
      </w:pPr>
    </w:p>
    <w:p>
      <w:pPr>
        <w:ind w:left="440"/>
        <w:spacing w:after="0"/>
        <w:tabs>
          <w:tab w:leader="none" w:pos="1220" w:val="left"/>
        </w:tabs>
        <w:rPr>
          <w:sz w:val="20"/>
          <w:szCs w:val="20"/>
          <w:color w:val="auto"/>
        </w:rPr>
      </w:pPr>
      <w:r>
        <w:rPr>
          <w:rFonts w:ascii="Courier New" w:cs="Courier New" w:eastAsia="Courier New" w:hAnsi="Courier New"/>
          <w:sz w:val="15"/>
          <w:szCs w:val="15"/>
          <w:color w:val="auto"/>
        </w:rPr>
        <w:t>(a)(1)</w:t>
        <w:tab/>
        <w:t>List of Financial Statements.</w:t>
      </w:r>
    </w:p>
    <w:p>
      <w:pPr>
        <w:ind w:left="124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The following consolidated financial statements of The Limited, Inc. and Subsidiaries and the related notes are filed as a part of this report pursuant to ITEM 8:</w:t>
      </w:r>
    </w:p>
    <w:p>
      <w:pPr>
        <w:spacing w:after="0" w:line="174" w:lineRule="exact"/>
        <w:rPr>
          <w:sz w:val="20"/>
          <w:szCs w:val="20"/>
          <w:color w:val="auto"/>
        </w:rPr>
      </w:pPr>
    </w:p>
    <w:p>
      <w:pPr>
        <w:ind w:left="700" w:right="3499" w:hanging="261"/>
        <w:spacing w:after="0" w:line="234" w:lineRule="auto"/>
        <w:rPr>
          <w:sz w:val="20"/>
          <w:szCs w:val="20"/>
          <w:color w:val="auto"/>
        </w:rPr>
      </w:pPr>
      <w:r>
        <w:rPr>
          <w:rFonts w:ascii="Courier New" w:cs="Courier New" w:eastAsia="Courier New" w:hAnsi="Courier New"/>
          <w:sz w:val="15"/>
          <w:szCs w:val="15"/>
          <w:color w:val="auto"/>
        </w:rPr>
        <w:t>Consolidated Statements of Income for the fiscal years ended February 3, 1996, January 28, 1995, and January 29, 1994.</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Consolidated Balance Sheets as of February 3, 1996 and January 28, 1995.</w:t>
      </w:r>
    </w:p>
    <w:p>
      <w:pPr>
        <w:spacing w:after="0" w:line="178" w:lineRule="exact"/>
        <w:rPr>
          <w:sz w:val="20"/>
          <w:szCs w:val="20"/>
          <w:color w:val="auto"/>
        </w:rPr>
      </w:pPr>
    </w:p>
    <w:p>
      <w:pPr>
        <w:ind w:left="700" w:right="3319" w:hanging="261"/>
        <w:spacing w:after="0" w:line="234" w:lineRule="auto"/>
        <w:rPr>
          <w:sz w:val="20"/>
          <w:szCs w:val="20"/>
          <w:color w:val="auto"/>
        </w:rPr>
      </w:pPr>
      <w:r>
        <w:rPr>
          <w:rFonts w:ascii="Courier New" w:cs="Courier New" w:eastAsia="Courier New" w:hAnsi="Courier New"/>
          <w:sz w:val="15"/>
          <w:szCs w:val="15"/>
          <w:color w:val="auto"/>
        </w:rPr>
        <w:t>Consolidated Statements of Shareholders' Equity for the fiscal years ended February 3, 1996, January 28, 1995 and January 29, 1994.</w:t>
      </w:r>
    </w:p>
    <w:p>
      <w:pPr>
        <w:spacing w:after="0" w:line="173" w:lineRule="exact"/>
        <w:rPr>
          <w:sz w:val="20"/>
          <w:szCs w:val="20"/>
          <w:color w:val="auto"/>
        </w:rPr>
      </w:pPr>
    </w:p>
    <w:p>
      <w:pPr>
        <w:ind w:left="620" w:right="3399" w:hanging="174"/>
        <w:spacing w:after="0" w:line="234" w:lineRule="auto"/>
        <w:rPr>
          <w:sz w:val="20"/>
          <w:szCs w:val="20"/>
          <w:color w:val="auto"/>
        </w:rPr>
      </w:pPr>
      <w:r>
        <w:rPr>
          <w:rFonts w:ascii="Courier New" w:cs="Courier New" w:eastAsia="Courier New" w:hAnsi="Courier New"/>
          <w:sz w:val="15"/>
          <w:szCs w:val="15"/>
          <w:color w:val="auto"/>
        </w:rPr>
        <w:t>Consolidated Statements of Cash Flows for the fiscal years ended February 3, 1996, January 28, 1995 and January 29,1994.</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17" w:right="1440" w:bottom="1440" w:gutter="0" w:footer="0" w:header="0"/>
        </w:sectPr>
      </w:pPr>
    </w:p>
    <w:bookmarkStart w:id="10" w:name="page11"/>
    <w:bookmarkEnd w:id="10"/>
    <w:p>
      <w:pPr>
        <w:ind w:left="440"/>
        <w:spacing w:after="0"/>
        <w:tabs>
          <w:tab w:leader="none" w:pos="1220" w:val="left"/>
        </w:tabs>
        <w:rPr>
          <w:sz w:val="20"/>
          <w:szCs w:val="20"/>
          <w:color w:val="auto"/>
        </w:rPr>
      </w:pPr>
      <w:r>
        <w:rPr>
          <w:rFonts w:ascii="Courier New" w:cs="Courier New" w:eastAsia="Courier New" w:hAnsi="Courier New"/>
          <w:sz w:val="15"/>
          <w:szCs w:val="15"/>
          <w:color w:val="auto"/>
        </w:rPr>
        <w:t>(a)(2)</w:t>
        <w:tab/>
        <w:t>List of Financial Statement Schedules.</w:t>
      </w:r>
    </w:p>
    <w:p>
      <w:pPr>
        <w:ind w:left="124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The following consolidated financial statement schedule of The Limited, Inc. and subsidiaries is filed as part of this report pursuant to ITEM 14(d):</w:t>
      </w:r>
    </w:p>
    <w:p>
      <w:pPr>
        <w:spacing w:after="0" w:line="167" w:lineRule="exact"/>
        <w:rPr>
          <w:sz w:val="20"/>
          <w:szCs w:val="20"/>
          <w:color w:val="auto"/>
        </w:rPr>
      </w:pPr>
    </w:p>
    <w:p>
      <w:pPr>
        <w:ind w:left="880" w:hanging="433"/>
        <w:spacing w:after="0"/>
        <w:tabs>
          <w:tab w:leader="none" w:pos="8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Valuation and Qualifying Accounts.</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All other schedules are omitted because the required information is either presented in the financial statements or notes thereto, or is not applicable, required or material. Columns omitted from the schedule have been omitted because the information is not applicable.</w:t>
      </w:r>
    </w:p>
    <w:p>
      <w:pPr>
        <w:spacing w:after="0" w:line="169" w:lineRule="exact"/>
        <w:rPr>
          <w:sz w:val="20"/>
          <w:szCs w:val="20"/>
          <w:color w:val="auto"/>
        </w:rPr>
      </w:pPr>
    </w:p>
    <w:p>
      <w:pPr>
        <w:ind w:left="440"/>
        <w:spacing w:after="0"/>
        <w:tabs>
          <w:tab w:leader="none" w:pos="1220" w:val="left"/>
        </w:tabs>
        <w:rPr>
          <w:sz w:val="20"/>
          <w:szCs w:val="20"/>
          <w:color w:val="auto"/>
        </w:rPr>
      </w:pPr>
      <w:r>
        <w:rPr>
          <w:rFonts w:ascii="Courier New" w:cs="Courier New" w:eastAsia="Courier New" w:hAnsi="Courier New"/>
          <w:sz w:val="15"/>
          <w:szCs w:val="15"/>
          <w:color w:val="auto"/>
        </w:rPr>
        <w:t>(a)(3)</w:t>
        <w:tab/>
        <w:t>List of Exhibits</w:t>
      </w:r>
    </w:p>
    <w:p>
      <w:pPr>
        <w:ind w:left="124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800" w:hanging="353"/>
        <w:spacing w:after="0"/>
        <w:tabs>
          <w:tab w:leader="none" w:pos="8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Articles of Incorporation and Bylaws.</w:t>
      </w:r>
    </w:p>
    <w:p>
      <w:pPr>
        <w:spacing w:after="0" w:line="172" w:lineRule="exact"/>
        <w:rPr>
          <w:rFonts w:ascii="Courier New" w:cs="Courier New" w:eastAsia="Courier New" w:hAnsi="Courier New"/>
          <w:sz w:val="15"/>
          <w:szCs w:val="15"/>
          <w:color w:val="auto"/>
        </w:rPr>
      </w:pPr>
    </w:p>
    <w:p>
      <w:pPr>
        <w:ind w:left="1320" w:right="3399" w:hanging="525"/>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3.1. Certificate of Incorporation of the Company incorporated by reference to Exhibit 3.4 to the Company's Annual Report on Form 10-K for the fiscal year ended January 30, 1988.</w:t>
      </w:r>
    </w:p>
    <w:p>
      <w:pPr>
        <w:spacing w:after="0" w:line="173" w:lineRule="exact"/>
        <w:rPr>
          <w:rFonts w:ascii="Courier New" w:cs="Courier New" w:eastAsia="Courier New" w:hAnsi="Courier New"/>
          <w:sz w:val="15"/>
          <w:szCs w:val="15"/>
          <w:color w:val="auto"/>
        </w:rPr>
      </w:pPr>
    </w:p>
    <w:p>
      <w:pPr>
        <w:ind w:left="1320" w:right="3399" w:hanging="525"/>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3.2. Restated Bylaws of the Company incorporated by reference to Exhibit 3.2 to the Company's Annual Report on Form 10-K for the fiscal year ended February 2, 1991 (the "1990 Form 10-K").</w:t>
      </w:r>
    </w:p>
    <w:p>
      <w:pPr>
        <w:spacing w:after="0" w:line="154"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Instruments Defining the Rights of Security Holders.</w:t>
      </w:r>
    </w:p>
    <w:p>
      <w:pPr>
        <w:spacing w:after="0" w:line="166"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4.1.  Copy of the form of Global Security representing the Company's</w:t>
      </w:r>
    </w:p>
    <w:p>
      <w:pPr>
        <w:spacing w:after="0" w:line="4" w:lineRule="exact"/>
        <w:rPr>
          <w:rFonts w:ascii="Courier New" w:cs="Courier New" w:eastAsia="Courier New" w:hAnsi="Courier New"/>
          <w:sz w:val="15"/>
          <w:szCs w:val="15"/>
          <w:color w:val="auto"/>
        </w:rPr>
      </w:pPr>
    </w:p>
    <w:p>
      <w:pPr>
        <w:ind w:left="1320" w:right="375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7 1/2% Debentures due 2023, incorporated by reference to Exhibit 1 to the Company's Current Report on Form 8-K dated March 4, 1993.</w:t>
      </w:r>
    </w:p>
    <w:p>
      <w:pPr>
        <w:spacing w:after="0" w:line="173" w:lineRule="exact"/>
        <w:rPr>
          <w:rFonts w:ascii="Courier New" w:cs="Courier New" w:eastAsia="Courier New" w:hAnsi="Courier New"/>
          <w:sz w:val="15"/>
          <w:szCs w:val="15"/>
          <w:color w:val="auto"/>
        </w:rPr>
      </w:pPr>
    </w:p>
    <w:p>
      <w:pPr>
        <w:ind w:left="1320" w:right="3499" w:hanging="525"/>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4.2. Conformed copy of the Indenture dated as of March 15, 1988 between the Company and The Bank of New York, incorporated by reference to Exhibit 4.1(a) to the Company's Current Report on Form 8-K dated March 21, 1989.</w:t>
      </w:r>
    </w:p>
    <w:p>
      <w:pPr>
        <w:spacing w:after="0" w:line="175" w:lineRule="exact"/>
        <w:rPr>
          <w:rFonts w:ascii="Courier New" w:cs="Courier New" w:eastAsia="Courier New" w:hAnsi="Courier New"/>
          <w:sz w:val="15"/>
          <w:szCs w:val="15"/>
          <w:color w:val="auto"/>
        </w:rPr>
      </w:pPr>
    </w:p>
    <w:p>
      <w:pPr>
        <w:ind w:left="1320" w:right="3499" w:hanging="525"/>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4.3. Copy of the form of Global Security representing the Company's 8 7/8% Notes due August 15, 1999, incorporated by reference to Exhibit 4.1 to the Company's Current Report on Form 8-K dated August 14, 1989.</w:t>
      </w:r>
    </w:p>
    <w:p>
      <w:pPr>
        <w:spacing w:after="0" w:line="175" w:lineRule="exact"/>
        <w:rPr>
          <w:rFonts w:ascii="Courier New" w:cs="Courier New" w:eastAsia="Courier New" w:hAnsi="Courier New"/>
          <w:sz w:val="15"/>
          <w:szCs w:val="15"/>
          <w:color w:val="auto"/>
        </w:rPr>
      </w:pPr>
    </w:p>
    <w:p>
      <w:pPr>
        <w:ind w:left="1320" w:right="3399" w:hanging="525"/>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4.4. Copy of the form of Global Security representing the Company's 9 1/8% Notes due February 1, 2001, incorporated by reference to Exhibit 4.1 to the Company's Current Report on Form 8-K dated February 6, 1991.</w:t>
      </w:r>
    </w:p>
    <w:p>
      <w:pPr>
        <w:spacing w:after="0" w:line="175" w:lineRule="exact"/>
        <w:rPr>
          <w:rFonts w:ascii="Courier New" w:cs="Courier New" w:eastAsia="Courier New" w:hAnsi="Courier New"/>
          <w:sz w:val="15"/>
          <w:szCs w:val="15"/>
          <w:color w:val="auto"/>
        </w:rPr>
      </w:pPr>
    </w:p>
    <w:p>
      <w:pPr>
        <w:ind w:left="1320" w:right="3499" w:hanging="525"/>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4.5. Copy of the form of Global Security representing the Company's 7.80% Notes due May 15, 2002, incorporated by reference to the Company's Current Report on Form 8-K dated February 27, 1992.</w:t>
      </w:r>
    </w:p>
    <w:p>
      <w:pPr>
        <w:spacing w:after="0" w:line="161" w:lineRule="exact"/>
        <w:rPr>
          <w:rFonts w:ascii="Courier New" w:cs="Courier New" w:eastAsia="Courier New" w:hAnsi="Courier New"/>
          <w:sz w:val="15"/>
          <w:szCs w:val="15"/>
          <w:color w:val="auto"/>
        </w:rPr>
      </w:pPr>
    </w:p>
    <w:p>
      <w:pPr>
        <w:ind w:left="1320" w:right="3239" w:hanging="525"/>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4.6. Proposed form of Debt Warrant Agreement for Warrants attached to Debt Securities, with proposed form of Debt Warrant Certificate incorporated by reference to Exhibit 4.2 to the Company's Registration Statement on Form S-3 (File no. 33-53366) originally filed with the Securities and Exchange Commission (the "Commission") on October 16, 1992, as amended by Amendment No. 1 thereto, filed with the Commission on February 23, 1993 (the "1993 Form S-3").</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17" w:right="1440" w:bottom="1440" w:gutter="0" w:footer="0" w:header="0"/>
        </w:sectPr>
      </w:pPr>
    </w:p>
    <w:bookmarkStart w:id="11" w:name="page12"/>
    <w:bookmarkEnd w:id="11"/>
    <w:p>
      <w:pPr>
        <w:ind w:left="880" w:right="3239" w:hanging="524"/>
        <w:spacing w:after="0" w:line="235" w:lineRule="auto"/>
        <w:tabs>
          <w:tab w:leader="none" w:pos="860" w:val="left"/>
        </w:tabs>
        <w:rPr>
          <w:sz w:val="20"/>
          <w:szCs w:val="20"/>
          <w:color w:val="auto"/>
        </w:rPr>
      </w:pPr>
      <w:r>
        <w:rPr>
          <w:rFonts w:ascii="Courier New" w:cs="Courier New" w:eastAsia="Courier New" w:hAnsi="Courier New"/>
          <w:sz w:val="15"/>
          <w:szCs w:val="15"/>
          <w:color w:val="auto"/>
        </w:rPr>
        <w:t>4.7.</w:t>
        <w:tab/>
        <w:t>Proposed form of Debt Warrant Agreement for Warrants not attached to Debt Securities, with proposed form of Debt Warrant Certificate incorporated by reference to Exhibit 4.3 to the 1993 Form S-3.</w:t>
      </w:r>
    </w:p>
    <w:p>
      <w:pPr>
        <w:spacing w:after="0" w:line="175" w:lineRule="exact"/>
        <w:rPr>
          <w:sz w:val="20"/>
          <w:szCs w:val="20"/>
          <w:color w:val="auto"/>
        </w:rPr>
      </w:pPr>
    </w:p>
    <w:p>
      <w:pPr>
        <w:ind w:left="880" w:right="3319" w:hanging="524"/>
        <w:spacing w:after="0" w:line="235" w:lineRule="auto"/>
        <w:tabs>
          <w:tab w:leader="none" w:pos="860" w:val="left"/>
        </w:tabs>
        <w:rPr>
          <w:sz w:val="20"/>
          <w:szCs w:val="20"/>
          <w:color w:val="auto"/>
        </w:rPr>
      </w:pPr>
      <w:r>
        <w:rPr>
          <w:rFonts w:ascii="Courier New" w:cs="Courier New" w:eastAsia="Courier New" w:hAnsi="Courier New"/>
          <w:sz w:val="15"/>
          <w:szCs w:val="15"/>
          <w:color w:val="auto"/>
        </w:rPr>
        <w:t>4.8.</w:t>
        <w:tab/>
        <w:t>Credit Agreement dated as of December 15, 1995 among the Company, Morgan Guaranty Trust Company of New York and the banks listed therein.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Material Contracts.</w:t>
      </w:r>
    </w:p>
    <w:p>
      <w:pPr>
        <w:spacing w:after="0" w:line="173" w:lineRule="exact"/>
        <w:rPr>
          <w:sz w:val="20"/>
          <w:szCs w:val="20"/>
          <w:color w:val="auto"/>
        </w:rPr>
      </w:pPr>
    </w:p>
    <w:p>
      <w:pPr>
        <w:ind w:left="880" w:right="3239" w:hanging="611"/>
        <w:spacing w:after="0" w:line="235" w:lineRule="auto"/>
        <w:tabs>
          <w:tab w:leader="none" w:pos="860" w:val="left"/>
        </w:tabs>
        <w:rPr>
          <w:sz w:val="20"/>
          <w:szCs w:val="20"/>
          <w:color w:val="auto"/>
        </w:rPr>
      </w:pPr>
      <w:r>
        <w:rPr>
          <w:rFonts w:ascii="Courier New" w:cs="Courier New" w:eastAsia="Courier New" w:hAnsi="Courier New"/>
          <w:sz w:val="15"/>
          <w:szCs w:val="15"/>
          <w:color w:val="auto"/>
        </w:rPr>
        <w:t>10.1.</w:t>
        <w:tab/>
        <w:t>The Restated 1981 Stock Option Plan of The Limited, Inc., incorporated by reference to Exhibit 28(b) to the Company's Registration Statement on Form S-8 (File No. 33-18533) (the "Form S-8").</w:t>
      </w:r>
    </w:p>
    <w:p>
      <w:pPr>
        <w:spacing w:after="0" w:line="175" w:lineRule="exact"/>
        <w:rPr>
          <w:sz w:val="20"/>
          <w:szCs w:val="20"/>
          <w:color w:val="auto"/>
        </w:rPr>
      </w:pPr>
    </w:p>
    <w:p>
      <w:pPr>
        <w:ind w:left="880" w:right="3319" w:hanging="611"/>
        <w:spacing w:after="0" w:line="234" w:lineRule="auto"/>
        <w:tabs>
          <w:tab w:leader="none" w:pos="860" w:val="left"/>
        </w:tabs>
        <w:rPr>
          <w:sz w:val="20"/>
          <w:szCs w:val="20"/>
          <w:color w:val="auto"/>
        </w:rPr>
      </w:pPr>
      <w:r>
        <w:rPr>
          <w:rFonts w:ascii="Courier New" w:cs="Courier New" w:eastAsia="Courier New" w:hAnsi="Courier New"/>
          <w:sz w:val="15"/>
          <w:szCs w:val="15"/>
          <w:color w:val="auto"/>
        </w:rPr>
        <w:t>10.2.</w:t>
        <w:tab/>
        <w:t>The 1987 Stock Option Plan of The Limited, Inc., incorporated by reference to Exhibit 28(a) to the Form S-8.</w:t>
      </w:r>
    </w:p>
    <w:p>
      <w:pPr>
        <w:spacing w:after="0" w:line="173" w:lineRule="exact"/>
        <w:rPr>
          <w:sz w:val="20"/>
          <w:szCs w:val="20"/>
          <w:color w:val="auto"/>
        </w:rPr>
      </w:pPr>
    </w:p>
    <w:p>
      <w:pPr>
        <w:ind w:left="880" w:right="3239" w:hanging="611"/>
        <w:spacing w:after="0" w:line="235" w:lineRule="auto"/>
        <w:tabs>
          <w:tab w:leader="none" w:pos="860" w:val="left"/>
        </w:tabs>
        <w:rPr>
          <w:sz w:val="20"/>
          <w:szCs w:val="20"/>
          <w:color w:val="auto"/>
        </w:rPr>
      </w:pPr>
      <w:r>
        <w:rPr>
          <w:rFonts w:ascii="Courier New" w:cs="Courier New" w:eastAsia="Courier New" w:hAnsi="Courier New"/>
          <w:sz w:val="15"/>
          <w:szCs w:val="15"/>
          <w:color w:val="auto"/>
        </w:rPr>
        <w:t>10.3.</w:t>
        <w:tab/>
        <w:t>Officers' Benefits Plan incorporated by reference to Exhibit 10.4 to the Company's Annual Report on Form 10-K for the fiscal year ended January 28, 1989 (the "1988 Form 10-K").</w:t>
      </w:r>
    </w:p>
    <w:p>
      <w:pPr>
        <w:spacing w:after="0" w:line="174" w:lineRule="exact"/>
        <w:rPr>
          <w:sz w:val="20"/>
          <w:szCs w:val="20"/>
          <w:color w:val="auto"/>
        </w:rPr>
      </w:pPr>
    </w:p>
    <w:p>
      <w:pPr>
        <w:ind w:left="880" w:right="3319" w:hanging="611"/>
        <w:spacing w:after="0" w:line="234" w:lineRule="auto"/>
        <w:tabs>
          <w:tab w:leader="none" w:pos="860" w:val="left"/>
        </w:tabs>
        <w:rPr>
          <w:sz w:val="20"/>
          <w:szCs w:val="20"/>
          <w:color w:val="auto"/>
        </w:rPr>
      </w:pPr>
      <w:r>
        <w:rPr>
          <w:rFonts w:ascii="Courier New" w:cs="Courier New" w:eastAsia="Courier New" w:hAnsi="Courier New"/>
          <w:sz w:val="15"/>
          <w:szCs w:val="15"/>
          <w:color w:val="auto"/>
        </w:rPr>
        <w:t>10.4.</w:t>
        <w:tab/>
        <w:t>The Limited Deferred Compensation Plan incorporated by reference to Exhibit 10.4 to the 1990 Form 10-K.</w:t>
      </w:r>
    </w:p>
    <w:p>
      <w:pPr>
        <w:spacing w:after="0" w:line="173" w:lineRule="exact"/>
        <w:rPr>
          <w:sz w:val="20"/>
          <w:szCs w:val="20"/>
          <w:color w:val="auto"/>
        </w:rPr>
      </w:pPr>
    </w:p>
    <w:p>
      <w:pPr>
        <w:ind w:left="880" w:right="3319" w:hanging="611"/>
        <w:spacing w:after="0" w:line="236" w:lineRule="auto"/>
        <w:tabs>
          <w:tab w:leader="none" w:pos="860" w:val="left"/>
        </w:tabs>
        <w:rPr>
          <w:sz w:val="20"/>
          <w:szCs w:val="20"/>
          <w:color w:val="auto"/>
        </w:rPr>
      </w:pPr>
      <w:r>
        <w:rPr>
          <w:rFonts w:ascii="Courier New" w:cs="Courier New" w:eastAsia="Courier New" w:hAnsi="Courier New"/>
          <w:sz w:val="15"/>
          <w:szCs w:val="15"/>
          <w:color w:val="auto"/>
        </w:rPr>
        <w:t>10.5.</w:t>
        <w:tab/>
        <w:t>Form of Indemnification Agreement between the Company and the directors and officers of the Company, incorporated by reference to Exhibit A to the Company's definitive proxy statement dated April 18, 1988 for the Company's 1988 Annual Meeting of Shareholders held May 23, 1988.</w:t>
      </w:r>
    </w:p>
    <w:p>
      <w:pPr>
        <w:spacing w:after="0" w:line="174" w:lineRule="exact"/>
        <w:rPr>
          <w:sz w:val="20"/>
          <w:szCs w:val="20"/>
          <w:color w:val="auto"/>
        </w:rPr>
      </w:pPr>
    </w:p>
    <w:p>
      <w:pPr>
        <w:ind w:left="880" w:right="3239" w:hanging="611"/>
        <w:spacing w:after="0" w:line="235" w:lineRule="auto"/>
        <w:tabs>
          <w:tab w:leader="none" w:pos="860" w:val="left"/>
        </w:tabs>
        <w:rPr>
          <w:sz w:val="20"/>
          <w:szCs w:val="20"/>
          <w:color w:val="auto"/>
        </w:rPr>
      </w:pPr>
      <w:r>
        <w:rPr>
          <w:rFonts w:ascii="Courier New" w:cs="Courier New" w:eastAsia="Courier New" w:hAnsi="Courier New"/>
          <w:sz w:val="15"/>
          <w:szCs w:val="15"/>
          <w:color w:val="auto"/>
        </w:rPr>
        <w:t>10.6.</w:t>
        <w:tab/>
        <w:t>Schedule of directors and officers who became parties to Indemnification Agreements effective May 23, 1988, incorporated by reference to Exhibit 19.1 to the Company's Quarterly Report on Form 10-Q for the quarter ended October 29, 1988.</w:t>
      </w:r>
    </w:p>
    <w:p>
      <w:pPr>
        <w:spacing w:after="0" w:line="175" w:lineRule="exact"/>
        <w:rPr>
          <w:sz w:val="20"/>
          <w:szCs w:val="20"/>
          <w:color w:val="auto"/>
        </w:rPr>
      </w:pPr>
    </w:p>
    <w:p>
      <w:pPr>
        <w:ind w:left="880" w:right="3319" w:hanging="611"/>
        <w:spacing w:after="0" w:line="235" w:lineRule="auto"/>
        <w:tabs>
          <w:tab w:leader="none" w:pos="860" w:val="left"/>
        </w:tabs>
        <w:rPr>
          <w:sz w:val="20"/>
          <w:szCs w:val="20"/>
          <w:color w:val="auto"/>
        </w:rPr>
      </w:pPr>
      <w:r>
        <w:rPr>
          <w:rFonts w:ascii="Courier New" w:cs="Courier New" w:eastAsia="Courier New" w:hAnsi="Courier New"/>
          <w:sz w:val="15"/>
          <w:szCs w:val="15"/>
          <w:color w:val="auto"/>
        </w:rPr>
        <w:t>10.7</w:t>
        <w:tab/>
        <w:t>Supplemental schedule of officer who became a party to an Indemnification Agreement effective May 23, 1988 incorporated by reference to Exhibit 10.7 to the 1988 Form 10-K.</w:t>
      </w:r>
    </w:p>
    <w:p>
      <w:pPr>
        <w:spacing w:after="0" w:line="174" w:lineRule="exact"/>
        <w:rPr>
          <w:sz w:val="20"/>
          <w:szCs w:val="20"/>
          <w:color w:val="auto"/>
        </w:rPr>
      </w:pPr>
    </w:p>
    <w:p>
      <w:pPr>
        <w:ind w:left="880" w:right="3399" w:hanging="611"/>
        <w:spacing w:after="0" w:line="235" w:lineRule="auto"/>
        <w:tabs>
          <w:tab w:leader="none" w:pos="860" w:val="left"/>
        </w:tabs>
        <w:rPr>
          <w:sz w:val="20"/>
          <w:szCs w:val="20"/>
          <w:color w:val="auto"/>
        </w:rPr>
      </w:pPr>
      <w:r>
        <w:rPr>
          <w:rFonts w:ascii="Courier New" w:cs="Courier New" w:eastAsia="Courier New" w:hAnsi="Courier New"/>
          <w:sz w:val="15"/>
          <w:szCs w:val="15"/>
          <w:color w:val="auto"/>
        </w:rPr>
        <w:t>10.8.</w:t>
        <w:tab/>
        <w:t>Supplemental schedule of directors and officers who became parties to Indemnification Agreements incorporated by reference to Exhibit 19.1 to the Company's Quarterly Report on Form 10-Q for the quarter ended August 1, 1992.</w:t>
      </w:r>
    </w:p>
    <w:p>
      <w:pPr>
        <w:spacing w:after="0" w:line="175" w:lineRule="exact"/>
        <w:rPr>
          <w:sz w:val="20"/>
          <w:szCs w:val="20"/>
          <w:color w:val="auto"/>
        </w:rPr>
      </w:pPr>
    </w:p>
    <w:p>
      <w:pPr>
        <w:ind w:left="880" w:right="3239" w:hanging="611"/>
        <w:spacing w:after="0" w:line="235" w:lineRule="auto"/>
        <w:tabs>
          <w:tab w:leader="none" w:pos="860" w:val="left"/>
        </w:tabs>
        <w:rPr>
          <w:sz w:val="20"/>
          <w:szCs w:val="20"/>
          <w:color w:val="auto"/>
        </w:rPr>
      </w:pPr>
      <w:r>
        <w:rPr>
          <w:rFonts w:ascii="Courier New" w:cs="Courier New" w:eastAsia="Courier New" w:hAnsi="Courier New"/>
          <w:sz w:val="15"/>
          <w:szCs w:val="15"/>
          <w:color w:val="auto"/>
        </w:rPr>
        <w:t>10.9.</w:t>
        <w:tab/>
        <w:t>Supplemental schedule of officer who became party to an Indemnification Agreement effective November 16, 1992 incorporated by reference to Exhibit 10.9 to the Company's Annual Report on Form 10-K for the year ended January 30, 1993.</w:t>
      </w:r>
    </w:p>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799"/>
          </w:cols>
          <w:pgMar w:left="660" w:top="624" w:right="1440" w:bottom="1440" w:gutter="0" w:footer="0" w:header="0"/>
        </w:sectPr>
      </w:pPr>
    </w:p>
    <w:bookmarkStart w:id="12" w:name="page13"/>
    <w:bookmarkEnd w:id="12"/>
    <w:p>
      <w:pPr>
        <w:ind w:left="520" w:right="3239" w:hanging="524"/>
        <w:spacing w:after="0" w:line="235" w:lineRule="auto"/>
        <w:rPr>
          <w:sz w:val="20"/>
          <w:szCs w:val="20"/>
          <w:color w:val="auto"/>
        </w:rPr>
      </w:pPr>
      <w:r>
        <w:rPr>
          <w:rFonts w:ascii="Courier New" w:cs="Courier New" w:eastAsia="Courier New" w:hAnsi="Courier New"/>
          <w:sz w:val="15"/>
          <w:szCs w:val="15"/>
          <w:color w:val="auto"/>
        </w:rPr>
        <w:t>10.10 Supplemental schedule of officer who became party to an Indemnification Agreement effective June 3, 1993, incorporated by reference to the Company's Quarterly Report on Form 10-Q for the quarter ended July 31, 1993.</w:t>
      </w:r>
    </w:p>
    <w:p>
      <w:pPr>
        <w:spacing w:after="0" w:line="175" w:lineRule="exact"/>
        <w:rPr>
          <w:sz w:val="20"/>
          <w:szCs w:val="20"/>
          <w:color w:val="auto"/>
        </w:rPr>
      </w:pPr>
    </w:p>
    <w:p>
      <w:pPr>
        <w:ind w:left="520" w:right="3319" w:hanging="524"/>
        <w:spacing w:after="0" w:line="258" w:lineRule="auto"/>
        <w:rPr>
          <w:sz w:val="20"/>
          <w:szCs w:val="20"/>
          <w:color w:val="auto"/>
        </w:rPr>
      </w:pPr>
      <w:r>
        <w:rPr>
          <w:rFonts w:ascii="Courier New" w:cs="Courier New" w:eastAsia="Courier New" w:hAnsi="Courier New"/>
          <w:sz w:val="14"/>
          <w:szCs w:val="14"/>
          <w:color w:val="auto"/>
        </w:rPr>
        <w:t>10.11 The 1993 Stock Option and Performance Incentive Plan of the Company, incorporated by reference to Exhibit 4 to the Company's Registration Statement on Form S-8 (File No. 33-49871).</w:t>
      </w:r>
    </w:p>
    <w:p>
      <w:pPr>
        <w:spacing w:after="0" w:line="161" w:lineRule="exact"/>
        <w:rPr>
          <w:sz w:val="20"/>
          <w:szCs w:val="20"/>
          <w:color w:val="auto"/>
        </w:rPr>
      </w:pPr>
    </w:p>
    <w:p>
      <w:pPr>
        <w:ind w:left="520" w:right="3239" w:hanging="524"/>
        <w:spacing w:after="0" w:line="258" w:lineRule="auto"/>
        <w:rPr>
          <w:sz w:val="20"/>
          <w:szCs w:val="20"/>
          <w:color w:val="auto"/>
        </w:rPr>
      </w:pPr>
      <w:r>
        <w:rPr>
          <w:rFonts w:ascii="Courier New" w:cs="Courier New" w:eastAsia="Courier New" w:hAnsi="Courier New"/>
          <w:sz w:val="14"/>
          <w:szCs w:val="14"/>
          <w:color w:val="auto"/>
        </w:rPr>
        <w:t>10.12 Supplemental schedule of director who became party to an Indemnification Agreement effective January 27, 1995 incorporated by reference to Exhibit 10.12 to the 1994 Form 10-K.</w:t>
      </w:r>
    </w:p>
    <w:p>
      <w:pPr>
        <w:spacing w:after="0" w:line="161" w:lineRule="exact"/>
        <w:rPr>
          <w:sz w:val="20"/>
          <w:szCs w:val="20"/>
          <w:color w:val="auto"/>
        </w:rPr>
      </w:pPr>
    </w:p>
    <w:p>
      <w:pPr>
        <w:ind w:left="520" w:right="3399" w:hanging="524"/>
        <w:spacing w:after="0" w:line="258" w:lineRule="auto"/>
        <w:rPr>
          <w:sz w:val="20"/>
          <w:szCs w:val="20"/>
          <w:color w:val="auto"/>
        </w:rPr>
      </w:pPr>
      <w:r>
        <w:rPr>
          <w:rFonts w:ascii="Courier New" w:cs="Courier New" w:eastAsia="Courier New" w:hAnsi="Courier New"/>
          <w:sz w:val="14"/>
          <w:szCs w:val="14"/>
          <w:color w:val="auto"/>
        </w:rPr>
        <w:t>10.13 Supplemental schedule of officer who became party to an Indemnification Agreement effective March 20, 1995 incorporated by reference to Exhibit 10.13 to the 1994 Form 10-K.</w:t>
      </w:r>
    </w:p>
    <w:p>
      <w:pPr>
        <w:spacing w:after="0" w:line="161" w:lineRule="exact"/>
        <w:rPr>
          <w:sz w:val="20"/>
          <w:szCs w:val="20"/>
          <w:color w:val="auto"/>
        </w:rPr>
      </w:pPr>
    </w:p>
    <w:p>
      <w:pPr>
        <w:ind w:left="520" w:right="3319" w:hanging="524"/>
        <w:spacing w:after="0" w:line="235" w:lineRule="auto"/>
        <w:rPr>
          <w:sz w:val="20"/>
          <w:szCs w:val="20"/>
          <w:color w:val="auto"/>
        </w:rPr>
      </w:pPr>
      <w:r>
        <w:rPr>
          <w:rFonts w:ascii="Courier New" w:cs="Courier New" w:eastAsia="Courier New" w:hAnsi="Courier New"/>
          <w:sz w:val="15"/>
          <w:szCs w:val="15"/>
          <w:color w:val="auto"/>
        </w:rPr>
        <w:t>10.14 Form of Offer to Purchase dated February 1, 1996 incorporated by reference to the Company's Tender Offer Statement on Schedule 13E-4 filed February 1, 1996.</w:t>
      </w:r>
    </w:p>
    <w:p>
      <w:pPr>
        <w:spacing w:after="0" w:line="174"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4"/>
          <w:szCs w:val="14"/>
          <w:color w:val="auto"/>
        </w:rPr>
        <w:t>10.15 Contingent Stock Redemption Agreement dated as of January 26,</w:t>
      </w:r>
    </w:p>
    <w:p>
      <w:pPr>
        <w:spacing w:after="0" w:line="10" w:lineRule="exact"/>
        <w:rPr>
          <w:sz w:val="20"/>
          <w:szCs w:val="20"/>
          <w:color w:val="auto"/>
        </w:rPr>
      </w:pPr>
    </w:p>
    <w:p>
      <w:pPr>
        <w:ind w:left="520" w:right="3319"/>
        <w:spacing w:after="0" w:line="258" w:lineRule="auto"/>
        <w:rPr>
          <w:sz w:val="20"/>
          <w:szCs w:val="20"/>
          <w:color w:val="auto"/>
        </w:rPr>
      </w:pPr>
      <w:r>
        <w:rPr>
          <w:rFonts w:ascii="Courier New" w:cs="Courier New" w:eastAsia="Courier New" w:hAnsi="Courier New"/>
          <w:sz w:val="14"/>
          <w:szCs w:val="14"/>
          <w:color w:val="auto"/>
        </w:rPr>
        <w:t>1996 among the Company, Leslie H. Wexner and The Wexner Children's Trust incorporated by reference to the Company's Tender Offer Statement on Schedule 13E-4 filed February 1, 1996.</w:t>
      </w:r>
    </w:p>
    <w:p>
      <w:pPr>
        <w:spacing w:after="0" w:line="161" w:lineRule="exact"/>
        <w:rPr>
          <w:sz w:val="20"/>
          <w:szCs w:val="20"/>
          <w:color w:val="auto"/>
        </w:rPr>
      </w:pPr>
    </w:p>
    <w:p>
      <w:pPr>
        <w:ind w:left="520" w:right="4099" w:hanging="524"/>
        <w:spacing w:after="0" w:line="234" w:lineRule="auto"/>
        <w:rPr>
          <w:sz w:val="20"/>
          <w:szCs w:val="20"/>
          <w:color w:val="auto"/>
        </w:rPr>
      </w:pPr>
      <w:r>
        <w:rPr>
          <w:rFonts w:ascii="Courier New" w:cs="Courier New" w:eastAsia="Courier New" w:hAnsi="Courier New"/>
          <w:sz w:val="15"/>
          <w:szCs w:val="15"/>
          <w:color w:val="auto"/>
        </w:rPr>
        <w:t>10.16 Supplemental schedule of officer who became party to an Indemnification Agreement effective March 7, 1996.</w:t>
      </w:r>
    </w:p>
    <w:p>
      <w:pPr>
        <w:spacing w:after="0" w:line="173" w:lineRule="exact"/>
        <w:rPr>
          <w:sz w:val="20"/>
          <w:szCs w:val="20"/>
          <w:color w:val="auto"/>
        </w:rPr>
      </w:pPr>
    </w:p>
    <w:p>
      <w:pPr>
        <w:ind w:left="520" w:right="4099" w:hanging="524"/>
        <w:spacing w:after="0" w:line="261" w:lineRule="auto"/>
        <w:rPr>
          <w:sz w:val="20"/>
          <w:szCs w:val="20"/>
          <w:color w:val="auto"/>
        </w:rPr>
      </w:pPr>
      <w:r>
        <w:rPr>
          <w:rFonts w:ascii="Courier New" w:cs="Courier New" w:eastAsia="Courier New" w:hAnsi="Courier New"/>
          <w:sz w:val="14"/>
          <w:szCs w:val="14"/>
          <w:color w:val="auto"/>
        </w:rPr>
        <w:t>10.17 Supplemental schedule of officer who became party to an Indemnification Agreement effective February 1, 1996.</w:t>
      </w:r>
    </w:p>
    <w:p>
      <w:pPr>
        <w:spacing w:after="0" w:line="153"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439"/>
          </w:cols>
          <w:pgMar w:left="1020" w:top="624" w:right="1440" w:bottom="1440" w:gutter="0" w:footer="0" w:header="0"/>
        </w:sectPr>
      </w:pPr>
    </w:p>
    <w:bookmarkStart w:id="13" w:name="page14"/>
    <w:bookmarkEnd w:id="13"/>
    <w:p>
      <w:pPr>
        <w:ind w:left="433" w:hanging="433"/>
        <w:spacing w:after="0"/>
        <w:tabs>
          <w:tab w:leader="none" w:pos="433"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re Computation of Per Share Earnings.</w:t>
      </w:r>
    </w:p>
    <w:p>
      <w:pPr>
        <w:spacing w:after="0" w:line="166" w:lineRule="exact"/>
        <w:rPr>
          <w:rFonts w:ascii="Courier New" w:cs="Courier New" w:eastAsia="Courier New" w:hAnsi="Courier New"/>
          <w:sz w:val="15"/>
          <w:szCs w:val="15"/>
          <w:color w:val="auto"/>
        </w:rPr>
      </w:pPr>
    </w:p>
    <w:p>
      <w:pPr>
        <w:ind w:left="433" w:hanging="433"/>
        <w:spacing w:after="0"/>
        <w:tabs>
          <w:tab w:leader="none" w:pos="433"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re Computation of Ratio of Earnings to Fixed Charges.</w:t>
      </w:r>
    </w:p>
    <w:p>
      <w:pPr>
        <w:spacing w:after="0" w:line="172" w:lineRule="exact"/>
        <w:rPr>
          <w:rFonts w:ascii="Courier New" w:cs="Courier New" w:eastAsia="Courier New" w:hAnsi="Courier New"/>
          <w:sz w:val="15"/>
          <w:szCs w:val="15"/>
          <w:color w:val="auto"/>
        </w:rPr>
      </w:pPr>
    </w:p>
    <w:p>
      <w:pPr>
        <w:ind w:left="433" w:right="3839" w:hanging="433"/>
        <w:spacing w:after="0" w:line="258" w:lineRule="auto"/>
        <w:tabs>
          <w:tab w:leader="none" w:pos="433"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Excerpts from the 1995 Annual Report to Shareholders including "Financial Summary", "Management's Discussion and Analysis" and "Financial Statements and Notes" on pages 40 - 61.</w:t>
      </w:r>
    </w:p>
    <w:p>
      <w:pPr>
        <w:spacing w:after="0" w:line="155" w:lineRule="exact"/>
        <w:rPr>
          <w:sz w:val="20"/>
          <w:szCs w:val="20"/>
          <w:color w:val="auto"/>
        </w:rPr>
      </w:pPr>
    </w:p>
    <w:p>
      <w:pPr>
        <w:ind w:left="433" w:hanging="433"/>
        <w:spacing w:after="0"/>
        <w:tabs>
          <w:tab w:leader="none" w:pos="433"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Subsidiaries of the Registrant.</w:t>
      </w:r>
    </w:p>
    <w:p>
      <w:pPr>
        <w:spacing w:after="0" w:line="166" w:lineRule="exact"/>
        <w:rPr>
          <w:sz w:val="20"/>
          <w:szCs w:val="20"/>
          <w:color w:val="auto"/>
        </w:rPr>
      </w:pPr>
    </w:p>
    <w:p>
      <w:pPr>
        <w:ind w:left="433" w:hanging="433"/>
        <w:spacing w:after="0"/>
        <w:tabs>
          <w:tab w:leader="none" w:pos="433"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 of Independent Accountants.</w:t>
      </w:r>
    </w:p>
    <w:p>
      <w:pPr>
        <w:spacing w:after="0" w:line="166" w:lineRule="exact"/>
        <w:rPr>
          <w:rFonts w:ascii="Courier New" w:cs="Courier New" w:eastAsia="Courier New" w:hAnsi="Courier New"/>
          <w:sz w:val="15"/>
          <w:szCs w:val="15"/>
          <w:color w:val="auto"/>
        </w:rPr>
      </w:pPr>
    </w:p>
    <w:p>
      <w:pPr>
        <w:ind w:left="433" w:hanging="433"/>
        <w:spacing w:after="0"/>
        <w:tabs>
          <w:tab w:leader="none" w:pos="433"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Powers of Attorney.</w:t>
      </w:r>
    </w:p>
    <w:p>
      <w:pPr>
        <w:spacing w:after="0" w:line="166" w:lineRule="exact"/>
        <w:rPr>
          <w:sz w:val="20"/>
          <w:szCs w:val="20"/>
          <w:color w:val="auto"/>
        </w:rPr>
      </w:pPr>
    </w:p>
    <w:p>
      <w:pPr>
        <w:ind w:left="433" w:hanging="433"/>
        <w:spacing w:after="0"/>
        <w:tabs>
          <w:tab w:leader="none" w:pos="433"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w:t>
      </w:r>
    </w:p>
    <w:p>
      <w:pPr>
        <w:spacing w:after="0" w:line="166" w:lineRule="exact"/>
        <w:rPr>
          <w:sz w:val="20"/>
          <w:szCs w:val="20"/>
          <w:color w:val="auto"/>
        </w:rPr>
      </w:pPr>
    </w:p>
    <w:p>
      <w:pPr>
        <w:ind w:left="433" w:hanging="433"/>
        <w:spacing w:after="0"/>
        <w:tabs>
          <w:tab w:leader="none" w:pos="433"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of The Limited, Inc. Savings and Retirement Plan.</w:t>
      </w:r>
    </w:p>
    <w:p>
      <w:pPr>
        <w:spacing w:after="0" w:line="166" w:lineRule="exact"/>
        <w:rPr>
          <w:sz w:val="20"/>
          <w:szCs w:val="20"/>
          <w:color w:val="auto"/>
        </w:rPr>
      </w:pPr>
    </w:p>
    <w:p>
      <w:pPr>
        <w:ind w:left="433" w:hanging="433"/>
        <w:spacing w:after="0"/>
        <w:tabs>
          <w:tab w:leader="none" w:pos="433"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ind w:left="433"/>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ind w:left="433" w:right="331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 reports on Form 8-K were filed during the fourth quarter of fiscal year 1995.</w:t>
      </w:r>
    </w:p>
    <w:p>
      <w:pPr>
        <w:spacing w:after="0" w:line="166" w:lineRule="exact"/>
        <w:rPr>
          <w:rFonts w:ascii="Courier New" w:cs="Courier New" w:eastAsia="Courier New" w:hAnsi="Courier New"/>
          <w:sz w:val="15"/>
          <w:szCs w:val="15"/>
          <w:color w:val="auto"/>
        </w:rPr>
      </w:pPr>
    </w:p>
    <w:p>
      <w:pPr>
        <w:ind w:left="433" w:hanging="433"/>
        <w:spacing w:after="0"/>
        <w:tabs>
          <w:tab w:leader="none" w:pos="433"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ind w:left="433"/>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ind w:left="433" w:right="349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exhibits to this report are listed in section (a)(3) of Item 14 above.</w:t>
      </w:r>
    </w:p>
    <w:p>
      <w:pPr>
        <w:spacing w:after="0" w:line="166" w:lineRule="exact"/>
        <w:rPr>
          <w:rFonts w:ascii="Courier New" w:cs="Courier New" w:eastAsia="Courier New" w:hAnsi="Courier New"/>
          <w:sz w:val="15"/>
          <w:szCs w:val="15"/>
          <w:color w:val="auto"/>
        </w:rPr>
      </w:pPr>
    </w:p>
    <w:p>
      <w:pPr>
        <w:ind w:left="433" w:hanging="433"/>
        <w:spacing w:after="0"/>
        <w:tabs>
          <w:tab w:leader="none" w:pos="433"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 Schedule</w:t>
      </w:r>
    </w:p>
    <w:p>
      <w:pPr>
        <w:ind w:left="433"/>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ind w:left="433" w:right="339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financial statement schedule filed with this report is listed in section (a)(2) of Item 14 above.</w:t>
      </w:r>
    </w:p>
    <w:p>
      <w:pPr>
        <w:spacing w:after="0" w:line="200" w:lineRule="exact"/>
        <w:rPr>
          <w:sz w:val="20"/>
          <w:szCs w:val="20"/>
          <w:color w:val="auto"/>
        </w:rPr>
      </w:pPr>
    </w:p>
    <w:p>
      <w:pPr>
        <w:spacing w:after="0" w:line="303" w:lineRule="exact"/>
        <w:rPr>
          <w:sz w:val="20"/>
          <w:szCs w:val="20"/>
          <w:color w:val="auto"/>
        </w:rPr>
      </w:pPr>
    </w:p>
    <w:p>
      <w:pPr>
        <w:ind w:left="2973"/>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9792"/>
          </w:cols>
          <w:pgMar w:left="667" w:top="617" w:right="1440" w:bottom="1440" w:gutter="0" w:footer="0" w:header="0"/>
        </w:sectPr>
      </w:pPr>
    </w:p>
    <w:bookmarkStart w:id="14" w:name="page15"/>
    <w:bookmarkEnd w:id="14"/>
    <w:p>
      <w:pPr>
        <w:jc w:val="center"/>
        <w:ind w:right="3239"/>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Pursuant to the requirements of Section 13 or l5(d) of the Securities Exchange Act of 1934, the registrant has duly caused this report to be signed on its behalf by the undersigned, thereunto duly authorized.</w:t>
      </w:r>
    </w:p>
    <w:p>
      <w:pPr>
        <w:spacing w:after="0" w:line="16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Date:</w:t>
        <w:tab/>
        <w:t>May 1, 1996</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THE LIMITED, INC.</w:t>
      </w:r>
    </w:p>
    <w:p>
      <w:pPr>
        <w:ind w:left="3160"/>
        <w:spacing w:after="0" w:line="237" w:lineRule="auto"/>
        <w:rPr>
          <w:sz w:val="20"/>
          <w:szCs w:val="20"/>
          <w:color w:val="auto"/>
        </w:rPr>
      </w:pPr>
      <w:r>
        <w:rPr>
          <w:rFonts w:ascii="Courier New" w:cs="Courier New" w:eastAsia="Courier New" w:hAnsi="Courier New"/>
          <w:sz w:val="15"/>
          <w:szCs w:val="15"/>
          <w:color w:val="auto"/>
        </w:rPr>
        <w:t>(registrant)</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By /s/ KENNETH B. GILMAN</w:t>
      </w:r>
    </w:p>
    <w:p>
      <w:pPr>
        <w:ind w:left="3340"/>
        <w:spacing w:after="0" w:line="237" w:lineRule="auto"/>
        <w:rPr>
          <w:sz w:val="20"/>
          <w:szCs w:val="20"/>
          <w:color w:val="auto"/>
        </w:rPr>
      </w:pPr>
      <w:r>
        <w:rPr>
          <w:rFonts w:ascii="Courier New" w:cs="Courier New" w:eastAsia="Courier New" w:hAnsi="Courier New"/>
          <w:sz w:val="15"/>
          <w:szCs w:val="15"/>
          <w:color w:val="auto"/>
        </w:rPr>
        <w:t>------------------------------------</w:t>
      </w:r>
    </w:p>
    <w:p>
      <w:pPr>
        <w:ind w:left="3340"/>
        <w:spacing w:after="0" w:line="238" w:lineRule="auto"/>
        <w:rPr>
          <w:sz w:val="20"/>
          <w:szCs w:val="20"/>
          <w:color w:val="auto"/>
        </w:rPr>
      </w:pPr>
      <w:r>
        <w:rPr>
          <w:rFonts w:ascii="Courier New" w:cs="Courier New" w:eastAsia="Courier New" w:hAnsi="Courier New"/>
          <w:sz w:val="15"/>
          <w:szCs w:val="15"/>
          <w:color w:val="auto"/>
        </w:rPr>
        <w:t>Kenneth B. Gilman,</w:t>
      </w:r>
    </w:p>
    <w:p>
      <w:pPr>
        <w:ind w:left="3340"/>
        <w:spacing w:after="0" w:line="237" w:lineRule="auto"/>
        <w:rPr>
          <w:sz w:val="20"/>
          <w:szCs w:val="20"/>
          <w:color w:val="auto"/>
        </w:rPr>
      </w:pPr>
      <w:r>
        <w:rPr>
          <w:rFonts w:ascii="Courier New" w:cs="Courier New" w:eastAsia="Courier New" w:hAnsi="Courier New"/>
          <w:sz w:val="15"/>
          <w:szCs w:val="15"/>
          <w:color w:val="auto"/>
        </w:rPr>
        <w:t>Vice Chairman and</w:t>
      </w:r>
    </w:p>
    <w:p>
      <w:pPr>
        <w:ind w:left="3340"/>
        <w:spacing w:after="0" w:line="238" w:lineRule="auto"/>
        <w:rPr>
          <w:sz w:val="20"/>
          <w:szCs w:val="20"/>
          <w:color w:val="auto"/>
        </w:rPr>
      </w:pPr>
      <w:r>
        <w:rPr>
          <w:rFonts w:ascii="Courier New" w:cs="Courier New" w:eastAsia="Courier New" w:hAnsi="Courier New"/>
          <w:sz w:val="15"/>
          <w:szCs w:val="15"/>
          <w:color w:val="auto"/>
        </w:rPr>
        <w:t>Chief Financial Officer</w:t>
      </w:r>
    </w:p>
    <w:p>
      <w:pPr>
        <w:spacing w:after="0" w:line="341"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 registrant and in the capacities indicated on May 1, 1996:</w:t>
      </w:r>
    </w:p>
    <w:p>
      <w:pPr>
        <w:sectPr>
          <w:pgSz w:w="11900" w:h="16838" w:orient="portrait"/>
          <w:cols w:equalWidth="0" w:num="1">
            <w:col w:w="10239"/>
          </w:cols>
          <w:pgMar w:left="220" w:top="6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Signature</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2440" w:space="720"/>
            <w:col w:w="707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 LESLIE H. WEXNER*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Leslie H. Wexner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Chairman of the Board of Directors,</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339" w:lineRule="exact"/>
        <w:rPr>
          <w:sz w:val="20"/>
          <w:szCs w:val="20"/>
          <w:color w:val="auto"/>
        </w:rPr>
      </w:pPr>
    </w:p>
    <w:p>
      <w:pPr>
        <w:sectPr>
          <w:pgSz w:w="11900" w:h="16838" w:orient="portrait"/>
          <w:cols w:equalWidth="0" w:num="2">
            <w:col w:w="2440" w:space="720"/>
            <w:col w:w="707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 KENNETH B. GILMAN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Kenneth B. Gilman</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Director, Vice Chairman,</w:t>
      </w:r>
    </w:p>
    <w:p>
      <w:pPr>
        <w:spacing w:after="0" w:line="237" w:lineRule="auto"/>
        <w:rPr>
          <w:sz w:val="20"/>
          <w:szCs w:val="20"/>
          <w:color w:val="auto"/>
        </w:rPr>
      </w:pPr>
      <w:r>
        <w:rPr>
          <w:rFonts w:ascii="Courier New" w:cs="Courier New" w:eastAsia="Courier New" w:hAnsi="Courier New"/>
          <w:sz w:val="15"/>
          <w:szCs w:val="15"/>
          <w:color w:val="auto"/>
        </w:rPr>
        <w:t>Chief Financial Officer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Accounting Officer</w:t>
      </w:r>
    </w:p>
    <w:p>
      <w:pPr>
        <w:spacing w:after="0" w:line="200" w:lineRule="exact"/>
        <w:rPr>
          <w:sz w:val="20"/>
          <w:szCs w:val="20"/>
          <w:color w:val="auto"/>
        </w:rPr>
      </w:pPr>
    </w:p>
    <w:p>
      <w:pPr>
        <w:sectPr>
          <w:pgSz w:w="11900" w:h="16838" w:orient="portrait"/>
          <w:cols w:equalWidth="0" w:num="2">
            <w:col w:w="2440" w:space="720"/>
            <w:col w:w="7079"/>
          </w:cols>
          <w:pgMar w:left="220" w:top="617" w:right="1440" w:bottom="1440" w:gutter="0" w:footer="0" w:header="0"/>
          <w:type w:val="continuous"/>
        </w:sectPr>
      </w:pP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MICHAEL A. WEISS*</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and Vice Chairman</w:t>
      </w:r>
    </w:p>
    <w:p>
      <w:pPr>
        <w:spacing w:after="0" w:line="10" w:lineRule="exact"/>
        <w:rPr>
          <w:sz w:val="20"/>
          <w:szCs w:val="20"/>
          <w:color w:val="auto"/>
        </w:rPr>
      </w:pPr>
    </w:p>
    <w:p>
      <w:pPr>
        <w:sectPr>
          <w:pgSz w:w="11900" w:h="16838" w:orient="portrait"/>
          <w:cols w:equalWidth="0" w:num="2">
            <w:col w:w="2440" w:space="720"/>
            <w:col w:w="7079"/>
          </w:cols>
          <w:pgMar w:left="220" w:top="617" w:right="1440" w:bottom="1440" w:gutter="0" w:footer="0" w:header="0"/>
          <w:type w:val="continuous"/>
        </w:sectPr>
      </w:pPr>
    </w:p>
    <w:p>
      <w:pPr>
        <w:ind w:left="180" w:hanging="170"/>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Michael A. Weiss</w:t>
      </w:r>
    </w:p>
    <w:p>
      <w:pPr>
        <w:sectPr>
          <w:pgSz w:w="11900" w:h="16838" w:orient="portrait"/>
          <w:cols w:equalWidth="0" w:num="1">
            <w:col w:w="10239"/>
          </w:cols>
          <w:pgMar w:left="220" w:top="617" w:right="1440" w:bottom="1440" w:gutter="0" w:footer="0" w:header="0"/>
          <w:type w:val="continuous"/>
        </w:sectPr>
      </w:pP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BELLA WEXNER*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Bella Wexner</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346" w:lineRule="exact"/>
        <w:rPr>
          <w:sz w:val="20"/>
          <w:szCs w:val="20"/>
          <w:color w:val="auto"/>
        </w:rPr>
      </w:pPr>
    </w:p>
    <w:p>
      <w:pPr>
        <w:sectPr>
          <w:pgSz w:w="11900" w:h="16838" w:orient="portrait"/>
          <w:cols w:equalWidth="0" w:num="2">
            <w:col w:w="2620" w:space="720"/>
            <w:col w:w="689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 MARTIN TRUST*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3" w:lineRule="exact"/>
        <w:rPr>
          <w:sz w:val="20"/>
          <w:szCs w:val="20"/>
          <w:color w:val="auto"/>
        </w:rPr>
      </w:pPr>
    </w:p>
    <w:p>
      <w:pPr>
        <w:sectPr>
          <w:pgSz w:w="11900" w:h="16838" w:orient="portrait"/>
          <w:cols w:equalWidth="0" w:num="2">
            <w:col w:w="2440" w:space="720"/>
            <w:col w:w="7079"/>
          </w:cols>
          <w:pgMar w:left="220" w:top="617" w:right="1440" w:bottom="1440" w:gutter="0" w:footer="0" w:header="0"/>
          <w:type w:val="continuous"/>
        </w:sectPr>
      </w:pPr>
    </w:p>
    <w:p>
      <w:pPr>
        <w:ind w:left="180" w:hanging="170"/>
        <w:spacing w:after="0"/>
        <w:tabs>
          <w:tab w:leader="none" w:pos="1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Martin Trust</w:t>
      </w:r>
    </w:p>
    <w:p>
      <w:pPr>
        <w:spacing w:after="0" w:line="167"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5"/>
          <w:szCs w:val="15"/>
          <w:color w:val="auto"/>
        </w:rPr>
        <w:t>/s/ EUGENE M. FREEDMAN*</w:t>
      </w:r>
      <w:r>
        <w:rPr>
          <w:sz w:val="20"/>
          <w:szCs w:val="20"/>
          <w:color w:val="auto"/>
        </w:rPr>
        <w:tab/>
      </w:r>
      <w:r>
        <w:rPr>
          <w:rFonts w:ascii="Courier New" w:cs="Courier New" w:eastAsia="Courier New" w:hAnsi="Courier New"/>
          <w:sz w:val="14"/>
          <w:szCs w:val="14"/>
          <w:color w:val="auto"/>
        </w:rPr>
        <w:t>Director</w:t>
      </w:r>
    </w:p>
    <w:p>
      <w:pPr>
        <w:ind w:left="180" w:hanging="170"/>
        <w:spacing w:after="0" w:line="237" w:lineRule="auto"/>
        <w:tabs>
          <w:tab w:leader="none" w:pos="1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Eugene M. Freedman</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17" w:right="1440" w:bottom="1440" w:gutter="0" w:footer="0" w:header="0"/>
          <w:type w:val="continuous"/>
        </w:sectPr>
      </w:pPr>
    </w:p>
    <w:bookmarkStart w:id="15" w:name="page16"/>
    <w:bookmarkEnd w:id="15"/>
    <w:p>
      <w:pPr>
        <w:spacing w:after="0"/>
        <w:tabs>
          <w:tab w:leader="none" w:pos="3140" w:val="left"/>
        </w:tabs>
        <w:rPr>
          <w:sz w:val="20"/>
          <w:szCs w:val="20"/>
          <w:color w:val="auto"/>
        </w:rPr>
      </w:pPr>
      <w:r>
        <w:rPr>
          <w:rFonts w:ascii="Courier New" w:cs="Courier New" w:eastAsia="Courier New" w:hAnsi="Courier New"/>
          <w:sz w:val="15"/>
          <w:szCs w:val="15"/>
          <w:color w:val="auto"/>
        </w:rPr>
        <w:t>/s/ E. GORDON GEE*</w:t>
      </w:r>
      <w:r>
        <w:rPr>
          <w:sz w:val="20"/>
          <w:szCs w:val="20"/>
          <w:color w:val="auto"/>
        </w:rPr>
        <w:tab/>
      </w:r>
      <w:r>
        <w:rPr>
          <w:rFonts w:ascii="Courier New" w:cs="Courier New" w:eastAsia="Courier New" w:hAnsi="Courier New"/>
          <w:sz w:val="14"/>
          <w:szCs w:val="14"/>
          <w:color w:val="auto"/>
        </w:rPr>
        <w:t>Director</w:t>
      </w:r>
    </w:p>
    <w:p>
      <w:pPr>
        <w:ind w:left="180" w:hanging="170"/>
        <w:spacing w:after="0" w:line="237" w:lineRule="auto"/>
        <w:tabs>
          <w:tab w:leader="none" w:pos="1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 Gordon Gee</w:t>
      </w:r>
    </w:p>
    <w:p>
      <w:pPr>
        <w:spacing w:after="0" w:line="167"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5"/>
          <w:szCs w:val="15"/>
          <w:color w:val="auto"/>
        </w:rPr>
        <w:t>/s/ THOMAS G. HOPKINS*</w:t>
      </w:r>
      <w:r>
        <w:rPr>
          <w:sz w:val="20"/>
          <w:szCs w:val="20"/>
          <w:color w:val="auto"/>
        </w:rPr>
        <w:tab/>
      </w:r>
      <w:r>
        <w:rPr>
          <w:rFonts w:ascii="Courier New" w:cs="Courier New" w:eastAsia="Courier New" w:hAnsi="Courier New"/>
          <w:sz w:val="14"/>
          <w:szCs w:val="14"/>
          <w:color w:val="auto"/>
        </w:rPr>
        <w:t>Director</w:t>
      </w:r>
    </w:p>
    <w:p>
      <w:pPr>
        <w:ind w:left="180" w:hanging="170"/>
        <w:spacing w:after="0" w:line="237" w:lineRule="auto"/>
        <w:tabs>
          <w:tab w:leader="none" w:pos="1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Thomas G. Hopkins</w:t>
      </w:r>
    </w:p>
    <w:p>
      <w:pPr>
        <w:spacing w:after="0" w:line="167"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5"/>
          <w:szCs w:val="15"/>
          <w:color w:val="auto"/>
        </w:rPr>
        <w:t>/s/ DAVID T. KOLLAT*</w:t>
      </w:r>
      <w:r>
        <w:rPr>
          <w:sz w:val="20"/>
          <w:szCs w:val="20"/>
          <w:color w:val="auto"/>
        </w:rPr>
        <w:tab/>
      </w:r>
      <w:r>
        <w:rPr>
          <w:rFonts w:ascii="Courier New" w:cs="Courier New" w:eastAsia="Courier New" w:hAnsi="Courier New"/>
          <w:sz w:val="14"/>
          <w:szCs w:val="14"/>
          <w:color w:val="auto"/>
        </w:rPr>
        <w:t>Director</w:t>
      </w:r>
    </w:p>
    <w:p>
      <w:pPr>
        <w:ind w:left="180" w:hanging="170"/>
        <w:spacing w:after="0" w:line="237" w:lineRule="auto"/>
        <w:tabs>
          <w:tab w:leader="none" w:pos="1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David T. Kollat</w:t>
      </w:r>
    </w:p>
    <w:p>
      <w:pPr>
        <w:spacing w:after="0" w:line="167"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5"/>
          <w:szCs w:val="15"/>
          <w:color w:val="auto"/>
        </w:rPr>
        <w:t>/s/ CLAUDINE MALONE*</w:t>
      </w:r>
      <w:r>
        <w:rPr>
          <w:sz w:val="20"/>
          <w:szCs w:val="20"/>
          <w:color w:val="auto"/>
        </w:rPr>
        <w:tab/>
      </w:r>
      <w:r>
        <w:rPr>
          <w:rFonts w:ascii="Courier New" w:cs="Courier New" w:eastAsia="Courier New" w:hAnsi="Courier New"/>
          <w:sz w:val="14"/>
          <w:szCs w:val="14"/>
          <w:color w:val="auto"/>
        </w:rPr>
        <w:t>Director</w:t>
      </w:r>
    </w:p>
    <w:p>
      <w:pPr>
        <w:ind w:left="180" w:hanging="170"/>
        <w:spacing w:after="0" w:line="237" w:lineRule="auto"/>
        <w:tabs>
          <w:tab w:leader="none" w:pos="1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Claudine Malone</w:t>
      </w:r>
    </w:p>
    <w:p>
      <w:pPr>
        <w:spacing w:after="0" w:line="167"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5"/>
          <w:szCs w:val="15"/>
          <w:color w:val="auto"/>
        </w:rPr>
        <w:t>/s/ DONALD B. SHACKELFORD*</w:t>
      </w:r>
      <w:r>
        <w:rPr>
          <w:sz w:val="20"/>
          <w:szCs w:val="20"/>
          <w:color w:val="auto"/>
        </w:rPr>
        <w:tab/>
      </w:r>
      <w:r>
        <w:rPr>
          <w:rFonts w:ascii="Courier New" w:cs="Courier New" w:eastAsia="Courier New" w:hAnsi="Courier New"/>
          <w:sz w:val="14"/>
          <w:szCs w:val="14"/>
          <w:color w:val="auto"/>
        </w:rPr>
        <w:t>Director</w:t>
      </w:r>
    </w:p>
    <w:p>
      <w:pPr>
        <w:ind w:left="180" w:hanging="170"/>
        <w:spacing w:after="0" w:line="237" w:lineRule="auto"/>
        <w:tabs>
          <w:tab w:leader="none" w:pos="1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Donald B. Shackelford</w:t>
      </w:r>
    </w:p>
    <w:p>
      <w:pPr>
        <w:spacing w:after="0" w:line="167"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5"/>
          <w:szCs w:val="15"/>
          <w:color w:val="auto"/>
        </w:rPr>
        <w:t>/s/ ALLAN R. TESSLER*</w:t>
      </w:r>
      <w:r>
        <w:rPr>
          <w:sz w:val="20"/>
          <w:szCs w:val="20"/>
          <w:color w:val="auto"/>
        </w:rPr>
        <w:tab/>
      </w:r>
      <w:r>
        <w:rPr>
          <w:rFonts w:ascii="Courier New" w:cs="Courier New" w:eastAsia="Courier New" w:hAnsi="Courier New"/>
          <w:sz w:val="14"/>
          <w:szCs w:val="14"/>
          <w:color w:val="auto"/>
        </w:rPr>
        <w:t>Director</w:t>
      </w:r>
    </w:p>
    <w:p>
      <w:pPr>
        <w:ind w:left="180" w:hanging="170"/>
        <w:spacing w:after="0" w:line="237" w:lineRule="auto"/>
        <w:tabs>
          <w:tab w:leader="none" w:pos="1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Allan R. Tessler</w:t>
      </w:r>
    </w:p>
    <w:p>
      <w:pPr>
        <w:spacing w:after="0" w:line="167"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5"/>
          <w:szCs w:val="15"/>
          <w:color w:val="auto"/>
        </w:rPr>
        <w:t>/s/ RAYMOND ZIMMERMAN*</w:t>
      </w:r>
      <w:r>
        <w:rPr>
          <w:sz w:val="20"/>
          <w:szCs w:val="20"/>
          <w:color w:val="auto"/>
        </w:rPr>
        <w:tab/>
      </w:r>
      <w:r>
        <w:rPr>
          <w:rFonts w:ascii="Courier New" w:cs="Courier New" w:eastAsia="Courier New" w:hAnsi="Courier New"/>
          <w:sz w:val="14"/>
          <w:szCs w:val="14"/>
          <w:color w:val="auto"/>
        </w:rPr>
        <w:t>Director</w:t>
      </w:r>
    </w:p>
    <w:p>
      <w:pPr>
        <w:ind w:left="180" w:hanging="170"/>
        <w:spacing w:after="0" w:line="237" w:lineRule="auto"/>
        <w:tabs>
          <w:tab w:leader="none" w:pos="1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Raymond Zimmerman</w:t>
      </w:r>
    </w:p>
    <w:p>
      <w:pPr>
        <w:spacing w:after="0" w:line="200" w:lineRule="exact"/>
        <w:rPr>
          <w:sz w:val="20"/>
          <w:szCs w:val="20"/>
          <w:color w:val="auto"/>
        </w:rPr>
      </w:pPr>
    </w:p>
    <w:p>
      <w:pPr>
        <w:spacing w:after="0" w:line="310" w:lineRule="exact"/>
        <w:rPr>
          <w:sz w:val="20"/>
          <w:szCs w:val="20"/>
          <w:color w:val="auto"/>
        </w:rPr>
      </w:pPr>
    </w:p>
    <w:p>
      <w:pPr>
        <w:jc w:val="both"/>
        <w:ind w:right="3499"/>
        <w:spacing w:after="0" w:line="235" w:lineRule="auto"/>
        <w:rPr>
          <w:sz w:val="20"/>
          <w:szCs w:val="20"/>
          <w:color w:val="auto"/>
        </w:rPr>
      </w:pPr>
      <w:r>
        <w:rPr>
          <w:rFonts w:ascii="Courier New" w:cs="Courier New" w:eastAsia="Courier New" w:hAnsi="Courier New"/>
          <w:sz w:val="15"/>
          <w:szCs w:val="15"/>
          <w:color w:val="auto"/>
        </w:rPr>
        <w:t>*The undersigned, by signing his name hereto, does hereby sign this report on behalf of each of the above-indicated directors of the registrant pursuant to powers of attorney executed by such directors.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KENNETH B. GILMAN</w:t>
      </w:r>
    </w:p>
    <w:p>
      <w:pPr>
        <w:ind w:left="180"/>
        <w:spacing w:after="0" w:line="237" w:lineRule="auto"/>
        <w:rPr>
          <w:sz w:val="20"/>
          <w:szCs w:val="20"/>
          <w:color w:val="auto"/>
        </w:rPr>
      </w:pPr>
      <w:r>
        <w:rPr>
          <w:rFonts w:ascii="Courier New" w:cs="Courier New" w:eastAsia="Courier New" w:hAnsi="Courier New"/>
          <w:sz w:val="15"/>
          <w:szCs w:val="15"/>
          <w:color w:val="auto"/>
        </w:rPr>
        <w:t>----------------------------</w:t>
      </w:r>
    </w:p>
    <w:p>
      <w:pPr>
        <w:ind w:left="180"/>
        <w:spacing w:after="0" w:line="238" w:lineRule="auto"/>
        <w:rPr>
          <w:sz w:val="20"/>
          <w:szCs w:val="20"/>
          <w:color w:val="auto"/>
        </w:rPr>
      </w:pPr>
      <w:r>
        <w:rPr>
          <w:rFonts w:ascii="Courier New" w:cs="Courier New" w:eastAsia="Courier New" w:hAnsi="Courier New"/>
          <w:sz w:val="15"/>
          <w:szCs w:val="15"/>
          <w:color w:val="auto"/>
        </w:rPr>
        <w:t>Kenneth B. Gilman</w:t>
      </w:r>
    </w:p>
    <w:p>
      <w:pPr>
        <w:ind w:left="180"/>
        <w:spacing w:after="0" w:line="237" w:lineRule="auto"/>
        <w:rPr>
          <w:sz w:val="20"/>
          <w:szCs w:val="20"/>
          <w:color w:val="auto"/>
        </w:rPr>
      </w:pPr>
      <w:r>
        <w:rPr>
          <w:rFonts w:ascii="Courier New" w:cs="Courier New" w:eastAsia="Courier New" w:hAnsi="Courier New"/>
          <w:sz w:val="15"/>
          <w:szCs w:val="15"/>
          <w:color w:val="auto"/>
        </w:rPr>
        <w:t>Attorney-in-fact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1122" w:right="1440" w:bottom="1440" w:gutter="0" w:footer="0" w:header="0"/>
        </w:sectPr>
      </w:pPr>
    </w:p>
    <w:bookmarkStart w:id="16" w:name="page17"/>
    <w:bookmarkEnd w:id="16"/>
    <w:p>
      <w:pPr>
        <w:ind w:left="180" w:hanging="170"/>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66" w:lineRule="exact"/>
        <w:rPr>
          <w:sz w:val="20"/>
          <w:szCs w:val="20"/>
          <w:color w:val="auto"/>
        </w:rPr>
      </w:pPr>
    </w:p>
    <w:p>
      <w:pPr>
        <w:ind w:left="2460"/>
        <w:spacing w:after="0"/>
        <w:tabs>
          <w:tab w:leader="none" w:pos="4020" w:val="left"/>
        </w:tabs>
        <w:rPr>
          <w:sz w:val="20"/>
          <w:szCs w:val="20"/>
          <w:color w:val="auto"/>
        </w:rPr>
      </w:pP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4"/>
          <w:szCs w:val="14"/>
          <w:color w:val="auto"/>
        </w:rPr>
        <w:t>20549</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FORM 10-K</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ANNUAL REPORT PURSUANT TO SECTION 13 OR 15(d) OF</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THE SECURITIES EXCHANGE ACT OF 1934</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THE LIMITED, INC.</w:t>
      </w:r>
    </w:p>
    <w:p>
      <w:pPr>
        <w:jc w:val="center"/>
        <w:ind w:right="3239"/>
        <w:spacing w:after="0" w:line="237" w:lineRule="auto"/>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FINANCIAL STATEMENT SCHEDULES</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9" w:lineRule="exact"/>
        <w:rPr>
          <w:sz w:val="20"/>
          <w:szCs w:val="20"/>
          <w:color w:val="auto"/>
        </w:rPr>
      </w:pPr>
    </w:p>
    <w:p>
      <w:pPr>
        <w:ind w:left="180" w:hanging="170"/>
        <w:spacing w:after="0"/>
        <w:tabs>
          <w:tab w:leader="none" w:pos="1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24" w:right="1440" w:bottom="1440" w:gutter="0" w:footer="0" w:header="0"/>
        </w:sectPr>
      </w:pPr>
    </w:p>
    <w:bookmarkStart w:id="17" w:name="page18"/>
    <w:bookmarkEnd w:id="17"/>
    <w:p>
      <w:pPr>
        <w:ind w:left="2020"/>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w:t>
      </w:r>
    </w:p>
    <w:p>
      <w:pPr>
        <w:spacing w:after="0" w:line="237" w:lineRule="auto"/>
        <w:rPr>
          <w:sz w:val="20"/>
          <w:szCs w:val="20"/>
          <w:color w:val="auto"/>
        </w:rPr>
      </w:pPr>
      <w:r>
        <w:rPr>
          <w:rFonts w:ascii="Courier New" w:cs="Courier New" w:eastAsia="Courier New" w:hAnsi="Courier New"/>
          <w:sz w:val="15"/>
          <w:szCs w:val="15"/>
          <w:color w:val="auto"/>
        </w:rPr>
        <w:t>and Shareholders of</w:t>
      </w:r>
    </w:p>
    <w:p>
      <w:pPr>
        <w:spacing w:after="0" w:line="238" w:lineRule="auto"/>
        <w:rPr>
          <w:sz w:val="20"/>
          <w:szCs w:val="20"/>
          <w:color w:val="auto"/>
        </w:rPr>
      </w:pPr>
      <w:r>
        <w:rPr>
          <w:rFonts w:ascii="Courier New" w:cs="Courier New" w:eastAsia="Courier New" w:hAnsi="Courier New"/>
          <w:sz w:val="15"/>
          <w:szCs w:val="15"/>
          <w:color w:val="auto"/>
        </w:rPr>
        <w:t>The Limited, Inc.</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have audited the consolidated financial statements</w:t>
      </w:r>
    </w:p>
    <w:p>
      <w:pPr>
        <w:spacing w:after="0" w:line="5" w:lineRule="exact"/>
        <w:rPr>
          <w:sz w:val="20"/>
          <w:szCs w:val="20"/>
          <w:color w:val="auto"/>
        </w:rPr>
      </w:pPr>
    </w:p>
    <w:p>
      <w:pPr>
        <w:ind w:right="4639"/>
        <w:spacing w:after="0" w:line="255" w:lineRule="auto"/>
        <w:rPr>
          <w:sz w:val="20"/>
          <w:szCs w:val="20"/>
          <w:color w:val="auto"/>
        </w:rPr>
      </w:pPr>
      <w:r>
        <w:rPr>
          <w:rFonts w:ascii="Courier New" w:cs="Courier New" w:eastAsia="Courier New" w:hAnsi="Courier New"/>
          <w:sz w:val="14"/>
          <w:szCs w:val="14"/>
          <w:color w:val="auto"/>
        </w:rPr>
        <w:t>of The Limited, Inc. and Subsidiaries as of February 3, 1996 and January 28, 1995, and for each of the three fiscal years in the period ended February 3, 1996, which financial statements are included on pages 49 through 61 of the 1995 Annual Report to Shareholders of The Limited, Inc. and incorporated by reference herein. We have also audited the financial statement schedule for each of the three fiscal years in the period ended February 3, 1996, listed in Item 14(a)(2) of this Form 10-K. These financial statements and financial statement schedule are the responsibility of the Company's management. Our responsibility is to express an opinion on these financial statements and financial statement schedule based on our audits.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conducted our audits in accordance with generally</w:t>
      </w:r>
    </w:p>
    <w:p>
      <w:pPr>
        <w:spacing w:after="0" w:line="5" w:lineRule="exact"/>
        <w:rPr>
          <w:sz w:val="20"/>
          <w:szCs w:val="20"/>
          <w:color w:val="auto"/>
        </w:rPr>
      </w:pPr>
    </w:p>
    <w:p>
      <w:pPr>
        <w:ind w:right="4639"/>
        <w:spacing w:after="0" w:line="236" w:lineRule="auto"/>
        <w:rPr>
          <w:sz w:val="20"/>
          <w:szCs w:val="20"/>
          <w:color w:val="auto"/>
        </w:rPr>
      </w:pPr>
      <w:r>
        <w:rPr>
          <w:rFonts w:ascii="Courier New" w:cs="Courier New" w:eastAsia="Courier New" w:hAnsi="Courier New"/>
          <w:sz w:val="15"/>
          <w:szCs w:val="15"/>
          <w:color w:val="auto"/>
        </w:rPr>
        <w:t>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our opinion, the financial statements referred to</w:t>
      </w:r>
    </w:p>
    <w:p>
      <w:pPr>
        <w:spacing w:after="0" w:line="5" w:lineRule="exact"/>
        <w:rPr>
          <w:sz w:val="20"/>
          <w:szCs w:val="20"/>
          <w:color w:val="auto"/>
        </w:rPr>
      </w:pPr>
    </w:p>
    <w:p>
      <w:pPr>
        <w:ind w:right="4639"/>
        <w:spacing w:after="0" w:line="237" w:lineRule="auto"/>
        <w:rPr>
          <w:sz w:val="20"/>
          <w:szCs w:val="20"/>
          <w:color w:val="auto"/>
        </w:rPr>
      </w:pPr>
      <w:r>
        <w:rPr>
          <w:rFonts w:ascii="Courier New" w:cs="Courier New" w:eastAsia="Courier New" w:hAnsi="Courier New"/>
          <w:sz w:val="15"/>
          <w:szCs w:val="15"/>
          <w:color w:val="auto"/>
        </w:rPr>
        <w:t>above present fairly, in all material respects, the consolidated financial position of The Limited, Inc. and Subsidiaries as of February 3, 1996 and January 28, 1995, and the consolidated results of their operations and their cash flows for each of the three fiscal years in the period ended February 3, 1996 in conformity with generally accepted accounting principles. In addition, in our opinion, the financial statement schedule for each of the three fiscal years in the period ended February 3, 1996 referred to above, when considered in relation to the basic financial statements taken as a whole, present fairly, in all material respects, the information required to be included therein.</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COOPERS &amp; LYBRAND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Columbus, Ohio</w:t>
      </w:r>
    </w:p>
    <w:p>
      <w:pPr>
        <w:spacing w:after="0" w:line="237" w:lineRule="auto"/>
        <w:rPr>
          <w:sz w:val="20"/>
          <w:szCs w:val="20"/>
          <w:color w:val="auto"/>
        </w:rPr>
      </w:pPr>
      <w:r>
        <w:rPr>
          <w:rFonts w:ascii="Courier New" w:cs="Courier New" w:eastAsia="Courier New" w:hAnsi="Courier New"/>
          <w:sz w:val="15"/>
          <w:szCs w:val="15"/>
          <w:color w:val="auto"/>
        </w:rPr>
        <w:t>February 26, 1996, except for paragraph 11</w:t>
      </w:r>
    </w:p>
    <w:p>
      <w:pPr>
        <w:spacing w:after="0" w:line="238" w:lineRule="auto"/>
        <w:rPr>
          <w:sz w:val="20"/>
          <w:szCs w:val="20"/>
          <w:color w:val="auto"/>
        </w:rPr>
      </w:pPr>
      <w:r>
        <w:rPr>
          <w:rFonts w:ascii="Courier New" w:cs="Courier New" w:eastAsia="Courier New" w:hAnsi="Courier New"/>
          <w:sz w:val="15"/>
          <w:szCs w:val="15"/>
          <w:color w:val="auto"/>
        </w:rPr>
        <w:t>in Note 1 and Note 9, as to which the date is</w:t>
      </w:r>
    </w:p>
    <w:p>
      <w:pPr>
        <w:spacing w:after="0" w:line="237" w:lineRule="auto"/>
        <w:rPr>
          <w:sz w:val="20"/>
          <w:szCs w:val="20"/>
          <w:color w:val="auto"/>
        </w:rPr>
      </w:pPr>
      <w:r>
        <w:rPr>
          <w:rFonts w:ascii="Courier New" w:cs="Courier New" w:eastAsia="Courier New" w:hAnsi="Courier New"/>
          <w:sz w:val="15"/>
          <w:szCs w:val="15"/>
          <w:color w:val="auto"/>
        </w:rPr>
        <w:t>March 18, 1996.</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617" w:right="1440" w:bottom="1440" w:gutter="0" w:footer="0" w:header="0"/>
        </w:sectPr>
      </w:pPr>
    </w:p>
    <w:bookmarkStart w:id="18" w:name="page19"/>
    <w:bookmarkEnd w:id="18"/>
    <w:p>
      <w:pPr>
        <w:ind w:left="6040"/>
        <w:spacing w:after="0"/>
        <w:rPr>
          <w:sz w:val="20"/>
          <w:szCs w:val="20"/>
          <w:color w:val="auto"/>
        </w:rPr>
      </w:pPr>
      <w:r>
        <w:rPr>
          <w:rFonts w:ascii="Courier New" w:cs="Courier New" w:eastAsia="Courier New" w:hAnsi="Courier New"/>
          <w:sz w:val="15"/>
          <w:szCs w:val="15"/>
          <w:color w:val="auto"/>
        </w:rPr>
        <w:t>Schedule II</w:t>
      </w:r>
    </w:p>
    <w:p>
      <w:pPr>
        <w:ind w:left="604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THE LIMITED, INC. AND SUBSIDIARIES</w:t>
      </w:r>
    </w:p>
    <w:p>
      <w:pPr>
        <w:ind w:left="2020"/>
        <w:spacing w:after="0" w:line="237" w:lineRule="auto"/>
        <w:rPr>
          <w:sz w:val="20"/>
          <w:szCs w:val="20"/>
          <w:color w:val="auto"/>
        </w:rPr>
      </w:pPr>
      <w:r>
        <w:rPr>
          <w:rFonts w:ascii="Courier New" w:cs="Courier New" w:eastAsia="Courier New" w:hAnsi="Courier New"/>
          <w:sz w:val="15"/>
          <w:szCs w:val="15"/>
          <w:color w:val="auto"/>
        </w:rPr>
        <w:t>VALUATION AND QUALIFYING ACCOUNTS</w:t>
      </w:r>
    </w:p>
    <w:p>
      <w:pPr>
        <w:ind w:left="1580"/>
        <w:spacing w:after="0" w:line="238" w:lineRule="auto"/>
        <w:rPr>
          <w:sz w:val="20"/>
          <w:szCs w:val="20"/>
          <w:color w:val="auto"/>
        </w:rPr>
      </w:pPr>
      <w:r>
        <w:rPr>
          <w:rFonts w:ascii="Courier New" w:cs="Courier New" w:eastAsia="Courier New" w:hAnsi="Courier New"/>
          <w:sz w:val="15"/>
          <w:szCs w:val="15"/>
          <w:color w:val="auto"/>
        </w:rPr>
        <w:t>FOR THE FISCAL YEARS ENDED FEBRUARY 3, 1996,</w:t>
      </w:r>
    </w:p>
    <w:p>
      <w:pPr>
        <w:ind w:left="1840"/>
        <w:spacing w:after="0" w:line="237" w:lineRule="auto"/>
        <w:rPr>
          <w:sz w:val="20"/>
          <w:szCs w:val="20"/>
          <w:color w:val="auto"/>
        </w:rPr>
      </w:pPr>
      <w:r>
        <w:rPr>
          <w:rFonts w:ascii="Courier New" w:cs="Courier New" w:eastAsia="Courier New" w:hAnsi="Courier New"/>
          <w:sz w:val="15"/>
          <w:szCs w:val="15"/>
          <w:color w:val="auto"/>
        </w:rPr>
        <w:t>JANUARY 28, 1995 AND JANUARY 29, 1994</w:t>
      </w:r>
    </w:p>
    <w:p>
      <w:pPr>
        <w:ind w:left="2980"/>
        <w:spacing w:after="0" w:line="238" w:lineRule="auto"/>
        <w:rPr>
          <w:sz w:val="20"/>
          <w:szCs w:val="20"/>
          <w:color w:val="auto"/>
        </w:rPr>
      </w:pPr>
      <w:r>
        <w:rPr>
          <w:rFonts w:ascii="Courier New" w:cs="Courier New" w:eastAsia="Courier New" w:hAnsi="Courier New"/>
          <w:sz w:val="15"/>
          <w:szCs w:val="15"/>
          <w:color w:val="auto"/>
        </w:rPr>
        <w:t>(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00" w:type="dxa"/>
            <w:vAlign w:val="bottom"/>
          </w:tcPr>
          <w:p>
            <w:pPr>
              <w:spacing w:after="0"/>
              <w:rPr>
                <w:sz w:val="14"/>
                <w:szCs w:val="14"/>
                <w:color w:val="auto"/>
              </w:rPr>
            </w:pPr>
          </w:p>
        </w:tc>
        <w:tc>
          <w:tcPr>
            <w:tcW w:w="2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Balance at</w:t>
            </w:r>
          </w:p>
        </w:tc>
        <w:tc>
          <w:tcPr>
            <w:tcW w:w="1300" w:type="dxa"/>
            <w:vAlign w:val="bottom"/>
          </w:tcPr>
          <w:p>
            <w:pPr>
              <w:ind w:left="220"/>
              <w:spacing w:after="0"/>
              <w:rPr>
                <w:sz w:val="20"/>
                <w:szCs w:val="20"/>
                <w:color w:val="auto"/>
              </w:rPr>
            </w:pPr>
            <w:r>
              <w:rPr>
                <w:rFonts w:ascii="Courier New" w:cs="Courier New" w:eastAsia="Courier New" w:hAnsi="Courier New"/>
                <w:sz w:val="15"/>
                <w:szCs w:val="15"/>
                <w:color w:val="auto"/>
              </w:rPr>
              <w:t>Charged to</w:t>
            </w:r>
          </w:p>
        </w:tc>
        <w:tc>
          <w:tcPr>
            <w:tcW w:w="1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Balance</w:t>
            </w:r>
          </w:p>
        </w:tc>
      </w:tr>
      <w:tr>
        <w:trPr>
          <w:trHeight w:val="168"/>
        </w:trPr>
        <w:tc>
          <w:tcPr>
            <w:tcW w:w="3900" w:type="dxa"/>
            <w:vAlign w:val="bottom"/>
          </w:tcPr>
          <w:p>
            <w:pPr>
              <w:spacing w:after="0"/>
              <w:rPr>
                <w:sz w:val="14"/>
                <w:szCs w:val="14"/>
                <w:color w:val="auto"/>
              </w:rPr>
            </w:pPr>
          </w:p>
        </w:tc>
        <w:tc>
          <w:tcPr>
            <w:tcW w:w="2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Beginning of</w:t>
            </w:r>
          </w:p>
        </w:tc>
        <w:tc>
          <w:tcPr>
            <w:tcW w:w="13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Costs and</w:t>
            </w:r>
          </w:p>
        </w:tc>
        <w:tc>
          <w:tcPr>
            <w:tcW w:w="1400" w:type="dxa"/>
            <w:vAlign w:val="bottom"/>
          </w:tcPr>
          <w:p>
            <w:pPr>
              <w:spacing w:after="0"/>
              <w:rPr>
                <w:sz w:val="14"/>
                <w:szCs w:val="14"/>
                <w:color w:val="auto"/>
              </w:rPr>
            </w:pPr>
          </w:p>
        </w:tc>
        <w:tc>
          <w:tcPr>
            <w:tcW w:w="12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Sale of</w:t>
            </w:r>
          </w:p>
        </w:tc>
        <w:tc>
          <w:tcPr>
            <w:tcW w:w="2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End of</w:t>
            </w:r>
          </w:p>
        </w:tc>
      </w:tr>
      <w:tr>
        <w:trPr>
          <w:trHeight w:val="168"/>
        </w:trPr>
        <w:tc>
          <w:tcPr>
            <w:tcW w:w="3900" w:type="dxa"/>
            <w:vAlign w:val="bottom"/>
          </w:tcPr>
          <w:p>
            <w:pPr>
              <w:spacing w:after="0"/>
              <w:rPr>
                <w:sz w:val="14"/>
                <w:szCs w:val="14"/>
                <w:color w:val="auto"/>
              </w:rPr>
            </w:pPr>
          </w:p>
        </w:tc>
        <w:tc>
          <w:tcPr>
            <w:tcW w:w="2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Fiscal Year</w:t>
            </w:r>
          </w:p>
        </w:tc>
        <w:tc>
          <w:tcPr>
            <w:tcW w:w="13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Expenses</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Deductions</w:t>
            </w:r>
          </w:p>
        </w:tc>
        <w:tc>
          <w:tcPr>
            <w:tcW w:w="128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WFNNB</w:t>
            </w:r>
          </w:p>
        </w:tc>
        <w:tc>
          <w:tcPr>
            <w:tcW w:w="10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4"/>
              </w:rPr>
              <w:t>Fiscal Year</w:t>
            </w:r>
          </w:p>
        </w:tc>
      </w:tr>
      <w:tr>
        <w:trPr>
          <w:trHeight w:val="168"/>
        </w:trPr>
        <w:tc>
          <w:tcPr>
            <w:tcW w:w="3900" w:type="dxa"/>
            <w:vAlign w:val="bottom"/>
          </w:tcPr>
          <w:p>
            <w:pPr>
              <w:spacing w:after="0"/>
              <w:rPr>
                <w:sz w:val="14"/>
                <w:szCs w:val="14"/>
                <w:color w:val="auto"/>
              </w:rPr>
            </w:pPr>
          </w:p>
        </w:tc>
        <w:tc>
          <w:tcPr>
            <w:tcW w:w="2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w:t>
            </w:r>
          </w:p>
        </w:tc>
        <w:tc>
          <w:tcPr>
            <w:tcW w:w="14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ALLOWANCE FOR UNCOLLECTIBLE ACCOUNTS</w:t>
            </w:r>
          </w:p>
        </w:tc>
        <w:tc>
          <w:tcPr>
            <w:tcW w:w="2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Fiscal year ended February 3, 1996</w:t>
            </w:r>
          </w:p>
        </w:tc>
        <w:tc>
          <w:tcPr>
            <w:tcW w:w="2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$44,946</w:t>
            </w:r>
          </w:p>
        </w:tc>
        <w:tc>
          <w:tcPr>
            <w:tcW w:w="1300" w:type="dxa"/>
            <w:vAlign w:val="bottom"/>
          </w:tcPr>
          <w:p>
            <w:pPr>
              <w:jc w:val="center"/>
              <w:spacing w:after="0"/>
              <w:rPr>
                <w:sz w:val="20"/>
                <w:szCs w:val="20"/>
                <w:color w:val="auto"/>
              </w:rPr>
            </w:pPr>
            <w:r>
              <w:rPr>
                <w:rFonts w:ascii="Courier New" w:cs="Courier New" w:eastAsia="Courier New" w:hAnsi="Courier New"/>
                <w:sz w:val="15"/>
                <w:szCs w:val="15"/>
                <w:color w:val="auto"/>
                <w:w w:val="99"/>
              </w:rPr>
              <w:t>91,424</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(90,134)(A)</w:t>
            </w:r>
          </w:p>
        </w:tc>
        <w:tc>
          <w:tcPr>
            <w:tcW w:w="1280" w:type="dxa"/>
            <w:vAlign w:val="bottom"/>
          </w:tcPr>
          <w:p>
            <w:pPr>
              <w:ind w:left="220"/>
              <w:spacing w:after="0"/>
              <w:rPr>
                <w:sz w:val="20"/>
                <w:szCs w:val="20"/>
                <w:color w:val="auto"/>
              </w:rPr>
            </w:pPr>
            <w:r>
              <w:rPr>
                <w:rFonts w:ascii="Courier New" w:cs="Courier New" w:eastAsia="Courier New" w:hAnsi="Courier New"/>
                <w:sz w:val="15"/>
                <w:szCs w:val="15"/>
                <w:color w:val="auto"/>
              </w:rPr>
              <w:t>(46,236)(B)</w:t>
            </w:r>
          </w:p>
        </w:tc>
        <w:tc>
          <w:tcPr>
            <w:tcW w:w="260" w:type="dxa"/>
            <w:vAlign w:val="bottom"/>
          </w:tcPr>
          <w:p>
            <w:pPr>
              <w:ind w:left="16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spacing w:after="0"/>
              <w:rPr>
                <w:sz w:val="14"/>
                <w:szCs w:val="14"/>
                <w:color w:val="auto"/>
              </w:rPr>
            </w:pPr>
          </w:p>
        </w:tc>
        <w:tc>
          <w:tcPr>
            <w:tcW w:w="2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w:t>
            </w:r>
          </w:p>
        </w:tc>
        <w:tc>
          <w:tcPr>
            <w:tcW w:w="14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Fiscal year ended January 28, 1995</w:t>
            </w:r>
          </w:p>
        </w:tc>
        <w:tc>
          <w:tcPr>
            <w:tcW w:w="2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$34,897</w:t>
            </w:r>
          </w:p>
        </w:tc>
        <w:tc>
          <w:tcPr>
            <w:tcW w:w="13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72,725</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(62,676)(A)</w:t>
            </w:r>
          </w:p>
        </w:tc>
        <w:tc>
          <w:tcPr>
            <w:tcW w:w="1280" w:type="dxa"/>
            <w:vAlign w:val="bottom"/>
          </w:tcPr>
          <w:p>
            <w:pPr>
              <w:spacing w:after="0"/>
              <w:rPr>
                <w:sz w:val="14"/>
                <w:szCs w:val="14"/>
                <w:color w:val="auto"/>
              </w:rPr>
            </w:pPr>
          </w:p>
        </w:tc>
        <w:tc>
          <w:tcPr>
            <w:tcW w:w="104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$44,946</w:t>
            </w:r>
          </w:p>
        </w:tc>
      </w:tr>
      <w:tr>
        <w:trPr>
          <w:trHeight w:val="168"/>
        </w:trPr>
        <w:tc>
          <w:tcPr>
            <w:tcW w:w="3900" w:type="dxa"/>
            <w:vAlign w:val="bottom"/>
          </w:tcPr>
          <w:p>
            <w:pPr>
              <w:spacing w:after="0"/>
              <w:rPr>
                <w:sz w:val="14"/>
                <w:szCs w:val="14"/>
                <w:color w:val="auto"/>
              </w:rPr>
            </w:pPr>
          </w:p>
        </w:tc>
        <w:tc>
          <w:tcPr>
            <w:tcW w:w="2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w:t>
            </w:r>
          </w:p>
        </w:tc>
        <w:tc>
          <w:tcPr>
            <w:tcW w:w="14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Fiscal year ended January 29, 1994</w:t>
            </w:r>
          </w:p>
        </w:tc>
        <w:tc>
          <w:tcPr>
            <w:tcW w:w="2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$24,973</w:t>
            </w:r>
          </w:p>
        </w:tc>
        <w:tc>
          <w:tcPr>
            <w:tcW w:w="13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50,803</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(40,879)(A)</w:t>
            </w:r>
          </w:p>
        </w:tc>
        <w:tc>
          <w:tcPr>
            <w:tcW w:w="1280" w:type="dxa"/>
            <w:vAlign w:val="bottom"/>
          </w:tcPr>
          <w:p>
            <w:pPr>
              <w:spacing w:after="0"/>
              <w:rPr>
                <w:sz w:val="14"/>
                <w:szCs w:val="14"/>
                <w:color w:val="auto"/>
              </w:rPr>
            </w:pPr>
          </w:p>
        </w:tc>
        <w:tc>
          <w:tcPr>
            <w:tcW w:w="10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$34,897</w:t>
            </w:r>
          </w:p>
        </w:tc>
      </w:tr>
      <w:tr>
        <w:trPr>
          <w:trHeight w:val="168"/>
        </w:trPr>
        <w:tc>
          <w:tcPr>
            <w:tcW w:w="3900" w:type="dxa"/>
            <w:vAlign w:val="bottom"/>
          </w:tcPr>
          <w:p>
            <w:pPr>
              <w:spacing w:after="0"/>
              <w:rPr>
                <w:sz w:val="14"/>
                <w:szCs w:val="14"/>
                <w:color w:val="auto"/>
              </w:rPr>
            </w:pPr>
          </w:p>
        </w:tc>
        <w:tc>
          <w:tcPr>
            <w:tcW w:w="2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w:t>
            </w:r>
          </w:p>
        </w:tc>
        <w:tc>
          <w:tcPr>
            <w:tcW w:w="14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4"/>
              </w:rPr>
              <w:t>===========</w:t>
            </w:r>
          </w:p>
        </w:tc>
      </w:tr>
    </w:tbl>
    <w:p>
      <w:pPr>
        <w:spacing w:after="0" w:line="335" w:lineRule="exact"/>
        <w:rPr>
          <w:sz w:val="20"/>
          <w:szCs w:val="20"/>
          <w:color w:val="auto"/>
        </w:rPr>
      </w:pPr>
    </w:p>
    <w:p>
      <w:pPr>
        <w:ind w:left="360" w:hanging="350"/>
        <w:spacing w:after="0"/>
        <w:tabs>
          <w:tab w:leader="none" w:pos="3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Write-offs, net of recoveries</w:t>
      </w:r>
    </w:p>
    <w:p>
      <w:pPr>
        <w:spacing w:after="0" w:line="4" w:lineRule="exact"/>
        <w:rPr>
          <w:rFonts w:ascii="Courier New" w:cs="Courier New" w:eastAsia="Courier New" w:hAnsi="Courier New"/>
          <w:sz w:val="15"/>
          <w:szCs w:val="15"/>
          <w:color w:val="auto"/>
        </w:rPr>
      </w:pPr>
    </w:p>
    <w:p>
      <w:pPr>
        <w:ind w:left="540" w:right="5600" w:hanging="530"/>
        <w:spacing w:after="0" w:line="235" w:lineRule="auto"/>
        <w:tabs>
          <w:tab w:leader="none" w:pos="365"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Company sold a 60% interest in WFNNB in 1995; therefore, it is no longer a consolidated subsidiary of the Company. See Note 2 to the Consolidated Financial Statements for further information.</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940"/>
          </w:cols>
          <w:pgMar w:left="220" w:top="617" w:right="739" w:bottom="1440" w:gutter="0" w:footer="0" w:header="0"/>
        </w:sectPr>
      </w:pPr>
    </w:p>
    <w:bookmarkStart w:id="19" w:name="page20"/>
    <w:bookmarkEnd w:id="19"/>
    <w:p>
      <w:pPr>
        <w:ind w:left="2900"/>
        <w:spacing w:after="0"/>
        <w:rPr>
          <w:sz w:val="20"/>
          <w:szCs w:val="20"/>
          <w:color w:val="auto"/>
        </w:rPr>
      </w:pPr>
      <w:r>
        <w:rPr>
          <w:rFonts w:ascii="Courier New" w:cs="Courier New" w:eastAsia="Courier New" w:hAnsi="Courier New"/>
          <w:sz w:val="15"/>
          <w:szCs w:val="15"/>
          <w:color w:val="auto"/>
        </w:rPr>
        <w:t>EXHIBIT INDEX</w:t>
      </w:r>
    </w:p>
    <w:p>
      <w:pPr>
        <w:ind w:left="2900"/>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2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6260" w:type="dxa"/>
            <w:vAlign w:val="bottom"/>
          </w:tcPr>
          <w:p>
            <w:pPr>
              <w:ind w:left="580"/>
              <w:spacing w:after="0"/>
              <w:rPr>
                <w:sz w:val="20"/>
                <w:szCs w:val="20"/>
                <w:color w:val="auto"/>
              </w:rPr>
            </w:pPr>
            <w:r>
              <w:rPr>
                <w:rFonts w:ascii="Courier New" w:cs="Courier New" w:eastAsia="Courier New" w:hAnsi="Courier New"/>
                <w:sz w:val="15"/>
                <w:szCs w:val="15"/>
                <w:color w:val="auto"/>
              </w:rPr>
              <w:t>Document</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626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1620" w:type="dxa"/>
            <w:vAlign w:val="bottom"/>
          </w:tcPr>
          <w:p>
            <w:pPr>
              <w:ind w:left="280"/>
              <w:spacing w:after="0"/>
              <w:rPr>
                <w:sz w:val="20"/>
                <w:szCs w:val="20"/>
                <w:color w:val="auto"/>
              </w:rPr>
            </w:pPr>
            <w:r>
              <w:rPr>
                <w:rFonts w:ascii="Courier New" w:cs="Courier New" w:eastAsia="Courier New" w:hAnsi="Courier New"/>
                <w:sz w:val="15"/>
                <w:szCs w:val="15"/>
                <w:color w:val="auto"/>
              </w:rPr>
              <w:t>4.8</w:t>
            </w:r>
          </w:p>
        </w:tc>
        <w:tc>
          <w:tcPr>
            <w:tcW w:w="6260" w:type="dxa"/>
            <w:vAlign w:val="bottom"/>
          </w:tcPr>
          <w:p>
            <w:pPr>
              <w:ind w:left="480"/>
              <w:spacing w:after="0"/>
              <w:rPr>
                <w:sz w:val="20"/>
                <w:szCs w:val="20"/>
                <w:color w:val="auto"/>
              </w:rPr>
            </w:pPr>
            <w:r>
              <w:rPr>
                <w:rFonts w:ascii="Courier New" w:cs="Courier New" w:eastAsia="Courier New" w:hAnsi="Courier New"/>
                <w:sz w:val="15"/>
                <w:szCs w:val="15"/>
                <w:color w:val="auto"/>
                <w:w w:val="98"/>
              </w:rPr>
              <w:t>Credit Agreement dated as of December 15, 1995 among the Company,</w:t>
            </w:r>
          </w:p>
        </w:tc>
      </w:tr>
      <w:tr>
        <w:trPr>
          <w:trHeight w:val="168"/>
        </w:trPr>
        <w:tc>
          <w:tcPr>
            <w:tcW w:w="1620" w:type="dxa"/>
            <w:vAlign w:val="bottom"/>
          </w:tcPr>
          <w:p>
            <w:pPr>
              <w:spacing w:after="0"/>
              <w:rPr>
                <w:sz w:val="14"/>
                <w:szCs w:val="14"/>
                <w:color w:val="auto"/>
              </w:rPr>
            </w:pPr>
          </w:p>
        </w:tc>
        <w:tc>
          <w:tcPr>
            <w:tcW w:w="62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Morgan Guaranty Trust Company of New York and the banks</w:t>
            </w:r>
          </w:p>
        </w:tc>
      </w:tr>
      <w:tr>
        <w:trPr>
          <w:trHeight w:val="168"/>
        </w:trPr>
        <w:tc>
          <w:tcPr>
            <w:tcW w:w="1620" w:type="dxa"/>
            <w:vAlign w:val="bottom"/>
          </w:tcPr>
          <w:p>
            <w:pPr>
              <w:spacing w:after="0"/>
              <w:rPr>
                <w:sz w:val="14"/>
                <w:szCs w:val="14"/>
                <w:color w:val="auto"/>
              </w:rPr>
            </w:pPr>
          </w:p>
        </w:tc>
        <w:tc>
          <w:tcPr>
            <w:tcW w:w="62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listed therein.</w:t>
            </w:r>
          </w:p>
        </w:tc>
      </w:tr>
      <w:tr>
        <w:trPr>
          <w:trHeight w:val="336"/>
        </w:trPr>
        <w:tc>
          <w:tcPr>
            <w:tcW w:w="1620" w:type="dxa"/>
            <w:vAlign w:val="bottom"/>
          </w:tcPr>
          <w:p>
            <w:pPr>
              <w:ind w:left="180"/>
              <w:spacing w:after="0"/>
              <w:rPr>
                <w:sz w:val="20"/>
                <w:szCs w:val="20"/>
                <w:color w:val="auto"/>
              </w:rPr>
            </w:pPr>
            <w:r>
              <w:rPr>
                <w:rFonts w:ascii="Courier New" w:cs="Courier New" w:eastAsia="Courier New" w:hAnsi="Courier New"/>
                <w:sz w:val="15"/>
                <w:szCs w:val="15"/>
                <w:color w:val="auto"/>
              </w:rPr>
              <w:t>10.16</w:t>
            </w:r>
          </w:p>
        </w:tc>
        <w:tc>
          <w:tcPr>
            <w:tcW w:w="6260" w:type="dxa"/>
            <w:vAlign w:val="bottom"/>
          </w:tcPr>
          <w:p>
            <w:pPr>
              <w:ind w:left="480"/>
              <w:spacing w:after="0"/>
              <w:rPr>
                <w:sz w:val="20"/>
                <w:szCs w:val="20"/>
                <w:color w:val="auto"/>
              </w:rPr>
            </w:pPr>
            <w:r>
              <w:rPr>
                <w:rFonts w:ascii="Courier New" w:cs="Courier New" w:eastAsia="Courier New" w:hAnsi="Courier New"/>
                <w:sz w:val="15"/>
                <w:szCs w:val="15"/>
                <w:color w:val="auto"/>
              </w:rPr>
              <w:t>Supplemental schedule of officer who became party to an</w:t>
            </w:r>
          </w:p>
        </w:tc>
      </w:tr>
      <w:tr>
        <w:trPr>
          <w:trHeight w:val="168"/>
        </w:trPr>
        <w:tc>
          <w:tcPr>
            <w:tcW w:w="1620" w:type="dxa"/>
            <w:vAlign w:val="bottom"/>
          </w:tcPr>
          <w:p>
            <w:pPr>
              <w:spacing w:after="0"/>
              <w:rPr>
                <w:sz w:val="14"/>
                <w:szCs w:val="14"/>
                <w:color w:val="auto"/>
              </w:rPr>
            </w:pPr>
          </w:p>
        </w:tc>
        <w:tc>
          <w:tcPr>
            <w:tcW w:w="62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Indemnification Agreement effective March 7, 1996.</w:t>
            </w:r>
          </w:p>
        </w:tc>
      </w:tr>
      <w:tr>
        <w:trPr>
          <w:trHeight w:val="336"/>
        </w:trPr>
        <w:tc>
          <w:tcPr>
            <w:tcW w:w="1620" w:type="dxa"/>
            <w:vAlign w:val="bottom"/>
          </w:tcPr>
          <w:p>
            <w:pPr>
              <w:ind w:left="180"/>
              <w:spacing w:after="0"/>
              <w:rPr>
                <w:sz w:val="20"/>
                <w:szCs w:val="20"/>
                <w:color w:val="auto"/>
              </w:rPr>
            </w:pPr>
            <w:r>
              <w:rPr>
                <w:rFonts w:ascii="Courier New" w:cs="Courier New" w:eastAsia="Courier New" w:hAnsi="Courier New"/>
                <w:sz w:val="15"/>
                <w:szCs w:val="15"/>
                <w:color w:val="auto"/>
              </w:rPr>
              <w:t>10.17</w:t>
            </w:r>
          </w:p>
        </w:tc>
        <w:tc>
          <w:tcPr>
            <w:tcW w:w="6260" w:type="dxa"/>
            <w:vAlign w:val="bottom"/>
          </w:tcPr>
          <w:p>
            <w:pPr>
              <w:ind w:left="480"/>
              <w:spacing w:after="0"/>
              <w:rPr>
                <w:sz w:val="20"/>
                <w:szCs w:val="20"/>
                <w:color w:val="auto"/>
              </w:rPr>
            </w:pPr>
            <w:r>
              <w:rPr>
                <w:rFonts w:ascii="Courier New" w:cs="Courier New" w:eastAsia="Courier New" w:hAnsi="Courier New"/>
                <w:sz w:val="15"/>
                <w:szCs w:val="15"/>
                <w:color w:val="auto"/>
              </w:rPr>
              <w:t>Supplemental schedule of officer who became party to an</w:t>
            </w:r>
          </w:p>
        </w:tc>
      </w:tr>
      <w:tr>
        <w:trPr>
          <w:trHeight w:val="168"/>
        </w:trPr>
        <w:tc>
          <w:tcPr>
            <w:tcW w:w="1620" w:type="dxa"/>
            <w:vAlign w:val="bottom"/>
          </w:tcPr>
          <w:p>
            <w:pPr>
              <w:spacing w:after="0"/>
              <w:rPr>
                <w:sz w:val="14"/>
                <w:szCs w:val="14"/>
                <w:color w:val="auto"/>
              </w:rPr>
            </w:pPr>
          </w:p>
        </w:tc>
        <w:tc>
          <w:tcPr>
            <w:tcW w:w="62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Indemnification Agreement effective February 1, 1996.</w:t>
            </w:r>
          </w:p>
        </w:tc>
      </w:tr>
      <w:tr>
        <w:trPr>
          <w:trHeight w:val="336"/>
        </w:trPr>
        <w:tc>
          <w:tcPr>
            <w:tcW w:w="1620" w:type="dxa"/>
            <w:vAlign w:val="bottom"/>
          </w:tcPr>
          <w:p>
            <w:pPr>
              <w:ind w:left="180"/>
              <w:spacing w:after="0"/>
              <w:rPr>
                <w:sz w:val="20"/>
                <w:szCs w:val="20"/>
                <w:color w:val="auto"/>
              </w:rPr>
            </w:pPr>
            <w:r>
              <w:rPr>
                <w:rFonts w:ascii="Courier New" w:cs="Courier New" w:eastAsia="Courier New" w:hAnsi="Courier New"/>
                <w:sz w:val="15"/>
                <w:szCs w:val="15"/>
                <w:color w:val="auto"/>
              </w:rPr>
              <w:t>11</w:t>
            </w:r>
          </w:p>
        </w:tc>
        <w:tc>
          <w:tcPr>
            <w:tcW w:w="6260" w:type="dxa"/>
            <w:vAlign w:val="bottom"/>
          </w:tcPr>
          <w:p>
            <w:pPr>
              <w:ind w:left="480"/>
              <w:spacing w:after="0"/>
              <w:rPr>
                <w:sz w:val="20"/>
                <w:szCs w:val="20"/>
                <w:color w:val="auto"/>
              </w:rPr>
            </w:pPr>
            <w:r>
              <w:rPr>
                <w:rFonts w:ascii="Courier New" w:cs="Courier New" w:eastAsia="Courier New" w:hAnsi="Courier New"/>
                <w:sz w:val="15"/>
                <w:szCs w:val="15"/>
                <w:color w:val="auto"/>
              </w:rPr>
              <w:t>Statement re Computation of</w:t>
            </w:r>
          </w:p>
        </w:tc>
      </w:tr>
      <w:tr>
        <w:trPr>
          <w:trHeight w:val="168"/>
        </w:trPr>
        <w:tc>
          <w:tcPr>
            <w:tcW w:w="1620" w:type="dxa"/>
            <w:vAlign w:val="bottom"/>
          </w:tcPr>
          <w:p>
            <w:pPr>
              <w:spacing w:after="0"/>
              <w:rPr>
                <w:sz w:val="14"/>
                <w:szCs w:val="14"/>
                <w:color w:val="auto"/>
              </w:rPr>
            </w:pPr>
          </w:p>
        </w:tc>
        <w:tc>
          <w:tcPr>
            <w:tcW w:w="62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Per Share Earnings.</w:t>
            </w:r>
          </w:p>
        </w:tc>
      </w:tr>
      <w:tr>
        <w:trPr>
          <w:trHeight w:val="336"/>
        </w:trPr>
        <w:tc>
          <w:tcPr>
            <w:tcW w:w="1620" w:type="dxa"/>
            <w:vAlign w:val="bottom"/>
          </w:tcPr>
          <w:p>
            <w:pPr>
              <w:ind w:left="180"/>
              <w:spacing w:after="0"/>
              <w:rPr>
                <w:sz w:val="20"/>
                <w:szCs w:val="20"/>
                <w:color w:val="auto"/>
              </w:rPr>
            </w:pPr>
            <w:r>
              <w:rPr>
                <w:rFonts w:ascii="Courier New" w:cs="Courier New" w:eastAsia="Courier New" w:hAnsi="Courier New"/>
                <w:sz w:val="15"/>
                <w:szCs w:val="15"/>
                <w:color w:val="auto"/>
              </w:rPr>
              <w:t>12</w:t>
            </w:r>
          </w:p>
        </w:tc>
        <w:tc>
          <w:tcPr>
            <w:tcW w:w="6260" w:type="dxa"/>
            <w:vAlign w:val="bottom"/>
          </w:tcPr>
          <w:p>
            <w:pPr>
              <w:ind w:left="480"/>
              <w:spacing w:after="0"/>
              <w:rPr>
                <w:sz w:val="20"/>
                <w:szCs w:val="20"/>
                <w:color w:val="auto"/>
              </w:rPr>
            </w:pPr>
            <w:r>
              <w:rPr>
                <w:rFonts w:ascii="Courier New" w:cs="Courier New" w:eastAsia="Courier New" w:hAnsi="Courier New"/>
                <w:sz w:val="15"/>
                <w:szCs w:val="15"/>
                <w:color w:val="auto"/>
              </w:rPr>
              <w:t>Statement re Computation of Ratio of</w:t>
            </w:r>
          </w:p>
        </w:tc>
      </w:tr>
      <w:tr>
        <w:trPr>
          <w:trHeight w:val="168"/>
        </w:trPr>
        <w:tc>
          <w:tcPr>
            <w:tcW w:w="1620" w:type="dxa"/>
            <w:vAlign w:val="bottom"/>
          </w:tcPr>
          <w:p>
            <w:pPr>
              <w:spacing w:after="0"/>
              <w:rPr>
                <w:sz w:val="14"/>
                <w:szCs w:val="14"/>
                <w:color w:val="auto"/>
              </w:rPr>
            </w:pPr>
          </w:p>
        </w:tc>
        <w:tc>
          <w:tcPr>
            <w:tcW w:w="62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Earnings to Fixed Charges.</w:t>
            </w:r>
          </w:p>
        </w:tc>
      </w:tr>
      <w:tr>
        <w:trPr>
          <w:trHeight w:val="336"/>
        </w:trPr>
        <w:tc>
          <w:tcPr>
            <w:tcW w:w="1620" w:type="dxa"/>
            <w:vAlign w:val="bottom"/>
          </w:tcPr>
          <w:p>
            <w:pPr>
              <w:ind w:left="180"/>
              <w:spacing w:after="0"/>
              <w:rPr>
                <w:sz w:val="20"/>
                <w:szCs w:val="20"/>
                <w:color w:val="auto"/>
              </w:rPr>
            </w:pPr>
            <w:r>
              <w:rPr>
                <w:rFonts w:ascii="Courier New" w:cs="Courier New" w:eastAsia="Courier New" w:hAnsi="Courier New"/>
                <w:sz w:val="15"/>
                <w:szCs w:val="15"/>
                <w:color w:val="auto"/>
              </w:rPr>
              <w:t>13</w:t>
            </w:r>
          </w:p>
        </w:tc>
        <w:tc>
          <w:tcPr>
            <w:tcW w:w="6260" w:type="dxa"/>
            <w:vAlign w:val="bottom"/>
          </w:tcPr>
          <w:p>
            <w:pPr>
              <w:ind w:left="480"/>
              <w:spacing w:after="0"/>
              <w:rPr>
                <w:sz w:val="20"/>
                <w:szCs w:val="20"/>
                <w:color w:val="auto"/>
              </w:rPr>
            </w:pPr>
            <w:r>
              <w:rPr>
                <w:rFonts w:ascii="Courier New" w:cs="Courier New" w:eastAsia="Courier New" w:hAnsi="Courier New"/>
                <w:sz w:val="15"/>
                <w:szCs w:val="15"/>
                <w:color w:val="auto"/>
              </w:rPr>
              <w:t>Excerpts from the 1995 Annual Report to Shareholders including</w:t>
            </w:r>
          </w:p>
        </w:tc>
      </w:tr>
      <w:tr>
        <w:trPr>
          <w:trHeight w:val="168"/>
        </w:trPr>
        <w:tc>
          <w:tcPr>
            <w:tcW w:w="1620" w:type="dxa"/>
            <w:vAlign w:val="bottom"/>
          </w:tcPr>
          <w:p>
            <w:pPr>
              <w:spacing w:after="0"/>
              <w:rPr>
                <w:sz w:val="14"/>
                <w:szCs w:val="14"/>
                <w:color w:val="auto"/>
              </w:rPr>
            </w:pPr>
          </w:p>
        </w:tc>
        <w:tc>
          <w:tcPr>
            <w:tcW w:w="62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"Financial Summary", "Management's Discussion and Analysis" and</w:t>
            </w:r>
          </w:p>
        </w:tc>
      </w:tr>
      <w:tr>
        <w:trPr>
          <w:trHeight w:val="168"/>
        </w:trPr>
        <w:tc>
          <w:tcPr>
            <w:tcW w:w="1620" w:type="dxa"/>
            <w:vAlign w:val="bottom"/>
          </w:tcPr>
          <w:p>
            <w:pPr>
              <w:spacing w:after="0"/>
              <w:rPr>
                <w:sz w:val="14"/>
                <w:szCs w:val="14"/>
                <w:color w:val="auto"/>
              </w:rPr>
            </w:pPr>
          </w:p>
        </w:tc>
        <w:tc>
          <w:tcPr>
            <w:tcW w:w="62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"Financial Statements and Notes" on pages 40 - 61.</w:t>
            </w:r>
          </w:p>
        </w:tc>
      </w:tr>
      <w:tr>
        <w:trPr>
          <w:trHeight w:val="336"/>
        </w:trPr>
        <w:tc>
          <w:tcPr>
            <w:tcW w:w="1620" w:type="dxa"/>
            <w:vAlign w:val="bottom"/>
          </w:tcPr>
          <w:p>
            <w:pPr>
              <w:ind w:left="180"/>
              <w:spacing w:after="0"/>
              <w:rPr>
                <w:sz w:val="20"/>
                <w:szCs w:val="20"/>
                <w:color w:val="auto"/>
              </w:rPr>
            </w:pPr>
            <w:r>
              <w:rPr>
                <w:rFonts w:ascii="Courier New" w:cs="Courier New" w:eastAsia="Courier New" w:hAnsi="Courier New"/>
                <w:sz w:val="15"/>
                <w:szCs w:val="15"/>
                <w:color w:val="auto"/>
              </w:rPr>
              <w:t>21</w:t>
            </w:r>
          </w:p>
        </w:tc>
        <w:tc>
          <w:tcPr>
            <w:tcW w:w="6260" w:type="dxa"/>
            <w:vAlign w:val="bottom"/>
          </w:tcPr>
          <w:p>
            <w:pPr>
              <w:ind w:left="480"/>
              <w:spacing w:after="0"/>
              <w:rPr>
                <w:sz w:val="20"/>
                <w:szCs w:val="20"/>
                <w:color w:val="auto"/>
              </w:rPr>
            </w:pPr>
            <w:r>
              <w:rPr>
                <w:rFonts w:ascii="Courier New" w:cs="Courier New" w:eastAsia="Courier New" w:hAnsi="Courier New"/>
                <w:sz w:val="15"/>
                <w:szCs w:val="15"/>
                <w:color w:val="auto"/>
              </w:rPr>
              <w:t>Subsidiaries of the Registrant.</w:t>
            </w:r>
          </w:p>
        </w:tc>
      </w:tr>
      <w:tr>
        <w:trPr>
          <w:trHeight w:val="336"/>
        </w:trPr>
        <w:tc>
          <w:tcPr>
            <w:tcW w:w="1620" w:type="dxa"/>
            <w:vAlign w:val="bottom"/>
          </w:tcPr>
          <w:p>
            <w:pPr>
              <w:ind w:left="180"/>
              <w:spacing w:after="0"/>
              <w:rPr>
                <w:sz w:val="20"/>
                <w:szCs w:val="20"/>
                <w:color w:val="auto"/>
              </w:rPr>
            </w:pPr>
            <w:r>
              <w:rPr>
                <w:rFonts w:ascii="Courier New" w:cs="Courier New" w:eastAsia="Courier New" w:hAnsi="Courier New"/>
                <w:sz w:val="15"/>
                <w:szCs w:val="15"/>
                <w:color w:val="auto"/>
              </w:rPr>
              <w:t>23</w:t>
            </w:r>
          </w:p>
        </w:tc>
        <w:tc>
          <w:tcPr>
            <w:tcW w:w="6260" w:type="dxa"/>
            <w:vAlign w:val="bottom"/>
          </w:tcPr>
          <w:p>
            <w:pPr>
              <w:ind w:left="480"/>
              <w:spacing w:after="0"/>
              <w:rPr>
                <w:sz w:val="20"/>
                <w:szCs w:val="20"/>
                <w:color w:val="auto"/>
              </w:rPr>
            </w:pPr>
            <w:r>
              <w:rPr>
                <w:rFonts w:ascii="Courier New" w:cs="Courier New" w:eastAsia="Courier New" w:hAnsi="Courier New"/>
                <w:sz w:val="15"/>
                <w:szCs w:val="15"/>
                <w:color w:val="auto"/>
              </w:rPr>
              <w:t>Consent of Independent Accountants.</w:t>
            </w:r>
          </w:p>
        </w:tc>
      </w:tr>
      <w:tr>
        <w:trPr>
          <w:trHeight w:val="336"/>
        </w:trPr>
        <w:tc>
          <w:tcPr>
            <w:tcW w:w="1620" w:type="dxa"/>
            <w:vAlign w:val="bottom"/>
          </w:tcPr>
          <w:p>
            <w:pPr>
              <w:ind w:left="180"/>
              <w:spacing w:after="0"/>
              <w:rPr>
                <w:sz w:val="20"/>
                <w:szCs w:val="20"/>
                <w:color w:val="auto"/>
              </w:rPr>
            </w:pPr>
            <w:r>
              <w:rPr>
                <w:rFonts w:ascii="Courier New" w:cs="Courier New" w:eastAsia="Courier New" w:hAnsi="Courier New"/>
                <w:sz w:val="15"/>
                <w:szCs w:val="15"/>
                <w:color w:val="auto"/>
              </w:rPr>
              <w:t>24</w:t>
            </w:r>
          </w:p>
        </w:tc>
        <w:tc>
          <w:tcPr>
            <w:tcW w:w="6260" w:type="dxa"/>
            <w:vAlign w:val="bottom"/>
          </w:tcPr>
          <w:p>
            <w:pPr>
              <w:ind w:left="480"/>
              <w:spacing w:after="0"/>
              <w:rPr>
                <w:sz w:val="20"/>
                <w:szCs w:val="20"/>
                <w:color w:val="auto"/>
              </w:rPr>
            </w:pPr>
            <w:r>
              <w:rPr>
                <w:rFonts w:ascii="Courier New" w:cs="Courier New" w:eastAsia="Courier New" w:hAnsi="Courier New"/>
                <w:sz w:val="15"/>
                <w:szCs w:val="15"/>
                <w:color w:val="auto"/>
              </w:rPr>
              <w:t>Powers of Attorney.</w:t>
            </w:r>
          </w:p>
        </w:tc>
      </w:tr>
      <w:tr>
        <w:trPr>
          <w:trHeight w:val="336"/>
        </w:trPr>
        <w:tc>
          <w:tcPr>
            <w:tcW w:w="1620" w:type="dxa"/>
            <w:vAlign w:val="bottom"/>
          </w:tcPr>
          <w:p>
            <w:pPr>
              <w:ind w:left="180"/>
              <w:spacing w:after="0"/>
              <w:rPr>
                <w:sz w:val="20"/>
                <w:szCs w:val="20"/>
                <w:color w:val="auto"/>
              </w:rPr>
            </w:pPr>
            <w:r>
              <w:rPr>
                <w:rFonts w:ascii="Courier New" w:cs="Courier New" w:eastAsia="Courier New" w:hAnsi="Courier New"/>
                <w:sz w:val="15"/>
                <w:szCs w:val="15"/>
                <w:color w:val="auto"/>
              </w:rPr>
              <w:t>27</w:t>
            </w:r>
          </w:p>
        </w:tc>
        <w:tc>
          <w:tcPr>
            <w:tcW w:w="6260" w:type="dxa"/>
            <w:vAlign w:val="bottom"/>
          </w:tcPr>
          <w:p>
            <w:pPr>
              <w:ind w:left="480"/>
              <w:spacing w:after="0"/>
              <w:rPr>
                <w:sz w:val="20"/>
                <w:szCs w:val="20"/>
                <w:color w:val="auto"/>
              </w:rPr>
            </w:pPr>
            <w:r>
              <w:rPr>
                <w:rFonts w:ascii="Courier New" w:cs="Courier New" w:eastAsia="Courier New" w:hAnsi="Courier New"/>
                <w:sz w:val="15"/>
                <w:szCs w:val="15"/>
                <w:color w:val="auto"/>
              </w:rPr>
              <w:t>Financial Data Schedule.</w:t>
            </w:r>
          </w:p>
        </w:tc>
      </w:tr>
      <w:tr>
        <w:trPr>
          <w:trHeight w:val="336"/>
        </w:trPr>
        <w:tc>
          <w:tcPr>
            <w:tcW w:w="1620" w:type="dxa"/>
            <w:vAlign w:val="bottom"/>
          </w:tcPr>
          <w:p>
            <w:pPr>
              <w:ind w:left="180"/>
              <w:spacing w:after="0"/>
              <w:rPr>
                <w:sz w:val="20"/>
                <w:szCs w:val="20"/>
                <w:color w:val="auto"/>
              </w:rPr>
            </w:pPr>
            <w:r>
              <w:rPr>
                <w:rFonts w:ascii="Courier New" w:cs="Courier New" w:eastAsia="Courier New" w:hAnsi="Courier New"/>
                <w:sz w:val="15"/>
                <w:szCs w:val="15"/>
                <w:color w:val="auto"/>
              </w:rPr>
              <w:t>99</w:t>
            </w:r>
          </w:p>
        </w:tc>
        <w:tc>
          <w:tcPr>
            <w:tcW w:w="6260" w:type="dxa"/>
            <w:vAlign w:val="bottom"/>
          </w:tcPr>
          <w:p>
            <w:pPr>
              <w:ind w:left="480"/>
              <w:spacing w:after="0"/>
              <w:rPr>
                <w:sz w:val="20"/>
                <w:szCs w:val="20"/>
                <w:color w:val="auto"/>
              </w:rPr>
            </w:pPr>
            <w:r>
              <w:rPr>
                <w:rFonts w:ascii="Courier New" w:cs="Courier New" w:eastAsia="Courier New" w:hAnsi="Courier New"/>
                <w:sz w:val="15"/>
                <w:szCs w:val="15"/>
                <w:color w:val="auto"/>
              </w:rPr>
              <w:t>Annual Report of The Limited, Inc. Savings and</w:t>
            </w:r>
          </w:p>
        </w:tc>
      </w:tr>
      <w:tr>
        <w:trPr>
          <w:trHeight w:val="168"/>
        </w:trPr>
        <w:tc>
          <w:tcPr>
            <w:tcW w:w="1620" w:type="dxa"/>
            <w:vAlign w:val="bottom"/>
          </w:tcPr>
          <w:p>
            <w:pPr>
              <w:spacing w:after="0"/>
              <w:rPr>
                <w:sz w:val="14"/>
                <w:szCs w:val="14"/>
                <w:color w:val="auto"/>
              </w:rPr>
            </w:pPr>
          </w:p>
        </w:tc>
        <w:tc>
          <w:tcPr>
            <w:tcW w:w="62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Retirement Plan.</w:t>
            </w:r>
          </w:p>
        </w:tc>
      </w:tr>
    </w:tbl>
    <w:p>
      <w:pPr>
        <w:sectPr>
          <w:pgSz w:w="11900" w:h="16838" w:orient="portrait"/>
          <w:cols w:equalWidth="0" w:num="1">
            <w:col w:w="10239"/>
          </w:cols>
          <w:pgMar w:left="220" w:top="617" w:right="1440"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 w:type="dxa"/>
            <w:vAlign w:val="bottom"/>
          </w:tcPr>
          <w:p>
            <w:pPr>
              <w:spacing w:after="0"/>
              <w:rPr>
                <w:sz w:val="14"/>
                <w:szCs w:val="14"/>
                <w:color w:val="auto"/>
              </w:rPr>
            </w:pPr>
          </w:p>
        </w:tc>
        <w:tc>
          <w:tcPr>
            <w:tcW w:w="5320" w:type="dxa"/>
            <w:vAlign w:val="bottom"/>
          </w:tcPr>
          <w:p>
            <w:pPr>
              <w:ind w:left="2440"/>
              <w:spacing w:after="0"/>
              <w:rPr>
                <w:sz w:val="20"/>
                <w:szCs w:val="20"/>
                <w:color w:val="auto"/>
              </w:rPr>
            </w:pPr>
            <w:r>
              <w:rPr>
                <w:rFonts w:ascii="Courier New" w:cs="Courier New" w:eastAsia="Courier New" w:hAnsi="Courier New"/>
                <w:sz w:val="15"/>
                <w:szCs w:val="15"/>
                <w:color w:val="auto"/>
              </w:rPr>
              <w:t>The Limited, Inc.</w:t>
            </w:r>
          </w:p>
        </w:tc>
        <w:tc>
          <w:tcPr>
            <w:tcW w:w="1400" w:type="dxa"/>
            <w:vAlign w:val="bottom"/>
          </w:tcPr>
          <w:p>
            <w:pPr>
              <w:ind w:left="440"/>
              <w:spacing w:after="0"/>
              <w:rPr>
                <w:sz w:val="20"/>
                <w:szCs w:val="20"/>
                <w:color w:val="auto"/>
              </w:rPr>
            </w:pPr>
            <w:r>
              <w:rPr>
                <w:rFonts w:ascii="Courier New" w:cs="Courier New" w:eastAsia="Courier New" w:hAnsi="Courier New"/>
                <w:sz w:val="15"/>
                <w:szCs w:val="15"/>
                <w:color w:val="auto"/>
                <w:w w:val="94"/>
              </w:rPr>
              <w:t>EXHIBIT 4.8</w:t>
            </w:r>
          </w:p>
        </w:tc>
      </w:tr>
      <w:tr>
        <w:trPr>
          <w:trHeight w:val="168"/>
        </w:trPr>
        <w:tc>
          <w:tcPr>
            <w:tcW w:w="280" w:type="dxa"/>
            <w:vAlign w:val="bottom"/>
          </w:tcPr>
          <w:p>
            <w:pPr>
              <w:spacing w:after="0"/>
              <w:rPr>
                <w:sz w:val="14"/>
                <w:szCs w:val="14"/>
                <w:color w:val="auto"/>
              </w:rPr>
            </w:pPr>
          </w:p>
        </w:tc>
        <w:tc>
          <w:tcPr>
            <w:tcW w:w="532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$1,000,000,000 Revolving Credit Facility</w:t>
            </w:r>
          </w:p>
        </w:tc>
        <w:tc>
          <w:tcPr>
            <w:tcW w:w="1400" w:type="dxa"/>
            <w:vAlign w:val="bottom"/>
          </w:tcPr>
          <w:p>
            <w:pPr>
              <w:spacing w:after="0"/>
              <w:rPr>
                <w:sz w:val="14"/>
                <w:szCs w:val="14"/>
                <w:color w:val="auto"/>
              </w:rPr>
            </w:pPr>
          </w:p>
        </w:tc>
      </w:tr>
      <w:tr>
        <w:trPr>
          <w:trHeight w:val="336"/>
        </w:trPr>
        <w:tc>
          <w:tcPr>
            <w:tcW w:w="280" w:type="dxa"/>
            <w:vAlign w:val="bottom"/>
          </w:tcPr>
          <w:p>
            <w:pPr>
              <w:spacing w:after="0"/>
              <w:rPr>
                <w:sz w:val="24"/>
                <w:szCs w:val="24"/>
                <w:color w:val="auto"/>
              </w:rPr>
            </w:pPr>
          </w:p>
        </w:tc>
        <w:tc>
          <w:tcPr>
            <w:tcW w:w="5320" w:type="dxa"/>
            <w:vAlign w:val="bottom"/>
          </w:tcPr>
          <w:p>
            <w:pPr>
              <w:ind w:left="2360"/>
              <w:spacing w:after="0"/>
              <w:rPr>
                <w:sz w:val="20"/>
                <w:szCs w:val="20"/>
                <w:color w:val="auto"/>
              </w:rPr>
            </w:pPr>
            <w:r>
              <w:rPr>
                <w:rFonts w:ascii="Courier New" w:cs="Courier New" w:eastAsia="Courier New" w:hAnsi="Courier New"/>
                <w:sz w:val="15"/>
                <w:szCs w:val="15"/>
                <w:color w:val="auto"/>
              </w:rPr>
              <w:t>CLOSING DOCUMENTS</w:t>
            </w:r>
          </w:p>
        </w:tc>
        <w:tc>
          <w:tcPr>
            <w:tcW w:w="1400" w:type="dxa"/>
            <w:vAlign w:val="bottom"/>
          </w:tcPr>
          <w:p>
            <w:pPr>
              <w:spacing w:after="0"/>
              <w:rPr>
                <w:sz w:val="24"/>
                <w:szCs w:val="24"/>
                <w:color w:val="auto"/>
              </w:rPr>
            </w:pPr>
          </w:p>
        </w:tc>
      </w:tr>
      <w:tr>
        <w:trPr>
          <w:trHeight w:val="336"/>
        </w:trPr>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88"/>
              </w:rPr>
              <w:t>1.</w:t>
            </w:r>
          </w:p>
        </w:tc>
        <w:tc>
          <w:tcPr>
            <w:tcW w:w="5320" w:type="dxa"/>
            <w:vAlign w:val="bottom"/>
          </w:tcPr>
          <w:p>
            <w:pPr>
              <w:ind w:left="80"/>
              <w:spacing w:after="0"/>
              <w:rPr>
                <w:sz w:val="20"/>
                <w:szCs w:val="20"/>
                <w:color w:val="auto"/>
              </w:rPr>
            </w:pPr>
            <w:r>
              <w:rPr>
                <w:rFonts w:ascii="Courier New" w:cs="Courier New" w:eastAsia="Courier New" w:hAnsi="Courier New"/>
                <w:sz w:val="15"/>
                <w:szCs w:val="15"/>
                <w:color w:val="auto"/>
              </w:rPr>
              <w:t>Credit Agreement</w:t>
            </w:r>
          </w:p>
        </w:tc>
        <w:tc>
          <w:tcPr>
            <w:tcW w:w="1400" w:type="dxa"/>
            <w:vAlign w:val="bottom"/>
          </w:tcPr>
          <w:p>
            <w:pPr>
              <w:spacing w:after="0"/>
              <w:rPr>
                <w:sz w:val="24"/>
                <w:szCs w:val="24"/>
                <w:color w:val="auto"/>
              </w:rPr>
            </w:pPr>
          </w:p>
        </w:tc>
      </w:tr>
      <w:tr>
        <w:trPr>
          <w:trHeight w:val="336"/>
        </w:trPr>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88"/>
              </w:rPr>
              <w:t>2.</w:t>
            </w:r>
          </w:p>
        </w:tc>
        <w:tc>
          <w:tcPr>
            <w:tcW w:w="5320" w:type="dxa"/>
            <w:vAlign w:val="bottom"/>
          </w:tcPr>
          <w:p>
            <w:pPr>
              <w:ind w:left="80"/>
              <w:spacing w:after="0"/>
              <w:rPr>
                <w:sz w:val="20"/>
                <w:szCs w:val="20"/>
                <w:color w:val="auto"/>
              </w:rPr>
            </w:pPr>
            <w:r>
              <w:rPr>
                <w:rFonts w:ascii="Courier New" w:cs="Courier New" w:eastAsia="Courier New" w:hAnsi="Courier New"/>
                <w:sz w:val="15"/>
                <w:szCs w:val="15"/>
                <w:color w:val="auto"/>
              </w:rPr>
              <w:t>Assistant Secretary's Certificate</w:t>
            </w:r>
          </w:p>
        </w:tc>
        <w:tc>
          <w:tcPr>
            <w:tcW w:w="1400" w:type="dxa"/>
            <w:vAlign w:val="bottom"/>
          </w:tcPr>
          <w:p>
            <w:pPr>
              <w:spacing w:after="0"/>
              <w:rPr>
                <w:sz w:val="24"/>
                <w:szCs w:val="24"/>
                <w:color w:val="auto"/>
              </w:rPr>
            </w:pPr>
          </w:p>
        </w:tc>
      </w:tr>
      <w:tr>
        <w:trPr>
          <w:trHeight w:val="336"/>
        </w:trPr>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88"/>
              </w:rPr>
              <w:t>3.</w:t>
            </w:r>
          </w:p>
        </w:tc>
        <w:tc>
          <w:tcPr>
            <w:tcW w:w="5320" w:type="dxa"/>
            <w:vAlign w:val="bottom"/>
          </w:tcPr>
          <w:p>
            <w:pPr>
              <w:ind w:left="80"/>
              <w:spacing w:after="0"/>
              <w:rPr>
                <w:sz w:val="20"/>
                <w:szCs w:val="20"/>
                <w:color w:val="auto"/>
              </w:rPr>
            </w:pPr>
            <w:r>
              <w:rPr>
                <w:rFonts w:ascii="Courier New" w:cs="Courier New" w:eastAsia="Courier New" w:hAnsi="Courier New"/>
                <w:sz w:val="15"/>
                <w:szCs w:val="15"/>
                <w:color w:val="auto"/>
              </w:rPr>
              <w:t>Certificate of Good Standing</w:t>
            </w:r>
          </w:p>
        </w:tc>
        <w:tc>
          <w:tcPr>
            <w:tcW w:w="1400" w:type="dxa"/>
            <w:vAlign w:val="bottom"/>
          </w:tcPr>
          <w:p>
            <w:pPr>
              <w:spacing w:after="0"/>
              <w:rPr>
                <w:sz w:val="24"/>
                <w:szCs w:val="24"/>
                <w:color w:val="auto"/>
              </w:rPr>
            </w:pPr>
          </w:p>
        </w:tc>
      </w:tr>
      <w:tr>
        <w:trPr>
          <w:trHeight w:val="336"/>
        </w:trPr>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88"/>
              </w:rPr>
              <w:t>4.</w:t>
            </w:r>
          </w:p>
        </w:tc>
        <w:tc>
          <w:tcPr>
            <w:tcW w:w="5320" w:type="dxa"/>
            <w:vAlign w:val="bottom"/>
          </w:tcPr>
          <w:p>
            <w:pPr>
              <w:ind w:left="80"/>
              <w:spacing w:after="0"/>
              <w:rPr>
                <w:sz w:val="20"/>
                <w:szCs w:val="20"/>
                <w:color w:val="auto"/>
              </w:rPr>
            </w:pPr>
            <w:r>
              <w:rPr>
                <w:rFonts w:ascii="Courier New" w:cs="Courier New" w:eastAsia="Courier New" w:hAnsi="Courier New"/>
                <w:sz w:val="15"/>
                <w:szCs w:val="15"/>
                <w:color w:val="auto"/>
              </w:rPr>
              <w:t>Certificate of Incorporation and Amendments thereto</w:t>
            </w:r>
          </w:p>
        </w:tc>
        <w:tc>
          <w:tcPr>
            <w:tcW w:w="1400" w:type="dxa"/>
            <w:vAlign w:val="bottom"/>
          </w:tcPr>
          <w:p>
            <w:pPr>
              <w:spacing w:after="0"/>
              <w:rPr>
                <w:sz w:val="24"/>
                <w:szCs w:val="24"/>
                <w:color w:val="auto"/>
              </w:rPr>
            </w:pPr>
          </w:p>
        </w:tc>
      </w:tr>
      <w:tr>
        <w:trPr>
          <w:trHeight w:val="336"/>
        </w:trPr>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88"/>
              </w:rPr>
              <w:t>5.</w:t>
            </w:r>
          </w:p>
        </w:tc>
        <w:tc>
          <w:tcPr>
            <w:tcW w:w="5320" w:type="dxa"/>
            <w:vAlign w:val="bottom"/>
          </w:tcPr>
          <w:p>
            <w:pPr>
              <w:ind w:left="80"/>
              <w:spacing w:after="0"/>
              <w:rPr>
                <w:sz w:val="20"/>
                <w:szCs w:val="20"/>
                <w:color w:val="auto"/>
              </w:rPr>
            </w:pPr>
            <w:r>
              <w:rPr>
                <w:rFonts w:ascii="Courier New" w:cs="Courier New" w:eastAsia="Courier New" w:hAnsi="Courier New"/>
                <w:sz w:val="15"/>
                <w:szCs w:val="15"/>
                <w:color w:val="auto"/>
              </w:rPr>
              <w:t>Officer's Certificate</w:t>
            </w:r>
          </w:p>
        </w:tc>
        <w:tc>
          <w:tcPr>
            <w:tcW w:w="1400" w:type="dxa"/>
            <w:vAlign w:val="bottom"/>
          </w:tcPr>
          <w:p>
            <w:pPr>
              <w:spacing w:after="0"/>
              <w:rPr>
                <w:sz w:val="24"/>
                <w:szCs w:val="24"/>
                <w:color w:val="auto"/>
              </w:rPr>
            </w:pPr>
          </w:p>
        </w:tc>
      </w:tr>
      <w:tr>
        <w:trPr>
          <w:trHeight w:val="336"/>
        </w:trPr>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88"/>
              </w:rPr>
              <w:t>6.</w:t>
            </w:r>
          </w:p>
        </w:tc>
        <w:tc>
          <w:tcPr>
            <w:tcW w:w="5320" w:type="dxa"/>
            <w:vAlign w:val="bottom"/>
          </w:tcPr>
          <w:p>
            <w:pPr>
              <w:ind w:left="80"/>
              <w:spacing w:after="0"/>
              <w:rPr>
                <w:sz w:val="20"/>
                <w:szCs w:val="20"/>
                <w:color w:val="auto"/>
              </w:rPr>
            </w:pPr>
            <w:r>
              <w:rPr>
                <w:rFonts w:ascii="Courier New" w:cs="Courier New" w:eastAsia="Courier New" w:hAnsi="Courier New"/>
                <w:sz w:val="15"/>
                <w:szCs w:val="15"/>
                <w:color w:val="auto"/>
              </w:rPr>
              <w:t>Opinion of Samuel P. Fried, Esq.</w:t>
            </w:r>
          </w:p>
        </w:tc>
        <w:tc>
          <w:tcPr>
            <w:tcW w:w="1400" w:type="dxa"/>
            <w:vAlign w:val="bottom"/>
          </w:tcPr>
          <w:p>
            <w:pPr>
              <w:spacing w:after="0"/>
              <w:rPr>
                <w:sz w:val="24"/>
                <w:szCs w:val="24"/>
                <w:color w:val="auto"/>
              </w:rPr>
            </w:pPr>
          </w:p>
        </w:tc>
      </w:tr>
      <w:tr>
        <w:trPr>
          <w:trHeight w:val="336"/>
        </w:trPr>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88"/>
              </w:rPr>
              <w:t>7.</w:t>
            </w:r>
          </w:p>
        </w:tc>
        <w:tc>
          <w:tcPr>
            <w:tcW w:w="5320" w:type="dxa"/>
            <w:vAlign w:val="bottom"/>
          </w:tcPr>
          <w:p>
            <w:pPr>
              <w:ind w:left="80"/>
              <w:spacing w:after="0"/>
              <w:rPr>
                <w:sz w:val="20"/>
                <w:szCs w:val="20"/>
                <w:color w:val="auto"/>
              </w:rPr>
            </w:pPr>
            <w:r>
              <w:rPr>
                <w:rFonts w:ascii="Courier New" w:cs="Courier New" w:eastAsia="Courier New" w:hAnsi="Courier New"/>
                <w:sz w:val="15"/>
                <w:szCs w:val="15"/>
                <w:color w:val="auto"/>
              </w:rPr>
              <w:t>Opinion of Davis Polk &amp; Wardwell</w:t>
            </w:r>
          </w:p>
        </w:tc>
        <w:tc>
          <w:tcPr>
            <w:tcW w:w="1400" w:type="dxa"/>
            <w:vAlign w:val="bottom"/>
          </w:tcPr>
          <w:p>
            <w:pPr>
              <w:spacing w:after="0"/>
              <w:rPr>
                <w:sz w:val="24"/>
                <w:szCs w:val="24"/>
                <w:color w:val="auto"/>
              </w:rPr>
            </w:pPr>
          </w:p>
        </w:tc>
      </w:tr>
      <w:tr>
        <w:trPr>
          <w:trHeight w:val="336"/>
        </w:trPr>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88"/>
              </w:rPr>
              <w:t>8.</w:t>
            </w:r>
          </w:p>
        </w:tc>
        <w:tc>
          <w:tcPr>
            <w:tcW w:w="5320" w:type="dxa"/>
            <w:vAlign w:val="bottom"/>
          </w:tcPr>
          <w:p>
            <w:pPr>
              <w:ind w:left="80"/>
              <w:spacing w:after="0"/>
              <w:rPr>
                <w:sz w:val="20"/>
                <w:szCs w:val="20"/>
                <w:color w:val="auto"/>
              </w:rPr>
            </w:pPr>
            <w:r>
              <w:rPr>
                <w:rFonts w:ascii="Courier New" w:cs="Courier New" w:eastAsia="Courier New" w:hAnsi="Courier New"/>
                <w:sz w:val="15"/>
                <w:szCs w:val="15"/>
                <w:color w:val="auto"/>
              </w:rPr>
              <w:t>Opinion of Cravath, Swaine &amp; Moore</w:t>
            </w:r>
          </w:p>
        </w:tc>
        <w:tc>
          <w:tcPr>
            <w:tcW w:w="1400" w:type="dxa"/>
            <w:vAlign w:val="bottom"/>
          </w:tcPr>
          <w:p>
            <w:pPr>
              <w:spacing w:after="0"/>
              <w:rPr>
                <w:sz w:val="24"/>
                <w:szCs w:val="24"/>
                <w:color w:val="auto"/>
              </w:rPr>
            </w:pPr>
          </w:p>
        </w:tc>
      </w:tr>
    </w:tbl>
    <w:p>
      <w:pPr>
        <w:sectPr>
          <w:pgSz w:w="11900" w:h="16838" w:orient="portrait"/>
          <w:cols w:equalWidth="0" w:num="1">
            <w:col w:w="10239"/>
          </w:cols>
          <w:pgMar w:left="220" w:top="303" w:right="1440" w:bottom="1440" w:gutter="0" w:footer="0" w:header="0"/>
        </w:sectPr>
      </w:pPr>
    </w:p>
    <w:bookmarkStart w:id="21" w:name="page22"/>
    <w:bookmarkEnd w:id="21"/>
    <w:p>
      <w:pPr>
        <w:jc w:val="right"/>
        <w:ind w:right="3239"/>
        <w:spacing w:after="0"/>
        <w:rPr>
          <w:sz w:val="20"/>
          <w:szCs w:val="20"/>
          <w:color w:val="auto"/>
        </w:rPr>
      </w:pPr>
      <w:r>
        <w:rPr>
          <w:rFonts w:ascii="Courier New" w:cs="Courier New" w:eastAsia="Courier New" w:hAnsi="Courier New"/>
          <w:sz w:val="15"/>
          <w:szCs w:val="15"/>
          <w:color w:val="auto"/>
        </w:rPr>
        <w:t>CONFORMED COPY</w:t>
      </w:r>
    </w:p>
    <w:p>
      <w:pPr>
        <w:spacing w:after="0" w:line="200" w:lineRule="exact"/>
        <w:rPr>
          <w:sz w:val="20"/>
          <w:szCs w:val="20"/>
          <w:color w:val="auto"/>
        </w:rPr>
      </w:pPr>
    </w:p>
    <w:p>
      <w:pPr>
        <w:spacing w:after="0" w:line="303"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5"/>
          <w:szCs w:val="15"/>
          <w:color w:val="auto"/>
        </w:rPr>
        <w:t>CREDIT AGREEMENT</w:t>
      </w:r>
    </w:p>
    <w:p>
      <w:pPr>
        <w:jc w:val="center"/>
        <w:ind w:right="4279"/>
        <w:spacing w:after="0" w:line="237" w:lineRule="auto"/>
        <w:rPr>
          <w:sz w:val="20"/>
          <w:szCs w:val="20"/>
          <w:color w:val="auto"/>
        </w:rPr>
      </w:pPr>
      <w:r>
        <w:rPr>
          <w:rFonts w:ascii="Courier New" w:cs="Courier New" w:eastAsia="Courier New" w:hAnsi="Courier New"/>
          <w:sz w:val="15"/>
          <w:szCs w:val="15"/>
          <w:color w:val="auto"/>
        </w:rPr>
        <w:t>AMONG</w:t>
      </w:r>
    </w:p>
    <w:p>
      <w:pPr>
        <w:jc w:val="center"/>
        <w:ind w:right="4199"/>
        <w:spacing w:after="0" w:line="238" w:lineRule="auto"/>
        <w:rPr>
          <w:sz w:val="20"/>
          <w:szCs w:val="20"/>
          <w:color w:val="auto"/>
        </w:rPr>
      </w:pPr>
      <w:r>
        <w:rPr>
          <w:rFonts w:ascii="Courier New" w:cs="Courier New" w:eastAsia="Courier New" w:hAnsi="Courier New"/>
          <w:sz w:val="15"/>
          <w:szCs w:val="15"/>
          <w:color w:val="auto"/>
        </w:rPr>
        <w:t>THE LIMITED, INC.,</w:t>
      </w:r>
    </w:p>
    <w:p>
      <w:pPr>
        <w:spacing w:after="0" w:line="5"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4"/>
          <w:szCs w:val="14"/>
          <w:color w:val="auto"/>
        </w:rPr>
        <w:t>THE BANKS LISTED ON THE SIGNATURE PAGES OF THIS AGREEMENT,</w:t>
      </w:r>
    </w:p>
    <w:p>
      <w:pPr>
        <w:spacing w:after="0" w:line="3"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5"/>
          <w:szCs w:val="15"/>
          <w:color w:val="auto"/>
        </w:rPr>
        <w:t>MORGAN GUARANTY TRUST COMPANY OF NEW YORK,</w:t>
      </w:r>
    </w:p>
    <w:p>
      <w:pPr>
        <w:jc w:val="center"/>
        <w:ind w:right="4279"/>
        <w:spacing w:after="0" w:line="237" w:lineRule="auto"/>
        <w:rPr>
          <w:sz w:val="20"/>
          <w:szCs w:val="20"/>
          <w:color w:val="auto"/>
        </w:rPr>
      </w:pPr>
      <w:r>
        <w:rPr>
          <w:rFonts w:ascii="Courier New" w:cs="Courier New" w:eastAsia="Courier New" w:hAnsi="Courier New"/>
          <w:sz w:val="15"/>
          <w:szCs w:val="15"/>
          <w:color w:val="auto"/>
        </w:rPr>
        <w:t>as AGENT,</w:t>
      </w:r>
    </w:p>
    <w:p>
      <w:pPr>
        <w:spacing w:after="0" w:line="167"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CITIBANK, N.A.</w:t>
      </w:r>
    </w:p>
    <w:p>
      <w:pPr>
        <w:ind w:left="2360"/>
        <w:spacing w:after="0" w:line="237" w:lineRule="auto"/>
        <w:rPr>
          <w:sz w:val="20"/>
          <w:szCs w:val="20"/>
          <w:color w:val="auto"/>
        </w:rPr>
      </w:pPr>
      <w:r>
        <w:rPr>
          <w:rFonts w:ascii="Courier New" w:cs="Courier New" w:eastAsia="Courier New" w:hAnsi="Courier New"/>
          <w:sz w:val="15"/>
          <w:szCs w:val="15"/>
          <w:color w:val="auto"/>
        </w:rPr>
        <w:t>and</w:t>
      </w:r>
    </w:p>
    <w:p>
      <w:pPr>
        <w:ind w:left="1040"/>
        <w:spacing w:after="0" w:line="238" w:lineRule="auto"/>
        <w:rPr>
          <w:sz w:val="20"/>
          <w:szCs w:val="20"/>
          <w:color w:val="auto"/>
        </w:rPr>
      </w:pPr>
      <w:r>
        <w:rPr>
          <w:rFonts w:ascii="Courier New" w:cs="Courier New" w:eastAsia="Courier New" w:hAnsi="Courier New"/>
          <w:sz w:val="15"/>
          <w:szCs w:val="15"/>
          <w:color w:val="auto"/>
        </w:rPr>
        <w:t>DEUTSCHE BANK AG, NEW YORK BRANCH</w:t>
      </w:r>
    </w:p>
    <w:p>
      <w:pPr>
        <w:ind w:left="1740"/>
        <w:spacing w:after="0" w:line="237" w:lineRule="auto"/>
        <w:rPr>
          <w:sz w:val="20"/>
          <w:szCs w:val="20"/>
          <w:color w:val="auto"/>
        </w:rPr>
      </w:pPr>
      <w:r>
        <w:rPr>
          <w:rFonts w:ascii="Courier New" w:cs="Courier New" w:eastAsia="Courier New" w:hAnsi="Courier New"/>
          <w:sz w:val="15"/>
          <w:szCs w:val="15"/>
          <w:color w:val="auto"/>
        </w:rPr>
        <w:t>as MANAGING AGENTS</w:t>
      </w:r>
    </w:p>
    <w:p>
      <w:pPr>
        <w:spacing w:after="0" w:line="167"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AND</w:t>
      </w:r>
    </w:p>
    <w:p>
      <w:pPr>
        <w:spacing w:after="0" w:line="166"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CHEMICAL BANK,</w:t>
      </w:r>
    </w:p>
    <w:p>
      <w:pPr>
        <w:ind w:left="960"/>
        <w:spacing w:after="0" w:line="237" w:lineRule="auto"/>
        <w:rPr>
          <w:sz w:val="20"/>
          <w:szCs w:val="20"/>
          <w:color w:val="auto"/>
        </w:rPr>
      </w:pPr>
      <w:r>
        <w:rPr>
          <w:rFonts w:ascii="Courier New" w:cs="Courier New" w:eastAsia="Courier New" w:hAnsi="Courier New"/>
          <w:sz w:val="15"/>
          <w:szCs w:val="15"/>
          <w:color w:val="auto"/>
        </w:rPr>
        <w:t>THE FIRST NATIONAL BANK OF CHICAGO,</w:t>
      </w:r>
    </w:p>
    <w:p>
      <w:pPr>
        <w:ind w:left="340"/>
        <w:spacing w:after="0" w:line="238" w:lineRule="auto"/>
        <w:rPr>
          <w:sz w:val="20"/>
          <w:szCs w:val="20"/>
          <w:color w:val="auto"/>
        </w:rPr>
      </w:pPr>
      <w:r>
        <w:rPr>
          <w:rFonts w:ascii="Courier New" w:cs="Courier New" w:eastAsia="Courier New" w:hAnsi="Courier New"/>
          <w:sz w:val="15"/>
          <w:szCs w:val="15"/>
          <w:color w:val="auto"/>
        </w:rPr>
        <w:t>THE HONG KONG &amp; SHANGHAI BANKING CORPORATION LTD.,</w:t>
      </w:r>
    </w:p>
    <w:p>
      <w:pPr>
        <w:ind w:left="2360"/>
        <w:spacing w:after="0" w:line="237" w:lineRule="auto"/>
        <w:rPr>
          <w:sz w:val="20"/>
          <w:szCs w:val="20"/>
          <w:color w:val="auto"/>
        </w:rPr>
      </w:pPr>
      <w:r>
        <w:rPr>
          <w:rFonts w:ascii="Courier New" w:cs="Courier New" w:eastAsia="Courier New" w:hAnsi="Courier New"/>
          <w:sz w:val="15"/>
          <w:szCs w:val="15"/>
          <w:color w:val="auto"/>
        </w:rPr>
        <w:t>and</w:t>
      </w:r>
    </w:p>
    <w:p>
      <w:pPr>
        <w:ind w:left="1740"/>
        <w:spacing w:after="0" w:line="238" w:lineRule="auto"/>
        <w:rPr>
          <w:sz w:val="20"/>
          <w:szCs w:val="20"/>
          <w:color w:val="auto"/>
        </w:rPr>
      </w:pPr>
      <w:r>
        <w:rPr>
          <w:rFonts w:ascii="Courier New" w:cs="Courier New" w:eastAsia="Courier New" w:hAnsi="Courier New"/>
          <w:sz w:val="15"/>
          <w:szCs w:val="15"/>
          <w:color w:val="auto"/>
        </w:rPr>
        <w:t>NATIONSBANK, N.A.</w:t>
      </w:r>
    </w:p>
    <w:p>
      <w:pPr>
        <w:ind w:left="2000"/>
        <w:spacing w:after="0" w:line="237" w:lineRule="auto"/>
        <w:rPr>
          <w:sz w:val="20"/>
          <w:szCs w:val="20"/>
          <w:color w:val="auto"/>
        </w:rPr>
      </w:pPr>
      <w:r>
        <w:rPr>
          <w:rFonts w:ascii="Courier New" w:cs="Courier New" w:eastAsia="Courier New" w:hAnsi="Courier New"/>
          <w:sz w:val="15"/>
          <w:szCs w:val="15"/>
          <w:color w:val="auto"/>
        </w:rPr>
        <w:t>as CO-AGENTS</w:t>
      </w:r>
    </w:p>
    <w:p>
      <w:pPr>
        <w:sectPr>
          <w:pgSz w:w="11900" w:h="16838" w:orient="portrait"/>
          <w:cols w:equalWidth="0" w:num="1">
            <w:col w:w="9259"/>
          </w:cols>
          <w:pgMar w:left="1200" w:top="617" w:right="1440" w:bottom="1440" w:gutter="0" w:footer="0" w:header="0"/>
        </w:sectPr>
      </w:pPr>
    </w:p>
    <w:bookmarkStart w:id="22" w:name="page23"/>
    <w:bookmarkEnd w:id="22"/>
    <w:p>
      <w:pPr>
        <w:ind w:left="2020"/>
        <w:spacing w:after="0"/>
        <w:rPr>
          <w:sz w:val="20"/>
          <w:szCs w:val="20"/>
          <w:color w:val="auto"/>
        </w:rPr>
      </w:pPr>
      <w:r>
        <w:rPr>
          <w:rFonts w:ascii="Courier New" w:cs="Courier New" w:eastAsia="Courier New" w:hAnsi="Courier New"/>
          <w:sz w:val="15"/>
          <w:szCs w:val="15"/>
          <w:color w:val="auto"/>
        </w:rPr>
        <w:t>CREDIT AGREEMENT</w:t>
      </w:r>
    </w:p>
    <w:p>
      <w:pPr>
        <w:spacing w:after="0" w:line="5"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TABLE OF CONTENTS</w:t>
      </w:r>
    </w:p>
    <w:p>
      <w:pPr>
        <w:sectPr>
          <w:pgSz w:w="11900" w:h="16838" w:orient="portrait"/>
          <w:cols w:equalWidth="0" w:num="1">
            <w:col w:w="10239"/>
          </w:cols>
          <w:pgMar w:left="220" w:top="617" w:right="1440" w:bottom="1440" w:gutter="0" w:footer="0" w:header="0"/>
        </w:sect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5000" w:space="0"/>
            <w:col w:w="5239"/>
          </w:cols>
          <w:pgMar w:left="220" w:top="617" w:right="1440" w:bottom="1440" w:gutter="0" w:footer="0" w:header="0"/>
          <w:type w:val="continuous"/>
        </w:sectPr>
      </w:pPr>
    </w:p>
    <w:p>
      <w:pPr>
        <w:spacing w:after="0" w:line="140" w:lineRule="exact"/>
        <w:rPr>
          <w:sz w:val="20"/>
          <w:szCs w:val="20"/>
          <w:color w:val="auto"/>
        </w:rPr>
      </w:pPr>
    </w:p>
    <w:p>
      <w:pPr>
        <w:ind w:left="360" w:hanging="350"/>
        <w:spacing w:after="0"/>
        <w:tabs>
          <w:tab w:leader="none" w:pos="36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ind w:left="360"/>
        <w:spacing w:after="0"/>
        <w:tabs>
          <w:tab w:leader="none" w:pos="860" w:val="left"/>
          <w:tab w:leader="dot" w:pos="5240" w:val="left"/>
        </w:tabs>
        <w:rPr>
          <w:sz w:val="20"/>
          <w:szCs w:val="20"/>
          <w:color w:val="auto"/>
        </w:rPr>
      </w:pPr>
      <w:r>
        <w:rPr>
          <w:rFonts w:ascii="Courier New" w:cs="Courier New" w:eastAsia="Courier New" w:hAnsi="Courier New"/>
          <w:sz w:val="15"/>
          <w:szCs w:val="15"/>
          <w:color w:val="auto"/>
        </w:rPr>
        <w:t>1.1.</w:t>
        <w:tab/>
        <w:t>Capitalized Terms</w:t>
      </w:r>
      <w:r>
        <w:rPr>
          <w:sz w:val="20"/>
          <w:szCs w:val="20"/>
          <w:color w:val="auto"/>
        </w:rPr>
        <w:tab/>
      </w:r>
      <w:r>
        <w:rPr>
          <w:rFonts w:ascii="Courier New" w:cs="Courier New" w:eastAsia="Courier New" w:hAnsi="Courier New"/>
          <w:sz w:val="12"/>
          <w:szCs w:val="12"/>
          <w:color w:val="auto"/>
        </w:rPr>
        <w:t>1</w:t>
      </w:r>
    </w:p>
    <w:p>
      <w:pPr>
        <w:ind w:left="360"/>
        <w:spacing w:after="0"/>
        <w:tabs>
          <w:tab w:leader="none" w:pos="860" w:val="left"/>
          <w:tab w:leader="dot" w:pos="5160" w:val="left"/>
        </w:tabs>
        <w:rPr>
          <w:sz w:val="20"/>
          <w:szCs w:val="20"/>
          <w:color w:val="auto"/>
        </w:rPr>
      </w:pPr>
      <w:r>
        <w:rPr>
          <w:rFonts w:ascii="Courier New" w:cs="Courier New" w:eastAsia="Courier New" w:hAnsi="Courier New"/>
          <w:sz w:val="15"/>
          <w:szCs w:val="15"/>
          <w:color w:val="auto"/>
        </w:rPr>
        <w:t>1.2.</w:t>
        <w:tab/>
        <w:t>Accounting Terms and Determinations</w:t>
      </w:r>
      <w:r>
        <w:rPr>
          <w:sz w:val="20"/>
          <w:szCs w:val="20"/>
          <w:color w:val="auto"/>
        </w:rPr>
        <w:tab/>
      </w:r>
      <w:r>
        <w:rPr>
          <w:rFonts w:ascii="Courier New" w:cs="Courier New" w:eastAsia="Courier New" w:hAnsi="Courier New"/>
          <w:sz w:val="12"/>
          <w:szCs w:val="12"/>
          <w:color w:val="auto"/>
        </w:rPr>
        <w:t>14</w:t>
      </w:r>
    </w:p>
    <w:p>
      <w:pPr>
        <w:ind w:left="360"/>
        <w:spacing w:after="0"/>
        <w:tabs>
          <w:tab w:leader="none" w:pos="860" w:val="left"/>
          <w:tab w:leader="dot" w:pos="5160" w:val="left"/>
        </w:tabs>
        <w:rPr>
          <w:sz w:val="20"/>
          <w:szCs w:val="20"/>
          <w:color w:val="auto"/>
        </w:rPr>
      </w:pPr>
      <w:r>
        <w:rPr>
          <w:rFonts w:ascii="Courier New" w:cs="Courier New" w:eastAsia="Courier New" w:hAnsi="Courier New"/>
          <w:sz w:val="15"/>
          <w:szCs w:val="15"/>
          <w:color w:val="auto"/>
        </w:rPr>
        <w:t>1.3.</w:t>
        <w:tab/>
        <w:t>Types of Borrowings</w:t>
      </w:r>
      <w:r>
        <w:rPr>
          <w:sz w:val="20"/>
          <w:szCs w:val="20"/>
          <w:color w:val="auto"/>
        </w:rPr>
        <w:tab/>
      </w:r>
      <w:r>
        <w:rPr>
          <w:rFonts w:ascii="Courier New" w:cs="Courier New" w:eastAsia="Courier New" w:hAnsi="Courier New"/>
          <w:sz w:val="12"/>
          <w:szCs w:val="12"/>
          <w:color w:val="auto"/>
        </w:rPr>
        <w:t>14</w:t>
      </w:r>
    </w:p>
    <w:p>
      <w:pPr>
        <w:spacing w:after="0" w:line="167" w:lineRule="exact"/>
        <w:rPr>
          <w:sz w:val="20"/>
          <w:szCs w:val="20"/>
          <w:color w:val="auto"/>
        </w:rPr>
      </w:pPr>
    </w:p>
    <w:p>
      <w:pPr>
        <w:ind w:left="360" w:hanging="350"/>
        <w:spacing w:after="0"/>
        <w:tabs>
          <w:tab w:leader="none" w:pos="36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BORROWINGS</w:t>
      </w:r>
    </w:p>
    <w:p>
      <w:pPr>
        <w:ind w:left="360"/>
        <w:spacing w:after="0"/>
        <w:tabs>
          <w:tab w:leader="none" w:pos="860" w:val="left"/>
          <w:tab w:leader="dot" w:pos="5160" w:val="left"/>
        </w:tabs>
        <w:rPr>
          <w:sz w:val="20"/>
          <w:szCs w:val="20"/>
          <w:color w:val="auto"/>
        </w:rPr>
      </w:pPr>
      <w:r>
        <w:rPr>
          <w:rFonts w:ascii="Courier New" w:cs="Courier New" w:eastAsia="Courier New" w:hAnsi="Courier New"/>
          <w:sz w:val="15"/>
          <w:szCs w:val="15"/>
          <w:color w:val="auto"/>
        </w:rPr>
        <w:t>2.1.</w:t>
        <w:tab/>
        <w:t>Commitments to Make Syndicated Loans</w:t>
      </w:r>
      <w:r>
        <w:rPr>
          <w:sz w:val="20"/>
          <w:szCs w:val="20"/>
          <w:color w:val="auto"/>
        </w:rPr>
        <w:tab/>
      </w:r>
      <w:r>
        <w:rPr>
          <w:rFonts w:ascii="Courier New" w:cs="Courier New" w:eastAsia="Courier New" w:hAnsi="Courier New"/>
          <w:sz w:val="12"/>
          <w:szCs w:val="12"/>
          <w:color w:val="auto"/>
        </w:rPr>
        <w:t>15</w:t>
      </w:r>
    </w:p>
    <w:p>
      <w:pPr>
        <w:ind w:left="360"/>
        <w:spacing w:after="0"/>
        <w:tabs>
          <w:tab w:leader="none" w:pos="860" w:val="left"/>
          <w:tab w:leader="dot" w:pos="5160" w:val="left"/>
        </w:tabs>
        <w:rPr>
          <w:sz w:val="20"/>
          <w:szCs w:val="20"/>
          <w:color w:val="auto"/>
        </w:rPr>
      </w:pPr>
      <w:r>
        <w:rPr>
          <w:rFonts w:ascii="Courier New" w:cs="Courier New" w:eastAsia="Courier New" w:hAnsi="Courier New"/>
          <w:sz w:val="15"/>
          <w:szCs w:val="15"/>
          <w:color w:val="auto"/>
        </w:rPr>
        <w:t>2.2.</w:t>
        <w:tab/>
        <w:t>Notice of Syndicated Borrowings</w:t>
      </w:r>
      <w:r>
        <w:rPr>
          <w:sz w:val="20"/>
          <w:szCs w:val="20"/>
          <w:color w:val="auto"/>
        </w:rPr>
        <w:tab/>
      </w:r>
      <w:r>
        <w:rPr>
          <w:rFonts w:ascii="Courier New" w:cs="Courier New" w:eastAsia="Courier New" w:hAnsi="Courier New"/>
          <w:sz w:val="12"/>
          <w:szCs w:val="12"/>
          <w:color w:val="auto"/>
        </w:rPr>
        <w:t>16</w:t>
      </w:r>
    </w:p>
    <w:p>
      <w:pPr>
        <w:ind w:left="360"/>
        <w:spacing w:after="0"/>
        <w:tabs>
          <w:tab w:leader="none" w:pos="860" w:val="left"/>
          <w:tab w:leader="dot" w:pos="5160" w:val="left"/>
        </w:tabs>
        <w:rPr>
          <w:sz w:val="20"/>
          <w:szCs w:val="20"/>
          <w:color w:val="auto"/>
        </w:rPr>
      </w:pPr>
      <w:r>
        <w:rPr>
          <w:rFonts w:ascii="Courier New" w:cs="Courier New" w:eastAsia="Courier New" w:hAnsi="Courier New"/>
          <w:sz w:val="15"/>
          <w:szCs w:val="15"/>
          <w:color w:val="auto"/>
        </w:rPr>
        <w:t>2.3.</w:t>
        <w:tab/>
        <w:t>Money Market Borrowings</w:t>
      </w:r>
      <w:r>
        <w:rPr>
          <w:sz w:val="20"/>
          <w:szCs w:val="20"/>
          <w:color w:val="auto"/>
        </w:rPr>
        <w:tab/>
      </w:r>
      <w:r>
        <w:rPr>
          <w:rFonts w:ascii="Courier New" w:cs="Courier New" w:eastAsia="Courier New" w:hAnsi="Courier New"/>
          <w:sz w:val="12"/>
          <w:szCs w:val="12"/>
          <w:color w:val="auto"/>
        </w:rPr>
        <w:t>17</w:t>
      </w:r>
    </w:p>
    <w:p>
      <w:pPr>
        <w:ind w:left="360"/>
        <w:spacing w:after="0"/>
        <w:tabs>
          <w:tab w:leader="none" w:pos="860" w:val="left"/>
          <w:tab w:leader="dot" w:pos="5160" w:val="left"/>
        </w:tabs>
        <w:rPr>
          <w:sz w:val="20"/>
          <w:szCs w:val="20"/>
          <w:color w:val="auto"/>
        </w:rPr>
      </w:pPr>
      <w:r>
        <w:rPr>
          <w:rFonts w:ascii="Courier New" w:cs="Courier New" w:eastAsia="Courier New" w:hAnsi="Courier New"/>
          <w:sz w:val="15"/>
          <w:szCs w:val="15"/>
          <w:color w:val="auto"/>
        </w:rPr>
        <w:t>2.4.</w:t>
        <w:tab/>
        <w:t>Notice to Banks; Funding of Loans</w:t>
      </w:r>
      <w:r>
        <w:rPr>
          <w:sz w:val="20"/>
          <w:szCs w:val="20"/>
          <w:color w:val="auto"/>
        </w:rPr>
        <w:tab/>
      </w:r>
      <w:r>
        <w:rPr>
          <w:rFonts w:ascii="Courier New" w:cs="Courier New" w:eastAsia="Courier New" w:hAnsi="Courier New"/>
          <w:sz w:val="12"/>
          <w:szCs w:val="12"/>
          <w:color w:val="auto"/>
        </w:rPr>
        <w:t>21</w:t>
      </w:r>
    </w:p>
    <w:p>
      <w:pPr>
        <w:ind w:left="360"/>
        <w:spacing w:after="0"/>
        <w:tabs>
          <w:tab w:leader="none" w:pos="860" w:val="left"/>
          <w:tab w:leader="dot" w:pos="5160" w:val="left"/>
        </w:tabs>
        <w:rPr>
          <w:sz w:val="20"/>
          <w:szCs w:val="20"/>
          <w:color w:val="auto"/>
        </w:rPr>
      </w:pPr>
      <w:r>
        <w:rPr>
          <w:rFonts w:ascii="Courier New" w:cs="Courier New" w:eastAsia="Courier New" w:hAnsi="Courier New"/>
          <w:sz w:val="15"/>
          <w:szCs w:val="15"/>
          <w:color w:val="auto"/>
        </w:rPr>
        <w:t>2.5.</w:t>
        <w:tab/>
        <w:t>Notes</w:t>
      </w:r>
      <w:r>
        <w:rPr>
          <w:sz w:val="20"/>
          <w:szCs w:val="20"/>
          <w:color w:val="auto"/>
        </w:rPr>
        <w:tab/>
      </w:r>
      <w:r>
        <w:rPr>
          <w:rFonts w:ascii="Courier New" w:cs="Courier New" w:eastAsia="Courier New" w:hAnsi="Courier New"/>
          <w:sz w:val="12"/>
          <w:szCs w:val="12"/>
          <w:color w:val="auto"/>
        </w:rPr>
        <w:t>22</w:t>
      </w:r>
    </w:p>
    <w:p>
      <w:pPr>
        <w:ind w:left="360"/>
        <w:spacing w:after="0"/>
        <w:tabs>
          <w:tab w:leader="none" w:pos="860" w:val="left"/>
          <w:tab w:leader="dot" w:pos="5160" w:val="left"/>
        </w:tabs>
        <w:rPr>
          <w:sz w:val="20"/>
          <w:szCs w:val="20"/>
          <w:color w:val="auto"/>
        </w:rPr>
      </w:pPr>
      <w:r>
        <w:rPr>
          <w:rFonts w:ascii="Courier New" w:cs="Courier New" w:eastAsia="Courier New" w:hAnsi="Courier New"/>
          <w:sz w:val="15"/>
          <w:szCs w:val="15"/>
          <w:color w:val="auto"/>
        </w:rPr>
        <w:t>2.6.</w:t>
        <w:tab/>
        <w:t>Maturity of Loans</w:t>
      </w:r>
      <w:r>
        <w:rPr>
          <w:sz w:val="20"/>
          <w:szCs w:val="20"/>
          <w:color w:val="auto"/>
        </w:rPr>
        <w:tab/>
      </w:r>
      <w:r>
        <w:rPr>
          <w:rFonts w:ascii="Courier New" w:cs="Courier New" w:eastAsia="Courier New" w:hAnsi="Courier New"/>
          <w:sz w:val="12"/>
          <w:szCs w:val="12"/>
          <w:color w:val="auto"/>
        </w:rPr>
        <w:t>23</w:t>
      </w:r>
    </w:p>
    <w:p>
      <w:pPr>
        <w:ind w:left="360"/>
        <w:spacing w:after="0"/>
        <w:tabs>
          <w:tab w:leader="none" w:pos="860" w:val="left"/>
          <w:tab w:leader="dot" w:pos="5160" w:val="left"/>
        </w:tabs>
        <w:rPr>
          <w:sz w:val="20"/>
          <w:szCs w:val="20"/>
          <w:color w:val="auto"/>
        </w:rPr>
      </w:pPr>
      <w:r>
        <w:rPr>
          <w:rFonts w:ascii="Courier New" w:cs="Courier New" w:eastAsia="Courier New" w:hAnsi="Courier New"/>
          <w:sz w:val="15"/>
          <w:szCs w:val="15"/>
          <w:color w:val="auto"/>
        </w:rPr>
        <w:t>2.7.</w:t>
        <w:tab/>
        <w:t>Interest Rates</w:t>
      </w:r>
      <w:r>
        <w:rPr>
          <w:sz w:val="20"/>
          <w:szCs w:val="20"/>
          <w:color w:val="auto"/>
        </w:rPr>
        <w:tab/>
      </w:r>
      <w:r>
        <w:rPr>
          <w:rFonts w:ascii="Courier New" w:cs="Courier New" w:eastAsia="Courier New" w:hAnsi="Courier New"/>
          <w:sz w:val="12"/>
          <w:szCs w:val="12"/>
          <w:color w:val="auto"/>
        </w:rPr>
        <w:t>23</w:t>
      </w:r>
    </w:p>
    <w:p>
      <w:pPr>
        <w:ind w:left="360"/>
        <w:spacing w:after="0"/>
        <w:tabs>
          <w:tab w:leader="none" w:pos="860" w:val="left"/>
          <w:tab w:leader="dot" w:pos="5160" w:val="left"/>
        </w:tabs>
        <w:rPr>
          <w:sz w:val="20"/>
          <w:szCs w:val="20"/>
          <w:color w:val="auto"/>
        </w:rPr>
      </w:pPr>
      <w:r>
        <w:rPr>
          <w:rFonts w:ascii="Courier New" w:cs="Courier New" w:eastAsia="Courier New" w:hAnsi="Courier New"/>
          <w:sz w:val="15"/>
          <w:szCs w:val="15"/>
          <w:color w:val="auto"/>
        </w:rPr>
        <w:t>2.8.</w:t>
        <w:tab/>
        <w:t>Facility Fees</w:t>
      </w:r>
      <w:r>
        <w:rPr>
          <w:sz w:val="20"/>
          <w:szCs w:val="20"/>
          <w:color w:val="auto"/>
        </w:rPr>
        <w:tab/>
      </w:r>
      <w:r>
        <w:rPr>
          <w:rFonts w:ascii="Courier New" w:cs="Courier New" w:eastAsia="Courier New" w:hAnsi="Courier New"/>
          <w:sz w:val="12"/>
          <w:szCs w:val="12"/>
          <w:color w:val="auto"/>
        </w:rPr>
        <w:t>27</w:t>
      </w:r>
    </w:p>
    <w:p>
      <w:pPr>
        <w:ind w:left="360"/>
        <w:spacing w:after="0"/>
        <w:tabs>
          <w:tab w:leader="none" w:pos="860" w:val="left"/>
        </w:tabs>
        <w:rPr>
          <w:sz w:val="20"/>
          <w:szCs w:val="20"/>
          <w:color w:val="auto"/>
        </w:rPr>
      </w:pPr>
      <w:r>
        <w:rPr>
          <w:rFonts w:ascii="Courier New" w:cs="Courier New" w:eastAsia="Courier New" w:hAnsi="Courier New"/>
          <w:sz w:val="15"/>
          <w:szCs w:val="15"/>
          <w:color w:val="auto"/>
        </w:rPr>
        <w:t>2.9.</w:t>
      </w:r>
      <w:r>
        <w:rPr>
          <w:sz w:val="20"/>
          <w:szCs w:val="20"/>
          <w:color w:val="auto"/>
        </w:rPr>
        <w:tab/>
      </w:r>
      <w:r>
        <w:rPr>
          <w:rFonts w:ascii="Courier New" w:cs="Courier New" w:eastAsia="Courier New" w:hAnsi="Courier New"/>
          <w:sz w:val="14"/>
          <w:szCs w:val="14"/>
          <w:color w:val="auto"/>
        </w:rPr>
        <w:t>Termination or Reduction of Commitments;</w:t>
      </w:r>
    </w:p>
    <w:p>
      <w:pPr>
        <w:jc w:val="right"/>
        <w:ind w:right="4899"/>
        <w:spacing w:after="0"/>
        <w:tabs>
          <w:tab w:leader="dot" w:pos="140" w:val="left"/>
        </w:tabs>
        <w:rPr>
          <w:sz w:val="20"/>
          <w:szCs w:val="20"/>
          <w:color w:val="auto"/>
        </w:rPr>
      </w:pPr>
      <w:r>
        <w:rPr>
          <w:rFonts w:ascii="Courier New" w:cs="Courier New" w:eastAsia="Courier New" w:hAnsi="Courier New"/>
          <w:sz w:val="15"/>
          <w:szCs w:val="15"/>
          <w:color w:val="auto"/>
        </w:rPr>
        <w:t>Replacement of a Certificate Bank</w:t>
      </w:r>
      <w:r>
        <w:rPr>
          <w:sz w:val="20"/>
          <w:szCs w:val="20"/>
          <w:color w:val="auto"/>
        </w:rPr>
        <w:tab/>
      </w:r>
      <w:r>
        <w:rPr>
          <w:rFonts w:ascii="Courier New" w:cs="Courier New" w:eastAsia="Courier New" w:hAnsi="Courier New"/>
          <w:sz w:val="12"/>
          <w:szCs w:val="12"/>
          <w:color w:val="auto"/>
        </w:rPr>
        <w:t>28</w:t>
      </w:r>
    </w:p>
    <w:p>
      <w:pPr>
        <w:ind w:left="360"/>
        <w:spacing w:after="0"/>
        <w:tabs>
          <w:tab w:leader="dot" w:pos="5160" w:val="left"/>
        </w:tabs>
        <w:rPr>
          <w:sz w:val="20"/>
          <w:szCs w:val="20"/>
          <w:color w:val="auto"/>
        </w:rPr>
      </w:pPr>
      <w:r>
        <w:rPr>
          <w:rFonts w:ascii="Courier New" w:cs="Courier New" w:eastAsia="Courier New" w:hAnsi="Courier New"/>
          <w:sz w:val="15"/>
          <w:szCs w:val="15"/>
          <w:color w:val="auto"/>
        </w:rPr>
        <w:t>2.10. Optional Prepayments</w:t>
      </w:r>
      <w:r>
        <w:rPr>
          <w:sz w:val="20"/>
          <w:szCs w:val="20"/>
          <w:color w:val="auto"/>
        </w:rPr>
        <w:tab/>
      </w:r>
      <w:r>
        <w:rPr>
          <w:rFonts w:ascii="Courier New" w:cs="Courier New" w:eastAsia="Courier New" w:hAnsi="Courier New"/>
          <w:sz w:val="12"/>
          <w:szCs w:val="12"/>
          <w:color w:val="auto"/>
        </w:rPr>
        <w:t>30</w:t>
      </w:r>
    </w:p>
    <w:p>
      <w:pPr>
        <w:ind w:left="360"/>
        <w:spacing w:after="0"/>
        <w:tabs>
          <w:tab w:leader="dot" w:pos="5160" w:val="left"/>
        </w:tabs>
        <w:rPr>
          <w:sz w:val="20"/>
          <w:szCs w:val="20"/>
          <w:color w:val="auto"/>
        </w:rPr>
      </w:pPr>
      <w:r>
        <w:rPr>
          <w:rFonts w:ascii="Courier New" w:cs="Courier New" w:eastAsia="Courier New" w:hAnsi="Courier New"/>
          <w:sz w:val="15"/>
          <w:szCs w:val="15"/>
          <w:color w:val="auto"/>
        </w:rPr>
        <w:t>2.11. General Provisions as to Payments</w:t>
      </w:r>
      <w:r>
        <w:rPr>
          <w:sz w:val="20"/>
          <w:szCs w:val="20"/>
          <w:color w:val="auto"/>
        </w:rPr>
        <w:tab/>
      </w:r>
      <w:r>
        <w:rPr>
          <w:rFonts w:ascii="Courier New" w:cs="Courier New" w:eastAsia="Courier New" w:hAnsi="Courier New"/>
          <w:sz w:val="12"/>
          <w:szCs w:val="12"/>
          <w:color w:val="auto"/>
        </w:rPr>
        <w:t>30</w:t>
      </w:r>
    </w:p>
    <w:p>
      <w:pPr>
        <w:ind w:left="360"/>
        <w:spacing w:after="0"/>
        <w:tabs>
          <w:tab w:leader="dot" w:pos="5160" w:val="left"/>
        </w:tabs>
        <w:rPr>
          <w:sz w:val="20"/>
          <w:szCs w:val="20"/>
          <w:color w:val="auto"/>
        </w:rPr>
      </w:pPr>
      <w:r>
        <w:rPr>
          <w:rFonts w:ascii="Courier New" w:cs="Courier New" w:eastAsia="Courier New" w:hAnsi="Courier New"/>
          <w:sz w:val="15"/>
          <w:szCs w:val="15"/>
          <w:color w:val="auto"/>
        </w:rPr>
        <w:t>2.12. Funding Losses</w:t>
      </w:r>
      <w:r>
        <w:rPr>
          <w:sz w:val="20"/>
          <w:szCs w:val="20"/>
          <w:color w:val="auto"/>
        </w:rPr>
        <w:tab/>
      </w:r>
      <w:r>
        <w:rPr>
          <w:rFonts w:ascii="Courier New" w:cs="Courier New" w:eastAsia="Courier New" w:hAnsi="Courier New"/>
          <w:sz w:val="12"/>
          <w:szCs w:val="12"/>
          <w:color w:val="auto"/>
        </w:rPr>
        <w:t>31</w:t>
      </w:r>
    </w:p>
    <w:p>
      <w:pPr>
        <w:ind w:left="360"/>
        <w:spacing w:after="0"/>
        <w:tabs>
          <w:tab w:leader="dot" w:pos="5160" w:val="left"/>
        </w:tabs>
        <w:rPr>
          <w:sz w:val="20"/>
          <w:szCs w:val="20"/>
          <w:color w:val="auto"/>
        </w:rPr>
      </w:pPr>
      <w:r>
        <w:rPr>
          <w:rFonts w:ascii="Courier New" w:cs="Courier New" w:eastAsia="Courier New" w:hAnsi="Courier New"/>
          <w:sz w:val="15"/>
          <w:szCs w:val="15"/>
          <w:color w:val="auto"/>
        </w:rPr>
        <w:t>2.13. Computation of Interest and Fees</w:t>
      </w:r>
      <w:r>
        <w:rPr>
          <w:sz w:val="20"/>
          <w:szCs w:val="20"/>
          <w:color w:val="auto"/>
        </w:rPr>
        <w:tab/>
      </w:r>
      <w:r>
        <w:rPr>
          <w:rFonts w:ascii="Courier New" w:cs="Courier New" w:eastAsia="Courier New" w:hAnsi="Courier New"/>
          <w:sz w:val="12"/>
          <w:szCs w:val="12"/>
          <w:color w:val="auto"/>
        </w:rPr>
        <w:t>32</w:t>
      </w:r>
    </w:p>
    <w:p>
      <w:pPr>
        <w:ind w:left="360"/>
        <w:spacing w:after="0"/>
        <w:tabs>
          <w:tab w:leader="dot" w:pos="5160" w:val="left"/>
        </w:tabs>
        <w:rPr>
          <w:sz w:val="20"/>
          <w:szCs w:val="20"/>
          <w:color w:val="auto"/>
        </w:rPr>
      </w:pPr>
      <w:r>
        <w:rPr>
          <w:rFonts w:ascii="Courier New" w:cs="Courier New" w:eastAsia="Courier New" w:hAnsi="Courier New"/>
          <w:sz w:val="15"/>
          <w:szCs w:val="15"/>
          <w:color w:val="auto"/>
        </w:rPr>
        <w:t>2.14. Interest after Maturity</w:t>
      </w:r>
      <w:r>
        <w:rPr>
          <w:sz w:val="20"/>
          <w:szCs w:val="20"/>
          <w:color w:val="auto"/>
        </w:rPr>
        <w:tab/>
      </w:r>
      <w:r>
        <w:rPr>
          <w:rFonts w:ascii="Courier New" w:cs="Courier New" w:eastAsia="Courier New" w:hAnsi="Courier New"/>
          <w:sz w:val="12"/>
          <w:szCs w:val="12"/>
          <w:color w:val="auto"/>
        </w:rPr>
        <w:t>32</w:t>
      </w:r>
    </w:p>
    <w:p>
      <w:pPr>
        <w:ind w:left="360"/>
        <w:spacing w:after="0" w:line="238" w:lineRule="auto"/>
        <w:rPr>
          <w:sz w:val="20"/>
          <w:szCs w:val="20"/>
          <w:color w:val="auto"/>
        </w:rPr>
      </w:pPr>
      <w:r>
        <w:rPr>
          <w:rFonts w:ascii="Courier New" w:cs="Courier New" w:eastAsia="Courier New" w:hAnsi="Courier New"/>
          <w:sz w:val="15"/>
          <w:szCs w:val="15"/>
          <w:color w:val="auto"/>
        </w:rPr>
        <w:t>2.15. Basis for Determining Interest Rate</w:t>
      </w:r>
    </w:p>
    <w:p>
      <w:pPr>
        <w:jc w:val="right"/>
        <w:ind w:right="4899"/>
        <w:spacing w:after="0"/>
        <w:tabs>
          <w:tab w:leader="dot" w:pos="140" w:val="left"/>
        </w:tabs>
        <w:rPr>
          <w:sz w:val="20"/>
          <w:szCs w:val="20"/>
          <w:color w:val="auto"/>
        </w:rPr>
      </w:pPr>
      <w:r>
        <w:rPr>
          <w:rFonts w:ascii="Courier New" w:cs="Courier New" w:eastAsia="Courier New" w:hAnsi="Courier New"/>
          <w:sz w:val="15"/>
          <w:szCs w:val="15"/>
          <w:color w:val="auto"/>
        </w:rPr>
        <w:t>Inadequate or Unfair</w:t>
      </w:r>
      <w:r>
        <w:rPr>
          <w:sz w:val="20"/>
          <w:szCs w:val="20"/>
          <w:color w:val="auto"/>
        </w:rPr>
        <w:tab/>
      </w:r>
      <w:r>
        <w:rPr>
          <w:rFonts w:ascii="Courier New" w:cs="Courier New" w:eastAsia="Courier New" w:hAnsi="Courier New"/>
          <w:sz w:val="12"/>
          <w:szCs w:val="12"/>
          <w:color w:val="auto"/>
        </w:rPr>
        <w:t>33</w:t>
      </w:r>
    </w:p>
    <w:p>
      <w:pPr>
        <w:ind w:left="360"/>
        <w:spacing w:after="0"/>
        <w:tabs>
          <w:tab w:leader="dot" w:pos="5160" w:val="left"/>
        </w:tabs>
        <w:rPr>
          <w:sz w:val="20"/>
          <w:szCs w:val="20"/>
          <w:color w:val="auto"/>
        </w:rPr>
      </w:pPr>
      <w:r>
        <w:rPr>
          <w:rFonts w:ascii="Courier New" w:cs="Courier New" w:eastAsia="Courier New" w:hAnsi="Courier New"/>
          <w:sz w:val="15"/>
          <w:szCs w:val="15"/>
          <w:color w:val="auto"/>
        </w:rPr>
        <w:t>2.16. Illegality</w:t>
      </w:r>
      <w:r>
        <w:rPr>
          <w:sz w:val="20"/>
          <w:szCs w:val="20"/>
          <w:color w:val="auto"/>
        </w:rPr>
        <w:tab/>
      </w:r>
      <w:r>
        <w:rPr>
          <w:rFonts w:ascii="Courier New" w:cs="Courier New" w:eastAsia="Courier New" w:hAnsi="Courier New"/>
          <w:sz w:val="12"/>
          <w:szCs w:val="12"/>
          <w:color w:val="auto"/>
        </w:rPr>
        <w:t>33</w:t>
      </w:r>
    </w:p>
    <w:p>
      <w:pPr>
        <w:ind w:left="360"/>
        <w:spacing w:after="0"/>
        <w:tabs>
          <w:tab w:leader="dot" w:pos="5160" w:val="left"/>
        </w:tabs>
        <w:rPr>
          <w:sz w:val="20"/>
          <w:szCs w:val="20"/>
          <w:color w:val="auto"/>
        </w:rPr>
      </w:pPr>
      <w:r>
        <w:rPr>
          <w:rFonts w:ascii="Courier New" w:cs="Courier New" w:eastAsia="Courier New" w:hAnsi="Courier New"/>
          <w:sz w:val="15"/>
          <w:szCs w:val="15"/>
          <w:color w:val="auto"/>
        </w:rPr>
        <w:t>2.17. Increased Cost and Reduced Return</w:t>
      </w:r>
      <w:r>
        <w:rPr>
          <w:sz w:val="20"/>
          <w:szCs w:val="20"/>
          <w:color w:val="auto"/>
        </w:rPr>
        <w:tab/>
      </w:r>
      <w:r>
        <w:rPr>
          <w:rFonts w:ascii="Courier New" w:cs="Courier New" w:eastAsia="Courier New" w:hAnsi="Courier New"/>
          <w:sz w:val="12"/>
          <w:szCs w:val="12"/>
          <w:color w:val="auto"/>
        </w:rPr>
        <w:t>34</w:t>
      </w:r>
    </w:p>
    <w:p>
      <w:pPr>
        <w:ind w:left="360"/>
        <w:spacing w:after="0" w:line="238" w:lineRule="auto"/>
        <w:rPr>
          <w:sz w:val="20"/>
          <w:szCs w:val="20"/>
          <w:color w:val="auto"/>
        </w:rPr>
      </w:pPr>
      <w:r>
        <w:rPr>
          <w:rFonts w:ascii="Courier New" w:cs="Courier New" w:eastAsia="Courier New" w:hAnsi="Courier New"/>
          <w:sz w:val="15"/>
          <w:szCs w:val="15"/>
          <w:color w:val="auto"/>
        </w:rPr>
        <w:t>2.18. Base Rate Loans Substituted for Affected</w:t>
      </w:r>
    </w:p>
    <w:p>
      <w:pPr>
        <w:jc w:val="right"/>
        <w:ind w:right="4899"/>
        <w:spacing w:after="0"/>
        <w:tabs>
          <w:tab w:leader="dot" w:pos="140" w:val="left"/>
        </w:tabs>
        <w:rPr>
          <w:sz w:val="20"/>
          <w:szCs w:val="20"/>
          <w:color w:val="auto"/>
        </w:rPr>
      </w:pPr>
      <w:r>
        <w:rPr>
          <w:rFonts w:ascii="Courier New" w:cs="Courier New" w:eastAsia="Courier New" w:hAnsi="Courier New"/>
          <w:sz w:val="15"/>
          <w:szCs w:val="15"/>
          <w:color w:val="auto"/>
        </w:rPr>
        <w:t>Fixed Rate Loans</w:t>
      </w:r>
      <w:r>
        <w:rPr>
          <w:sz w:val="20"/>
          <w:szCs w:val="20"/>
          <w:color w:val="auto"/>
        </w:rPr>
        <w:tab/>
      </w:r>
      <w:r>
        <w:rPr>
          <w:rFonts w:ascii="Courier New" w:cs="Courier New" w:eastAsia="Courier New" w:hAnsi="Courier New"/>
          <w:sz w:val="12"/>
          <w:szCs w:val="12"/>
          <w:color w:val="auto"/>
        </w:rPr>
        <w:t>36</w:t>
      </w:r>
    </w:p>
    <w:p>
      <w:pPr>
        <w:sectPr>
          <w:pgSz w:w="11900" w:h="16838" w:orient="portrait"/>
          <w:cols w:equalWidth="0" w:num="1">
            <w:col w:w="10239"/>
          </w:cols>
          <w:pgMar w:left="220" w:top="617" w:right="1440" w:bottom="1440" w:gutter="0" w:footer="0" w:header="0"/>
          <w:type w:val="continuous"/>
        </w:sectPr>
      </w:pPr>
    </w:p>
    <w:bookmarkStart w:id="23" w:name="page24"/>
    <w:bookmarkEnd w:id="23"/>
    <w:p>
      <w:pPr>
        <w:spacing w:after="0"/>
        <w:rPr>
          <w:sz w:val="20"/>
          <w:szCs w:val="20"/>
          <w:color w:val="auto"/>
        </w:rPr>
      </w:pPr>
      <w:r>
        <w:rPr>
          <w:rFonts w:ascii="Courier New" w:cs="Courier New" w:eastAsia="Courier New" w:hAnsi="Courier New"/>
          <w:sz w:val="15"/>
          <w:szCs w:val="15"/>
          <w:color w:val="auto"/>
        </w:rPr>
        <w:t>SECTION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PAGE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5000" w:space="0"/>
            <w:col w:w="5239"/>
          </w:cols>
          <w:pgMar w:left="220" w:top="953" w:right="1440" w:bottom="1440" w:gutter="0" w:footer="0" w:header="0"/>
        </w:sectPr>
      </w:pPr>
    </w:p>
    <w:p>
      <w:pPr>
        <w:spacing w:after="0" w:line="140" w:lineRule="exact"/>
        <w:rPr>
          <w:sz w:val="20"/>
          <w:szCs w:val="20"/>
          <w:color w:val="auto"/>
        </w:rPr>
      </w:pPr>
    </w:p>
    <w:p>
      <w:pPr>
        <w:ind w:left="360" w:hanging="350"/>
        <w:spacing w:after="0"/>
        <w:tabs>
          <w:tab w:leader="none" w:pos="36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TO BORROWINGS</w:t>
      </w:r>
    </w:p>
    <w:p>
      <w:pPr>
        <w:ind w:left="360"/>
        <w:spacing w:after="0"/>
        <w:tabs>
          <w:tab w:leader="none" w:pos="780" w:val="left"/>
          <w:tab w:leader="dot" w:pos="5160" w:val="left"/>
        </w:tabs>
        <w:rPr>
          <w:sz w:val="20"/>
          <w:szCs w:val="20"/>
          <w:color w:val="auto"/>
        </w:rPr>
      </w:pPr>
      <w:r>
        <w:rPr>
          <w:rFonts w:ascii="Courier New" w:cs="Courier New" w:eastAsia="Courier New" w:hAnsi="Courier New"/>
          <w:sz w:val="15"/>
          <w:szCs w:val="15"/>
          <w:color w:val="auto"/>
        </w:rPr>
        <w:t>3.1</w:t>
        <w:tab/>
        <w:t>Notice of Borrowing</w:t>
      </w:r>
      <w:r>
        <w:rPr>
          <w:sz w:val="20"/>
          <w:szCs w:val="20"/>
          <w:color w:val="auto"/>
        </w:rPr>
        <w:tab/>
      </w:r>
      <w:r>
        <w:rPr>
          <w:rFonts w:ascii="Courier New" w:cs="Courier New" w:eastAsia="Courier New" w:hAnsi="Courier New"/>
          <w:sz w:val="12"/>
          <w:szCs w:val="12"/>
          <w:color w:val="auto"/>
        </w:rPr>
        <w:t>37</w:t>
      </w:r>
    </w:p>
    <w:p>
      <w:pPr>
        <w:ind w:left="360"/>
        <w:spacing w:after="0"/>
        <w:tabs>
          <w:tab w:leader="none" w:pos="780" w:val="left"/>
          <w:tab w:leader="dot" w:pos="5160" w:val="left"/>
        </w:tabs>
        <w:rPr>
          <w:sz w:val="20"/>
          <w:szCs w:val="20"/>
          <w:color w:val="auto"/>
        </w:rPr>
      </w:pPr>
      <w:r>
        <w:rPr>
          <w:rFonts w:ascii="Courier New" w:cs="Courier New" w:eastAsia="Courier New" w:hAnsi="Courier New"/>
          <w:sz w:val="15"/>
          <w:szCs w:val="15"/>
          <w:color w:val="auto"/>
        </w:rPr>
        <w:t>3.2</w:t>
        <w:tab/>
        <w:t>Representations</w:t>
      </w:r>
      <w:r>
        <w:rPr>
          <w:sz w:val="20"/>
          <w:szCs w:val="20"/>
          <w:color w:val="auto"/>
        </w:rPr>
        <w:tab/>
      </w:r>
      <w:r>
        <w:rPr>
          <w:rFonts w:ascii="Courier New" w:cs="Courier New" w:eastAsia="Courier New" w:hAnsi="Courier New"/>
          <w:sz w:val="12"/>
          <w:szCs w:val="12"/>
          <w:color w:val="auto"/>
        </w:rPr>
        <w:t>37</w:t>
      </w:r>
    </w:p>
    <w:p>
      <w:pPr>
        <w:spacing w:after="0" w:line="167" w:lineRule="exact"/>
        <w:rPr>
          <w:sz w:val="20"/>
          <w:szCs w:val="20"/>
          <w:color w:val="auto"/>
        </w:rPr>
      </w:pPr>
    </w:p>
    <w:p>
      <w:pPr>
        <w:ind w:left="360" w:hanging="350"/>
        <w:spacing w:after="0"/>
        <w:tabs>
          <w:tab w:leader="none" w:pos="3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w:t>
      </w:r>
    </w:p>
    <w:p>
      <w:pPr>
        <w:ind w:left="360"/>
        <w:spacing w:after="0"/>
        <w:tabs>
          <w:tab w:leader="none" w:pos="780" w:val="left"/>
          <w:tab w:leader="dot" w:pos="5160" w:val="left"/>
        </w:tabs>
        <w:rPr>
          <w:sz w:val="20"/>
          <w:szCs w:val="20"/>
          <w:color w:val="auto"/>
        </w:rPr>
      </w:pPr>
      <w:r>
        <w:rPr>
          <w:rFonts w:ascii="Courier New" w:cs="Courier New" w:eastAsia="Courier New" w:hAnsi="Courier New"/>
          <w:sz w:val="15"/>
          <w:szCs w:val="15"/>
          <w:color w:val="auto"/>
        </w:rPr>
        <w:t>4.1</w:t>
        <w:tab/>
        <w:t>Corporate Existence and Power</w:t>
      </w:r>
      <w:r>
        <w:rPr>
          <w:sz w:val="20"/>
          <w:szCs w:val="20"/>
          <w:color w:val="auto"/>
        </w:rPr>
        <w:tab/>
      </w:r>
      <w:r>
        <w:rPr>
          <w:rFonts w:ascii="Courier New" w:cs="Courier New" w:eastAsia="Courier New" w:hAnsi="Courier New"/>
          <w:sz w:val="12"/>
          <w:szCs w:val="12"/>
          <w:color w:val="auto"/>
        </w:rPr>
        <w:t>37</w:t>
      </w:r>
    </w:p>
    <w:p>
      <w:pPr>
        <w:ind w:left="360"/>
        <w:spacing w:after="0"/>
        <w:tabs>
          <w:tab w:leader="none" w:pos="78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4"/>
          <w:szCs w:val="14"/>
          <w:color w:val="auto"/>
        </w:rPr>
        <w:t>Corporate and Governmental Authorization;</w:t>
      </w:r>
    </w:p>
    <w:p>
      <w:pPr>
        <w:jc w:val="right"/>
        <w:ind w:right="4899"/>
        <w:spacing w:after="0"/>
        <w:tabs>
          <w:tab w:leader="dot" w:pos="140" w:val="left"/>
        </w:tabs>
        <w:rPr>
          <w:sz w:val="20"/>
          <w:szCs w:val="20"/>
          <w:color w:val="auto"/>
        </w:rPr>
      </w:pPr>
      <w:r>
        <w:rPr>
          <w:rFonts w:ascii="Courier New" w:cs="Courier New" w:eastAsia="Courier New" w:hAnsi="Courier New"/>
          <w:sz w:val="15"/>
          <w:szCs w:val="15"/>
          <w:color w:val="auto"/>
        </w:rPr>
        <w:t>No Contravention</w:t>
      </w:r>
      <w:r>
        <w:rPr>
          <w:sz w:val="20"/>
          <w:szCs w:val="20"/>
          <w:color w:val="auto"/>
        </w:rPr>
        <w:tab/>
      </w:r>
      <w:r>
        <w:rPr>
          <w:rFonts w:ascii="Courier New" w:cs="Courier New" w:eastAsia="Courier New" w:hAnsi="Courier New"/>
          <w:sz w:val="12"/>
          <w:szCs w:val="12"/>
          <w:color w:val="auto"/>
        </w:rPr>
        <w:t>38</w:t>
      </w:r>
    </w:p>
    <w:p>
      <w:pPr>
        <w:ind w:left="360"/>
        <w:spacing w:after="0"/>
        <w:tabs>
          <w:tab w:leader="none" w:pos="860" w:val="left"/>
          <w:tab w:leader="dot" w:pos="5160" w:val="left"/>
        </w:tabs>
        <w:rPr>
          <w:sz w:val="20"/>
          <w:szCs w:val="20"/>
          <w:color w:val="auto"/>
        </w:rPr>
      </w:pPr>
      <w:r>
        <w:rPr>
          <w:rFonts w:ascii="Courier New" w:cs="Courier New" w:eastAsia="Courier New" w:hAnsi="Courier New"/>
          <w:sz w:val="15"/>
          <w:szCs w:val="15"/>
          <w:color w:val="auto"/>
        </w:rPr>
        <w:t>4.3.</w:t>
        <w:tab/>
        <w:t>Binding Effect</w:t>
      </w:r>
      <w:r>
        <w:rPr>
          <w:sz w:val="20"/>
          <w:szCs w:val="20"/>
          <w:color w:val="auto"/>
        </w:rPr>
        <w:tab/>
      </w:r>
      <w:r>
        <w:rPr>
          <w:rFonts w:ascii="Courier New" w:cs="Courier New" w:eastAsia="Courier New" w:hAnsi="Courier New"/>
          <w:sz w:val="12"/>
          <w:szCs w:val="12"/>
          <w:color w:val="auto"/>
        </w:rPr>
        <w:t>38</w:t>
      </w:r>
    </w:p>
    <w:p>
      <w:pPr>
        <w:ind w:left="360"/>
        <w:spacing w:after="0"/>
        <w:tabs>
          <w:tab w:leader="none" w:pos="860" w:val="left"/>
          <w:tab w:leader="dot" w:pos="5160" w:val="left"/>
        </w:tabs>
        <w:rPr>
          <w:sz w:val="20"/>
          <w:szCs w:val="20"/>
          <w:color w:val="auto"/>
        </w:rPr>
      </w:pPr>
      <w:r>
        <w:rPr>
          <w:rFonts w:ascii="Courier New" w:cs="Courier New" w:eastAsia="Courier New" w:hAnsi="Courier New"/>
          <w:sz w:val="15"/>
          <w:szCs w:val="15"/>
          <w:color w:val="auto"/>
        </w:rPr>
        <w:t>4.4.</w:t>
        <w:tab/>
        <w:t>Financial Information</w:t>
      </w:r>
      <w:r>
        <w:rPr>
          <w:sz w:val="20"/>
          <w:szCs w:val="20"/>
          <w:color w:val="auto"/>
        </w:rPr>
        <w:tab/>
      </w:r>
      <w:r>
        <w:rPr>
          <w:rFonts w:ascii="Courier New" w:cs="Courier New" w:eastAsia="Courier New" w:hAnsi="Courier New"/>
          <w:sz w:val="12"/>
          <w:szCs w:val="12"/>
          <w:color w:val="auto"/>
        </w:rPr>
        <w:t>38</w:t>
      </w:r>
    </w:p>
    <w:p>
      <w:pPr>
        <w:ind w:left="360"/>
        <w:spacing w:after="0"/>
        <w:tabs>
          <w:tab w:leader="none" w:pos="860" w:val="left"/>
          <w:tab w:leader="dot" w:pos="5160" w:val="left"/>
        </w:tabs>
        <w:rPr>
          <w:sz w:val="20"/>
          <w:szCs w:val="20"/>
          <w:color w:val="auto"/>
        </w:rPr>
      </w:pPr>
      <w:r>
        <w:rPr>
          <w:rFonts w:ascii="Courier New" w:cs="Courier New" w:eastAsia="Courier New" w:hAnsi="Courier New"/>
          <w:sz w:val="15"/>
          <w:szCs w:val="15"/>
          <w:color w:val="auto"/>
        </w:rPr>
        <w:t>4.5.</w:t>
        <w:tab/>
        <w:t>Litigation</w:t>
      </w:r>
      <w:r>
        <w:rPr>
          <w:sz w:val="20"/>
          <w:szCs w:val="20"/>
          <w:color w:val="auto"/>
        </w:rPr>
        <w:tab/>
      </w:r>
      <w:r>
        <w:rPr>
          <w:rFonts w:ascii="Courier New" w:cs="Courier New" w:eastAsia="Courier New" w:hAnsi="Courier New"/>
          <w:sz w:val="12"/>
          <w:szCs w:val="12"/>
          <w:color w:val="auto"/>
        </w:rPr>
        <w:t>38</w:t>
      </w:r>
    </w:p>
    <w:p>
      <w:pPr>
        <w:ind w:left="360"/>
        <w:spacing w:after="0"/>
        <w:tabs>
          <w:tab w:leader="none" w:pos="860" w:val="left"/>
          <w:tab w:leader="dot" w:pos="5160" w:val="left"/>
        </w:tabs>
        <w:rPr>
          <w:sz w:val="20"/>
          <w:szCs w:val="20"/>
          <w:color w:val="auto"/>
        </w:rPr>
      </w:pPr>
      <w:r>
        <w:rPr>
          <w:rFonts w:ascii="Courier New" w:cs="Courier New" w:eastAsia="Courier New" w:hAnsi="Courier New"/>
          <w:sz w:val="15"/>
          <w:szCs w:val="15"/>
          <w:color w:val="auto"/>
        </w:rPr>
        <w:t>4.6.</w:t>
        <w:tab/>
        <w:t>Subsidiaries</w:t>
      </w:r>
      <w:r>
        <w:rPr>
          <w:sz w:val="20"/>
          <w:szCs w:val="20"/>
          <w:color w:val="auto"/>
        </w:rPr>
        <w:tab/>
      </w:r>
      <w:r>
        <w:rPr>
          <w:rFonts w:ascii="Courier New" w:cs="Courier New" w:eastAsia="Courier New" w:hAnsi="Courier New"/>
          <w:sz w:val="12"/>
          <w:szCs w:val="12"/>
          <w:color w:val="auto"/>
        </w:rPr>
        <w:t>39</w:t>
      </w:r>
    </w:p>
    <w:p>
      <w:pPr>
        <w:ind w:left="360"/>
        <w:spacing w:after="0"/>
        <w:tabs>
          <w:tab w:leader="none" w:pos="860" w:val="left"/>
          <w:tab w:leader="dot" w:pos="5160" w:val="left"/>
        </w:tabs>
        <w:rPr>
          <w:sz w:val="20"/>
          <w:szCs w:val="20"/>
          <w:color w:val="auto"/>
        </w:rPr>
      </w:pPr>
      <w:r>
        <w:rPr>
          <w:rFonts w:ascii="Courier New" w:cs="Courier New" w:eastAsia="Courier New" w:hAnsi="Courier New"/>
          <w:sz w:val="15"/>
          <w:szCs w:val="15"/>
          <w:color w:val="auto"/>
        </w:rPr>
        <w:t>4.7.</w:t>
        <w:tab/>
        <w:t>Not an Investment Company</w:t>
      </w:r>
      <w:r>
        <w:rPr>
          <w:sz w:val="20"/>
          <w:szCs w:val="20"/>
          <w:color w:val="auto"/>
        </w:rPr>
        <w:tab/>
      </w:r>
      <w:r>
        <w:rPr>
          <w:rFonts w:ascii="Courier New" w:cs="Courier New" w:eastAsia="Courier New" w:hAnsi="Courier New"/>
          <w:sz w:val="12"/>
          <w:szCs w:val="12"/>
          <w:color w:val="auto"/>
        </w:rPr>
        <w:t>39</w:t>
      </w:r>
    </w:p>
    <w:p>
      <w:pPr>
        <w:ind w:left="360"/>
        <w:spacing w:after="0"/>
        <w:tabs>
          <w:tab w:leader="none" w:pos="860" w:val="left"/>
          <w:tab w:leader="dot" w:pos="5160" w:val="left"/>
        </w:tabs>
        <w:rPr>
          <w:sz w:val="20"/>
          <w:szCs w:val="20"/>
          <w:color w:val="auto"/>
        </w:rPr>
      </w:pPr>
      <w:r>
        <w:rPr>
          <w:rFonts w:ascii="Courier New" w:cs="Courier New" w:eastAsia="Courier New" w:hAnsi="Courier New"/>
          <w:sz w:val="15"/>
          <w:szCs w:val="15"/>
          <w:color w:val="auto"/>
        </w:rPr>
        <w:t>4.8.</w:t>
        <w:tab/>
        <w:t>ERISA</w:t>
      </w:r>
      <w:r>
        <w:rPr>
          <w:sz w:val="20"/>
          <w:szCs w:val="20"/>
          <w:color w:val="auto"/>
        </w:rPr>
        <w:tab/>
      </w:r>
      <w:r>
        <w:rPr>
          <w:rFonts w:ascii="Courier New" w:cs="Courier New" w:eastAsia="Courier New" w:hAnsi="Courier New"/>
          <w:sz w:val="12"/>
          <w:szCs w:val="12"/>
          <w:color w:val="auto"/>
        </w:rPr>
        <w:t>39</w:t>
      </w:r>
    </w:p>
    <w:p>
      <w:pPr>
        <w:ind w:left="360"/>
        <w:spacing w:after="0"/>
        <w:tabs>
          <w:tab w:leader="none" w:pos="860" w:val="left"/>
          <w:tab w:leader="dot" w:pos="5160" w:val="left"/>
        </w:tabs>
        <w:rPr>
          <w:sz w:val="20"/>
          <w:szCs w:val="20"/>
          <w:color w:val="auto"/>
        </w:rPr>
      </w:pPr>
      <w:r>
        <w:rPr>
          <w:rFonts w:ascii="Courier New" w:cs="Courier New" w:eastAsia="Courier New" w:hAnsi="Courier New"/>
          <w:sz w:val="15"/>
          <w:szCs w:val="15"/>
          <w:color w:val="auto"/>
        </w:rPr>
        <w:t>4.9.</w:t>
        <w:tab/>
        <w:t>Taxes</w:t>
      </w:r>
      <w:r>
        <w:rPr>
          <w:sz w:val="20"/>
          <w:szCs w:val="20"/>
          <w:color w:val="auto"/>
        </w:rPr>
        <w:tab/>
      </w:r>
      <w:r>
        <w:rPr>
          <w:rFonts w:ascii="Courier New" w:cs="Courier New" w:eastAsia="Courier New" w:hAnsi="Courier New"/>
          <w:sz w:val="12"/>
          <w:szCs w:val="12"/>
          <w:color w:val="auto"/>
        </w:rPr>
        <w:t>39</w:t>
      </w:r>
    </w:p>
    <w:p>
      <w:pPr>
        <w:spacing w:after="0" w:line="167" w:lineRule="exact"/>
        <w:rPr>
          <w:sz w:val="20"/>
          <w:szCs w:val="20"/>
          <w:color w:val="auto"/>
        </w:rPr>
      </w:pPr>
    </w:p>
    <w:p>
      <w:pPr>
        <w:ind w:left="360" w:hanging="350"/>
        <w:spacing w:after="0"/>
        <w:tabs>
          <w:tab w:leader="none" w:pos="36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COVENANTS</w:t>
      </w:r>
    </w:p>
    <w:p>
      <w:pPr>
        <w:ind w:left="360"/>
        <w:spacing w:after="0"/>
        <w:tabs>
          <w:tab w:leader="none" w:pos="860" w:val="left"/>
          <w:tab w:leader="dot" w:pos="5160" w:val="left"/>
        </w:tabs>
        <w:rPr>
          <w:sz w:val="20"/>
          <w:szCs w:val="20"/>
          <w:color w:val="auto"/>
        </w:rPr>
      </w:pPr>
      <w:r>
        <w:rPr>
          <w:rFonts w:ascii="Courier New" w:cs="Courier New" w:eastAsia="Courier New" w:hAnsi="Courier New"/>
          <w:sz w:val="15"/>
          <w:szCs w:val="15"/>
          <w:color w:val="auto"/>
        </w:rPr>
        <w:t>5.1.</w:t>
        <w:tab/>
        <w:t>Information</w:t>
      </w:r>
      <w:r>
        <w:rPr>
          <w:sz w:val="20"/>
          <w:szCs w:val="20"/>
          <w:color w:val="auto"/>
        </w:rPr>
        <w:tab/>
      </w:r>
      <w:r>
        <w:rPr>
          <w:rFonts w:ascii="Courier New" w:cs="Courier New" w:eastAsia="Courier New" w:hAnsi="Courier New"/>
          <w:sz w:val="12"/>
          <w:szCs w:val="12"/>
          <w:color w:val="auto"/>
        </w:rPr>
        <w:t>40</w:t>
      </w:r>
    </w:p>
    <w:p>
      <w:pPr>
        <w:ind w:left="360"/>
        <w:spacing w:after="0"/>
        <w:tabs>
          <w:tab w:leader="none" w:pos="860" w:val="left"/>
          <w:tab w:leader="dot" w:pos="5160" w:val="left"/>
        </w:tabs>
        <w:rPr>
          <w:sz w:val="20"/>
          <w:szCs w:val="20"/>
          <w:color w:val="auto"/>
        </w:rPr>
      </w:pPr>
      <w:r>
        <w:rPr>
          <w:rFonts w:ascii="Courier New" w:cs="Courier New" w:eastAsia="Courier New" w:hAnsi="Courier New"/>
          <w:sz w:val="15"/>
          <w:szCs w:val="15"/>
          <w:color w:val="auto"/>
        </w:rPr>
        <w:t>5.2.</w:t>
        <w:tab/>
        <w:t>Maintenance of Properties</w:t>
      </w:r>
      <w:r>
        <w:rPr>
          <w:sz w:val="20"/>
          <w:szCs w:val="20"/>
          <w:color w:val="auto"/>
        </w:rPr>
        <w:tab/>
      </w:r>
      <w:r>
        <w:rPr>
          <w:rFonts w:ascii="Courier New" w:cs="Courier New" w:eastAsia="Courier New" w:hAnsi="Courier New"/>
          <w:sz w:val="12"/>
          <w:szCs w:val="12"/>
          <w:color w:val="auto"/>
        </w:rPr>
        <w:t>42</w:t>
      </w:r>
    </w:p>
    <w:p>
      <w:pPr>
        <w:ind w:left="360"/>
        <w:spacing w:after="0"/>
        <w:tabs>
          <w:tab w:leader="none" w:pos="860" w:val="left"/>
          <w:tab w:leader="dot" w:pos="5160" w:val="left"/>
        </w:tabs>
        <w:rPr>
          <w:sz w:val="20"/>
          <w:szCs w:val="20"/>
          <w:color w:val="auto"/>
        </w:rPr>
      </w:pPr>
      <w:r>
        <w:rPr>
          <w:rFonts w:ascii="Courier New" w:cs="Courier New" w:eastAsia="Courier New" w:hAnsi="Courier New"/>
          <w:sz w:val="15"/>
          <w:szCs w:val="15"/>
          <w:color w:val="auto"/>
        </w:rPr>
        <w:t>5.3.</w:t>
        <w:tab/>
        <w:t>Maintenance of Insurance</w:t>
      </w:r>
      <w:r>
        <w:rPr>
          <w:sz w:val="20"/>
          <w:szCs w:val="20"/>
          <w:color w:val="auto"/>
        </w:rPr>
        <w:tab/>
      </w:r>
      <w:r>
        <w:rPr>
          <w:rFonts w:ascii="Courier New" w:cs="Courier New" w:eastAsia="Courier New" w:hAnsi="Courier New"/>
          <w:sz w:val="12"/>
          <w:szCs w:val="12"/>
          <w:color w:val="auto"/>
        </w:rPr>
        <w:t>42</w:t>
      </w:r>
    </w:p>
    <w:p>
      <w:pPr>
        <w:ind w:left="360"/>
        <w:spacing w:after="0"/>
        <w:tabs>
          <w:tab w:leader="none" w:pos="860" w:val="left"/>
          <w:tab w:leader="dot" w:pos="5160" w:val="left"/>
        </w:tabs>
        <w:rPr>
          <w:sz w:val="20"/>
          <w:szCs w:val="20"/>
          <w:color w:val="auto"/>
        </w:rPr>
      </w:pPr>
      <w:r>
        <w:rPr>
          <w:rFonts w:ascii="Courier New" w:cs="Courier New" w:eastAsia="Courier New" w:hAnsi="Courier New"/>
          <w:sz w:val="15"/>
          <w:szCs w:val="15"/>
          <w:color w:val="auto"/>
        </w:rPr>
        <w:t>5.4.</w:t>
        <w:tab/>
        <w:t>Preservation of Corporate Existence</w:t>
      </w:r>
      <w:r>
        <w:rPr>
          <w:sz w:val="20"/>
          <w:szCs w:val="20"/>
          <w:color w:val="auto"/>
        </w:rPr>
        <w:tab/>
      </w:r>
      <w:r>
        <w:rPr>
          <w:rFonts w:ascii="Courier New" w:cs="Courier New" w:eastAsia="Courier New" w:hAnsi="Courier New"/>
          <w:sz w:val="12"/>
          <w:szCs w:val="12"/>
          <w:color w:val="auto"/>
        </w:rPr>
        <w:t>42</w:t>
      </w:r>
    </w:p>
    <w:p>
      <w:pPr>
        <w:ind w:left="360"/>
        <w:spacing w:after="0"/>
        <w:tabs>
          <w:tab w:leader="none" w:pos="860" w:val="left"/>
          <w:tab w:leader="dot" w:pos="5160" w:val="left"/>
        </w:tabs>
        <w:rPr>
          <w:sz w:val="20"/>
          <w:szCs w:val="20"/>
          <w:color w:val="auto"/>
        </w:rPr>
      </w:pPr>
      <w:r>
        <w:rPr>
          <w:rFonts w:ascii="Courier New" w:cs="Courier New" w:eastAsia="Courier New" w:hAnsi="Courier New"/>
          <w:sz w:val="15"/>
          <w:szCs w:val="15"/>
          <w:color w:val="auto"/>
        </w:rPr>
        <w:t>5.5.</w:t>
        <w:tab/>
        <w:t>Inspection of Property, Books and Records</w:t>
      </w:r>
      <w:r>
        <w:rPr>
          <w:sz w:val="20"/>
          <w:szCs w:val="20"/>
          <w:color w:val="auto"/>
        </w:rPr>
        <w:tab/>
      </w:r>
      <w:r>
        <w:rPr>
          <w:rFonts w:ascii="Courier New" w:cs="Courier New" w:eastAsia="Courier New" w:hAnsi="Courier New"/>
          <w:sz w:val="12"/>
          <w:szCs w:val="12"/>
          <w:color w:val="auto"/>
        </w:rPr>
        <w:t>43</w:t>
      </w:r>
    </w:p>
    <w:p>
      <w:pPr>
        <w:ind w:left="360"/>
        <w:spacing w:after="0"/>
        <w:tabs>
          <w:tab w:leader="none" w:pos="860" w:val="left"/>
          <w:tab w:leader="dot" w:pos="5160" w:val="left"/>
        </w:tabs>
        <w:rPr>
          <w:sz w:val="20"/>
          <w:szCs w:val="20"/>
          <w:color w:val="auto"/>
        </w:rPr>
      </w:pPr>
      <w:r>
        <w:rPr>
          <w:rFonts w:ascii="Courier New" w:cs="Courier New" w:eastAsia="Courier New" w:hAnsi="Courier New"/>
          <w:sz w:val="15"/>
          <w:szCs w:val="15"/>
          <w:color w:val="auto"/>
        </w:rPr>
        <w:t>5.6.</w:t>
        <w:tab/>
        <w:t>Limitations on the Company</w:t>
      </w:r>
      <w:r>
        <w:rPr>
          <w:sz w:val="20"/>
          <w:szCs w:val="20"/>
          <w:color w:val="auto"/>
        </w:rPr>
        <w:tab/>
      </w:r>
      <w:r>
        <w:rPr>
          <w:rFonts w:ascii="Courier New" w:cs="Courier New" w:eastAsia="Courier New" w:hAnsi="Courier New"/>
          <w:sz w:val="12"/>
          <w:szCs w:val="12"/>
          <w:color w:val="auto"/>
        </w:rPr>
        <w:t>43</w:t>
      </w:r>
    </w:p>
    <w:p>
      <w:pPr>
        <w:ind w:left="360"/>
        <w:spacing w:after="0"/>
        <w:tabs>
          <w:tab w:leader="none" w:pos="860" w:val="left"/>
        </w:tabs>
        <w:rPr>
          <w:sz w:val="20"/>
          <w:szCs w:val="20"/>
          <w:color w:val="auto"/>
        </w:rPr>
      </w:pPr>
      <w:r>
        <w:rPr>
          <w:rFonts w:ascii="Courier New" w:cs="Courier New" w:eastAsia="Courier New" w:hAnsi="Courier New"/>
          <w:sz w:val="15"/>
          <w:szCs w:val="15"/>
          <w:color w:val="auto"/>
        </w:rPr>
        <w:t>5.7.</w:t>
      </w:r>
      <w:r>
        <w:rPr>
          <w:sz w:val="20"/>
          <w:szCs w:val="20"/>
          <w:color w:val="auto"/>
        </w:rPr>
        <w:tab/>
      </w:r>
      <w:r>
        <w:rPr>
          <w:rFonts w:ascii="Courier New" w:cs="Courier New" w:eastAsia="Courier New" w:hAnsi="Courier New"/>
          <w:sz w:val="14"/>
          <w:szCs w:val="14"/>
          <w:color w:val="auto"/>
        </w:rPr>
        <w:t>Restrictions on Liens upon Stock of</w:t>
      </w:r>
    </w:p>
    <w:p>
      <w:pPr>
        <w:jc w:val="right"/>
        <w:ind w:right="4899"/>
        <w:spacing w:after="0"/>
        <w:tabs>
          <w:tab w:leader="dot" w:pos="140" w:val="left"/>
        </w:tabs>
        <w:rPr>
          <w:sz w:val="20"/>
          <w:szCs w:val="20"/>
          <w:color w:val="auto"/>
        </w:rPr>
      </w:pPr>
      <w:r>
        <w:rPr>
          <w:rFonts w:ascii="Courier New" w:cs="Courier New" w:eastAsia="Courier New" w:hAnsi="Courier New"/>
          <w:sz w:val="15"/>
          <w:szCs w:val="15"/>
          <w:color w:val="auto"/>
        </w:rPr>
        <w:t>Consolidated Subsidiaries</w:t>
      </w:r>
      <w:r>
        <w:rPr>
          <w:sz w:val="20"/>
          <w:szCs w:val="20"/>
          <w:color w:val="auto"/>
        </w:rPr>
        <w:tab/>
      </w:r>
      <w:r>
        <w:rPr>
          <w:rFonts w:ascii="Courier New" w:cs="Courier New" w:eastAsia="Courier New" w:hAnsi="Courier New"/>
          <w:sz w:val="12"/>
          <w:szCs w:val="12"/>
          <w:color w:val="auto"/>
        </w:rPr>
        <w:t>44</w:t>
      </w:r>
    </w:p>
    <w:p>
      <w:pPr>
        <w:ind w:left="360"/>
        <w:spacing w:after="0"/>
        <w:tabs>
          <w:tab w:leader="none" w:pos="860" w:val="left"/>
          <w:tab w:leader="dot" w:pos="5160" w:val="left"/>
        </w:tabs>
        <w:rPr>
          <w:sz w:val="20"/>
          <w:szCs w:val="20"/>
          <w:color w:val="auto"/>
        </w:rPr>
      </w:pPr>
      <w:r>
        <w:rPr>
          <w:rFonts w:ascii="Courier New" w:cs="Courier New" w:eastAsia="Courier New" w:hAnsi="Courier New"/>
          <w:sz w:val="15"/>
          <w:szCs w:val="15"/>
          <w:color w:val="auto"/>
        </w:rPr>
        <w:t>5.8.</w:t>
        <w:tab/>
        <w:t>Compliance with Laws</w:t>
      </w:r>
      <w:r>
        <w:rPr>
          <w:sz w:val="20"/>
          <w:szCs w:val="20"/>
          <w:color w:val="auto"/>
        </w:rPr>
        <w:tab/>
      </w:r>
      <w:r>
        <w:rPr>
          <w:rFonts w:ascii="Courier New" w:cs="Courier New" w:eastAsia="Courier New" w:hAnsi="Courier New"/>
          <w:sz w:val="12"/>
          <w:szCs w:val="12"/>
          <w:color w:val="auto"/>
        </w:rPr>
        <w:t>44</w:t>
      </w:r>
    </w:p>
    <w:p>
      <w:pPr>
        <w:ind w:left="360"/>
        <w:spacing w:after="0"/>
        <w:tabs>
          <w:tab w:leader="none" w:pos="860" w:val="left"/>
        </w:tabs>
        <w:rPr>
          <w:sz w:val="20"/>
          <w:szCs w:val="20"/>
          <w:color w:val="auto"/>
        </w:rPr>
      </w:pPr>
      <w:r>
        <w:rPr>
          <w:rFonts w:ascii="Courier New" w:cs="Courier New" w:eastAsia="Courier New" w:hAnsi="Courier New"/>
          <w:sz w:val="15"/>
          <w:szCs w:val="15"/>
          <w:color w:val="auto"/>
        </w:rPr>
        <w:t>5.9.</w:t>
      </w:r>
      <w:r>
        <w:rPr>
          <w:sz w:val="20"/>
          <w:szCs w:val="20"/>
          <w:color w:val="auto"/>
        </w:rPr>
        <w:tab/>
      </w:r>
      <w:r>
        <w:rPr>
          <w:rFonts w:ascii="Courier New" w:cs="Courier New" w:eastAsia="Courier New" w:hAnsi="Courier New"/>
          <w:sz w:val="14"/>
          <w:szCs w:val="14"/>
          <w:color w:val="auto"/>
        </w:rPr>
        <w:t>Consolidated Subsidiary Debt</w:t>
      </w:r>
    </w:p>
    <w:p>
      <w:pPr>
        <w:jc w:val="right"/>
        <w:ind w:right="4899"/>
        <w:spacing w:after="0"/>
        <w:tabs>
          <w:tab w:leader="dot" w:pos="140" w:val="left"/>
        </w:tabs>
        <w:rPr>
          <w:sz w:val="20"/>
          <w:szCs w:val="20"/>
          <w:color w:val="auto"/>
        </w:rPr>
      </w:pPr>
      <w:r>
        <w:rPr>
          <w:rFonts w:ascii="Courier New" w:cs="Courier New" w:eastAsia="Courier New" w:hAnsi="Courier New"/>
          <w:sz w:val="15"/>
          <w:szCs w:val="15"/>
          <w:color w:val="auto"/>
        </w:rPr>
        <w:t>Limitations</w:t>
      </w:r>
      <w:r>
        <w:rPr>
          <w:sz w:val="20"/>
          <w:szCs w:val="20"/>
          <w:color w:val="auto"/>
        </w:rPr>
        <w:tab/>
      </w:r>
      <w:r>
        <w:rPr>
          <w:rFonts w:ascii="Courier New" w:cs="Courier New" w:eastAsia="Courier New" w:hAnsi="Courier New"/>
          <w:sz w:val="12"/>
          <w:szCs w:val="12"/>
          <w:color w:val="auto"/>
        </w:rPr>
        <w:t>44</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39"/>
          </w:cols>
          <w:pgMar w:left="220" w:top="953" w:right="1440" w:bottom="1440" w:gutter="0" w:footer="0" w:header="0"/>
          <w:type w:val="continuous"/>
        </w:sectPr>
      </w:pPr>
    </w:p>
    <w:bookmarkStart w:id="24" w:name="page25"/>
    <w:bookmarkEnd w:id="24"/>
    <w:p>
      <w:pPr>
        <w:spacing w:after="0"/>
        <w:tabs>
          <w:tab w:leader="none" w:pos="4980" w:val="left"/>
        </w:tabs>
        <w:rPr>
          <w:sz w:val="20"/>
          <w:szCs w:val="20"/>
          <w:color w:val="auto"/>
        </w:rPr>
      </w:pPr>
      <w:r>
        <w:rPr>
          <w:rFonts w:ascii="Courier New" w:cs="Courier New" w:eastAsia="Courier New" w:hAnsi="Courier New"/>
          <w:sz w:val="15"/>
          <w:szCs w:val="15"/>
          <w:color w:val="auto"/>
        </w:rPr>
        <w:t>SECTION</w:t>
      </w:r>
      <w:r>
        <w:rPr>
          <w:sz w:val="20"/>
          <w:szCs w:val="20"/>
          <w:color w:val="auto"/>
        </w:rPr>
        <w:tab/>
      </w:r>
      <w:r>
        <w:rPr>
          <w:rFonts w:ascii="Courier New" w:cs="Courier New" w:eastAsia="Courier New" w:hAnsi="Courier New"/>
          <w:sz w:val="14"/>
          <w:szCs w:val="14"/>
          <w:color w:val="auto"/>
        </w:rPr>
        <w:t>PAGE</w:t>
      </w:r>
    </w:p>
    <w:p>
      <w:pPr>
        <w:spacing w:after="0"/>
        <w:tabs>
          <w:tab w:leader="none" w:pos="516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5.10. Consolidations, Mergers and Sales of</w:t>
      </w:r>
    </w:p>
    <w:p>
      <w:pPr>
        <w:jc w:val="right"/>
        <w:ind w:right="4899"/>
        <w:spacing w:after="0"/>
        <w:tabs>
          <w:tab w:leader="dot" w:pos="320" w:val="left"/>
        </w:tabs>
        <w:rPr>
          <w:sz w:val="20"/>
          <w:szCs w:val="20"/>
          <w:color w:val="auto"/>
        </w:rPr>
      </w:pPr>
      <w:r>
        <w:rPr>
          <w:rFonts w:ascii="Courier New" w:cs="Courier New" w:eastAsia="Courier New" w:hAnsi="Courier New"/>
          <w:sz w:val="15"/>
          <w:szCs w:val="15"/>
          <w:color w:val="auto"/>
        </w:rPr>
        <w:t>Assets</w:t>
      </w:r>
      <w:r>
        <w:rPr>
          <w:sz w:val="20"/>
          <w:szCs w:val="20"/>
          <w:color w:val="auto"/>
        </w:rPr>
        <w:tab/>
      </w:r>
      <w:r>
        <w:rPr>
          <w:rFonts w:ascii="Courier New" w:cs="Courier New" w:eastAsia="Courier New" w:hAnsi="Courier New"/>
          <w:sz w:val="12"/>
          <w:szCs w:val="12"/>
          <w:color w:val="auto"/>
        </w:rPr>
        <w:t>45</w:t>
      </w:r>
    </w:p>
    <w:p>
      <w:pPr>
        <w:spacing w:after="0" w:line="167" w:lineRule="exact"/>
        <w:rPr>
          <w:sz w:val="20"/>
          <w:szCs w:val="20"/>
          <w:color w:val="auto"/>
        </w:rPr>
      </w:pPr>
    </w:p>
    <w:p>
      <w:pPr>
        <w:ind w:left="360" w:hanging="350"/>
        <w:spacing w:after="0"/>
        <w:tabs>
          <w:tab w:leader="none" w:pos="36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EVENTS OF DEFAULT AND REMEDIES</w:t>
      </w:r>
    </w:p>
    <w:p>
      <w:pPr>
        <w:ind w:left="360"/>
        <w:spacing w:after="0"/>
        <w:tabs>
          <w:tab w:leader="none" w:pos="860" w:val="left"/>
          <w:tab w:leader="dot" w:pos="5160" w:val="left"/>
        </w:tabs>
        <w:rPr>
          <w:sz w:val="20"/>
          <w:szCs w:val="20"/>
          <w:color w:val="auto"/>
        </w:rPr>
      </w:pPr>
      <w:r>
        <w:rPr>
          <w:rFonts w:ascii="Courier New" w:cs="Courier New" w:eastAsia="Courier New" w:hAnsi="Courier New"/>
          <w:sz w:val="15"/>
          <w:szCs w:val="15"/>
          <w:color w:val="auto"/>
        </w:rPr>
        <w:t>6.1.</w:t>
        <w:tab/>
        <w:t>Events of Default</w:t>
      </w:r>
      <w:r>
        <w:rPr>
          <w:sz w:val="20"/>
          <w:szCs w:val="20"/>
          <w:color w:val="auto"/>
        </w:rPr>
        <w:tab/>
      </w:r>
      <w:r>
        <w:rPr>
          <w:rFonts w:ascii="Courier New" w:cs="Courier New" w:eastAsia="Courier New" w:hAnsi="Courier New"/>
          <w:sz w:val="12"/>
          <w:szCs w:val="12"/>
          <w:color w:val="auto"/>
        </w:rPr>
        <w:t>46</w:t>
      </w:r>
    </w:p>
    <w:p>
      <w:pPr>
        <w:ind w:left="360"/>
        <w:spacing w:after="0"/>
        <w:tabs>
          <w:tab w:leader="none" w:pos="860" w:val="left"/>
          <w:tab w:leader="dot" w:pos="5160" w:val="left"/>
        </w:tabs>
        <w:rPr>
          <w:sz w:val="20"/>
          <w:szCs w:val="20"/>
          <w:color w:val="auto"/>
        </w:rPr>
      </w:pPr>
      <w:r>
        <w:rPr>
          <w:rFonts w:ascii="Courier New" w:cs="Courier New" w:eastAsia="Courier New" w:hAnsi="Courier New"/>
          <w:sz w:val="15"/>
          <w:szCs w:val="15"/>
          <w:color w:val="auto"/>
        </w:rPr>
        <w:t>6.2.</w:t>
        <w:tab/>
        <w:t>Remedies</w:t>
      </w:r>
      <w:r>
        <w:rPr>
          <w:sz w:val="20"/>
          <w:szCs w:val="20"/>
          <w:color w:val="auto"/>
        </w:rPr>
        <w:tab/>
      </w:r>
      <w:r>
        <w:rPr>
          <w:rFonts w:ascii="Courier New" w:cs="Courier New" w:eastAsia="Courier New" w:hAnsi="Courier New"/>
          <w:sz w:val="12"/>
          <w:szCs w:val="12"/>
          <w:color w:val="auto"/>
        </w:rPr>
        <w:t>49</w:t>
      </w:r>
    </w:p>
    <w:p>
      <w:pPr>
        <w:ind w:left="360"/>
        <w:spacing w:after="0"/>
        <w:tabs>
          <w:tab w:leader="none" w:pos="860" w:val="left"/>
          <w:tab w:leader="dot" w:pos="5160" w:val="left"/>
        </w:tabs>
        <w:rPr>
          <w:sz w:val="20"/>
          <w:szCs w:val="20"/>
          <w:color w:val="auto"/>
        </w:rPr>
      </w:pPr>
      <w:r>
        <w:rPr>
          <w:rFonts w:ascii="Courier New" w:cs="Courier New" w:eastAsia="Courier New" w:hAnsi="Courier New"/>
          <w:sz w:val="15"/>
          <w:szCs w:val="15"/>
          <w:color w:val="auto"/>
        </w:rPr>
        <w:t>6.3.</w:t>
        <w:tab/>
        <w:t>Notice of Default</w:t>
      </w:r>
      <w:r>
        <w:rPr>
          <w:sz w:val="20"/>
          <w:szCs w:val="20"/>
          <w:color w:val="auto"/>
        </w:rPr>
        <w:tab/>
      </w:r>
      <w:r>
        <w:rPr>
          <w:rFonts w:ascii="Courier New" w:cs="Courier New" w:eastAsia="Courier New" w:hAnsi="Courier New"/>
          <w:sz w:val="12"/>
          <w:szCs w:val="12"/>
          <w:color w:val="auto"/>
        </w:rPr>
        <w:t>50</w:t>
      </w:r>
    </w:p>
    <w:p>
      <w:pPr>
        <w:spacing w:after="0" w:line="167" w:lineRule="exact"/>
        <w:rPr>
          <w:sz w:val="20"/>
          <w:szCs w:val="20"/>
          <w:color w:val="auto"/>
        </w:rPr>
      </w:pPr>
    </w:p>
    <w:p>
      <w:pPr>
        <w:ind w:left="360" w:hanging="350"/>
        <w:spacing w:after="0"/>
        <w:tabs>
          <w:tab w:leader="none" w:pos="36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w:t>
      </w:r>
    </w:p>
    <w:p>
      <w:pPr>
        <w:ind w:left="360"/>
        <w:spacing w:after="0"/>
        <w:tabs>
          <w:tab w:leader="none" w:pos="860" w:val="left"/>
          <w:tab w:leader="dot" w:pos="5160" w:val="left"/>
        </w:tabs>
        <w:rPr>
          <w:sz w:val="20"/>
          <w:szCs w:val="20"/>
          <w:color w:val="auto"/>
        </w:rPr>
      </w:pPr>
      <w:r>
        <w:rPr>
          <w:rFonts w:ascii="Courier New" w:cs="Courier New" w:eastAsia="Courier New" w:hAnsi="Courier New"/>
          <w:sz w:val="15"/>
          <w:szCs w:val="15"/>
          <w:color w:val="auto"/>
        </w:rPr>
        <w:t>7.1.</w:t>
        <w:tab/>
        <w:t>Appointment and Authorization</w:t>
      </w:r>
      <w:r>
        <w:rPr>
          <w:sz w:val="20"/>
          <w:szCs w:val="20"/>
          <w:color w:val="auto"/>
        </w:rPr>
        <w:tab/>
      </w:r>
      <w:r>
        <w:rPr>
          <w:rFonts w:ascii="Courier New" w:cs="Courier New" w:eastAsia="Courier New" w:hAnsi="Courier New"/>
          <w:sz w:val="12"/>
          <w:szCs w:val="12"/>
          <w:color w:val="auto"/>
        </w:rPr>
        <w:t>50</w:t>
      </w:r>
    </w:p>
    <w:p>
      <w:pPr>
        <w:ind w:left="360"/>
        <w:spacing w:after="0"/>
        <w:tabs>
          <w:tab w:leader="none" w:pos="860" w:val="left"/>
          <w:tab w:leader="dot" w:pos="5160" w:val="left"/>
        </w:tabs>
        <w:rPr>
          <w:sz w:val="20"/>
          <w:szCs w:val="20"/>
          <w:color w:val="auto"/>
        </w:rPr>
      </w:pPr>
      <w:r>
        <w:rPr>
          <w:rFonts w:ascii="Courier New" w:cs="Courier New" w:eastAsia="Courier New" w:hAnsi="Courier New"/>
          <w:sz w:val="15"/>
          <w:szCs w:val="15"/>
          <w:color w:val="auto"/>
        </w:rPr>
        <w:t>7.2.</w:t>
        <w:tab/>
        <w:t>Agent and Affiliates</w:t>
      </w:r>
      <w:r>
        <w:rPr>
          <w:sz w:val="20"/>
          <w:szCs w:val="20"/>
          <w:color w:val="auto"/>
        </w:rPr>
        <w:tab/>
      </w:r>
      <w:r>
        <w:rPr>
          <w:rFonts w:ascii="Courier New" w:cs="Courier New" w:eastAsia="Courier New" w:hAnsi="Courier New"/>
          <w:sz w:val="12"/>
          <w:szCs w:val="12"/>
          <w:color w:val="auto"/>
        </w:rPr>
        <w:t>50</w:t>
      </w:r>
    </w:p>
    <w:p>
      <w:pPr>
        <w:ind w:left="360"/>
        <w:spacing w:after="0"/>
        <w:tabs>
          <w:tab w:leader="none" w:pos="860" w:val="left"/>
          <w:tab w:leader="dot" w:pos="5160" w:val="left"/>
        </w:tabs>
        <w:rPr>
          <w:sz w:val="20"/>
          <w:szCs w:val="20"/>
          <w:color w:val="auto"/>
        </w:rPr>
      </w:pPr>
      <w:r>
        <w:rPr>
          <w:rFonts w:ascii="Courier New" w:cs="Courier New" w:eastAsia="Courier New" w:hAnsi="Courier New"/>
          <w:sz w:val="15"/>
          <w:szCs w:val="15"/>
          <w:color w:val="auto"/>
        </w:rPr>
        <w:t>7.3.</w:t>
        <w:tab/>
        <w:t>Action by Agent</w:t>
      </w:r>
      <w:r>
        <w:rPr>
          <w:sz w:val="20"/>
          <w:szCs w:val="20"/>
          <w:color w:val="auto"/>
        </w:rPr>
        <w:tab/>
      </w:r>
      <w:r>
        <w:rPr>
          <w:rFonts w:ascii="Courier New" w:cs="Courier New" w:eastAsia="Courier New" w:hAnsi="Courier New"/>
          <w:sz w:val="12"/>
          <w:szCs w:val="12"/>
          <w:color w:val="auto"/>
        </w:rPr>
        <w:t>50</w:t>
      </w:r>
    </w:p>
    <w:p>
      <w:pPr>
        <w:ind w:left="360"/>
        <w:spacing w:after="0"/>
        <w:tabs>
          <w:tab w:leader="none" w:pos="860" w:val="left"/>
          <w:tab w:leader="dot" w:pos="5160" w:val="left"/>
        </w:tabs>
        <w:rPr>
          <w:sz w:val="20"/>
          <w:szCs w:val="20"/>
          <w:color w:val="auto"/>
        </w:rPr>
      </w:pPr>
      <w:r>
        <w:rPr>
          <w:rFonts w:ascii="Courier New" w:cs="Courier New" w:eastAsia="Courier New" w:hAnsi="Courier New"/>
          <w:sz w:val="15"/>
          <w:szCs w:val="15"/>
          <w:color w:val="auto"/>
        </w:rPr>
        <w:t>7.4.</w:t>
        <w:tab/>
        <w:t>Consultation with Experts</w:t>
      </w:r>
      <w:r>
        <w:rPr>
          <w:sz w:val="20"/>
          <w:szCs w:val="20"/>
          <w:color w:val="auto"/>
        </w:rPr>
        <w:tab/>
      </w:r>
      <w:r>
        <w:rPr>
          <w:rFonts w:ascii="Courier New" w:cs="Courier New" w:eastAsia="Courier New" w:hAnsi="Courier New"/>
          <w:sz w:val="12"/>
          <w:szCs w:val="12"/>
          <w:color w:val="auto"/>
        </w:rPr>
        <w:t>50</w:t>
      </w:r>
    </w:p>
    <w:p>
      <w:pPr>
        <w:ind w:left="360"/>
        <w:spacing w:after="0"/>
        <w:tabs>
          <w:tab w:leader="none" w:pos="860" w:val="left"/>
          <w:tab w:leader="dot" w:pos="5160" w:val="left"/>
        </w:tabs>
        <w:rPr>
          <w:sz w:val="20"/>
          <w:szCs w:val="20"/>
          <w:color w:val="auto"/>
        </w:rPr>
      </w:pPr>
      <w:r>
        <w:rPr>
          <w:rFonts w:ascii="Courier New" w:cs="Courier New" w:eastAsia="Courier New" w:hAnsi="Courier New"/>
          <w:sz w:val="15"/>
          <w:szCs w:val="15"/>
          <w:color w:val="auto"/>
        </w:rPr>
        <w:t>7.5.</w:t>
        <w:tab/>
        <w:t>Liability of Agent</w:t>
      </w:r>
      <w:r>
        <w:rPr>
          <w:sz w:val="20"/>
          <w:szCs w:val="20"/>
          <w:color w:val="auto"/>
        </w:rPr>
        <w:tab/>
      </w:r>
      <w:r>
        <w:rPr>
          <w:rFonts w:ascii="Courier New" w:cs="Courier New" w:eastAsia="Courier New" w:hAnsi="Courier New"/>
          <w:sz w:val="12"/>
          <w:szCs w:val="12"/>
          <w:color w:val="auto"/>
        </w:rPr>
        <w:t>50</w:t>
      </w:r>
    </w:p>
    <w:p>
      <w:pPr>
        <w:ind w:left="360"/>
        <w:spacing w:after="0"/>
        <w:tabs>
          <w:tab w:leader="none" w:pos="860" w:val="left"/>
          <w:tab w:leader="dot" w:pos="5160" w:val="left"/>
        </w:tabs>
        <w:rPr>
          <w:sz w:val="20"/>
          <w:szCs w:val="20"/>
          <w:color w:val="auto"/>
        </w:rPr>
      </w:pPr>
      <w:r>
        <w:rPr>
          <w:rFonts w:ascii="Courier New" w:cs="Courier New" w:eastAsia="Courier New" w:hAnsi="Courier New"/>
          <w:sz w:val="15"/>
          <w:szCs w:val="15"/>
          <w:color w:val="auto"/>
        </w:rPr>
        <w:t>7.6.</w:t>
        <w:tab/>
        <w:t>Indemnification</w:t>
      </w:r>
      <w:r>
        <w:rPr>
          <w:sz w:val="20"/>
          <w:szCs w:val="20"/>
          <w:color w:val="auto"/>
        </w:rPr>
        <w:tab/>
      </w:r>
      <w:r>
        <w:rPr>
          <w:rFonts w:ascii="Courier New" w:cs="Courier New" w:eastAsia="Courier New" w:hAnsi="Courier New"/>
          <w:sz w:val="12"/>
          <w:szCs w:val="12"/>
          <w:color w:val="auto"/>
        </w:rPr>
        <w:t>51</w:t>
      </w:r>
    </w:p>
    <w:p>
      <w:pPr>
        <w:ind w:left="360"/>
        <w:spacing w:after="0"/>
        <w:tabs>
          <w:tab w:leader="none" w:pos="860" w:val="left"/>
          <w:tab w:leader="dot" w:pos="5160" w:val="left"/>
        </w:tabs>
        <w:rPr>
          <w:sz w:val="20"/>
          <w:szCs w:val="20"/>
          <w:color w:val="auto"/>
        </w:rPr>
      </w:pPr>
      <w:r>
        <w:rPr>
          <w:rFonts w:ascii="Courier New" w:cs="Courier New" w:eastAsia="Courier New" w:hAnsi="Courier New"/>
          <w:sz w:val="15"/>
          <w:szCs w:val="15"/>
          <w:color w:val="auto"/>
        </w:rPr>
        <w:t>7.7.</w:t>
        <w:tab/>
        <w:t>Credit Decision</w:t>
      </w:r>
      <w:r>
        <w:rPr>
          <w:sz w:val="20"/>
          <w:szCs w:val="20"/>
          <w:color w:val="auto"/>
        </w:rPr>
        <w:tab/>
      </w:r>
      <w:r>
        <w:rPr>
          <w:rFonts w:ascii="Courier New" w:cs="Courier New" w:eastAsia="Courier New" w:hAnsi="Courier New"/>
          <w:sz w:val="12"/>
          <w:szCs w:val="12"/>
          <w:color w:val="auto"/>
        </w:rPr>
        <w:t>51</w:t>
      </w:r>
    </w:p>
    <w:p>
      <w:pPr>
        <w:ind w:left="360"/>
        <w:spacing w:after="0"/>
        <w:tabs>
          <w:tab w:leader="none" w:pos="860" w:val="left"/>
          <w:tab w:leader="dot" w:pos="5160" w:val="left"/>
        </w:tabs>
        <w:rPr>
          <w:sz w:val="20"/>
          <w:szCs w:val="20"/>
          <w:color w:val="auto"/>
        </w:rPr>
      </w:pPr>
      <w:r>
        <w:rPr>
          <w:rFonts w:ascii="Courier New" w:cs="Courier New" w:eastAsia="Courier New" w:hAnsi="Courier New"/>
          <w:sz w:val="15"/>
          <w:szCs w:val="15"/>
          <w:color w:val="auto"/>
        </w:rPr>
        <w:t>7.8.</w:t>
        <w:tab/>
        <w:t>Successor Agent</w:t>
      </w:r>
      <w:r>
        <w:rPr>
          <w:sz w:val="20"/>
          <w:szCs w:val="20"/>
          <w:color w:val="auto"/>
        </w:rPr>
        <w:tab/>
      </w:r>
      <w:r>
        <w:rPr>
          <w:rFonts w:ascii="Courier New" w:cs="Courier New" w:eastAsia="Courier New" w:hAnsi="Courier New"/>
          <w:sz w:val="12"/>
          <w:szCs w:val="12"/>
          <w:color w:val="auto"/>
        </w:rPr>
        <w:t>51</w:t>
      </w:r>
    </w:p>
    <w:p>
      <w:pPr>
        <w:ind w:left="360"/>
        <w:spacing w:after="0"/>
        <w:tabs>
          <w:tab w:leader="none" w:pos="860" w:val="left"/>
          <w:tab w:leader="dot" w:pos="5160" w:val="left"/>
        </w:tabs>
        <w:rPr>
          <w:sz w:val="20"/>
          <w:szCs w:val="20"/>
          <w:color w:val="auto"/>
        </w:rPr>
      </w:pPr>
      <w:r>
        <w:rPr>
          <w:rFonts w:ascii="Courier New" w:cs="Courier New" w:eastAsia="Courier New" w:hAnsi="Courier New"/>
          <w:sz w:val="15"/>
          <w:szCs w:val="15"/>
          <w:color w:val="auto"/>
        </w:rPr>
        <w:t>7.9.</w:t>
        <w:tab/>
        <w:t>Agent's Fee</w:t>
      </w:r>
      <w:r>
        <w:rPr>
          <w:sz w:val="20"/>
          <w:szCs w:val="20"/>
          <w:color w:val="auto"/>
        </w:rPr>
        <w:tab/>
      </w:r>
      <w:r>
        <w:rPr>
          <w:rFonts w:ascii="Courier New" w:cs="Courier New" w:eastAsia="Courier New" w:hAnsi="Courier New"/>
          <w:sz w:val="12"/>
          <w:szCs w:val="12"/>
          <w:color w:val="auto"/>
        </w:rPr>
        <w:t>52</w:t>
      </w:r>
    </w:p>
    <w:p>
      <w:pPr>
        <w:spacing w:after="0" w:line="167" w:lineRule="exact"/>
        <w:rPr>
          <w:sz w:val="20"/>
          <w:szCs w:val="20"/>
          <w:color w:val="auto"/>
        </w:rPr>
      </w:pPr>
    </w:p>
    <w:p>
      <w:pPr>
        <w:ind w:left="360" w:hanging="350"/>
        <w:spacing w:after="0"/>
        <w:tabs>
          <w:tab w:leader="none" w:pos="36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ind w:left="360"/>
        <w:spacing w:after="0"/>
        <w:tabs>
          <w:tab w:leader="none" w:pos="860" w:val="left"/>
          <w:tab w:leader="dot" w:pos="5160" w:val="left"/>
        </w:tabs>
        <w:rPr>
          <w:sz w:val="20"/>
          <w:szCs w:val="20"/>
          <w:color w:val="auto"/>
        </w:rPr>
      </w:pPr>
      <w:r>
        <w:rPr>
          <w:rFonts w:ascii="Courier New" w:cs="Courier New" w:eastAsia="Courier New" w:hAnsi="Courier New"/>
          <w:sz w:val="15"/>
          <w:szCs w:val="15"/>
          <w:color w:val="auto"/>
        </w:rPr>
        <w:t>8.1.</w:t>
        <w:tab/>
        <w:t>Notice</w:t>
      </w:r>
      <w:r>
        <w:rPr>
          <w:sz w:val="20"/>
          <w:szCs w:val="20"/>
          <w:color w:val="auto"/>
        </w:rPr>
        <w:tab/>
      </w:r>
      <w:r>
        <w:rPr>
          <w:rFonts w:ascii="Courier New" w:cs="Courier New" w:eastAsia="Courier New" w:hAnsi="Courier New"/>
          <w:sz w:val="12"/>
          <w:szCs w:val="12"/>
          <w:color w:val="auto"/>
        </w:rPr>
        <w:t>52</w:t>
      </w:r>
    </w:p>
    <w:p>
      <w:pPr>
        <w:ind w:left="360"/>
        <w:spacing w:after="0"/>
        <w:tabs>
          <w:tab w:leader="none" w:pos="860" w:val="left"/>
          <w:tab w:leader="dot" w:pos="5160" w:val="left"/>
        </w:tabs>
        <w:rPr>
          <w:sz w:val="20"/>
          <w:szCs w:val="20"/>
          <w:color w:val="auto"/>
        </w:rPr>
      </w:pPr>
      <w:r>
        <w:rPr>
          <w:rFonts w:ascii="Courier New" w:cs="Courier New" w:eastAsia="Courier New" w:hAnsi="Courier New"/>
          <w:sz w:val="15"/>
          <w:szCs w:val="15"/>
          <w:color w:val="auto"/>
        </w:rPr>
        <w:t>8.2.</w:t>
        <w:tab/>
        <w:t>No Waivers</w:t>
      </w:r>
      <w:r>
        <w:rPr>
          <w:sz w:val="20"/>
          <w:szCs w:val="20"/>
          <w:color w:val="auto"/>
        </w:rPr>
        <w:tab/>
      </w:r>
      <w:r>
        <w:rPr>
          <w:rFonts w:ascii="Courier New" w:cs="Courier New" w:eastAsia="Courier New" w:hAnsi="Courier New"/>
          <w:sz w:val="12"/>
          <w:szCs w:val="12"/>
          <w:color w:val="auto"/>
        </w:rPr>
        <w:t>53</w:t>
      </w:r>
    </w:p>
    <w:p>
      <w:pPr>
        <w:ind w:left="360"/>
        <w:spacing w:after="0"/>
        <w:tabs>
          <w:tab w:leader="none" w:pos="860" w:val="left"/>
          <w:tab w:leader="dot" w:pos="5160" w:val="left"/>
        </w:tabs>
        <w:rPr>
          <w:sz w:val="20"/>
          <w:szCs w:val="20"/>
          <w:color w:val="auto"/>
        </w:rPr>
      </w:pPr>
      <w:r>
        <w:rPr>
          <w:rFonts w:ascii="Courier New" w:cs="Courier New" w:eastAsia="Courier New" w:hAnsi="Courier New"/>
          <w:sz w:val="15"/>
          <w:szCs w:val="15"/>
          <w:color w:val="auto"/>
        </w:rPr>
        <w:t>8.3.</w:t>
        <w:tab/>
        <w:t>Expenses; Documentary Taxes</w:t>
      </w:r>
      <w:r>
        <w:rPr>
          <w:sz w:val="20"/>
          <w:szCs w:val="20"/>
          <w:color w:val="auto"/>
        </w:rPr>
        <w:tab/>
      </w:r>
      <w:r>
        <w:rPr>
          <w:rFonts w:ascii="Courier New" w:cs="Courier New" w:eastAsia="Courier New" w:hAnsi="Courier New"/>
          <w:sz w:val="12"/>
          <w:szCs w:val="12"/>
          <w:color w:val="auto"/>
        </w:rPr>
        <w:t>53</w:t>
      </w:r>
    </w:p>
    <w:p>
      <w:pPr>
        <w:ind w:left="360"/>
        <w:spacing w:after="0"/>
        <w:tabs>
          <w:tab w:leader="none" w:pos="860" w:val="left"/>
          <w:tab w:leader="dot" w:pos="5160" w:val="left"/>
        </w:tabs>
        <w:rPr>
          <w:sz w:val="20"/>
          <w:szCs w:val="20"/>
          <w:color w:val="auto"/>
        </w:rPr>
      </w:pPr>
      <w:r>
        <w:rPr>
          <w:rFonts w:ascii="Courier New" w:cs="Courier New" w:eastAsia="Courier New" w:hAnsi="Courier New"/>
          <w:sz w:val="15"/>
          <w:szCs w:val="15"/>
          <w:color w:val="auto"/>
        </w:rPr>
        <w:t>8.4.</w:t>
        <w:tab/>
        <w:t>Sharing of Set-Offs</w:t>
      </w:r>
      <w:r>
        <w:rPr>
          <w:sz w:val="20"/>
          <w:szCs w:val="20"/>
          <w:color w:val="auto"/>
        </w:rPr>
        <w:tab/>
      </w:r>
      <w:r>
        <w:rPr>
          <w:rFonts w:ascii="Courier New" w:cs="Courier New" w:eastAsia="Courier New" w:hAnsi="Courier New"/>
          <w:sz w:val="12"/>
          <w:szCs w:val="12"/>
          <w:color w:val="auto"/>
        </w:rPr>
        <w:t>53</w:t>
      </w:r>
    </w:p>
    <w:p>
      <w:pPr>
        <w:ind w:left="360"/>
        <w:spacing w:after="0"/>
        <w:tabs>
          <w:tab w:leader="none" w:pos="860" w:val="left"/>
          <w:tab w:leader="dot" w:pos="5160" w:val="left"/>
        </w:tabs>
        <w:rPr>
          <w:sz w:val="20"/>
          <w:szCs w:val="20"/>
          <w:color w:val="auto"/>
        </w:rPr>
      </w:pPr>
      <w:r>
        <w:rPr>
          <w:rFonts w:ascii="Courier New" w:cs="Courier New" w:eastAsia="Courier New" w:hAnsi="Courier New"/>
          <w:sz w:val="15"/>
          <w:szCs w:val="15"/>
          <w:color w:val="auto"/>
        </w:rPr>
        <w:t>8.5.</w:t>
        <w:tab/>
        <w:t>Amendments and Waivers</w:t>
      </w:r>
      <w:r>
        <w:rPr>
          <w:sz w:val="20"/>
          <w:szCs w:val="20"/>
          <w:color w:val="auto"/>
        </w:rPr>
        <w:tab/>
      </w:r>
      <w:r>
        <w:rPr>
          <w:rFonts w:ascii="Courier New" w:cs="Courier New" w:eastAsia="Courier New" w:hAnsi="Courier New"/>
          <w:sz w:val="12"/>
          <w:szCs w:val="12"/>
          <w:color w:val="auto"/>
        </w:rPr>
        <w:t>54</w:t>
      </w:r>
    </w:p>
    <w:p>
      <w:pPr>
        <w:ind w:left="360"/>
        <w:spacing w:after="0"/>
        <w:tabs>
          <w:tab w:leader="none" w:pos="860" w:val="left"/>
          <w:tab w:leader="dot" w:pos="5160" w:val="left"/>
        </w:tabs>
        <w:rPr>
          <w:sz w:val="20"/>
          <w:szCs w:val="20"/>
          <w:color w:val="auto"/>
        </w:rPr>
      </w:pPr>
      <w:r>
        <w:rPr>
          <w:rFonts w:ascii="Courier New" w:cs="Courier New" w:eastAsia="Courier New" w:hAnsi="Courier New"/>
          <w:sz w:val="15"/>
          <w:szCs w:val="15"/>
          <w:color w:val="auto"/>
        </w:rPr>
        <w:t>8.6.</w:t>
        <w:tab/>
        <w:t>Successors and Assigns</w:t>
      </w:r>
      <w:r>
        <w:rPr>
          <w:sz w:val="20"/>
          <w:szCs w:val="20"/>
          <w:color w:val="auto"/>
        </w:rPr>
        <w:tab/>
      </w:r>
      <w:r>
        <w:rPr>
          <w:rFonts w:ascii="Courier New" w:cs="Courier New" w:eastAsia="Courier New" w:hAnsi="Courier New"/>
          <w:sz w:val="12"/>
          <w:szCs w:val="12"/>
          <w:color w:val="auto"/>
        </w:rPr>
        <w:t>54</w:t>
      </w:r>
    </w:p>
    <w:p>
      <w:pPr>
        <w:ind w:left="360"/>
        <w:spacing w:after="0"/>
        <w:tabs>
          <w:tab w:leader="none" w:pos="860" w:val="left"/>
          <w:tab w:leader="dot" w:pos="5160" w:val="left"/>
        </w:tabs>
        <w:rPr>
          <w:sz w:val="20"/>
          <w:szCs w:val="20"/>
          <w:color w:val="auto"/>
        </w:rPr>
      </w:pPr>
      <w:r>
        <w:rPr>
          <w:rFonts w:ascii="Courier New" w:cs="Courier New" w:eastAsia="Courier New" w:hAnsi="Courier New"/>
          <w:sz w:val="15"/>
          <w:szCs w:val="15"/>
          <w:color w:val="auto"/>
        </w:rPr>
        <w:t>8.7.</w:t>
        <w:tab/>
        <w:t>Collateral</w:t>
      </w:r>
      <w:r>
        <w:rPr>
          <w:sz w:val="20"/>
          <w:szCs w:val="20"/>
          <w:color w:val="auto"/>
        </w:rPr>
        <w:tab/>
      </w:r>
      <w:r>
        <w:rPr>
          <w:rFonts w:ascii="Courier New" w:cs="Courier New" w:eastAsia="Courier New" w:hAnsi="Courier New"/>
          <w:sz w:val="12"/>
          <w:szCs w:val="12"/>
          <w:color w:val="auto"/>
        </w:rPr>
        <w:t>56</w:t>
      </w:r>
    </w:p>
    <w:p>
      <w:pPr>
        <w:ind w:left="360"/>
        <w:spacing w:after="0"/>
        <w:tabs>
          <w:tab w:leader="none" w:pos="860" w:val="left"/>
          <w:tab w:leader="dot" w:pos="5160" w:val="left"/>
        </w:tabs>
        <w:rPr>
          <w:sz w:val="20"/>
          <w:szCs w:val="20"/>
          <w:color w:val="auto"/>
        </w:rPr>
      </w:pPr>
      <w:r>
        <w:rPr>
          <w:rFonts w:ascii="Courier New" w:cs="Courier New" w:eastAsia="Courier New" w:hAnsi="Courier New"/>
          <w:sz w:val="15"/>
          <w:szCs w:val="15"/>
          <w:color w:val="auto"/>
        </w:rPr>
        <w:t>8.8.</w:t>
        <w:tab/>
        <w:t>New York Law</w:t>
      </w:r>
      <w:r>
        <w:rPr>
          <w:sz w:val="20"/>
          <w:szCs w:val="20"/>
          <w:color w:val="auto"/>
        </w:rPr>
        <w:tab/>
      </w:r>
      <w:r>
        <w:rPr>
          <w:rFonts w:ascii="Courier New" w:cs="Courier New" w:eastAsia="Courier New" w:hAnsi="Courier New"/>
          <w:sz w:val="12"/>
          <w:szCs w:val="12"/>
          <w:color w:val="auto"/>
        </w:rPr>
        <w:t>56</w:t>
      </w:r>
    </w:p>
    <w:p>
      <w:pPr>
        <w:spacing w:after="0" w:line="200" w:lineRule="exact"/>
        <w:rPr>
          <w:sz w:val="20"/>
          <w:szCs w:val="20"/>
          <w:color w:val="auto"/>
        </w:rPr>
      </w:pPr>
    </w:p>
    <w:p>
      <w:pPr>
        <w:spacing w:after="0" w:line="30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39"/>
          </w:cols>
          <w:pgMar w:left="220" w:top="953" w:right="1440" w:bottom="1440" w:gutter="0" w:footer="0" w:header="0"/>
        </w:sectPr>
      </w:pPr>
    </w:p>
    <w:bookmarkStart w:id="25" w:name="page26"/>
    <w:bookmarkEnd w:id="25"/>
    <w:p>
      <w:pPr>
        <w:spacing w:after="0"/>
        <w:tabs>
          <w:tab w:leader="none" w:pos="4980" w:val="left"/>
        </w:tabs>
        <w:rPr>
          <w:sz w:val="20"/>
          <w:szCs w:val="20"/>
          <w:color w:val="auto"/>
        </w:rPr>
      </w:pPr>
      <w:r>
        <w:rPr>
          <w:rFonts w:ascii="Courier New" w:cs="Courier New" w:eastAsia="Courier New" w:hAnsi="Courier New"/>
          <w:sz w:val="15"/>
          <w:szCs w:val="15"/>
          <w:color w:val="auto"/>
        </w:rPr>
        <w:t>SECTION</w:t>
      </w:r>
      <w:r>
        <w:rPr>
          <w:sz w:val="20"/>
          <w:szCs w:val="20"/>
          <w:color w:val="auto"/>
        </w:rPr>
        <w:tab/>
      </w:r>
      <w:r>
        <w:rPr>
          <w:rFonts w:ascii="Courier New" w:cs="Courier New" w:eastAsia="Courier New" w:hAnsi="Courier New"/>
          <w:sz w:val="14"/>
          <w:szCs w:val="14"/>
          <w:color w:val="auto"/>
        </w:rPr>
        <w:t>PAGE</w:t>
      </w:r>
    </w:p>
    <w:p>
      <w:pPr>
        <w:spacing w:after="0"/>
        <w:tabs>
          <w:tab w:leader="none" w:pos="516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335" w:lineRule="exact"/>
        <w:rPr>
          <w:sz w:val="20"/>
          <w:szCs w:val="20"/>
          <w:color w:val="auto"/>
        </w:rPr>
      </w:pPr>
    </w:p>
    <w:p>
      <w:pPr>
        <w:ind w:left="360"/>
        <w:spacing w:after="0"/>
        <w:tabs>
          <w:tab w:leader="none" w:pos="860" w:val="left"/>
          <w:tab w:leader="dot" w:pos="5160" w:val="left"/>
        </w:tabs>
        <w:rPr>
          <w:sz w:val="20"/>
          <w:szCs w:val="20"/>
          <w:color w:val="auto"/>
        </w:rPr>
      </w:pPr>
      <w:r>
        <w:rPr>
          <w:rFonts w:ascii="Courier New" w:cs="Courier New" w:eastAsia="Courier New" w:hAnsi="Courier New"/>
          <w:sz w:val="15"/>
          <w:szCs w:val="15"/>
          <w:color w:val="auto"/>
        </w:rPr>
        <w:t>8.9.</w:t>
        <w:tab/>
        <w:t>Counterparts; Integration</w:t>
      </w:r>
      <w:r>
        <w:rPr>
          <w:sz w:val="20"/>
          <w:szCs w:val="20"/>
          <w:color w:val="auto"/>
        </w:rPr>
        <w:tab/>
      </w:r>
      <w:r>
        <w:rPr>
          <w:rFonts w:ascii="Courier New" w:cs="Courier New" w:eastAsia="Courier New" w:hAnsi="Courier New"/>
          <w:sz w:val="12"/>
          <w:szCs w:val="12"/>
          <w:color w:val="auto"/>
        </w:rPr>
        <w:t>56</w:t>
      </w:r>
    </w:p>
    <w:p>
      <w:pPr>
        <w:ind w:left="360"/>
        <w:spacing w:after="0"/>
        <w:tabs>
          <w:tab w:leader="dot" w:pos="5160" w:val="left"/>
        </w:tabs>
        <w:rPr>
          <w:sz w:val="20"/>
          <w:szCs w:val="20"/>
          <w:color w:val="auto"/>
        </w:rPr>
      </w:pPr>
      <w:r>
        <w:rPr>
          <w:rFonts w:ascii="Courier New" w:cs="Courier New" w:eastAsia="Courier New" w:hAnsi="Courier New"/>
          <w:sz w:val="15"/>
          <w:szCs w:val="15"/>
          <w:color w:val="auto"/>
        </w:rPr>
        <w:t>8.10. Indemnity by Company</w:t>
      </w:r>
      <w:r>
        <w:rPr>
          <w:sz w:val="20"/>
          <w:szCs w:val="20"/>
          <w:color w:val="auto"/>
        </w:rPr>
        <w:tab/>
      </w:r>
      <w:r>
        <w:rPr>
          <w:rFonts w:ascii="Courier New" w:cs="Courier New" w:eastAsia="Courier New" w:hAnsi="Courier New"/>
          <w:sz w:val="12"/>
          <w:szCs w:val="12"/>
          <w:color w:val="auto"/>
        </w:rPr>
        <w:t>56</w:t>
      </w:r>
    </w:p>
    <w:p>
      <w:pPr>
        <w:spacing w:after="0" w:line="167" w:lineRule="exact"/>
        <w:rPr>
          <w:sz w:val="20"/>
          <w:szCs w:val="20"/>
          <w:color w:val="auto"/>
        </w:rPr>
      </w:pPr>
    </w:p>
    <w:p>
      <w:pPr>
        <w:ind w:left="360" w:hanging="350"/>
        <w:spacing w:after="0"/>
        <w:tabs>
          <w:tab w:leader="none" w:pos="36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EFFECTIVENESS</w:t>
      </w:r>
    </w:p>
    <w:p>
      <w:pPr>
        <w:ind w:left="360"/>
        <w:spacing w:after="0"/>
        <w:tabs>
          <w:tab w:leader="none" w:pos="860" w:val="left"/>
          <w:tab w:leader="dot" w:pos="5160" w:val="left"/>
        </w:tabs>
        <w:rPr>
          <w:sz w:val="20"/>
          <w:szCs w:val="20"/>
          <w:color w:val="auto"/>
        </w:rPr>
      </w:pPr>
      <w:r>
        <w:rPr>
          <w:rFonts w:ascii="Courier New" w:cs="Courier New" w:eastAsia="Courier New" w:hAnsi="Courier New"/>
          <w:sz w:val="15"/>
          <w:szCs w:val="15"/>
          <w:color w:val="auto"/>
        </w:rPr>
        <w:t>9.1.</w:t>
        <w:tab/>
        <w:t>Conditions</w:t>
      </w:r>
      <w:r>
        <w:rPr>
          <w:sz w:val="20"/>
          <w:szCs w:val="20"/>
          <w:color w:val="auto"/>
        </w:rPr>
        <w:tab/>
      </w:r>
      <w:r>
        <w:rPr>
          <w:rFonts w:ascii="Courier New" w:cs="Courier New" w:eastAsia="Courier New" w:hAnsi="Courier New"/>
          <w:sz w:val="12"/>
          <w:szCs w:val="12"/>
          <w:color w:val="auto"/>
        </w:rPr>
        <w:t>57</w:t>
      </w:r>
    </w:p>
    <w:p>
      <w:pPr>
        <w:ind w:left="360"/>
        <w:spacing w:after="0"/>
        <w:tabs>
          <w:tab w:leader="none" w:pos="860" w:val="left"/>
          <w:tab w:leader="dot" w:pos="5160" w:val="left"/>
        </w:tabs>
        <w:rPr>
          <w:sz w:val="20"/>
          <w:szCs w:val="20"/>
          <w:color w:val="auto"/>
        </w:rPr>
      </w:pPr>
      <w:r>
        <w:rPr>
          <w:rFonts w:ascii="Courier New" w:cs="Courier New" w:eastAsia="Courier New" w:hAnsi="Courier New"/>
          <w:sz w:val="15"/>
          <w:szCs w:val="15"/>
          <w:color w:val="auto"/>
        </w:rPr>
        <w:t>9.2.</w:t>
        <w:tab/>
        <w:t>Termination of Agreements</w:t>
      </w:r>
      <w:r>
        <w:rPr>
          <w:sz w:val="20"/>
          <w:szCs w:val="20"/>
          <w:color w:val="auto"/>
        </w:rPr>
        <w:tab/>
      </w:r>
      <w:r>
        <w:rPr>
          <w:rFonts w:ascii="Courier New" w:cs="Courier New" w:eastAsia="Courier New" w:hAnsi="Courier New"/>
          <w:sz w:val="12"/>
          <w:szCs w:val="12"/>
          <w:color w:val="auto"/>
        </w:rPr>
        <w:t>58</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EXHIBITS</w:t>
      </w:r>
    </w:p>
    <w:p>
      <w:pPr>
        <w:spacing w:after="0" w:line="166"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EXHIBIT A</w:t>
      </w:r>
      <w:r>
        <w:rPr>
          <w:sz w:val="20"/>
          <w:szCs w:val="20"/>
          <w:color w:val="auto"/>
        </w:rPr>
        <w:tab/>
      </w:r>
      <w:r>
        <w:rPr>
          <w:rFonts w:ascii="Courier New" w:cs="Courier New" w:eastAsia="Courier New" w:hAnsi="Courier New"/>
          <w:sz w:val="15"/>
          <w:szCs w:val="15"/>
          <w:color w:val="auto"/>
        </w:rPr>
        <w:t>Note</w:t>
      </w:r>
    </w:p>
    <w:p>
      <w:pPr>
        <w:spacing w:after="0" w:line="166"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EXHIBIT B</w:t>
      </w:r>
      <w:r>
        <w:rPr>
          <w:sz w:val="20"/>
          <w:szCs w:val="20"/>
          <w:color w:val="auto"/>
        </w:rPr>
        <w:tab/>
      </w:r>
      <w:r>
        <w:rPr>
          <w:rFonts w:ascii="Courier New" w:cs="Courier New" w:eastAsia="Courier New" w:hAnsi="Courier New"/>
          <w:sz w:val="14"/>
          <w:szCs w:val="14"/>
          <w:color w:val="auto"/>
        </w:rPr>
        <w:t>Form of Quote Request</w:t>
      </w:r>
    </w:p>
    <w:p>
      <w:pPr>
        <w:spacing w:after="0" w:line="166"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EXHIBIT C</w:t>
      </w:r>
      <w:r>
        <w:rPr>
          <w:sz w:val="20"/>
          <w:szCs w:val="20"/>
          <w:color w:val="auto"/>
        </w:rPr>
        <w:tab/>
      </w:r>
      <w:r>
        <w:rPr>
          <w:rFonts w:ascii="Courier New" w:cs="Courier New" w:eastAsia="Courier New" w:hAnsi="Courier New"/>
          <w:sz w:val="14"/>
          <w:szCs w:val="14"/>
          <w:color w:val="auto"/>
        </w:rPr>
        <w:t>Form of Invitation for Quotes</w:t>
      </w:r>
    </w:p>
    <w:p>
      <w:pPr>
        <w:spacing w:after="0" w:line="166"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EXHIBIT D</w:t>
      </w:r>
      <w:r>
        <w:rPr>
          <w:sz w:val="20"/>
          <w:szCs w:val="20"/>
          <w:color w:val="auto"/>
        </w:rPr>
        <w:tab/>
      </w:r>
      <w:r>
        <w:rPr>
          <w:rFonts w:ascii="Courier New" w:cs="Courier New" w:eastAsia="Courier New" w:hAnsi="Courier New"/>
          <w:sz w:val="14"/>
          <w:szCs w:val="14"/>
          <w:color w:val="auto"/>
        </w:rPr>
        <w:t>Form of Quote</w:t>
      </w:r>
    </w:p>
    <w:p>
      <w:pPr>
        <w:spacing w:after="0" w:line="166"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EXHIBIT E</w:t>
      </w:r>
      <w:r>
        <w:rPr>
          <w:sz w:val="20"/>
          <w:szCs w:val="20"/>
          <w:color w:val="auto"/>
        </w:rPr>
        <w:tab/>
      </w:r>
      <w:r>
        <w:rPr>
          <w:rFonts w:ascii="Courier New" w:cs="Courier New" w:eastAsia="Courier New" w:hAnsi="Courier New"/>
          <w:sz w:val="14"/>
          <w:szCs w:val="14"/>
          <w:color w:val="auto"/>
        </w:rPr>
        <w:t>Opinion of Counsel for the Company</w:t>
      </w:r>
    </w:p>
    <w:p>
      <w:pPr>
        <w:spacing w:after="0" w:line="166"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EXHIBIT F</w:t>
      </w:r>
      <w:r>
        <w:rPr>
          <w:sz w:val="20"/>
          <w:szCs w:val="20"/>
          <w:color w:val="auto"/>
        </w:rPr>
        <w:tab/>
      </w:r>
      <w:r>
        <w:rPr>
          <w:rFonts w:ascii="Courier New" w:cs="Courier New" w:eastAsia="Courier New" w:hAnsi="Courier New"/>
          <w:sz w:val="14"/>
          <w:szCs w:val="14"/>
          <w:color w:val="auto"/>
        </w:rPr>
        <w:t>Opinion Of Cravath, Swaine &amp; Moore,</w:t>
      </w:r>
    </w:p>
    <w:p>
      <w:pPr>
        <w:ind w:left="1500"/>
        <w:spacing w:after="0" w:line="237" w:lineRule="auto"/>
        <w:rPr>
          <w:sz w:val="20"/>
          <w:szCs w:val="20"/>
          <w:color w:val="auto"/>
        </w:rPr>
      </w:pPr>
      <w:r>
        <w:rPr>
          <w:rFonts w:ascii="Courier New" w:cs="Courier New" w:eastAsia="Courier New" w:hAnsi="Courier New"/>
          <w:sz w:val="15"/>
          <w:szCs w:val="15"/>
          <w:color w:val="auto"/>
        </w:rPr>
        <w:t>Special Counsel For The Agent</w:t>
      </w:r>
    </w:p>
    <w:p>
      <w:pPr>
        <w:spacing w:after="0" w:line="167"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EXHIBIT G</w:t>
      </w:r>
      <w:r>
        <w:rPr>
          <w:sz w:val="20"/>
          <w:szCs w:val="20"/>
          <w:color w:val="auto"/>
        </w:rPr>
        <w:tab/>
      </w:r>
      <w:r>
        <w:rPr>
          <w:rFonts w:ascii="Courier New" w:cs="Courier New" w:eastAsia="Courier New" w:hAnsi="Courier New"/>
          <w:sz w:val="14"/>
          <w:szCs w:val="14"/>
          <w:color w:val="auto"/>
        </w:rPr>
        <w:t>Assignment and Assumption Agreement</w:t>
      </w:r>
    </w:p>
    <w:p>
      <w:pPr>
        <w:spacing w:after="0" w:line="166"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EXHIBIT H</w:t>
      </w:r>
      <w:r>
        <w:rPr>
          <w:sz w:val="20"/>
          <w:szCs w:val="20"/>
          <w:color w:val="auto"/>
        </w:rPr>
        <w:tab/>
      </w:r>
      <w:r>
        <w:rPr>
          <w:rFonts w:ascii="Courier New" w:cs="Courier New" w:eastAsia="Courier New" w:hAnsi="Courier New"/>
          <w:sz w:val="14"/>
          <w:szCs w:val="14"/>
          <w:color w:val="auto"/>
        </w:rPr>
        <w:t>Form of Notice of Request to Extend</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10239"/>
          </w:cols>
          <w:pgMar w:left="220" w:top="1122" w:right="1440" w:bottom="1440" w:gutter="0" w:footer="0" w:header="0"/>
        </w:sectPr>
      </w:pPr>
    </w:p>
    <w:bookmarkStart w:id="26" w:name="page27"/>
    <w:bookmarkEnd w:id="26"/>
    <w:p>
      <w:pPr>
        <w:ind w:left="2800"/>
        <w:spacing w:after="0"/>
        <w:rPr>
          <w:sz w:val="20"/>
          <w:szCs w:val="20"/>
          <w:color w:val="auto"/>
        </w:rPr>
      </w:pPr>
      <w:r>
        <w:rPr>
          <w:rFonts w:ascii="Courier New" w:cs="Courier New" w:eastAsia="Courier New" w:hAnsi="Courier New"/>
          <w:sz w:val="15"/>
          <w:szCs w:val="15"/>
          <w:color w:val="auto"/>
        </w:rPr>
        <w:t>CREDIT AGREEMENT</w:t>
      </w:r>
    </w:p>
    <w:p>
      <w:pPr>
        <w:ind w:left="280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THIS CREDIT AGREEMENT dated as of December 15, 1995 among THE LIMITED, INC., a Delaware corporation, the BANKS listed on the signature pages of this Agreement and MORGAN GUARANTY TRUST COMPANY OF NEW YORK, as Agent for the Banks hereunder (in such capacity, the "Agent"). The parties hereto, intending to be legally bound, hereby agree as follows: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SECTION I</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DEFINITIONS</w:t>
      </w:r>
    </w:p>
    <w:p>
      <w:pPr>
        <w:spacing w:after="0" w:line="166" w:lineRule="exact"/>
        <w:rPr>
          <w:sz w:val="20"/>
          <w:szCs w:val="20"/>
          <w:color w:val="auto"/>
        </w:rPr>
      </w:pPr>
    </w:p>
    <w:p>
      <w:pPr>
        <w:ind w:left="800"/>
        <w:spacing w:after="0"/>
        <w:tabs>
          <w:tab w:leader="none" w:pos="1300" w:val="left"/>
          <w:tab w:leader="none" w:pos="3060" w:val="left"/>
        </w:tabs>
        <w:rPr>
          <w:sz w:val="20"/>
          <w:szCs w:val="20"/>
          <w:color w:val="auto"/>
        </w:rPr>
      </w:pPr>
      <w:r>
        <w:rPr>
          <w:rFonts w:ascii="Courier New" w:cs="Courier New" w:eastAsia="Courier New" w:hAnsi="Courier New"/>
          <w:sz w:val="15"/>
          <w:szCs w:val="15"/>
          <w:color w:val="auto"/>
        </w:rPr>
        <w:t>1.1.</w:t>
        <w:tab/>
        <w:t>Capitalized Terms.</w:t>
      </w:r>
      <w:r>
        <w:rPr>
          <w:sz w:val="20"/>
          <w:szCs w:val="20"/>
          <w:color w:val="auto"/>
        </w:rPr>
        <w:tab/>
      </w:r>
      <w:r>
        <w:rPr>
          <w:rFonts w:ascii="Courier New" w:cs="Courier New" w:eastAsia="Courier New" w:hAnsi="Courier New"/>
          <w:sz w:val="14"/>
          <w:szCs w:val="14"/>
          <w:color w:val="auto"/>
        </w:rPr>
        <w:t>For the purpose of this Agreement, the</w:t>
      </w:r>
    </w:p>
    <w:p>
      <w:pPr>
        <w:ind w:left="132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following capitalized terms shall have the following meanings:</w:t>
      </w:r>
    </w:p>
    <w:p>
      <w:pPr>
        <w:spacing w:after="0" w:line="173" w:lineRule="exact"/>
        <w:rPr>
          <w:sz w:val="20"/>
          <w:szCs w:val="20"/>
          <w:color w:val="auto"/>
        </w:rPr>
      </w:pPr>
    </w:p>
    <w:p>
      <w:pPr>
        <w:ind w:right="3499" w:firstLine="787"/>
        <w:spacing w:after="0" w:line="234" w:lineRule="auto"/>
        <w:rPr>
          <w:sz w:val="20"/>
          <w:szCs w:val="20"/>
          <w:color w:val="auto"/>
        </w:rPr>
      </w:pPr>
      <w:r>
        <w:rPr>
          <w:rFonts w:ascii="Courier New" w:cs="Courier New" w:eastAsia="Courier New" w:hAnsi="Courier New"/>
          <w:sz w:val="15"/>
          <w:szCs w:val="15"/>
          <w:color w:val="auto"/>
        </w:rPr>
        <w:t>"Absolute Rate Auction" means a solicitation of Quotes setting forth Money Market Absolute Rates pursuant to Section 2.3.</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"Adequate Company Rating" means, at any time at which the Company Does not have either a Highest Company Rating or a High Company Rating, either (a) there exists a Company Rating by Standard &amp; Poor's which is equal to or higher than BBB- but less than BBB+ or (b) there exists a Company Rating by Moody's which is equal to or higher than Baa3 but less than Baal. For purposes of this definition, the Company shall be deemed not to have an Adequate Company Rating if no Company Rating exists or if each Company Rating which would otherwise qualify as an Adequate Company Rating has been stated by the relevant rating agency to be under review for possible downgrading as a result of a specific or proposed action by the Company.</w:t>
      </w:r>
    </w:p>
    <w:p>
      <w:pPr>
        <w:spacing w:after="0" w:line="179"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"Adjusted CD Base Rate" has the meaning set forth in Section 2.7.2(b).</w:t>
      </w:r>
    </w:p>
    <w:p>
      <w:pPr>
        <w:spacing w:after="0" w:line="178"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"Administrative Questionnaire" means, with respect to each Bank, an administrative questionnaire in the form prepared by the Agent and submitted to the Agent (with a copy to the Company) duly completed by such Bank.</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"Agent" has the meaning set forth in the preamble.</w:t>
      </w:r>
    </w:p>
    <w:p>
      <w:pPr>
        <w:sectPr>
          <w:pgSz w:w="11900" w:h="16838" w:orient="portrait"/>
          <w:cols w:equalWidth="0" w:num="1">
            <w:col w:w="10239"/>
          </w:cols>
          <w:pgMar w:left="220" w:top="617" w:right="1440" w:bottom="1440" w:gutter="0" w:footer="0" w:header="0"/>
        </w:sectPr>
      </w:pPr>
    </w:p>
    <w:bookmarkStart w:id="27" w:name="page28"/>
    <w:bookmarkEnd w:id="27"/>
    <w:p>
      <w:pPr>
        <w:ind w:left="6660"/>
        <w:spacing w:after="0"/>
        <w:rPr>
          <w:sz w:val="20"/>
          <w:szCs w:val="20"/>
          <w:color w:val="auto"/>
        </w:rPr>
      </w:pPr>
      <w:r>
        <w:rPr>
          <w:rFonts w:ascii="Courier New" w:cs="Courier New" w:eastAsia="Courier New" w:hAnsi="Courier New"/>
          <w:sz w:val="15"/>
          <w:szCs w:val="15"/>
          <w:color w:val="auto"/>
        </w:rPr>
        <w:t>2</w:t>
      </w:r>
    </w:p>
    <w:p>
      <w:pPr>
        <w:spacing w:after="0" w:line="173" w:lineRule="exact"/>
        <w:rPr>
          <w:sz w:val="20"/>
          <w:szCs w:val="20"/>
          <w:color w:val="auto"/>
        </w:rPr>
      </w:pPr>
    </w:p>
    <w:p>
      <w:pPr>
        <w:ind w:right="3499" w:firstLine="787"/>
        <w:spacing w:after="0" w:line="234" w:lineRule="auto"/>
        <w:rPr>
          <w:sz w:val="20"/>
          <w:szCs w:val="20"/>
          <w:color w:val="auto"/>
        </w:rPr>
      </w:pPr>
      <w:r>
        <w:rPr>
          <w:rFonts w:ascii="Courier New" w:cs="Courier New" w:eastAsia="Courier New" w:hAnsi="Courier New"/>
          <w:sz w:val="15"/>
          <w:szCs w:val="15"/>
          <w:color w:val="auto"/>
        </w:rPr>
        <w:t>"Agreement" means this Credit Agreement as the same may hereafter be amended from time to time.</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"Assessment Rate" has the meaning set forth in Section 2.7.2(b).</w:t>
      </w:r>
    </w:p>
    <w:p>
      <w:pPr>
        <w:spacing w:after="0" w:line="173" w:lineRule="exact"/>
        <w:rPr>
          <w:sz w:val="20"/>
          <w:szCs w:val="20"/>
          <w:color w:val="auto"/>
        </w:rPr>
      </w:pPr>
    </w:p>
    <w:p>
      <w:pPr>
        <w:ind w:right="3579" w:firstLine="787"/>
        <w:spacing w:after="0" w:line="235" w:lineRule="auto"/>
        <w:rPr>
          <w:sz w:val="20"/>
          <w:szCs w:val="20"/>
          <w:color w:val="auto"/>
        </w:rPr>
      </w:pPr>
      <w:r>
        <w:rPr>
          <w:rFonts w:ascii="Courier New" w:cs="Courier New" w:eastAsia="Courier New" w:hAnsi="Courier New"/>
          <w:sz w:val="15"/>
          <w:szCs w:val="15"/>
          <w:color w:val="auto"/>
        </w:rPr>
        <w:t>"Banks" means the (a) banks listed on the signature pages of this Agreement, (b) any additional banks which become Banks hereunder pursuant to Section 2.9.3 and (c) their respective successors and assigns; "Bank" means any one of them.</w:t>
      </w:r>
    </w:p>
    <w:p>
      <w:pPr>
        <w:spacing w:after="0" w:line="16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"Base Rate" means, for any day, a rate per annum equal to the higher of</w:t>
      </w:r>
    </w:p>
    <w:p>
      <w:pPr>
        <w:spacing w:after="0" w:line="5" w:lineRule="exact"/>
        <w:rPr>
          <w:sz w:val="20"/>
          <w:szCs w:val="20"/>
          <w:color w:val="auto"/>
        </w:rPr>
      </w:pPr>
    </w:p>
    <w:p>
      <w:pPr>
        <w:ind w:right="3499" w:firstLine="10"/>
        <w:spacing w:after="0" w:line="234" w:lineRule="auto"/>
        <w:tabs>
          <w:tab w:leader="none" w:pos="35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Prime Rate for such day and (b) the sum of 1/2 of 1% plus the Federal Funds Rate for such day.</w:t>
      </w:r>
    </w:p>
    <w:p>
      <w:pPr>
        <w:spacing w:after="0" w:line="173" w:lineRule="exact"/>
        <w:rPr>
          <w:sz w:val="20"/>
          <w:szCs w:val="20"/>
          <w:color w:val="auto"/>
        </w:rPr>
      </w:pPr>
    </w:p>
    <w:p>
      <w:pPr>
        <w:jc w:val="both"/>
        <w:ind w:right="3319" w:firstLine="787"/>
        <w:spacing w:after="0" w:line="235" w:lineRule="auto"/>
        <w:rPr>
          <w:sz w:val="20"/>
          <w:szCs w:val="20"/>
          <w:color w:val="auto"/>
        </w:rPr>
      </w:pPr>
      <w:r>
        <w:rPr>
          <w:rFonts w:ascii="Courier New" w:cs="Courier New" w:eastAsia="Courier New" w:hAnsi="Courier New"/>
          <w:sz w:val="15"/>
          <w:szCs w:val="15"/>
          <w:color w:val="auto"/>
        </w:rPr>
        <w:t>"Base Rate Loan" means a loan to be made by a Bank pursuant to Section 2.1 as a Base Rate Loan in accordance with the applicable Notice of Syndicated Borrowing or pursuant to Section 2.25, 2.16 or 2.18.</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"Borrowing" has the meaning set forth in Section 1.3.</w:t>
      </w:r>
    </w:p>
    <w:p>
      <w:pPr>
        <w:spacing w:after="0" w:line="173" w:lineRule="exact"/>
        <w:rPr>
          <w:sz w:val="20"/>
          <w:szCs w:val="20"/>
          <w:color w:val="auto"/>
        </w:rPr>
      </w:pPr>
    </w:p>
    <w:p>
      <w:pPr>
        <w:jc w:val="both"/>
        <w:ind w:right="3319" w:firstLine="787"/>
        <w:spacing w:after="0" w:line="234" w:lineRule="auto"/>
        <w:rPr>
          <w:sz w:val="20"/>
          <w:szCs w:val="20"/>
          <w:color w:val="auto"/>
        </w:rPr>
      </w:pPr>
      <w:r>
        <w:rPr>
          <w:rFonts w:ascii="Courier New" w:cs="Courier New" w:eastAsia="Courier New" w:hAnsi="Courier New"/>
          <w:sz w:val="15"/>
          <w:szCs w:val="15"/>
          <w:color w:val="auto"/>
        </w:rPr>
        <w:t>"Capital" means, at any time of determination, the sum of Consolidated Debt plus Consolidated Tangible Net Worth.</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"CD Base Rate" has the meaning set forth in Section 2.7.2(b).</w:t>
      </w:r>
    </w:p>
    <w:p>
      <w:pPr>
        <w:spacing w:after="0" w:line="173" w:lineRule="exact"/>
        <w:rPr>
          <w:sz w:val="20"/>
          <w:szCs w:val="20"/>
          <w:color w:val="auto"/>
        </w:rPr>
      </w:pPr>
    </w:p>
    <w:p>
      <w:pPr>
        <w:jc w:val="both"/>
        <w:ind w:right="3399" w:firstLine="787"/>
        <w:spacing w:after="0" w:line="261" w:lineRule="auto"/>
        <w:rPr>
          <w:sz w:val="20"/>
          <w:szCs w:val="20"/>
          <w:color w:val="auto"/>
        </w:rPr>
      </w:pPr>
      <w:r>
        <w:rPr>
          <w:rFonts w:ascii="Courier New" w:cs="Courier New" w:eastAsia="Courier New" w:hAnsi="Courier New"/>
          <w:sz w:val="14"/>
          <w:szCs w:val="14"/>
          <w:color w:val="auto"/>
        </w:rPr>
        <w:t>"CD Loan" means any loan to be made by a Bank pursuant to Section 2.1 as a CD Loan in accordance with the applicable Notice of Syndicated Borrowing.</w:t>
      </w:r>
    </w:p>
    <w:p>
      <w:pPr>
        <w:spacing w:after="0" w:line="160"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"CD Margin" means (i) during any period that the Company has a Highest Company Rating, .30 of 1% per annum, (ii) during any period that the Company has or is deemed to have a High Company Rating, .375 of 1% per annum, (iii) during any period that the Company has or is deemed to have an Adequate Company Rating,</w:t>
      </w:r>
    </w:p>
    <w:p>
      <w:pPr>
        <w:spacing w:after="0" w:line="1" w:lineRule="exact"/>
        <w:rPr>
          <w:sz w:val="20"/>
          <w:szCs w:val="20"/>
          <w:color w:val="auto"/>
        </w:rPr>
      </w:pPr>
    </w:p>
    <w:p>
      <w:pPr>
        <w:ind w:right="3239" w:firstLine="87"/>
        <w:spacing w:after="0" w:line="254" w:lineRule="auto"/>
        <w:rPr>
          <w:sz w:val="20"/>
          <w:szCs w:val="20"/>
          <w:color w:val="auto"/>
        </w:rPr>
      </w:pPr>
      <w:r>
        <w:rPr>
          <w:rFonts w:ascii="Courier New" w:cs="Courier New" w:eastAsia="Courier New" w:hAnsi="Courier New"/>
          <w:sz w:val="14"/>
          <w:szCs w:val="14"/>
          <w:color w:val="auto"/>
        </w:rPr>
        <w:t>.475 of 1% per annum, and (iv) during any period that the Company has or is deemed to have neither a Highest Company Rating nor a High Company Rating nor an Adequate Company Rating, .625 of 1% per annum; provided, that from the Effective</w:t>
      </w:r>
    </w:p>
    <w:p>
      <w:pPr>
        <w:ind w:left="4120"/>
        <w:spacing w:after="0" w:line="232"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Date until such time that the Company Rating ceases to be under the review by Standard &amp; Poor's or Moody's ongoing as of the Effective</w:t>
      </w:r>
    </w:p>
    <w:p>
      <w:pPr>
        <w:sectPr>
          <w:pgSz w:w="11900" w:h="16838" w:orient="portrait"/>
          <w:cols w:equalWidth="0" w:num="1">
            <w:col w:w="10239"/>
          </w:cols>
          <w:pgMar w:left="220" w:top="617" w:right="1440" w:bottom="1440" w:gutter="0" w:footer="0" w:header="0"/>
        </w:sectPr>
      </w:pPr>
    </w:p>
    <w:bookmarkStart w:id="28" w:name="page29"/>
    <w:bookmarkEnd w:id="28"/>
    <w:p>
      <w:pPr>
        <w:ind w:left="6560"/>
        <w:spacing w:after="0"/>
        <w:rPr>
          <w:sz w:val="20"/>
          <w:szCs w:val="20"/>
          <w:color w:val="auto"/>
        </w:rPr>
      </w:pPr>
      <w:r>
        <w:rPr>
          <w:rFonts w:ascii="Courier New" w:cs="Courier New" w:eastAsia="Courier New" w:hAnsi="Courier New"/>
          <w:sz w:val="15"/>
          <w:szCs w:val="15"/>
          <w:color w:val="auto"/>
        </w:rPr>
        <w:t>3</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the CD Margin shall be deemed to be .475 of 1% per annum.</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"CD Rate" has the meaning set forth in Section 2.7.2(b).</w:t>
      </w:r>
    </w:p>
    <w:p>
      <w:pPr>
        <w:spacing w:after="0" w:line="173"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"CD Reference Banks" means Morgan Guaranty Trust Company of New York, Deutsche Bank AG, New York and/or Cayman Islands Branches, and National City Bank Columbus and each such other bank as may be appointed pursuant to Section 8.6.6.</w:t>
      </w:r>
    </w:p>
    <w:p>
      <w:pPr>
        <w:spacing w:after="0" w:line="16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"Certificate Bank" has the meaning set forth in Section 2.9.3(a).</w:t>
      </w:r>
    </w:p>
    <w:p>
      <w:pPr>
        <w:spacing w:after="0" w:line="173" w:lineRule="exact"/>
        <w:rPr>
          <w:sz w:val="20"/>
          <w:szCs w:val="20"/>
          <w:color w:val="auto"/>
        </w:rPr>
      </w:pPr>
    </w:p>
    <w:p>
      <w:pPr>
        <w:ind w:right="3679" w:firstLine="787"/>
        <w:spacing w:after="0" w:line="234" w:lineRule="auto"/>
        <w:rPr>
          <w:sz w:val="20"/>
          <w:szCs w:val="20"/>
          <w:color w:val="auto"/>
        </w:rPr>
      </w:pPr>
      <w:r>
        <w:rPr>
          <w:rFonts w:ascii="Courier New" w:cs="Courier New" w:eastAsia="Courier New" w:hAnsi="Courier New"/>
          <w:sz w:val="15"/>
          <w:szCs w:val="15"/>
          <w:color w:val="auto"/>
        </w:rPr>
        <w:t>"Code" means the Internal Revenue Code of 1986, as amended, or any successor statute.</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"Commitment" means (a) with respect to each Bank listed on the signature pages of this Agreement, the amount set forth opposite the name of such Bank on the signature pages as its Commitment, or (b) for any additional Bank, the amount which such additional Bank shall commit to lend the Company as its Commitment pursuant to Section 2.9.3(b), in each case as such Commitment may be reduced by the Company from time to time pursuant to Section 2.9.1 or changed pursuant to Section 8.6.3.</w:t>
      </w:r>
    </w:p>
    <w:p>
      <w:pPr>
        <w:spacing w:after="0" w:line="176" w:lineRule="exact"/>
        <w:rPr>
          <w:sz w:val="20"/>
          <w:szCs w:val="20"/>
          <w:color w:val="auto"/>
        </w:rPr>
      </w:pPr>
    </w:p>
    <w:p>
      <w:pPr>
        <w:ind w:right="3679" w:firstLine="787"/>
        <w:spacing w:after="0" w:line="234" w:lineRule="auto"/>
        <w:rPr>
          <w:sz w:val="20"/>
          <w:szCs w:val="20"/>
          <w:color w:val="auto"/>
        </w:rPr>
      </w:pPr>
      <w:r>
        <w:rPr>
          <w:rFonts w:ascii="Courier New" w:cs="Courier New" w:eastAsia="Courier New" w:hAnsi="Courier New"/>
          <w:sz w:val="15"/>
          <w:szCs w:val="15"/>
          <w:color w:val="auto"/>
        </w:rPr>
        <w:t>"Company" means The Limited, Inc., a Delaware corporation, and its successors.</w:t>
      </w:r>
    </w:p>
    <w:p>
      <w:pPr>
        <w:spacing w:after="0" w:line="173"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"Company Rating" means, at any time, a then current rating, whether preliminary or final, published (or confirmed in writing to the Agent) by Standard &amp; Poor's or Moody's, relating to unsecured long-term senior Debt of the Company which is then outstanding or with respect to which the Company has a registration statement on file with the Securities and Exchange Commission.</w:t>
      </w:r>
    </w:p>
    <w:p>
      <w:pPr>
        <w:spacing w:after="0" w:line="163" w:lineRule="exact"/>
        <w:rPr>
          <w:sz w:val="20"/>
          <w:szCs w:val="20"/>
          <w:color w:val="auto"/>
        </w:rPr>
      </w:pPr>
    </w:p>
    <w:p>
      <w:pPr>
        <w:ind w:right="3319" w:firstLine="787"/>
        <w:spacing w:after="0" w:line="256" w:lineRule="auto"/>
        <w:rPr>
          <w:sz w:val="20"/>
          <w:szCs w:val="20"/>
          <w:color w:val="auto"/>
        </w:rPr>
      </w:pPr>
      <w:r>
        <w:rPr>
          <w:rFonts w:ascii="Courier New" w:cs="Courier New" w:eastAsia="Courier New" w:hAnsi="Courier New"/>
          <w:sz w:val="14"/>
          <w:szCs w:val="14"/>
          <w:color w:val="auto"/>
        </w:rPr>
        <w:t>"Consolidated Current Assets" means all assets of the Company and Consolidated Subsidiaries of a type which would be classified as current assets of a corporation conducting a business the same as or similar to that of the Company or Consolidated Subsidiaries, determined on a consolidated basis.</w:t>
      </w:r>
    </w:p>
    <w:p>
      <w:pPr>
        <w:spacing w:after="0" w:line="164" w:lineRule="exact"/>
        <w:rPr>
          <w:sz w:val="20"/>
          <w:szCs w:val="20"/>
          <w:color w:val="auto"/>
        </w:rPr>
      </w:pPr>
    </w:p>
    <w:p>
      <w:pPr>
        <w:ind w:right="3239" w:firstLine="787"/>
        <w:spacing w:after="0" w:line="234" w:lineRule="auto"/>
        <w:rPr>
          <w:sz w:val="20"/>
          <w:szCs w:val="20"/>
          <w:color w:val="auto"/>
        </w:rPr>
      </w:pPr>
      <w:r>
        <w:rPr>
          <w:rFonts w:ascii="Courier New" w:cs="Courier New" w:eastAsia="Courier New" w:hAnsi="Courier New"/>
          <w:sz w:val="15"/>
          <w:szCs w:val="15"/>
          <w:color w:val="auto"/>
        </w:rPr>
        <w:t>"Consolidated Current Liabilities" means all liabilities of the Company and Consolidated Subsidiaries of</w:t>
      </w:r>
    </w:p>
    <w:p>
      <w:pPr>
        <w:sectPr>
          <w:pgSz w:w="11900" w:h="16838" w:orient="portrait"/>
          <w:cols w:equalWidth="0" w:num="1">
            <w:col w:w="10239"/>
          </w:cols>
          <w:pgMar w:left="220" w:top="617" w:right="1440" w:bottom="1440" w:gutter="0" w:footer="0" w:header="0"/>
        </w:sectPr>
      </w:pPr>
    </w:p>
    <w:bookmarkStart w:id="29" w:name="page30"/>
    <w:bookmarkEnd w:id="29"/>
    <w:p>
      <w:pPr>
        <w:ind w:left="6560"/>
        <w:spacing w:after="0"/>
        <w:rPr>
          <w:sz w:val="20"/>
          <w:szCs w:val="20"/>
          <w:color w:val="auto"/>
        </w:rPr>
      </w:pPr>
      <w:r>
        <w:rPr>
          <w:rFonts w:ascii="Courier New" w:cs="Courier New" w:eastAsia="Courier New" w:hAnsi="Courier New"/>
          <w:sz w:val="15"/>
          <w:szCs w:val="15"/>
          <w:color w:val="auto"/>
        </w:rPr>
        <w:t>4</w:t>
      </w:r>
    </w:p>
    <w:p>
      <w:pPr>
        <w:spacing w:after="0" w:line="341" w:lineRule="exact"/>
        <w:rPr>
          <w:sz w:val="20"/>
          <w:szCs w:val="20"/>
          <w:color w:val="auto"/>
        </w:rPr>
      </w:pPr>
    </w:p>
    <w:p>
      <w:pPr>
        <w:ind w:right="3939"/>
        <w:spacing w:after="0" w:line="258" w:lineRule="auto"/>
        <w:rPr>
          <w:sz w:val="20"/>
          <w:szCs w:val="20"/>
          <w:color w:val="auto"/>
        </w:rPr>
      </w:pPr>
      <w:r>
        <w:rPr>
          <w:rFonts w:ascii="Courier New" w:cs="Courier New" w:eastAsia="Courier New" w:hAnsi="Courier New"/>
          <w:sz w:val="14"/>
          <w:szCs w:val="14"/>
          <w:color w:val="auto"/>
        </w:rPr>
        <w:t>a type which would be classified as current liabilities of a corporation conducting a business the same as or similar to that of the Company or Consolidated Subsidiaries, determined on a consolidated basis.</w:t>
      </w:r>
    </w:p>
    <w:p>
      <w:pPr>
        <w:spacing w:after="0" w:line="161"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"Consolidated Debt" means, at any date of determination, the sum of (a) the total Debt of the Company and Consolidated Subsidiaries at such date, (b) an amount equal to six times the minimum rent commitments (less related sublease income) of the Company and Consolidated Subsidiaries for the then current Fiscal Year, as reflected in the footnotes to the most recent audited financial statements of the Company and (c) an amount equal to six times the minimum rent commitments (less related sublease income) of any Person other than the Company or a Consolidated Subsidiary to the extent directly or indirectly guaranteed, endorsed or assumed by the Company or any Consolidated Subsidiary or in respect of which the Company or any Consolidated Subsidiary is contingently or otherwise liable.</w:t>
      </w:r>
    </w:p>
    <w:p>
      <w:pPr>
        <w:spacing w:after="0" w:line="180"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"Consolidated Subsidiary" means any Subsidiary (other than an Unrestricted Subsidiary), the accounts of which are or are required to be consolidated with those of the Company in the Company's periodic reports filed under the Securities Exchange Act of 1934.</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"Consolidated Tangible Net Worth" means, at any date of determination</w:t>
      </w:r>
    </w:p>
    <w:p>
      <w:pPr>
        <w:spacing w:after="0" w:line="10" w:lineRule="exact"/>
        <w:rPr>
          <w:sz w:val="20"/>
          <w:szCs w:val="20"/>
          <w:color w:val="auto"/>
        </w:rPr>
      </w:pPr>
    </w:p>
    <w:p>
      <w:pPr>
        <w:ind w:right="3239" w:firstLine="10"/>
        <w:spacing w:after="0" w:line="236" w:lineRule="auto"/>
        <w:tabs>
          <w:tab w:leader="none" w:pos="35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amount of all common stock, preferred stock (except preferred stock having sinking fund payments or other similar payments (but not dividends) which are due prior to the Termination Date), additional paid-in capital and retained earnings (or deficit) less (b) the aggregate amount of (i) all goodwill, licenses, patents, trademarks, copyrights, trade names, service marks, experimental or organizational expenses and other similar intangibles and unamortized debt discount and expense to the extent any of the foregoing arise on or after January 31, 1988 and (ii) all investments, loans and advances by the Company or any Consolidated Subsidiary in or to any Unrestricted Subsidiary, all determined with respect to the Company and its Consolidated Subsidiaries on a consolidated basis.</w:t>
      </w:r>
    </w:p>
    <w:p>
      <w:pPr>
        <w:spacing w:after="0" w:line="180"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"Debt" means, at any date, without duplication, (a) all obligations of the Company and Consolidated Subsidiaries for borrowed money, (b) all obligations of the Company and Consolidated Subsidiaries evidenced by bonds,</w:t>
      </w:r>
    </w:p>
    <w:p>
      <w:pPr>
        <w:sectPr>
          <w:pgSz w:w="11900" w:h="16838" w:orient="portrait"/>
          <w:cols w:equalWidth="0" w:num="1">
            <w:col w:w="10239"/>
          </w:cols>
          <w:pgMar w:left="220" w:top="617" w:right="1440" w:bottom="1440" w:gutter="0" w:footer="0" w:header="0"/>
        </w:sectPr>
      </w:pPr>
    </w:p>
    <w:bookmarkStart w:id="30" w:name="page31"/>
    <w:bookmarkEnd w:id="30"/>
    <w:p>
      <w:pPr>
        <w:ind w:left="6560"/>
        <w:spacing w:after="0"/>
        <w:rPr>
          <w:sz w:val="20"/>
          <w:szCs w:val="20"/>
          <w:color w:val="auto"/>
        </w:rPr>
      </w:pPr>
      <w:r>
        <w:rPr>
          <w:rFonts w:ascii="Courier New" w:cs="Courier New" w:eastAsia="Courier New" w:hAnsi="Courier New"/>
          <w:sz w:val="15"/>
          <w:szCs w:val="15"/>
          <w:color w:val="auto"/>
        </w:rPr>
        <w:t>5</w:t>
      </w:r>
    </w:p>
    <w:p>
      <w:pPr>
        <w:spacing w:after="0" w:line="173"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debentures, notes or other similar instruments, (c) all obligations of the Company and Consolidated Subsidiaries to pay the deferred purchase price of property (other than inventory) or services, except accruals and trade accounts payable arising in the ordinary course of business, (d) all obligations of the Company and Consolidated Subsidiaries as lessee under capital leases, (e) all obligations of others of the kind described in subparagraphs (a), (b), (c) or</w:t>
      </w:r>
    </w:p>
    <w:p>
      <w:pPr>
        <w:spacing w:after="0" w:line="2" w:lineRule="exact"/>
        <w:rPr>
          <w:sz w:val="20"/>
          <w:szCs w:val="20"/>
          <w:color w:val="auto"/>
        </w:rPr>
      </w:pPr>
    </w:p>
    <w:p>
      <w:pPr>
        <w:ind w:right="3239" w:firstLine="10"/>
        <w:spacing w:after="0" w:line="254" w:lineRule="auto"/>
        <w:tabs>
          <w:tab w:leader="none" w:pos="35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hereof secured by a Lien on any asset of the Company or any Consolidated Subsidiary, whether or not such obligation is assumed by the Company or any Consolidated Subsidiary, and (f) all obligations of others of the kind described in subparagraphs (a), (b), (c) or (d) hereof to the extent directly or indirectly guaranteed, endorsed or assumed by the Company or any Consolidated Subsidiary or in respect of which the Company or any Consolidated Subsidiary is contingently or otherwise liable, including, without limitation, any such obligation in effect guaranteed through any agreement, contingent or otherwise, to purchase such obligation, or to advance or supply funds for the payment or purchase of such obligation, or to purchase property or services, or to pay for property or services irrespective of whether or not such property is delivered or such services are rendered, primarily for the purpose of enabling the debtor or seller to make payment of such obligation, or to assure the owner of such obligation against loss, or to supply funds to or in any other manner invest in the debtor for any of such purposes; provided that Debt shall not include any obligations of the Company to a Consolidated Subsidiary or of a Consolidated Subsidiary to the Company or another Consolidated Subsidiary.</w:t>
      </w:r>
    </w:p>
    <w:p>
      <w:pPr>
        <w:spacing w:after="0" w:line="174"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"Default" means any condition or event which constitutes an Event of Default or which would become Event of Default with the giving of notice or lapse of time or both (unless cured or waived).</w:t>
      </w:r>
    </w:p>
    <w:p>
      <w:pPr>
        <w:spacing w:after="0" w:line="174"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"Domestic Business Day" means any day except a Saturday, Sunday or other day on which commercial banks in New York City are authorized by law to close.</w:t>
      </w:r>
    </w:p>
    <w:p>
      <w:pPr>
        <w:spacing w:after="0" w:line="174" w:lineRule="exact"/>
        <w:rPr>
          <w:sz w:val="20"/>
          <w:szCs w:val="20"/>
          <w:color w:val="auto"/>
        </w:rPr>
      </w:pPr>
    </w:p>
    <w:p>
      <w:pPr>
        <w:jc w:val="both"/>
        <w:ind w:right="3239" w:firstLine="787"/>
        <w:spacing w:after="0" w:line="256" w:lineRule="auto"/>
        <w:rPr>
          <w:sz w:val="20"/>
          <w:szCs w:val="20"/>
          <w:color w:val="auto"/>
        </w:rPr>
      </w:pPr>
      <w:r>
        <w:rPr>
          <w:rFonts w:ascii="Courier New" w:cs="Courier New" w:eastAsia="Courier New" w:hAnsi="Courier New"/>
          <w:sz w:val="14"/>
          <w:szCs w:val="14"/>
          <w:color w:val="auto"/>
        </w:rPr>
        <w:t>"Domestic Lending Office" means, as to each Bank, its office located at its address set forth in its Administrative Questionnaire (or identified therein as its Domestic Lending Office) or such other office as such Bank may hereafter designate as its Domestic Lending Office by notice to the Company and the Agent.</w:t>
      </w:r>
    </w:p>
    <w:p>
      <w:pPr>
        <w:sectPr>
          <w:pgSz w:w="11900" w:h="16838" w:orient="portrait"/>
          <w:cols w:equalWidth="0" w:num="1">
            <w:col w:w="10239"/>
          </w:cols>
          <w:pgMar w:left="220" w:top="617" w:right="1440" w:bottom="1440" w:gutter="0" w:footer="0" w:header="0"/>
        </w:sectPr>
      </w:pPr>
    </w:p>
    <w:bookmarkStart w:id="31" w:name="page32"/>
    <w:bookmarkEnd w:id="31"/>
    <w:p>
      <w:pPr>
        <w:ind w:left="6560"/>
        <w:spacing w:after="0"/>
        <w:rPr>
          <w:sz w:val="20"/>
          <w:szCs w:val="20"/>
          <w:color w:val="auto"/>
        </w:rPr>
      </w:pPr>
      <w:r>
        <w:rPr>
          <w:rFonts w:ascii="Courier New" w:cs="Courier New" w:eastAsia="Courier New" w:hAnsi="Courier New"/>
          <w:sz w:val="15"/>
          <w:szCs w:val="15"/>
          <w:color w:val="auto"/>
        </w:rPr>
        <w:t>6</w:t>
      </w:r>
    </w:p>
    <w:p>
      <w:pPr>
        <w:spacing w:after="0" w:line="33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"Domestic Loans" means CD Loans or Base Rate Loans or both.</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"Domestic Reserve Percentage" has the meaning set forth in Section</w:t>
      </w:r>
    </w:p>
    <w:p>
      <w:pPr>
        <w:spacing w:after="0" w:line="237" w:lineRule="auto"/>
        <w:rPr>
          <w:sz w:val="20"/>
          <w:szCs w:val="20"/>
          <w:color w:val="auto"/>
        </w:rPr>
      </w:pPr>
      <w:r>
        <w:rPr>
          <w:rFonts w:ascii="Courier New" w:cs="Courier New" w:eastAsia="Courier New" w:hAnsi="Courier New"/>
          <w:sz w:val="15"/>
          <w:szCs w:val="15"/>
          <w:color w:val="auto"/>
        </w:rPr>
        <w:t>2.7.2(b).</w:t>
      </w:r>
    </w:p>
    <w:p>
      <w:pPr>
        <w:spacing w:after="0" w:line="173" w:lineRule="exact"/>
        <w:rPr>
          <w:sz w:val="20"/>
          <w:szCs w:val="20"/>
          <w:color w:val="auto"/>
        </w:rPr>
      </w:pPr>
    </w:p>
    <w:p>
      <w:pPr>
        <w:ind w:right="3579" w:firstLine="787"/>
        <w:spacing w:after="0" w:line="234" w:lineRule="auto"/>
        <w:rPr>
          <w:sz w:val="20"/>
          <w:szCs w:val="20"/>
          <w:color w:val="auto"/>
        </w:rPr>
      </w:pPr>
      <w:r>
        <w:rPr>
          <w:rFonts w:ascii="Courier New" w:cs="Courier New" w:eastAsia="Courier New" w:hAnsi="Courier New"/>
          <w:sz w:val="15"/>
          <w:szCs w:val="15"/>
          <w:color w:val="auto"/>
        </w:rPr>
        <w:t>"Effective Date" means the date this Agreement becomes effective in accordance with Section 9.</w:t>
      </w:r>
    </w:p>
    <w:p>
      <w:pPr>
        <w:spacing w:after="0" w:line="173" w:lineRule="exact"/>
        <w:rPr>
          <w:sz w:val="20"/>
          <w:szCs w:val="20"/>
          <w:color w:val="auto"/>
        </w:rPr>
      </w:pPr>
    </w:p>
    <w:p>
      <w:pPr>
        <w:ind w:right="3399" w:firstLine="787"/>
        <w:spacing w:after="0" w:line="234" w:lineRule="auto"/>
        <w:rPr>
          <w:sz w:val="20"/>
          <w:szCs w:val="20"/>
          <w:color w:val="auto"/>
        </w:rPr>
      </w:pPr>
      <w:r>
        <w:rPr>
          <w:rFonts w:ascii="Courier New" w:cs="Courier New" w:eastAsia="Courier New" w:hAnsi="Courier New"/>
          <w:sz w:val="15"/>
          <w:szCs w:val="15"/>
          <w:color w:val="auto"/>
        </w:rPr>
        <w:t>"ERISA" means the Employee Retirement Income Security Act of 1974, as amended from time to time.</w:t>
      </w:r>
    </w:p>
    <w:p>
      <w:pPr>
        <w:spacing w:after="0" w:line="173"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"ERISA Group" means all members of a controlled group of corporations and all trades or businesses (whether or not incorporated) under common control which, together with the Company, are treated as a single employer under Section 414 of the Code.</w:t>
      </w:r>
    </w:p>
    <w:p>
      <w:pPr>
        <w:spacing w:after="0" w:line="175" w:lineRule="exact"/>
        <w:rPr>
          <w:sz w:val="20"/>
          <w:szCs w:val="20"/>
          <w:color w:val="auto"/>
        </w:rPr>
      </w:pPr>
    </w:p>
    <w:p>
      <w:pPr>
        <w:jc w:val="both"/>
        <w:ind w:right="3579" w:firstLine="787"/>
        <w:spacing w:after="0" w:line="235" w:lineRule="auto"/>
        <w:rPr>
          <w:sz w:val="20"/>
          <w:szCs w:val="20"/>
          <w:color w:val="auto"/>
        </w:rPr>
      </w:pPr>
      <w:r>
        <w:rPr>
          <w:rFonts w:ascii="Courier New" w:cs="Courier New" w:eastAsia="Courier New" w:hAnsi="Courier New"/>
          <w:sz w:val="15"/>
          <w:szCs w:val="15"/>
          <w:color w:val="auto"/>
        </w:rPr>
        <w:t>"Euro-Dollar Business Day" means any Domestic Business Day on which commercial banks are open for international business (including dealings in dollar deposits) in London.</w:t>
      </w:r>
    </w:p>
    <w:p>
      <w:pPr>
        <w:spacing w:after="0" w:line="174"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"Euro-Dollar Lending Office" means, as to each Bank, its office, branch or affiliate located at its address set forth in its Administrative Questionnaire (or identified therein as its Euro-Dollar Lending Office) or such other office, branch or affiliate of such Bank as it may hereafter designate as its Euro-Dollar Lending Office by notice to the Company and the Agent.</w:t>
      </w:r>
    </w:p>
    <w:p>
      <w:pPr>
        <w:spacing w:after="0" w:line="163"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"Euro-Dollar Loan" means a loan to be made by a Bank pursuant to Section 2.1 as a Euro-Dollar Loan in accordance with the applicable Notice of Syndicated Borrowing.</w:t>
      </w:r>
    </w:p>
    <w:p>
      <w:pPr>
        <w:spacing w:after="0" w:line="174"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"Euro-Dollar Margin" means (i) during any period that the Company has a Highest Company Rating, .175 of 1% per annum, (ii) during any period that the Company has or is deemed to have a High Company Rating, .25 of 1% per annum,</w:t>
      </w:r>
    </w:p>
    <w:p>
      <w:pPr>
        <w:spacing w:after="0" w:line="1" w:lineRule="exact"/>
        <w:rPr>
          <w:sz w:val="20"/>
          <w:szCs w:val="20"/>
          <w:color w:val="auto"/>
        </w:rPr>
      </w:pPr>
    </w:p>
    <w:p>
      <w:pPr>
        <w:ind w:right="3239" w:firstLine="10"/>
        <w:spacing w:after="0" w:line="255" w:lineRule="auto"/>
        <w:tabs>
          <w:tab w:leader="none" w:pos="525"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any period that the Company has or is deemed to have an Adequate Company Rating, .35 of 1% per annum, and (iv) during any period that the Company has or is deemed to have neither a Highest Company Rating nor a High Company Rating nor an Adequate Company Rating, .50 of 1% per annum; provided, that from the Effective Date until such time that the Company Rating ceases to be under the review by Standard &amp; Poor's or Moody's ongoing as of the Effective</w:t>
      </w:r>
    </w:p>
    <w:p>
      <w:pPr>
        <w:sectPr>
          <w:pgSz w:w="11900" w:h="16838" w:orient="portrait"/>
          <w:cols w:equalWidth="0" w:num="1">
            <w:col w:w="10239"/>
          </w:cols>
          <w:pgMar w:left="220" w:top="617" w:right="1440" w:bottom="1440" w:gutter="0" w:footer="0" w:header="0"/>
        </w:sectPr>
      </w:pPr>
    </w:p>
    <w:bookmarkStart w:id="32" w:name="page33"/>
    <w:bookmarkEnd w:id="32"/>
    <w:p>
      <w:pPr>
        <w:ind w:left="6560"/>
        <w:spacing w:after="0"/>
        <w:rPr>
          <w:sz w:val="20"/>
          <w:szCs w:val="20"/>
          <w:color w:val="auto"/>
        </w:rPr>
      </w:pPr>
      <w:r>
        <w:rPr>
          <w:rFonts w:ascii="Courier New" w:cs="Courier New" w:eastAsia="Courier New" w:hAnsi="Courier New"/>
          <w:sz w:val="15"/>
          <w:szCs w:val="15"/>
          <w:color w:val="auto"/>
        </w:rPr>
        <w:t>7</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the Euro-Dollar Margin shall be deemed to be .35 of 1% per annum.</w:t>
      </w:r>
    </w:p>
    <w:p>
      <w:pPr>
        <w:spacing w:after="0" w:line="173"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"Euro-Dollar Reference Banks" means the principal London offices of Morgan Guaranty Trust Company of New York, Deutsche Bank AG, New York and/or Cayman Islands Branches, and National City Bank, Columbus and each such other bank as may be appointed pursuant to Section 8.6.6.</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"Euro-Dollar Reserve Percentage" has the meaning set forth in Section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2.7.4(c).</w:t>
      </w:r>
    </w:p>
    <w:p>
      <w:pPr>
        <w:spacing w:after="0" w:line="173" w:lineRule="exact"/>
        <w:rPr>
          <w:sz w:val="20"/>
          <w:szCs w:val="20"/>
          <w:color w:val="auto"/>
        </w:rPr>
      </w:pPr>
    </w:p>
    <w:p>
      <w:pPr>
        <w:ind w:right="3399" w:firstLine="787"/>
        <w:spacing w:after="0" w:line="254" w:lineRule="auto"/>
        <w:rPr>
          <w:sz w:val="20"/>
          <w:szCs w:val="20"/>
          <w:color w:val="auto"/>
        </w:rPr>
      </w:pPr>
      <w:r>
        <w:rPr>
          <w:rFonts w:ascii="Courier New" w:cs="Courier New" w:eastAsia="Courier New" w:hAnsi="Courier New"/>
          <w:sz w:val="14"/>
          <w:szCs w:val="14"/>
          <w:color w:val="auto"/>
        </w:rPr>
        <w:t>"Event of Default" means any of the events specified in Section 6.1., provided that all requirements for the giving of notice and for the lapse of</w:t>
      </w:r>
    </w:p>
    <w:p>
      <w:pPr>
        <w:spacing w:after="0" w:line="231" w:lineRule="auto"/>
        <w:rPr>
          <w:sz w:val="20"/>
          <w:szCs w:val="20"/>
          <w:color w:val="auto"/>
        </w:rPr>
      </w:pPr>
      <w:r>
        <w:rPr>
          <w:rFonts w:ascii="Courier New" w:cs="Courier New" w:eastAsia="Courier New" w:hAnsi="Courier New"/>
          <w:sz w:val="15"/>
          <w:szCs w:val="15"/>
          <w:color w:val="auto"/>
        </w:rPr>
        <w:t>- --------</w:t>
      </w:r>
    </w:p>
    <w:p>
      <w:pPr>
        <w:spacing w:after="0" w:line="238" w:lineRule="auto"/>
        <w:rPr>
          <w:sz w:val="20"/>
          <w:szCs w:val="20"/>
          <w:color w:val="auto"/>
        </w:rPr>
      </w:pPr>
      <w:r>
        <w:rPr>
          <w:rFonts w:ascii="Courier New" w:cs="Courier New" w:eastAsia="Courier New" w:hAnsi="Courier New"/>
          <w:sz w:val="15"/>
          <w:szCs w:val="15"/>
          <w:color w:val="auto"/>
        </w:rPr>
        <w:t>time have been satisfied in connection with such event.</w:t>
      </w:r>
    </w:p>
    <w:p>
      <w:pPr>
        <w:spacing w:after="0" w:line="173" w:lineRule="exact"/>
        <w:rPr>
          <w:sz w:val="20"/>
          <w:szCs w:val="20"/>
          <w:color w:val="auto"/>
        </w:rPr>
      </w:pPr>
    </w:p>
    <w:p>
      <w:pPr>
        <w:jc w:val="both"/>
        <w:ind w:right="3579" w:firstLine="787"/>
        <w:spacing w:after="0" w:line="258" w:lineRule="auto"/>
        <w:rPr>
          <w:sz w:val="20"/>
          <w:szCs w:val="20"/>
          <w:color w:val="auto"/>
        </w:rPr>
      </w:pPr>
      <w:r>
        <w:rPr>
          <w:rFonts w:ascii="Courier New" w:cs="Courier New" w:eastAsia="Courier New" w:hAnsi="Courier New"/>
          <w:sz w:val="14"/>
          <w:szCs w:val="14"/>
          <w:color w:val="auto"/>
        </w:rPr>
        <w:t>"Existing Credit Agreement" means the Credit Agreement dated as of August 30, 1990, as amended, among the Company, the banks listed therein and Morgan Guaranty Trust Company of New York, as agent for such banks.</w:t>
      </w:r>
    </w:p>
    <w:p>
      <w:pPr>
        <w:spacing w:after="0" w:line="15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"Extension Date" has the meaning set forth in Section 2.1.3.</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"Federal Funds Rate" means, for any day, the rate per annum (rounded upward, if necessary, to the nearest 1/100th of 1%) equal to the weighted average of the rates on overnight federal funds transactions with members of the Federal Reserve System arranged by federal funds brokers on such day, as published by the Federal Reserve Bank of New York on the Domestic Business Day next succeeding such day, provided that (i) if such day is not a Domestic Business Day, the Federal Funds Rate for such day shall be such rate on such transactions on the next preceding Domestic Business Day as so published on the next succeeding Domestic Business Day, and (ii) if no such rate is so published on such next succeeding Domestic Business Day, the Federal Funds Rate for such day shall be the average rate quoted to Morgan Guaranty Trust Company of New York on such day on such transactions as determined by the Agent.</w:t>
      </w:r>
    </w:p>
    <w:p>
      <w:pPr>
        <w:spacing w:after="0" w:line="164"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"Fiscal Year" means the fiscal year of the Company which shall commence on the Sunday following the Saturday on or nearest (whether following or preceding) January 31 of one calendar year and end on the Saturday on or nearest (whether following or preceding) January 31 of the following calendar year.</w:t>
      </w:r>
    </w:p>
    <w:p>
      <w:pPr>
        <w:sectPr>
          <w:pgSz w:w="11900" w:h="16838" w:orient="portrait"/>
          <w:cols w:equalWidth="0" w:num="1">
            <w:col w:w="10239"/>
          </w:cols>
          <w:pgMar w:left="220" w:top="617" w:right="1440" w:bottom="1440" w:gutter="0" w:footer="0" w:header="0"/>
        </w:sectPr>
      </w:pPr>
    </w:p>
    <w:bookmarkStart w:id="33" w:name="page34"/>
    <w:bookmarkEnd w:id="33"/>
    <w:p>
      <w:pPr>
        <w:ind w:left="6560"/>
        <w:spacing w:after="0"/>
        <w:rPr>
          <w:sz w:val="20"/>
          <w:szCs w:val="20"/>
          <w:color w:val="auto"/>
        </w:rPr>
      </w:pPr>
      <w:r>
        <w:rPr>
          <w:rFonts w:ascii="Courier New" w:cs="Courier New" w:eastAsia="Courier New" w:hAnsi="Courier New"/>
          <w:sz w:val="15"/>
          <w:szCs w:val="15"/>
          <w:color w:val="auto"/>
        </w:rPr>
        <w:t>8</w:t>
      </w:r>
    </w:p>
    <w:p>
      <w:pPr>
        <w:spacing w:after="0" w:line="173"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"Fixed Rate Loans" means CD Loans, Euro-Dollar Loans or Money Market Loans (excluding Money Market LIBOR Loans bearing interest at the Prime Rate pursuant to Section 2.15) or any combination of the foregoing.</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"High Company Rating" means at any time at which the Company does not have a Highest Company Rating, either (a) there exists a Company Rating by Standard &amp; Poor's which is equal to BBB+ or (b) there exists a Company Rating by Moody's which is equal to Baal. For purposes of this definition, the Company shall be deemed not to have a High Company Rating (x) if each Company Rating which would otherwise qualify as a High Company Rating has been stated by the relevant rating agency to be under review for possible downgrading as a result of a specific or proposed action by the Company, in which case the Company shall be deemed to have an Adequate Company Rating, or (y) if no Company Rating exists.</w:t>
      </w:r>
    </w:p>
    <w:p>
      <w:pPr>
        <w:spacing w:after="0" w:line="179"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"Highest Company Rating" means at any time, either (a) there exists a Company Rating by Standard &amp; Poor's which is equal to or higher than A- or (b) there exists a Company Rating by Moody's which is equal to or higher than A3. For purposes of this definition, the Company shall be deemed not to have a Highest Company Rating (x) if each Company Rating which would otherwise qualify as a Highest Company Rating has been stated by the relevant rating agency to be under review for possible downgrading as a result of a specific or proposed action by the Company, in which case the Company shall be deemed to have a High Company Rating, or (y) if no Company Rating exists.</w:t>
      </w:r>
    </w:p>
    <w:p>
      <w:pPr>
        <w:spacing w:after="0" w:line="165"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"Interest Period" means the period, commencing on the date of each Borrowing, for which such Borrowing is to be made, as the Company may elect in the applicable Notice of Borrowing, as the same may be extended or shortened pursuant to Section 2.6.</w:t>
      </w:r>
    </w:p>
    <w:p>
      <w:pPr>
        <w:spacing w:after="0" w:line="175" w:lineRule="exact"/>
        <w:rPr>
          <w:sz w:val="20"/>
          <w:szCs w:val="20"/>
          <w:color w:val="auto"/>
        </w:rPr>
      </w:pPr>
    </w:p>
    <w:p>
      <w:pPr>
        <w:ind w:right="3399" w:firstLine="787"/>
        <w:spacing w:after="0" w:line="234" w:lineRule="auto"/>
        <w:rPr>
          <w:sz w:val="20"/>
          <w:szCs w:val="20"/>
          <w:color w:val="auto"/>
        </w:rPr>
      </w:pPr>
      <w:r>
        <w:rPr>
          <w:rFonts w:ascii="Courier New" w:cs="Courier New" w:eastAsia="Courier New" w:hAnsi="Courier New"/>
          <w:sz w:val="15"/>
          <w:szCs w:val="15"/>
          <w:color w:val="auto"/>
        </w:rPr>
        <w:t>"Invitation for Quotes" means an invitation substantially in the form of Exhibit C sent by the Agent to the Banks pursuant to Section 2.3.3.</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"Lending Office" means, as to any Bank, its Domestic Lending Office or its Euro-Dollar Lending Office or its Money Market Lending Office, as the context may require.</w:t>
      </w:r>
    </w:p>
    <w:p>
      <w:pPr>
        <w:spacing w:after="0" w:line="174" w:lineRule="exact"/>
        <w:rPr>
          <w:sz w:val="20"/>
          <w:szCs w:val="20"/>
          <w:color w:val="auto"/>
        </w:rPr>
      </w:pPr>
    </w:p>
    <w:p>
      <w:pPr>
        <w:ind w:right="3399" w:firstLine="787"/>
        <w:spacing w:after="0" w:line="234" w:lineRule="auto"/>
        <w:rPr>
          <w:sz w:val="20"/>
          <w:szCs w:val="20"/>
          <w:color w:val="auto"/>
        </w:rPr>
      </w:pPr>
      <w:r>
        <w:rPr>
          <w:rFonts w:ascii="Courier New" w:cs="Courier New" w:eastAsia="Courier New" w:hAnsi="Courier New"/>
          <w:sz w:val="15"/>
          <w:szCs w:val="15"/>
          <w:color w:val="auto"/>
        </w:rPr>
        <w:t>"LIBOR Auction" means a solicitation of Quotes for Money Market LIBOR Loans pursuant to Section 2.3.</w:t>
      </w:r>
    </w:p>
    <w:p>
      <w:pPr>
        <w:sectPr>
          <w:pgSz w:w="11900" w:h="16838" w:orient="portrait"/>
          <w:cols w:equalWidth="0" w:num="1">
            <w:col w:w="10239"/>
          </w:cols>
          <w:pgMar w:left="220" w:top="617" w:right="1440" w:bottom="1440" w:gutter="0" w:footer="0" w:header="0"/>
        </w:sectPr>
      </w:pPr>
    </w:p>
    <w:bookmarkStart w:id="34" w:name="page35"/>
    <w:bookmarkEnd w:id="34"/>
    <w:p>
      <w:pPr>
        <w:ind w:left="6560"/>
        <w:spacing w:after="0"/>
        <w:rPr>
          <w:sz w:val="20"/>
          <w:szCs w:val="20"/>
          <w:color w:val="auto"/>
        </w:rPr>
      </w:pPr>
      <w:r>
        <w:rPr>
          <w:rFonts w:ascii="Courier New" w:cs="Courier New" w:eastAsia="Courier New" w:hAnsi="Courier New"/>
          <w:sz w:val="15"/>
          <w:szCs w:val="15"/>
          <w:color w:val="auto"/>
        </w:rPr>
        <w:t>9</w:t>
      </w:r>
    </w:p>
    <w:p>
      <w:pPr>
        <w:spacing w:after="0" w:line="173" w:lineRule="exact"/>
        <w:rPr>
          <w:sz w:val="20"/>
          <w:szCs w:val="20"/>
          <w:color w:val="auto"/>
        </w:rPr>
      </w:pPr>
    </w:p>
    <w:p>
      <w:pPr>
        <w:ind w:right="3399" w:firstLine="787"/>
        <w:spacing w:after="0" w:line="261" w:lineRule="auto"/>
        <w:rPr>
          <w:sz w:val="20"/>
          <w:szCs w:val="20"/>
          <w:color w:val="auto"/>
        </w:rPr>
      </w:pPr>
      <w:r>
        <w:rPr>
          <w:rFonts w:ascii="Courier New" w:cs="Courier New" w:eastAsia="Courier New" w:hAnsi="Courier New"/>
          <w:sz w:val="14"/>
          <w:szCs w:val="14"/>
          <w:color w:val="auto"/>
        </w:rPr>
        <w:t>"Lien" means, with respect to any asset, any mortgage, lien, pledge, charge, security interest or encumbrance of any kind in respect of such asset.</w:t>
      </w:r>
    </w:p>
    <w:p>
      <w:pPr>
        <w:spacing w:after="0" w:line="160" w:lineRule="exact"/>
        <w:rPr>
          <w:sz w:val="20"/>
          <w:szCs w:val="20"/>
          <w:color w:val="auto"/>
        </w:rPr>
      </w:pPr>
    </w:p>
    <w:p>
      <w:pPr>
        <w:ind w:right="3239" w:firstLine="787"/>
        <w:spacing w:after="0" w:line="234" w:lineRule="auto"/>
        <w:rPr>
          <w:sz w:val="20"/>
          <w:szCs w:val="20"/>
          <w:color w:val="auto"/>
        </w:rPr>
      </w:pPr>
      <w:r>
        <w:rPr>
          <w:rFonts w:ascii="Courier New" w:cs="Courier New" w:eastAsia="Courier New" w:hAnsi="Courier New"/>
          <w:sz w:val="15"/>
          <w:szCs w:val="15"/>
          <w:color w:val="auto"/>
        </w:rPr>
        <w:t>"Loans" means Syndicated Loans or Money Market Loans or any combination of the foregoing; "Loan" means any one of such Loans.</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"London Interbank Offered Rate" means, with respect to any Interest Period, the average (rounded upward, if necessary, to the next higher 1/16th of 1%) of the respective rates per annum at which deposits in dollars are offered to each of the Euro-Dollar Reference Banks in the London interbank market at approximately 11:00 A.M. (London time) two Euro-Dollar Business Days before the first day of the applicable Interest Period for a period of time comparable to such Interest Period and in an amount approximately equal to (a) in connection with a related Euro-Dollar Borrowing, the principal amount of such Euro-Dollar Reference Bank's portion of the related Euro-Dollar Borrowing or (b) in connection with a related Money Market LIBOR Borrowing, the principal amount of the related Money Market LIBOR Borrowing.</w:t>
      </w:r>
    </w:p>
    <w:p>
      <w:pPr>
        <w:spacing w:after="0" w:line="180"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"Margin Stock" means securities which are "margin stock" as defined in Regulation U.</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"Material Plan" has the meaning set forth in Section 6.1.6.</w:t>
      </w:r>
    </w:p>
    <w:p>
      <w:pPr>
        <w:spacing w:after="0" w:line="173" w:lineRule="exact"/>
        <w:rPr>
          <w:sz w:val="20"/>
          <w:szCs w:val="20"/>
          <w:color w:val="auto"/>
        </w:rPr>
      </w:pPr>
    </w:p>
    <w:p>
      <w:pPr>
        <w:ind w:right="3679" w:firstLine="787"/>
        <w:spacing w:after="0" w:line="235" w:lineRule="auto"/>
        <w:rPr>
          <w:sz w:val="20"/>
          <w:szCs w:val="20"/>
          <w:color w:val="auto"/>
        </w:rPr>
      </w:pPr>
      <w:r>
        <w:rPr>
          <w:rFonts w:ascii="Courier New" w:cs="Courier New" w:eastAsia="Courier New" w:hAnsi="Courier New"/>
          <w:sz w:val="15"/>
          <w:szCs w:val="15"/>
          <w:color w:val="auto"/>
        </w:rPr>
        <w:t>"Minority Interest Disposition" means a sale, transfer or other distribution by the Company or any of the Subsidiaries (including without limitation, the issuer thereof) of up to 20% of the equity interests in any Subsidiary of the Company.</w:t>
      </w:r>
    </w:p>
    <w:p>
      <w:pPr>
        <w:spacing w:after="0" w:line="175" w:lineRule="exact"/>
        <w:rPr>
          <w:sz w:val="20"/>
          <w:szCs w:val="20"/>
          <w:color w:val="auto"/>
        </w:rPr>
      </w:pPr>
    </w:p>
    <w:p>
      <w:pPr>
        <w:ind w:right="3579" w:firstLine="787"/>
        <w:spacing w:after="0" w:line="235" w:lineRule="auto"/>
        <w:rPr>
          <w:sz w:val="20"/>
          <w:szCs w:val="20"/>
          <w:color w:val="auto"/>
        </w:rPr>
      </w:pPr>
      <w:r>
        <w:rPr>
          <w:rFonts w:ascii="Courier New" w:cs="Courier New" w:eastAsia="Courier New" w:hAnsi="Courier New"/>
          <w:sz w:val="15"/>
          <w:szCs w:val="15"/>
          <w:color w:val="auto"/>
        </w:rPr>
        <w:t>"Money Market Absolute Rate" means the rate of interest per annum (rounded to the nearest 1/10,000th of 1%) for any Money Market Absolute Rate Loan.</w:t>
      </w:r>
    </w:p>
    <w:p>
      <w:pPr>
        <w:spacing w:after="0" w:line="174" w:lineRule="exact"/>
        <w:rPr>
          <w:sz w:val="20"/>
          <w:szCs w:val="20"/>
          <w:color w:val="auto"/>
        </w:rPr>
      </w:pPr>
    </w:p>
    <w:p>
      <w:pPr>
        <w:ind w:right="3579" w:firstLine="787"/>
        <w:spacing w:after="0" w:line="234" w:lineRule="auto"/>
        <w:rPr>
          <w:sz w:val="20"/>
          <w:szCs w:val="20"/>
          <w:color w:val="auto"/>
        </w:rPr>
      </w:pPr>
      <w:r>
        <w:rPr>
          <w:rFonts w:ascii="Courier New" w:cs="Courier New" w:eastAsia="Courier New" w:hAnsi="Courier New"/>
          <w:sz w:val="15"/>
          <w:szCs w:val="15"/>
          <w:color w:val="auto"/>
        </w:rPr>
        <w:t>"Money Market Absolute Rate Loan" means a loan to be made by a Bank pursuant to an Absolute Rate Auction.</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"Money Market Lending Office" means, as to each Bank, its Domestic Lending Office or such other office, branch or affiliate of such Bank as it may hereafter designate as its Money Market Lending Office by notice to the Company and the Agent.</w:t>
      </w:r>
    </w:p>
    <w:p>
      <w:pPr>
        <w:sectPr>
          <w:pgSz w:w="11900" w:h="16838" w:orient="portrait"/>
          <w:cols w:equalWidth="0" w:num="1">
            <w:col w:w="10239"/>
          </w:cols>
          <w:pgMar w:left="220" w:top="617" w:right="1440" w:bottom="1440" w:gutter="0" w:footer="0" w:header="0"/>
        </w:sectPr>
      </w:pPr>
    </w:p>
    <w:bookmarkStart w:id="35" w:name="page36"/>
    <w:bookmarkEnd w:id="35"/>
    <w:p>
      <w:pPr>
        <w:ind w:left="6560"/>
        <w:spacing w:after="0"/>
        <w:rPr>
          <w:sz w:val="20"/>
          <w:szCs w:val="20"/>
          <w:color w:val="auto"/>
        </w:rPr>
      </w:pPr>
      <w:r>
        <w:rPr>
          <w:rFonts w:ascii="Courier New" w:cs="Courier New" w:eastAsia="Courier New" w:hAnsi="Courier New"/>
          <w:sz w:val="15"/>
          <w:szCs w:val="15"/>
          <w:color w:val="auto"/>
        </w:rPr>
        <w:t>10</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"Money Market LIBOR Loan" means a loan to be made by a Bank pursuant to a LIBOR Auction (including such a Loan bearing interest at the Prime Rate pursuant to Section 2.15).</w:t>
      </w:r>
    </w:p>
    <w:p>
      <w:pPr>
        <w:spacing w:after="0" w:line="174" w:lineRule="exact"/>
        <w:rPr>
          <w:sz w:val="20"/>
          <w:szCs w:val="20"/>
          <w:color w:val="auto"/>
        </w:rPr>
      </w:pPr>
    </w:p>
    <w:p>
      <w:pPr>
        <w:ind w:right="3399" w:firstLine="787"/>
        <w:spacing w:after="0" w:line="234" w:lineRule="auto"/>
        <w:rPr>
          <w:sz w:val="20"/>
          <w:szCs w:val="20"/>
          <w:color w:val="auto"/>
        </w:rPr>
      </w:pPr>
      <w:r>
        <w:rPr>
          <w:rFonts w:ascii="Courier New" w:cs="Courier New" w:eastAsia="Courier New" w:hAnsi="Courier New"/>
          <w:sz w:val="15"/>
          <w:szCs w:val="15"/>
          <w:color w:val="auto"/>
        </w:rPr>
        <w:t>"Money Market Loan" means a Money Market LIBOR Loan or a Money Market Absolute Rate Loan.</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"Money Market Margin" means, in respect of any Money Market LIBOR Loan, the margin above or below the applicable London Interbank offered Rate, expressed as a percentage (rounded to the nearest 1/10,000th of 1%).</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"Moody's" means Moody's Investors Service, Inc.</w:t>
      </w:r>
    </w:p>
    <w:p>
      <w:pPr>
        <w:spacing w:after="0" w:line="173" w:lineRule="exact"/>
        <w:rPr>
          <w:sz w:val="20"/>
          <w:szCs w:val="20"/>
          <w:color w:val="auto"/>
        </w:rPr>
      </w:pPr>
    </w:p>
    <w:p>
      <w:pPr>
        <w:ind w:right="3579" w:firstLine="787"/>
        <w:spacing w:after="0" w:line="234" w:lineRule="auto"/>
        <w:rPr>
          <w:sz w:val="20"/>
          <w:szCs w:val="20"/>
          <w:color w:val="auto"/>
        </w:rPr>
      </w:pPr>
      <w:r>
        <w:rPr>
          <w:rFonts w:ascii="Courier New" w:cs="Courier New" w:eastAsia="Courier New" w:hAnsi="Courier New"/>
          <w:sz w:val="15"/>
          <w:szCs w:val="15"/>
          <w:color w:val="auto"/>
        </w:rPr>
        <w:t>"Notes" means promissory notes of the Company, substantially in the form of Exhibit A; "Note" means any one of such Notes.</w:t>
      </w:r>
    </w:p>
    <w:p>
      <w:pPr>
        <w:spacing w:after="0" w:line="173" w:lineRule="exact"/>
        <w:rPr>
          <w:sz w:val="20"/>
          <w:szCs w:val="20"/>
          <w:color w:val="auto"/>
        </w:rPr>
      </w:pPr>
    </w:p>
    <w:p>
      <w:pPr>
        <w:ind w:right="3759" w:firstLine="787"/>
        <w:spacing w:after="0" w:line="234" w:lineRule="auto"/>
        <w:rPr>
          <w:sz w:val="20"/>
          <w:szCs w:val="20"/>
          <w:color w:val="auto"/>
        </w:rPr>
      </w:pPr>
      <w:r>
        <w:rPr>
          <w:rFonts w:ascii="Courier New" w:cs="Courier New" w:eastAsia="Courier New" w:hAnsi="Courier New"/>
          <w:sz w:val="15"/>
          <w:szCs w:val="15"/>
          <w:color w:val="auto"/>
        </w:rPr>
        <w:t>"Notice of Borrowing" means a Notice of Syndicated Borrowing or a Notice of Money Market Borrowing.</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"Notice of Money Market Borrowing" has the meaning set forth in Section</w:t>
      </w:r>
    </w:p>
    <w:p>
      <w:pPr>
        <w:spacing w:after="0" w:line="237" w:lineRule="auto"/>
        <w:rPr>
          <w:sz w:val="20"/>
          <w:szCs w:val="20"/>
          <w:color w:val="auto"/>
        </w:rPr>
      </w:pPr>
      <w:r>
        <w:rPr>
          <w:rFonts w:ascii="Courier New" w:cs="Courier New" w:eastAsia="Courier New" w:hAnsi="Courier New"/>
          <w:sz w:val="15"/>
          <w:szCs w:val="15"/>
          <w:color w:val="auto"/>
        </w:rPr>
        <w:t>2.3.6.</w:t>
      </w:r>
    </w:p>
    <w:p>
      <w:pPr>
        <w:spacing w:after="0" w:line="173"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"Notice of Syndicated Borrowing" has the meaning set forth in Section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2.2.</w:t>
      </w:r>
    </w:p>
    <w:p>
      <w:pPr>
        <w:spacing w:after="0" w:line="173" w:lineRule="exact"/>
        <w:rPr>
          <w:sz w:val="20"/>
          <w:szCs w:val="20"/>
          <w:color w:val="auto"/>
        </w:rPr>
      </w:pPr>
    </w:p>
    <w:p>
      <w:pPr>
        <w:ind w:right="3579" w:firstLine="787"/>
        <w:spacing w:after="0" w:line="234" w:lineRule="auto"/>
        <w:rPr>
          <w:sz w:val="20"/>
          <w:szCs w:val="20"/>
          <w:color w:val="auto"/>
        </w:rPr>
      </w:pPr>
      <w:r>
        <w:rPr>
          <w:rFonts w:ascii="Courier New" w:cs="Courier New" w:eastAsia="Courier New" w:hAnsi="Courier New"/>
          <w:sz w:val="15"/>
          <w:szCs w:val="15"/>
          <w:color w:val="auto"/>
        </w:rPr>
        <w:t>"PBGC" means the Pension Benefit Guaranty Corporation or any entity succeeding to any or all of its functions under ERISA.</w:t>
      </w:r>
    </w:p>
    <w:p>
      <w:pPr>
        <w:spacing w:after="0" w:line="173" w:lineRule="exact"/>
        <w:rPr>
          <w:sz w:val="20"/>
          <w:szCs w:val="20"/>
          <w:color w:val="auto"/>
        </w:rPr>
      </w:pPr>
    </w:p>
    <w:p>
      <w:pPr>
        <w:jc w:val="both"/>
        <w:ind w:right="3399" w:firstLine="787"/>
        <w:spacing w:after="0" w:line="258" w:lineRule="auto"/>
        <w:rPr>
          <w:sz w:val="20"/>
          <w:szCs w:val="20"/>
          <w:color w:val="auto"/>
        </w:rPr>
      </w:pPr>
      <w:r>
        <w:rPr>
          <w:rFonts w:ascii="Courier New" w:cs="Courier New" w:eastAsia="Courier New" w:hAnsi="Courier New"/>
          <w:sz w:val="14"/>
          <w:szCs w:val="14"/>
          <w:color w:val="auto"/>
        </w:rPr>
        <w:t>"Person" means any individual, corporation, partnership, association, trust, limited liability company or other entity or organization, including a government or political subdivision or an agency or instrumentality thereof.</w:t>
      </w:r>
    </w:p>
    <w:p>
      <w:pPr>
        <w:spacing w:after="0" w:line="161"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"Plan" means, at any time, an employee pension benefit plan which is covered by Title IV of ERISA or subject to funding standards under Section 412 of the Code and (a) is maintained by a member of the ERISA Group for employees of a member of the ERISA Group, (b) has at any time within the preceding five years been maintained, or contributed to, by any Person which was at such time a member of the ERISA Group for employees of any Person which was at such time a member of the ERISA Group, or (c) is maintained pursuant to a collective bargaining agreement or</w:t>
      </w:r>
    </w:p>
    <w:p>
      <w:pPr>
        <w:sectPr>
          <w:pgSz w:w="11900" w:h="16838" w:orient="portrait"/>
          <w:cols w:equalWidth="0" w:num="1">
            <w:col w:w="10239"/>
          </w:cols>
          <w:pgMar w:left="220" w:top="617" w:right="1440" w:bottom="1440" w:gutter="0" w:footer="0" w:header="0"/>
        </w:sectPr>
      </w:pPr>
    </w:p>
    <w:bookmarkStart w:id="36" w:name="page37"/>
    <w:bookmarkEnd w:id="36"/>
    <w:p>
      <w:pPr>
        <w:ind w:left="6560"/>
        <w:spacing w:after="0"/>
        <w:rPr>
          <w:sz w:val="20"/>
          <w:szCs w:val="20"/>
          <w:color w:val="auto"/>
        </w:rPr>
      </w:pPr>
      <w:r>
        <w:rPr>
          <w:rFonts w:ascii="Courier New" w:cs="Courier New" w:eastAsia="Courier New" w:hAnsi="Courier New"/>
          <w:sz w:val="15"/>
          <w:szCs w:val="15"/>
          <w:color w:val="auto"/>
        </w:rPr>
        <w:t>11</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any other arrangement under which more than one employer makes contributions and to which a member of the ERISA Group is then making or accruing an obligation to make contributions or has within the preceding five plan years made contributions.</w:t>
      </w:r>
    </w:p>
    <w:p>
      <w:pPr>
        <w:spacing w:after="0" w:line="175"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"Prime Rate" means the rate of interest publicly announced by Morgan Guaranty Trust Company of New York in New York City from time to time as its Prime Rate.</w:t>
      </w:r>
    </w:p>
    <w:p>
      <w:pPr>
        <w:spacing w:after="0" w:line="174" w:lineRule="exact"/>
        <w:rPr>
          <w:sz w:val="20"/>
          <w:szCs w:val="20"/>
          <w:color w:val="auto"/>
        </w:rPr>
      </w:pPr>
    </w:p>
    <w:p>
      <w:pPr>
        <w:ind w:right="3939" w:firstLine="787"/>
        <w:spacing w:after="0" w:line="234" w:lineRule="auto"/>
        <w:rPr>
          <w:sz w:val="20"/>
          <w:szCs w:val="20"/>
          <w:color w:val="auto"/>
        </w:rPr>
      </w:pPr>
      <w:r>
        <w:rPr>
          <w:rFonts w:ascii="Courier New" w:cs="Courier New" w:eastAsia="Courier New" w:hAnsi="Courier New"/>
          <w:sz w:val="15"/>
          <w:szCs w:val="15"/>
          <w:color w:val="auto"/>
        </w:rPr>
        <w:t>"Quote" means an offer by a Bank to make a Money Market Loan in accordance with Section 2.3.</w:t>
      </w:r>
    </w:p>
    <w:p>
      <w:pPr>
        <w:spacing w:after="0" w:line="173"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"Quote Request" means a request substantially in the form of Exhibit B from the Company to the Banks to provide Quotes pursuant to Section 2.3.</w:t>
      </w:r>
    </w:p>
    <w:p>
      <w:pPr>
        <w:spacing w:after="0" w:line="173"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"Reference Banks" means the CD Reference Banks or the Euro-Dollar Reference Banks, as the context may require; "Reference Bank" means any one of such Reference Banks.</w:t>
      </w:r>
    </w:p>
    <w:p>
      <w:pPr>
        <w:spacing w:after="0" w:line="174"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"Refunding Borrowing" means a Borrowing which, after application of the proceeds thereof, results in no net increase in the aggregate outstanding principal amount of the Syndicated Loans made by any Bank.</w:t>
      </w:r>
    </w:p>
    <w:p>
      <w:pPr>
        <w:spacing w:after="0" w:line="174" w:lineRule="exact"/>
        <w:rPr>
          <w:sz w:val="20"/>
          <w:szCs w:val="20"/>
          <w:color w:val="auto"/>
        </w:rPr>
      </w:pPr>
    </w:p>
    <w:p>
      <w:pPr>
        <w:ind w:right="3679" w:firstLine="787"/>
        <w:spacing w:after="0" w:line="234" w:lineRule="auto"/>
        <w:rPr>
          <w:sz w:val="20"/>
          <w:szCs w:val="20"/>
          <w:color w:val="auto"/>
        </w:rPr>
      </w:pPr>
      <w:r>
        <w:rPr>
          <w:rFonts w:ascii="Courier New" w:cs="Courier New" w:eastAsia="Courier New" w:hAnsi="Courier New"/>
          <w:sz w:val="15"/>
          <w:szCs w:val="15"/>
          <w:color w:val="auto"/>
        </w:rPr>
        <w:t>"Regulation U" means Regulation U of the Board of Governors of the Federal Reserve System, as in effect from time to time.</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"Required Banks" means, at any time of determination, Banks having at least 60% of the aggregate amount of the Commitments or, if all of the Commitments shall have been terminated, holding Notes evidencing at least 60% of the aggregate unpaid principal amount of the Loans.</w:t>
      </w:r>
    </w:p>
    <w:p>
      <w:pPr>
        <w:spacing w:after="0" w:line="16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"Second Extension Date" has the meaning set forth in Section 2.1.3.</w:t>
      </w:r>
    </w:p>
    <w:p>
      <w:pPr>
        <w:spacing w:after="0" w:line="173" w:lineRule="exact"/>
        <w:rPr>
          <w:sz w:val="20"/>
          <w:szCs w:val="20"/>
          <w:color w:val="auto"/>
        </w:rPr>
      </w:pPr>
    </w:p>
    <w:p>
      <w:pPr>
        <w:ind w:right="3939" w:firstLine="787"/>
        <w:spacing w:after="0" w:line="234" w:lineRule="auto"/>
        <w:rPr>
          <w:sz w:val="20"/>
          <w:szCs w:val="20"/>
          <w:color w:val="auto"/>
        </w:rPr>
      </w:pPr>
      <w:r>
        <w:rPr>
          <w:rFonts w:ascii="Courier New" w:cs="Courier New" w:eastAsia="Courier New" w:hAnsi="Courier New"/>
          <w:sz w:val="15"/>
          <w:szCs w:val="15"/>
          <w:color w:val="auto"/>
        </w:rPr>
        <w:t>"Standard &amp; Poor's" means Standard &amp; Poor's Ratings Services, a division of McGraw-Hill, Inc.</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"Subsidiary" means any corporation or other entity of which outstanding stock having ordinary voting power to elect a majority of the Board of Directors of such corporation (irrespective of whether or not at the time stock of any other class or classes of such corporation</w:t>
      </w:r>
    </w:p>
    <w:p>
      <w:pPr>
        <w:sectPr>
          <w:pgSz w:w="11900" w:h="16838" w:orient="portrait"/>
          <w:cols w:equalWidth="0" w:num="1">
            <w:col w:w="10239"/>
          </w:cols>
          <w:pgMar w:left="220" w:top="617" w:right="1440" w:bottom="1440" w:gutter="0" w:footer="0" w:header="0"/>
        </w:sectPr>
      </w:pPr>
    </w:p>
    <w:bookmarkStart w:id="37" w:name="page38"/>
    <w:bookmarkEnd w:id="37"/>
    <w:p>
      <w:pPr>
        <w:ind w:left="6560"/>
        <w:spacing w:after="0"/>
        <w:rPr>
          <w:sz w:val="20"/>
          <w:szCs w:val="20"/>
          <w:color w:val="auto"/>
        </w:rPr>
      </w:pPr>
      <w:r>
        <w:rPr>
          <w:rFonts w:ascii="Courier New" w:cs="Courier New" w:eastAsia="Courier New" w:hAnsi="Courier New"/>
          <w:sz w:val="15"/>
          <w:szCs w:val="15"/>
          <w:color w:val="auto"/>
        </w:rPr>
        <w:t>12</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shall have or might have voting power by reason of the happening of any contingency and irrespective of any contractual limitation of the right or power of the holder of such stock to vote for directors) is at the time directly or indirectly owned by the Company or by one or more Subsidiaries, or by the Company and one or more Subsidiaries together.</w:t>
      </w:r>
    </w:p>
    <w:p>
      <w:pPr>
        <w:spacing w:after="0" w:line="174" w:lineRule="exact"/>
        <w:rPr>
          <w:sz w:val="20"/>
          <w:szCs w:val="20"/>
          <w:color w:val="auto"/>
        </w:rPr>
      </w:pPr>
    </w:p>
    <w:p>
      <w:pPr>
        <w:ind w:right="3239" w:firstLine="787"/>
        <w:spacing w:after="0" w:line="234" w:lineRule="auto"/>
        <w:rPr>
          <w:sz w:val="20"/>
          <w:szCs w:val="20"/>
          <w:color w:val="auto"/>
        </w:rPr>
      </w:pPr>
      <w:r>
        <w:rPr>
          <w:rFonts w:ascii="Courier New" w:cs="Courier New" w:eastAsia="Courier New" w:hAnsi="Courier New"/>
          <w:sz w:val="15"/>
          <w:szCs w:val="15"/>
          <w:color w:val="auto"/>
        </w:rPr>
        <w:t>"Syndicated Loan" means a Domestic Loan or a Euro-Dollar Loan made by a Bank pursuant to Section 2.1.</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"Termination Date" means the date determined pursuant to Section 2.1.3 (or if such day is not a Euro-Dollar Business Day, the next preceding Euro-Dollar Business Day).</w:t>
      </w:r>
    </w:p>
    <w:p>
      <w:pPr>
        <w:spacing w:after="0" w:line="174"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"Unfunded Liabilities" means, with respect to any Plan at any time, the amount (if any) by which (a) the present value of all benefits under such Plan exceeds (b) the fair market value of all Plan assets allocable to such benefits, all determined as of the then most recent valuation date for such Plan, but only</w:t>
      </w:r>
    </w:p>
    <w:p>
      <w:pPr>
        <w:spacing w:after="0" w:line="1" w:lineRule="exact"/>
        <w:rPr>
          <w:sz w:val="20"/>
          <w:szCs w:val="20"/>
          <w:color w:val="auto"/>
        </w:rPr>
      </w:pPr>
    </w:p>
    <w:p>
      <w:pPr>
        <w:ind w:right="3319" w:firstLine="10"/>
        <w:spacing w:after="0" w:line="254" w:lineRule="auto"/>
        <w:tabs>
          <w:tab w:leader="none" w:pos="35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that such excess represents a potential liability of a member of the ERISA Group to the PBGC or any other Person under Title IV of ERISA, or</w:t>
      </w:r>
    </w:p>
    <w:p>
      <w:pPr>
        <w:ind w:left="440" w:hanging="430"/>
        <w:spacing w:after="0" w:line="237" w:lineRule="auto"/>
        <w:tabs>
          <w:tab w:leader="none" w:pos="4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 Plan which is a Multiemployer Plan as described in</w:t>
      </w:r>
    </w:p>
    <w:p>
      <w:pPr>
        <w:spacing w:after="0" w:line="5" w:lineRule="exact"/>
        <w:rPr>
          <w:rFonts w:ascii="Courier New" w:cs="Courier New" w:eastAsia="Courier New" w:hAnsi="Courier New"/>
          <w:sz w:val="15"/>
          <w:szCs w:val="15"/>
          <w:color w:val="auto"/>
        </w:rPr>
      </w:pPr>
    </w:p>
    <w:p>
      <w:pPr>
        <w:ind w:right="339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Section 4001(a)(3) of ERISA, to the extent of the Unfunded Liabilities of such Plan allocable to any member of the ERISA Group under Section 4211 of ERISA.</w:t>
      </w:r>
    </w:p>
    <w:p>
      <w:pPr>
        <w:spacing w:after="0" w:line="160"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"Unrestricted Subsidiary" means any Subsidiary designated as an Unrestricted Subsidiary in a written notice sent at any time after the date of this Agreement by the Company to the Agent which is engaged (a) primarily in the business of making or discounting loans, making advances, extending credit or providing financial accommodation to, or purchasing the obligations of, other;</w:t>
      </w:r>
    </w:p>
    <w:p>
      <w:pPr>
        <w:spacing w:after="0" w:line="2" w:lineRule="exact"/>
        <w:rPr>
          <w:sz w:val="20"/>
          <w:szCs w:val="20"/>
          <w:color w:val="auto"/>
        </w:rPr>
      </w:pPr>
    </w:p>
    <w:p>
      <w:pPr>
        <w:ind w:right="3239" w:firstLine="10"/>
        <w:spacing w:after="0" w:line="254" w:lineRule="auto"/>
        <w:tabs>
          <w:tab w:leader="none" w:pos="35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primarily in the business of insuring property against loss and subject to regulation as an insurance company by any governmental agency; (c) exclusively in the business of owning or leasing, and operating, aircraft and/or trucks; (d) primarily in the ownership, management, leasing or operation of real estate, other than parcels of real estate with respect to which 51% or more of the rentable space is used by the Company or a Consolidated Subsidiary in the normal course of business; or (e) primarily as a carrier transporting goods in both intrastate and interstate commerce, provided that (i) the Company may by notice</w:t>
      </w:r>
    </w:p>
    <w:p>
      <w:pPr>
        <w:ind w:left="3160"/>
        <w:spacing w:after="0" w:line="234"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to the</w:t>
      </w:r>
    </w:p>
    <w:p>
      <w:pPr>
        <w:sectPr>
          <w:pgSz w:w="11900" w:h="16838" w:orient="portrait"/>
          <w:cols w:equalWidth="0" w:num="1">
            <w:col w:w="10239"/>
          </w:cols>
          <w:pgMar w:left="220" w:top="617" w:right="1440" w:bottom="1440" w:gutter="0" w:footer="0" w:header="0"/>
        </w:sectPr>
      </w:pPr>
    </w:p>
    <w:bookmarkStart w:id="38" w:name="page39"/>
    <w:bookmarkEnd w:id="38"/>
    <w:p>
      <w:pPr>
        <w:ind w:left="6560"/>
        <w:spacing w:after="0"/>
        <w:rPr>
          <w:sz w:val="20"/>
          <w:szCs w:val="20"/>
          <w:color w:val="auto"/>
        </w:rPr>
      </w:pPr>
      <w:r>
        <w:rPr>
          <w:rFonts w:ascii="Courier New" w:cs="Courier New" w:eastAsia="Courier New" w:hAnsi="Courier New"/>
          <w:sz w:val="15"/>
          <w:szCs w:val="15"/>
          <w:color w:val="auto"/>
        </w:rPr>
        <w:t>13</w:t>
      </w:r>
    </w:p>
    <w:p>
      <w:pPr>
        <w:spacing w:after="0" w:line="173" w:lineRule="exact"/>
        <w:rPr>
          <w:sz w:val="20"/>
          <w:szCs w:val="20"/>
          <w:color w:val="auto"/>
        </w:rPr>
      </w:pPr>
    </w:p>
    <w:p>
      <w:pPr>
        <w:jc w:val="both"/>
        <w:ind w:right="3499"/>
        <w:spacing w:after="0" w:line="254" w:lineRule="auto"/>
        <w:rPr>
          <w:sz w:val="20"/>
          <w:szCs w:val="20"/>
          <w:color w:val="auto"/>
        </w:rPr>
      </w:pPr>
      <w:r>
        <w:rPr>
          <w:rFonts w:ascii="Courier New" w:cs="Courier New" w:eastAsia="Courier New" w:hAnsi="Courier New"/>
          <w:sz w:val="14"/>
          <w:szCs w:val="14"/>
          <w:color w:val="auto"/>
        </w:rPr>
        <w:t>Agent change the designation of any Subsidiary described in subparagraphs (a) through (e) above, but may do so only once during the term of this Agreement,</w:t>
      </w:r>
    </w:p>
    <w:p>
      <w:pPr>
        <w:spacing w:after="0" w:line="1" w:lineRule="exact"/>
        <w:rPr>
          <w:sz w:val="20"/>
          <w:szCs w:val="20"/>
          <w:color w:val="auto"/>
        </w:rPr>
      </w:pPr>
    </w:p>
    <w:p>
      <w:pPr>
        <w:ind w:right="3239" w:firstLine="10"/>
        <w:spacing w:after="0" w:line="236" w:lineRule="auto"/>
        <w:tabs>
          <w:tab w:leader="none" w:pos="437"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designation of a Subsidiary as an Unrestricted Subsidiary more than 30 days after the creation or acquisition of such Subsidiary where such Subsidiary was not specifically so designated within such 30 days shall be deemed to be the only permitted change in designation, and (iii) immediately after the Company designates any Subsidiary whether now owned or hereafter acquired or created as an Unrestricted Subsidiary or changes the designation of a Subsidiary from an Unrestricted Subsidiary to a Consolidated Subsidiary, the Company and all Consolidated Subsidiaries would be in compliance with all of the provisions of this Agreement.</w:t>
      </w:r>
    </w:p>
    <w:p>
      <w:pPr>
        <w:spacing w:after="0" w:line="17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"Unused Commitment" means, at any date of determination, the excess of</w:t>
      </w:r>
    </w:p>
    <w:p>
      <w:pPr>
        <w:spacing w:after="0" w:line="10" w:lineRule="exact"/>
        <w:rPr>
          <w:sz w:val="20"/>
          <w:szCs w:val="20"/>
          <w:color w:val="auto"/>
        </w:rPr>
      </w:pPr>
    </w:p>
    <w:p>
      <w:pPr>
        <w:ind w:right="3239" w:firstLine="10"/>
        <w:spacing w:after="0" w:line="235" w:lineRule="auto"/>
        <w:tabs>
          <w:tab w:leader="none" w:pos="35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then aggregate amount of the Commitments under this Agreement over (b) the sum of the principal amount of all Loans then outstanding plus the principal amount of commercial paper issued by the Company and outstanding on the date of determination.</w:t>
      </w:r>
    </w:p>
    <w:p>
      <w:pPr>
        <w:spacing w:after="0" w:line="175"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"Value" means, when used in Section 6.1.5 with respect to investments in and advances to a Consolidated Subsidiary, the book value thereof immediately before the relevant event or events referred to in Section 6.1.5 occurred with respect to such Consolidated Subsidiary.</w:t>
      </w:r>
    </w:p>
    <w:p>
      <w:pPr>
        <w:spacing w:after="0" w:line="175" w:lineRule="exact"/>
        <w:rPr>
          <w:sz w:val="20"/>
          <w:szCs w:val="20"/>
          <w:color w:val="auto"/>
        </w:rPr>
      </w:pPr>
    </w:p>
    <w:p>
      <w:pPr>
        <w:ind w:right="3399" w:firstLine="787"/>
        <w:spacing w:after="0" w:line="234" w:lineRule="auto"/>
        <w:rPr>
          <w:sz w:val="20"/>
          <w:szCs w:val="20"/>
          <w:color w:val="auto"/>
        </w:rPr>
      </w:pPr>
      <w:r>
        <w:rPr>
          <w:rFonts w:ascii="Courier New" w:cs="Courier New" w:eastAsia="Courier New" w:hAnsi="Courier New"/>
          <w:sz w:val="15"/>
          <w:szCs w:val="15"/>
          <w:color w:val="auto"/>
        </w:rPr>
        <w:t>"WFN" means World Financial Network National Bank, a national banking association, and its successors.</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"WFN Companies" means WFN and its Subsidiaries.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"WFN Companies' Tangible Assets" means all assets of the WFN Companies, determined on a consolidated basis, except (i) all goodwill, licenses, patents, trademarks, copyrights, trade names, service marks, experimental or organizational expenses and other similar intangibles and unamortized debt discount and expense and (ii) all investments, loans and advances in or to any Unrestricted Subsidiary.</w:t>
      </w:r>
    </w:p>
    <w:p>
      <w:pPr>
        <w:spacing w:after="0" w:line="175" w:lineRule="exact"/>
        <w:rPr>
          <w:sz w:val="20"/>
          <w:szCs w:val="20"/>
          <w:color w:val="auto"/>
        </w:rPr>
      </w:pPr>
    </w:p>
    <w:p>
      <w:pPr>
        <w:jc w:val="both"/>
        <w:ind w:right="3239" w:firstLine="787"/>
        <w:spacing w:after="0" w:line="258" w:lineRule="auto"/>
        <w:rPr>
          <w:sz w:val="20"/>
          <w:szCs w:val="20"/>
          <w:color w:val="auto"/>
        </w:rPr>
      </w:pPr>
      <w:r>
        <w:rPr>
          <w:rFonts w:ascii="Courier New" w:cs="Courier New" w:eastAsia="Courier New" w:hAnsi="Courier New"/>
          <w:sz w:val="14"/>
          <w:szCs w:val="14"/>
          <w:color w:val="auto"/>
        </w:rPr>
        <w:t>"WFN Credit Agreement" means the Credit Agreement dated as of December 4, 1992, as amended, among WFN, the Company, the banks listed therein and Morgan Guaranty Trust Company of New York, as agent for such banks.</w:t>
      </w:r>
    </w:p>
    <w:p>
      <w:pPr>
        <w:sectPr>
          <w:pgSz w:w="11900" w:h="16838" w:orient="portrait"/>
          <w:cols w:equalWidth="0" w:num="1">
            <w:col w:w="10239"/>
          </w:cols>
          <w:pgMar w:left="220" w:top="617" w:right="1440" w:bottom="1440" w:gutter="0" w:footer="0" w:header="0"/>
        </w:sectPr>
      </w:pPr>
    </w:p>
    <w:bookmarkStart w:id="39" w:name="page40"/>
    <w:bookmarkEnd w:id="39"/>
    <w:p>
      <w:pPr>
        <w:ind w:left="6560"/>
        <w:spacing w:after="0"/>
        <w:rPr>
          <w:sz w:val="20"/>
          <w:szCs w:val="20"/>
          <w:color w:val="auto"/>
        </w:rPr>
      </w:pPr>
      <w:r>
        <w:rPr>
          <w:rFonts w:ascii="Courier New" w:cs="Courier New" w:eastAsia="Courier New" w:hAnsi="Courier New"/>
          <w:sz w:val="15"/>
          <w:szCs w:val="15"/>
          <w:color w:val="auto"/>
        </w:rPr>
        <w:t>14</w:t>
      </w:r>
    </w:p>
    <w:p>
      <w:pPr>
        <w:spacing w:after="0" w:line="341" w:lineRule="exact"/>
        <w:rPr>
          <w:sz w:val="20"/>
          <w:szCs w:val="20"/>
          <w:color w:val="auto"/>
        </w:rPr>
      </w:pPr>
    </w:p>
    <w:p>
      <w:pPr>
        <w:ind w:right="3499" w:firstLine="787"/>
        <w:spacing w:after="0" w:line="254" w:lineRule="auto"/>
        <w:rPr>
          <w:sz w:val="20"/>
          <w:szCs w:val="20"/>
          <w:color w:val="auto"/>
        </w:rPr>
      </w:pPr>
      <w:r>
        <w:rPr>
          <w:rFonts w:ascii="Courier New" w:cs="Courier New" w:eastAsia="Courier New" w:hAnsi="Courier New"/>
          <w:sz w:val="14"/>
          <w:szCs w:val="14"/>
          <w:color w:val="auto"/>
        </w:rPr>
        <w:t>"WFN Transactions" means (i) the sale by WFN of all or substantially all of its receivables pursuant to a receivables securitization program and</w:t>
      </w:r>
    </w:p>
    <w:p>
      <w:pPr>
        <w:spacing w:after="0" w:line="1" w:lineRule="exact"/>
        <w:rPr>
          <w:sz w:val="20"/>
          <w:szCs w:val="20"/>
          <w:color w:val="auto"/>
        </w:rPr>
      </w:pPr>
    </w:p>
    <w:p>
      <w:pPr>
        <w:ind w:right="3319" w:firstLine="10"/>
        <w:spacing w:after="0" w:line="235" w:lineRule="auto"/>
        <w:tabs>
          <w:tab w:leader="none" w:pos="437"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of the operations of WFN to a joint venture to be owned, directly or indirectly, approximately 60% by Welsh, Carson, Anderson &amp; Stowe and 40% by the Company.</w:t>
      </w:r>
    </w:p>
    <w:p>
      <w:pPr>
        <w:spacing w:after="0" w:line="167" w:lineRule="exact"/>
        <w:rPr>
          <w:sz w:val="20"/>
          <w:szCs w:val="20"/>
          <w:color w:val="auto"/>
        </w:rPr>
      </w:pPr>
    </w:p>
    <w:p>
      <w:pPr>
        <w:ind w:left="800"/>
        <w:spacing w:after="0"/>
        <w:tabs>
          <w:tab w:leader="none" w:pos="1300" w:val="left"/>
          <w:tab w:leader="none" w:pos="4620" w:val="left"/>
        </w:tabs>
        <w:rPr>
          <w:sz w:val="20"/>
          <w:szCs w:val="20"/>
          <w:color w:val="auto"/>
        </w:rPr>
      </w:pPr>
      <w:r>
        <w:rPr>
          <w:rFonts w:ascii="Courier New" w:cs="Courier New" w:eastAsia="Courier New" w:hAnsi="Courier New"/>
          <w:sz w:val="15"/>
          <w:szCs w:val="15"/>
          <w:color w:val="auto"/>
        </w:rPr>
        <w:t>1.2.</w:t>
        <w:tab/>
        <w:t>Accounting Terms and Determinations.</w:t>
      </w:r>
      <w:r>
        <w:rPr>
          <w:sz w:val="20"/>
          <w:szCs w:val="20"/>
          <w:color w:val="auto"/>
        </w:rPr>
        <w:tab/>
      </w:r>
      <w:r>
        <w:rPr>
          <w:rFonts w:ascii="Courier New" w:cs="Courier New" w:eastAsia="Courier New" w:hAnsi="Courier New"/>
          <w:sz w:val="14"/>
          <w:szCs w:val="14"/>
          <w:color w:val="auto"/>
        </w:rPr>
        <w:t>Unless otherwise specified</w:t>
      </w:r>
    </w:p>
    <w:p>
      <w:pPr>
        <w:ind w:left="132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herein, all accounting terms used herein shall be interpreted, all accounting determinations hereunder shall be made and all financial statements required to be delivered hereunder shall be prepared in accordance with generally accepted accounting principles as in effect from time to time, applied on a basis consistent (except for changes concurred in by the Company's independent public accountants) with the most recent audited consolidated financial statements of the Company and its Consolidated Subsidiaries delivered to the Banks; provided</w:t>
      </w:r>
    </w:p>
    <w:p>
      <w:pPr>
        <w:ind w:left="6140"/>
        <w:spacing w:after="0" w:line="234"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that, if the Company notifies the Agent that the Company, wishes to amend any covenant in Section 5 to eliminate the effect of any change in generally accepted accounting principles on the operation of such covenant (or if the Agent notifies the Company that the Required Banks wish to amend Section 5 for such purpose), then the Company's compliance with such covenant shall be determined on the basis of generally accepted accounting principles in effect immediately before the relevant change in generally accepted accounting principles became effective, until either such notice is withdrawn or such covenant is amended in a manner satisfactory to the Company and the Required Banks.</w:t>
      </w:r>
    </w:p>
    <w:p>
      <w:pPr>
        <w:spacing w:after="0" w:line="173" w:lineRule="exact"/>
        <w:rPr>
          <w:sz w:val="20"/>
          <w:szCs w:val="20"/>
          <w:color w:val="auto"/>
        </w:rPr>
      </w:pPr>
    </w:p>
    <w:p>
      <w:pPr>
        <w:ind w:left="800"/>
        <w:spacing w:after="0"/>
        <w:tabs>
          <w:tab w:leader="none" w:pos="1300" w:val="left"/>
          <w:tab w:leader="none" w:pos="3220" w:val="left"/>
        </w:tabs>
        <w:rPr>
          <w:sz w:val="20"/>
          <w:szCs w:val="20"/>
          <w:color w:val="auto"/>
        </w:rPr>
      </w:pPr>
      <w:r>
        <w:rPr>
          <w:rFonts w:ascii="Courier New" w:cs="Courier New" w:eastAsia="Courier New" w:hAnsi="Courier New"/>
          <w:sz w:val="15"/>
          <w:szCs w:val="15"/>
          <w:color w:val="auto"/>
        </w:rPr>
        <w:t>1.3.</w:t>
        <w:tab/>
        <w:t>Types of Borrowings.</w:t>
      </w:r>
      <w:r>
        <w:rPr>
          <w:sz w:val="20"/>
          <w:szCs w:val="20"/>
          <w:color w:val="auto"/>
        </w:rPr>
        <w:tab/>
      </w:r>
      <w:r>
        <w:rPr>
          <w:rFonts w:ascii="Courier New" w:cs="Courier New" w:eastAsia="Courier New" w:hAnsi="Courier New"/>
          <w:sz w:val="14"/>
          <w:szCs w:val="14"/>
          <w:color w:val="auto"/>
        </w:rPr>
        <w:t>The term "Borrowing" denotes the</w:t>
      </w:r>
    </w:p>
    <w:p>
      <w:pPr>
        <w:ind w:left="132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aggregation of Loans of one or more Banks to be made to the Company pursuant to Section 2 on a single date and for a single Interest Period. Borrowings are classified for purposes of this Agreement either by reference to the pricing of Loans comprising such Borrowing (e.g., a "Euro-Dollar Borrowing" is a Borrowing</w:t>
      </w:r>
    </w:p>
    <w:p>
      <w:pPr>
        <w:ind w:left="2900"/>
        <w:spacing w:after="0" w:line="232"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54" w:lineRule="auto"/>
        <w:rPr>
          <w:sz w:val="20"/>
          <w:szCs w:val="20"/>
          <w:color w:val="auto"/>
        </w:rPr>
      </w:pPr>
      <w:r>
        <w:rPr>
          <w:rFonts w:ascii="Courier New" w:cs="Courier New" w:eastAsia="Courier New" w:hAnsi="Courier New"/>
          <w:sz w:val="14"/>
          <w:szCs w:val="14"/>
          <w:color w:val="auto"/>
        </w:rPr>
        <w:t>comprised of Euro-Dollar Loans) or by reference to the provisions of Section 2 under which participation in such Borrowing is determined (e.g., a "Syndicated</w:t>
      </w:r>
    </w:p>
    <w:p>
      <w:pPr>
        <w:ind w:left="5180"/>
        <w:spacing w:after="0" w:line="231"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Borrowing" is a Borrowing under Section 2.1 in which all Banks participate in proportion to their Commitments, while a "Money Market Borrowing" is a Borrowing under Section 2.3 in which the Bank participants are determined by an auction process in accordance with such provisions).</w:t>
      </w:r>
    </w:p>
    <w:p>
      <w:pPr>
        <w:sectPr>
          <w:pgSz w:w="11900" w:h="16838" w:orient="portrait"/>
          <w:cols w:equalWidth="0" w:num="1">
            <w:col w:w="10239"/>
          </w:cols>
          <w:pgMar w:left="220" w:top="617" w:right="1440" w:bottom="1440" w:gutter="0" w:footer="0" w:header="0"/>
        </w:sectPr>
      </w:pPr>
    </w:p>
    <w:bookmarkStart w:id="40" w:name="page41"/>
    <w:bookmarkEnd w:id="40"/>
    <w:p>
      <w:pPr>
        <w:ind w:left="6560"/>
        <w:spacing w:after="0"/>
        <w:rPr>
          <w:sz w:val="20"/>
          <w:szCs w:val="20"/>
          <w:color w:val="auto"/>
        </w:rPr>
      </w:pPr>
      <w:r>
        <w:rPr>
          <w:rFonts w:ascii="Courier New" w:cs="Courier New" w:eastAsia="Courier New" w:hAnsi="Courier New"/>
          <w:sz w:val="15"/>
          <w:szCs w:val="15"/>
          <w:color w:val="auto"/>
        </w:rPr>
        <w:t>15</w:t>
      </w:r>
    </w:p>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SECTION 2</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BORROWINGS</w:t>
      </w:r>
    </w:p>
    <w:p>
      <w:pPr>
        <w:spacing w:after="0" w:line="166" w:lineRule="exact"/>
        <w:rPr>
          <w:sz w:val="20"/>
          <w:szCs w:val="20"/>
          <w:color w:val="auto"/>
        </w:rPr>
      </w:pPr>
    </w:p>
    <w:p>
      <w:pPr>
        <w:ind w:left="880"/>
        <w:spacing w:after="0"/>
        <w:tabs>
          <w:tab w:leader="none" w:pos="1380"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4"/>
          <w:szCs w:val="14"/>
          <w:color w:val="auto"/>
        </w:rPr>
        <w:t>Commitments to Make Syndicated Loans.</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firstLine="875"/>
        <w:spacing w:after="0" w:line="254" w:lineRule="auto"/>
        <w:rPr>
          <w:sz w:val="20"/>
          <w:szCs w:val="20"/>
          <w:color w:val="auto"/>
        </w:rPr>
      </w:pPr>
      <w:r>
        <w:rPr>
          <w:rFonts w:ascii="Courier New" w:cs="Courier New" w:eastAsia="Courier New" w:hAnsi="Courier New"/>
          <w:sz w:val="14"/>
          <w:szCs w:val="14"/>
          <w:color w:val="auto"/>
        </w:rPr>
        <w:t>2.1.1. During the period from and including the Effective Date to but excluding the Termination Date, each Bank severally agrees, on the terms and conditions set forth in this Agreement, to make one or more Syndicated Loans to the Company from time to time; provided that (a) the aggregate principal amount</w:t>
      </w:r>
    </w:p>
    <w:p>
      <w:pPr>
        <w:ind w:left="2720"/>
        <w:spacing w:after="0" w:line="232"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of Syndicated Loans by such Bank at any one time outstanding shall not exceed the amount of such Bank's Commitment and (b) immediately after each Syndicated Borrowing (and any concurrent repayment of Loans) the aggregate outstanding principal amount of all Loans shall not exceed the aggregate amount of the Commitments. Within the foregoing limits, the Company may borrow under this Section 2.1.1., repay or, to the extent permitted by Section 2.10, prepay Loans in whole or in part and reborrow, on a revolving basis, at any time prior to the Termination Date.</w:t>
      </w:r>
    </w:p>
    <w:p>
      <w:pPr>
        <w:spacing w:after="0" w:line="177" w:lineRule="exact"/>
        <w:rPr>
          <w:sz w:val="20"/>
          <w:szCs w:val="20"/>
          <w:color w:val="auto"/>
        </w:rPr>
      </w:pPr>
    </w:p>
    <w:p>
      <w:pPr>
        <w:ind w:right="3239" w:firstLine="875"/>
        <w:spacing w:after="0" w:line="254" w:lineRule="auto"/>
        <w:rPr>
          <w:sz w:val="20"/>
          <w:szCs w:val="20"/>
          <w:color w:val="auto"/>
        </w:rPr>
      </w:pPr>
      <w:r>
        <w:rPr>
          <w:rFonts w:ascii="Courier New" w:cs="Courier New" w:eastAsia="Courier New" w:hAnsi="Courier New"/>
          <w:sz w:val="14"/>
          <w:szCs w:val="14"/>
          <w:color w:val="auto"/>
        </w:rPr>
        <w:t>2.1.2. Each Syndicated Borrowing shall be in an aggregate principal amount of $20,000,000 or any larger multiple of $1,000,000 (except that any such Borrowing may be in the aggregate amount available in accordance with Section</w:t>
      </w:r>
    </w:p>
    <w:p>
      <w:pPr>
        <w:spacing w:after="0" w:line="1"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3.2(c)) and shall be made from the several Banks ratably in proportion to their respective Commitments. Amounts required to be repaid pursuant to Section 2.16 shall not be reborrowed except as provided therein.</w:t>
      </w:r>
    </w:p>
    <w:p>
      <w:pPr>
        <w:spacing w:after="0" w:line="174" w:lineRule="exact"/>
        <w:rPr>
          <w:sz w:val="20"/>
          <w:szCs w:val="20"/>
          <w:color w:val="auto"/>
        </w:rPr>
      </w:pPr>
    </w:p>
    <w:p>
      <w:pPr>
        <w:ind w:right="3499" w:firstLine="875"/>
        <w:spacing w:after="0" w:line="254" w:lineRule="auto"/>
        <w:rPr>
          <w:sz w:val="20"/>
          <w:szCs w:val="20"/>
          <w:color w:val="auto"/>
        </w:rPr>
      </w:pPr>
      <w:r>
        <w:rPr>
          <w:rFonts w:ascii="Courier New" w:cs="Courier New" w:eastAsia="Courier New" w:hAnsi="Courier New"/>
          <w:sz w:val="14"/>
          <w:szCs w:val="14"/>
          <w:color w:val="auto"/>
        </w:rPr>
        <w:t>2.1.3. For the purposes of this Agreement, the "Termination Date" shall be December 14, 2000; provided, however, that on December 14, 1997 (the</w:t>
      </w:r>
    </w:p>
    <w:p>
      <w:pPr>
        <w:ind w:left="2460"/>
        <w:spacing w:after="0" w:line="231"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"Extension Date"), the Termination Date may be extended an additional two years (i.e., from December 14, 2000 to December 14, 2002) if at least 60 days before</w:t>
      </w:r>
    </w:p>
    <w:p>
      <w:pPr>
        <w:ind w:left="100"/>
        <w:spacing w:after="0" w:line="231"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Extension Date, the Company has given written notice to the Agent requesting the extension of the Termination Date, unless at least 30 days before the Extension Date, the Agent (after having delivered a notice substantially in the form of Exhibit H hereto to each Bank (which notice shall be effective upon delivery to the Agent of written confirmation (including by bank wire, telex, telecopy or similar writing) of receipt by such Bank) and received a written request from any Bank that the Termination Date not be extended) delivers written notice to the Company that the Termination Date is not to be so</w:t>
      </w:r>
    </w:p>
    <w:p>
      <w:pPr>
        <w:sectPr>
          <w:pgSz w:w="11900" w:h="16838" w:orient="portrait"/>
          <w:cols w:equalWidth="0" w:num="1">
            <w:col w:w="10239"/>
          </w:cols>
          <w:pgMar w:left="220" w:top="617" w:right="1440" w:bottom="1440" w:gutter="0" w:footer="0" w:header="0"/>
        </w:sectPr>
      </w:pPr>
    </w:p>
    <w:bookmarkStart w:id="41" w:name="page42"/>
    <w:bookmarkEnd w:id="41"/>
    <w:p>
      <w:pPr>
        <w:ind w:left="6560"/>
        <w:spacing w:after="0"/>
        <w:rPr>
          <w:sz w:val="20"/>
          <w:szCs w:val="20"/>
          <w:color w:val="auto"/>
        </w:rPr>
      </w:pPr>
      <w:r>
        <w:rPr>
          <w:rFonts w:ascii="Courier New" w:cs="Courier New" w:eastAsia="Courier New" w:hAnsi="Courier New"/>
          <w:sz w:val="15"/>
          <w:szCs w:val="15"/>
          <w:color w:val="auto"/>
        </w:rPr>
        <w:t>16</w:t>
      </w:r>
    </w:p>
    <w:p>
      <w:pPr>
        <w:spacing w:after="0" w:line="341"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extended; provided further, however, that if the Termination Date has been extended to December 14, 2002 pursuant to the foregoing proviso, on December 14, 1999 (the "Second Extension Date"), the Termination Date as so extended may be extended an additional two years (i.e., from December 14, 2002 to December 14,</w:t>
      </w:r>
    </w:p>
    <w:p>
      <w:pPr>
        <w:ind w:left="2980"/>
        <w:spacing w:after="0" w:line="232"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2004) if at least 60 days before the Second Extension Date, the Company has given written notice to the Agent requesting the extension of the Termination Date, unless at least 30 days before the Second Extension Date, the Agent (after having delivered a notice substantially in the form of Exhibit H hereto to each Bank (which notice shall be effective upon delivery to the Agent of written confirmation (including by bank wire, telex, telecopy or similar writing) of receipt by such Bank) and received a written request from any Bank that the Termination Date not be extended) delivers written notice to the Company that the Termination Date is not to be so extended. The Company shall have the right, within any such thirty-day period, to replace any Bank which has requested that the Termination Date not be extended in the same manner as the Company may replace a Certificate Bank pursuant to Section 2.9.3, and in the event the Company so replaces each Bank making such request, the Termination Date shall then be extended as provided in the preceding sentence. Upon receipt of any notice from the Company pursuant to this Section 2.1.3, the Agent shall notify each Bank thereof within three Domestic Business Days.</w:t>
      </w:r>
    </w:p>
    <w:p>
      <w:pPr>
        <w:spacing w:after="0" w:line="157" w:lineRule="exact"/>
        <w:rPr>
          <w:sz w:val="20"/>
          <w:szCs w:val="20"/>
          <w:color w:val="auto"/>
        </w:rPr>
      </w:pPr>
    </w:p>
    <w:p>
      <w:pPr>
        <w:ind w:left="880"/>
        <w:spacing w:after="0"/>
        <w:tabs>
          <w:tab w:leader="none" w:pos="1380" w:val="left"/>
          <w:tab w:leader="none" w:pos="4360" w:val="left"/>
        </w:tabs>
        <w:rPr>
          <w:sz w:val="20"/>
          <w:szCs w:val="20"/>
          <w:color w:val="auto"/>
        </w:rPr>
      </w:pPr>
      <w:r>
        <w:rPr>
          <w:rFonts w:ascii="Courier New" w:cs="Courier New" w:eastAsia="Courier New" w:hAnsi="Courier New"/>
          <w:sz w:val="15"/>
          <w:szCs w:val="15"/>
          <w:color w:val="auto"/>
        </w:rPr>
        <w:t>2.2.</w:t>
        <w:tab/>
        <w:t>Notice of Syndicated Borrowings.</w:t>
      </w:r>
      <w:r>
        <w:rPr>
          <w:sz w:val="20"/>
          <w:szCs w:val="20"/>
          <w:color w:val="auto"/>
        </w:rPr>
        <w:tab/>
      </w:r>
      <w:r>
        <w:rPr>
          <w:rFonts w:ascii="Courier New" w:cs="Courier New" w:eastAsia="Courier New" w:hAnsi="Courier New"/>
          <w:sz w:val="14"/>
          <w:szCs w:val="14"/>
          <w:color w:val="auto"/>
        </w:rPr>
        <w:t>The Company shall give the</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Agent notice (a "Notice of Syndicated Borrowing") not later than 10:00 A.M. (New York City time) on (a) the date of each Base Rate Borrowing, (b) the Domestic Business Day before the date of each CD Borrowing and (c) the third Euro-Dollar Business Day before the date of each Euro-Dollar Borrowing, specifying:</w:t>
      </w:r>
    </w:p>
    <w:p>
      <w:pPr>
        <w:spacing w:after="0" w:line="164" w:lineRule="exact"/>
        <w:rPr>
          <w:sz w:val="20"/>
          <w:szCs w:val="20"/>
          <w:color w:val="auto"/>
        </w:rPr>
      </w:pPr>
    </w:p>
    <w:p>
      <w:pPr>
        <w:ind w:right="3239" w:firstLine="875"/>
        <w:spacing w:after="0" w:line="235" w:lineRule="auto"/>
        <w:rPr>
          <w:sz w:val="20"/>
          <w:szCs w:val="20"/>
          <w:color w:val="auto"/>
        </w:rPr>
      </w:pPr>
      <w:r>
        <w:rPr>
          <w:rFonts w:ascii="Courier New" w:cs="Courier New" w:eastAsia="Courier New" w:hAnsi="Courier New"/>
          <w:sz w:val="15"/>
          <w:szCs w:val="15"/>
          <w:color w:val="auto"/>
        </w:rPr>
        <w:t>2.2.1. The date of such Borrowing, which shall be a Domestic Business Day in the case of a Domestic Borrowing or a Euro-Dollar Business Day in the case of a Euro-Dollar Borrowing;</w:t>
      </w:r>
    </w:p>
    <w:p>
      <w:pPr>
        <w:spacing w:after="0" w:line="167" w:lineRule="exact"/>
        <w:rPr>
          <w:sz w:val="20"/>
          <w:szCs w:val="20"/>
          <w:color w:val="auto"/>
        </w:rPr>
      </w:pPr>
    </w:p>
    <w:p>
      <w:pPr>
        <w:ind w:left="2640"/>
        <w:spacing w:after="0"/>
        <w:tabs>
          <w:tab w:leader="none" w:pos="3320" w:val="left"/>
        </w:tabs>
        <w:rPr>
          <w:sz w:val="20"/>
          <w:szCs w:val="20"/>
          <w:color w:val="auto"/>
        </w:rPr>
      </w:pPr>
      <w:r>
        <w:rPr>
          <w:rFonts w:ascii="Courier New" w:cs="Courier New" w:eastAsia="Courier New" w:hAnsi="Courier New"/>
          <w:sz w:val="15"/>
          <w:szCs w:val="15"/>
          <w:color w:val="auto"/>
        </w:rPr>
        <w:t>2.2.2.</w:t>
      </w:r>
      <w:r>
        <w:rPr>
          <w:sz w:val="20"/>
          <w:szCs w:val="20"/>
          <w:color w:val="auto"/>
        </w:rPr>
        <w:tab/>
      </w:r>
      <w:r>
        <w:rPr>
          <w:rFonts w:ascii="Courier New" w:cs="Courier New" w:eastAsia="Courier New" w:hAnsi="Courier New"/>
          <w:sz w:val="14"/>
          <w:szCs w:val="14"/>
          <w:color w:val="auto"/>
        </w:rPr>
        <w:t>The aggregate amount of such Borrowing;</w:t>
      </w:r>
    </w:p>
    <w:p>
      <w:pPr>
        <w:spacing w:after="0" w:line="173" w:lineRule="exact"/>
        <w:rPr>
          <w:sz w:val="20"/>
          <w:szCs w:val="20"/>
          <w:color w:val="auto"/>
        </w:rPr>
      </w:pPr>
    </w:p>
    <w:p>
      <w:pPr>
        <w:jc w:val="right"/>
        <w:ind w:right="4019"/>
        <w:spacing w:after="0" w:line="234" w:lineRule="auto"/>
        <w:rPr>
          <w:sz w:val="20"/>
          <w:szCs w:val="20"/>
          <w:color w:val="auto"/>
        </w:rPr>
      </w:pPr>
      <w:r>
        <w:rPr>
          <w:rFonts w:ascii="Courier New" w:cs="Courier New" w:eastAsia="Courier New" w:hAnsi="Courier New"/>
          <w:sz w:val="15"/>
          <w:szCs w:val="15"/>
          <w:color w:val="auto"/>
        </w:rPr>
        <w:t>2.2.3.  Whether the Loans comprising such Borrowing are to be CD Loans, Base Rate Loans or Euro-Dollar Loans; and</w:t>
      </w:r>
    </w:p>
    <w:p>
      <w:pPr>
        <w:sectPr>
          <w:pgSz w:w="11900" w:h="16838" w:orient="portrait"/>
          <w:cols w:equalWidth="0" w:num="1">
            <w:col w:w="10239"/>
          </w:cols>
          <w:pgMar w:left="220" w:top="617" w:right="1440" w:bottom="1440" w:gutter="0" w:footer="0" w:header="0"/>
        </w:sectPr>
      </w:pPr>
    </w:p>
    <w:bookmarkStart w:id="42" w:name="page43"/>
    <w:bookmarkEnd w:id="42"/>
    <w:p>
      <w:pPr>
        <w:ind w:left="6560"/>
        <w:spacing w:after="0"/>
        <w:rPr>
          <w:sz w:val="20"/>
          <w:szCs w:val="20"/>
          <w:color w:val="auto"/>
        </w:rPr>
      </w:pPr>
      <w:r>
        <w:rPr>
          <w:rFonts w:ascii="Courier New" w:cs="Courier New" w:eastAsia="Courier New" w:hAnsi="Courier New"/>
          <w:sz w:val="15"/>
          <w:szCs w:val="15"/>
          <w:color w:val="auto"/>
        </w:rPr>
        <w:t>17</w:t>
      </w:r>
    </w:p>
    <w:p>
      <w:pPr>
        <w:spacing w:after="0" w:line="341" w:lineRule="exact"/>
        <w:rPr>
          <w:sz w:val="20"/>
          <w:szCs w:val="20"/>
          <w:color w:val="auto"/>
        </w:rPr>
      </w:pPr>
    </w:p>
    <w:p>
      <w:pPr>
        <w:ind w:right="3239" w:firstLine="875"/>
        <w:spacing w:after="0" w:line="254" w:lineRule="auto"/>
        <w:rPr>
          <w:sz w:val="20"/>
          <w:szCs w:val="20"/>
          <w:color w:val="auto"/>
        </w:rPr>
      </w:pPr>
      <w:r>
        <w:rPr>
          <w:rFonts w:ascii="Courier New" w:cs="Courier New" w:eastAsia="Courier New" w:hAnsi="Courier New"/>
          <w:sz w:val="14"/>
          <w:szCs w:val="14"/>
          <w:color w:val="auto"/>
        </w:rPr>
        <w:t>2.2.4. The duration of the Interest Period applicable to such Borrowing, which, subject to Section 2.6, (a) with respect to any Base Borrowing, shall be for a period commencing on the date of such Borrowing and ending 30 days thereafter, (b) with respect to any CD Borrowing, shall be for a period commencing on the date of such Borrowing and ending 30, 60, 90 or 180 days thereafter (at the option of the Company) and (c) with respect to any Euro-Dollar Borrowing, shall be for a period commencing on the date of such Borrowing and ending one, two, three or six months thereafter (at the option of the Company); provided any such Interest Period for a Euro-Dollar Borrowing which</w:t>
      </w:r>
    </w:p>
    <w:p>
      <w:pPr>
        <w:ind w:left="880"/>
        <w:spacing w:after="0" w:line="235"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begins on the last Euro-Dollar Business Day of a calendar month, or on a day for which there is no numerically corresponding day in the calendar month at the end of such Interest Period, shall end on the last Euro-Dollar Business Day of a calendar month.</w:t>
      </w:r>
    </w:p>
    <w:p>
      <w:pPr>
        <w:spacing w:after="0" w:line="169" w:lineRule="exact"/>
        <w:rPr>
          <w:sz w:val="20"/>
          <w:szCs w:val="20"/>
          <w:color w:val="auto"/>
        </w:rPr>
      </w:pPr>
    </w:p>
    <w:p>
      <w:pPr>
        <w:ind w:left="880"/>
        <w:spacing w:after="0"/>
        <w:tabs>
          <w:tab w:leader="none" w:pos="1380" w:val="left"/>
        </w:tabs>
        <w:rPr>
          <w:sz w:val="20"/>
          <w:szCs w:val="20"/>
          <w:color w:val="auto"/>
        </w:rPr>
      </w:pPr>
      <w:r>
        <w:rPr>
          <w:rFonts w:ascii="Courier New" w:cs="Courier New" w:eastAsia="Courier New" w:hAnsi="Courier New"/>
          <w:sz w:val="15"/>
          <w:szCs w:val="15"/>
          <w:color w:val="auto"/>
        </w:rPr>
        <w:t>2.3.</w:t>
      </w:r>
      <w:r>
        <w:rPr>
          <w:sz w:val="20"/>
          <w:szCs w:val="20"/>
          <w:color w:val="auto"/>
        </w:rPr>
        <w:tab/>
      </w:r>
      <w:r>
        <w:rPr>
          <w:rFonts w:ascii="Courier New" w:cs="Courier New" w:eastAsia="Courier New" w:hAnsi="Courier New"/>
          <w:sz w:val="14"/>
          <w:szCs w:val="14"/>
          <w:color w:val="auto"/>
        </w:rPr>
        <w:t>Money Market Borrowings.</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2.3.1. In addition to Syndicated Loans, if the Company has either a Highest Company Rating, a High Company Rating or an Adequate Company Rating on the date that the Company transmits to the Agent a Quote Request, the Company may, pursuant to the provisions of this Section 2.3, request the Banks to provide Quotes for Money Market Loans to the Company. The Banks may, but shall have no obligation to, provide such Quotes and the Company may, but shall have no obligation to, accept any such Quotes in the manner set forth in this Section 2.3.</w:t>
      </w:r>
    </w:p>
    <w:p>
      <w:pPr>
        <w:spacing w:after="0" w:line="177"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2.3.2. When the Company wishes to request Quotes for Money Market Loans, the Company shall transmit to the Agent by telecopy a Quote Request substantially in the form of Exhibit B so as to be received no later than 10:00 A.M. (New York City time) on (a) the fifth Euro-Dollar Business Day prior to the proposed date of the Borrowing, in the case of a LIBOR Auction or (b) the Domestic Business Day next preceding the proposed date of the Borrowing, in the case of an Absolute Rate Auction, specifying:</w:t>
      </w:r>
    </w:p>
    <w:p>
      <w:pPr>
        <w:spacing w:after="0" w:line="176" w:lineRule="exact"/>
        <w:rPr>
          <w:sz w:val="20"/>
          <w:szCs w:val="20"/>
          <w:color w:val="auto"/>
        </w:rPr>
      </w:pPr>
    </w:p>
    <w:p>
      <w:pPr>
        <w:ind w:left="440" w:right="3319" w:firstLine="444"/>
        <w:spacing w:after="0" w:line="235" w:lineRule="auto"/>
        <w:tabs>
          <w:tab w:leader="none" w:pos="1315"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proposed date of the Borrowing, which shall be a Euro-Dollar Business Day in the case of a LIBOR Auction or a Domestic Business Day in the case of an Absolute Rate Auction;</w:t>
      </w:r>
    </w:p>
    <w:p>
      <w:pPr>
        <w:sectPr>
          <w:pgSz w:w="11900" w:h="16838" w:orient="portrait"/>
          <w:cols w:equalWidth="0" w:num="1">
            <w:col w:w="10239"/>
          </w:cols>
          <w:pgMar w:left="220" w:top="617" w:right="1440" w:bottom="1440" w:gutter="0" w:footer="0" w:header="0"/>
        </w:sectPr>
      </w:pPr>
    </w:p>
    <w:bookmarkStart w:id="43" w:name="page44"/>
    <w:bookmarkEnd w:id="43"/>
    <w:p>
      <w:pPr>
        <w:ind w:left="6560"/>
        <w:spacing w:after="0"/>
        <w:rPr>
          <w:sz w:val="20"/>
          <w:szCs w:val="20"/>
          <w:color w:val="auto"/>
        </w:rPr>
      </w:pPr>
      <w:r>
        <w:rPr>
          <w:rFonts w:ascii="Courier New" w:cs="Courier New" w:eastAsia="Courier New" w:hAnsi="Courier New"/>
          <w:sz w:val="15"/>
          <w:szCs w:val="15"/>
          <w:color w:val="auto"/>
        </w:rPr>
        <w:t>18</w:t>
      </w:r>
    </w:p>
    <w:p>
      <w:pPr>
        <w:spacing w:after="0" w:line="341" w:lineRule="exact"/>
        <w:rPr>
          <w:sz w:val="20"/>
          <w:szCs w:val="20"/>
          <w:color w:val="auto"/>
        </w:rPr>
      </w:pPr>
    </w:p>
    <w:p>
      <w:pPr>
        <w:ind w:left="440" w:right="4099" w:firstLine="444"/>
        <w:spacing w:after="0" w:line="234" w:lineRule="auto"/>
        <w:tabs>
          <w:tab w:leader="none" w:pos="1402"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amount of such Borrowing, which shall be $20,000,000 or any larger multiple of $1,000,000;</w:t>
      </w:r>
    </w:p>
    <w:p>
      <w:pPr>
        <w:spacing w:after="0" w:line="173" w:lineRule="exact"/>
        <w:rPr>
          <w:rFonts w:ascii="Courier New" w:cs="Courier New" w:eastAsia="Courier New" w:hAnsi="Courier New"/>
          <w:sz w:val="15"/>
          <w:szCs w:val="15"/>
          <w:color w:val="auto"/>
        </w:rPr>
      </w:pPr>
    </w:p>
    <w:p>
      <w:pPr>
        <w:ind w:left="440" w:right="3499" w:firstLine="444"/>
        <w:spacing w:after="0" w:line="234" w:lineRule="auto"/>
        <w:tabs>
          <w:tab w:leader="none" w:pos="1490"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the Quotes requested are to set forth a Money Market Margin or a Money Market Absolute Rate; and</w:t>
      </w:r>
    </w:p>
    <w:p>
      <w:pPr>
        <w:spacing w:after="0" w:line="166" w:lineRule="exact"/>
        <w:rPr>
          <w:rFonts w:ascii="Courier New" w:cs="Courier New" w:eastAsia="Courier New" w:hAnsi="Courier New"/>
          <w:sz w:val="15"/>
          <w:szCs w:val="15"/>
          <w:color w:val="auto"/>
        </w:rPr>
      </w:pPr>
    </w:p>
    <w:p>
      <w:pPr>
        <w:ind w:left="1400" w:hanging="516"/>
        <w:spacing w:after="0"/>
        <w:tabs>
          <w:tab w:leader="none" w:pos="1400"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duration of the Interest Period applicable thereto, which</w:t>
      </w:r>
    </w:p>
    <w:p>
      <w:pPr>
        <w:spacing w:after="0" w:line="4" w:lineRule="exact"/>
        <w:rPr>
          <w:rFonts w:ascii="Courier New" w:cs="Courier New" w:eastAsia="Courier New" w:hAnsi="Courier New"/>
          <w:sz w:val="15"/>
          <w:szCs w:val="15"/>
          <w:color w:val="auto"/>
        </w:rPr>
      </w:pPr>
    </w:p>
    <w:p>
      <w:pPr>
        <w:ind w:left="440" w:right="3239" w:firstLine="7"/>
        <w:spacing w:after="0" w:line="258" w:lineRule="auto"/>
        <w:tabs>
          <w:tab w:leader="none" w:pos="79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 LIBOR Auction, shall (subject to Section 2.6) be for a period commencing on the date of such Borrowing and ending such whole number of months thereafter as the Company may elect in such Quote Request;</w:t>
      </w:r>
    </w:p>
    <w:p>
      <w:pPr>
        <w:spacing w:after="0" w:line="15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provided any such Interest Period which begins on the last Euro-Dollar</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239"/>
        <w:spacing w:after="0" w:line="236" w:lineRule="auto"/>
        <w:rPr>
          <w:sz w:val="20"/>
          <w:szCs w:val="20"/>
          <w:color w:val="auto"/>
        </w:rPr>
      </w:pPr>
      <w:r>
        <w:rPr>
          <w:rFonts w:ascii="Courier New" w:cs="Courier New" w:eastAsia="Courier New" w:hAnsi="Courier New"/>
          <w:sz w:val="15"/>
          <w:szCs w:val="15"/>
          <w:color w:val="auto"/>
        </w:rPr>
        <w:t>Business Day of a calendar month, or on a day for which there is no numerically corresponding day in the calendar month at the end of such Interest Period, shall end on the last Euro-Dollar Business Day of a calendar month and (z) in the case of any Absolute Rate Auction, shall (subject to Section 2.6) be for the period commencing on the date of such Borrowing and ending such number of days thereafter (not less than 30 days) as the Company may elect in such Quote Request.</w:t>
      </w:r>
    </w:p>
    <w:p>
      <w:pPr>
        <w:spacing w:after="0" w:line="17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 may request Quotes for more than one Interest Period in a single Quote Request. The Company shall not make any Quote Request (except a Quote Request which is made within three Euro-Dollar Business Days after any Loan has been repaid pursuant to Section 2.15, 2.16 or 2.17) within three Euro-Dollar Business Days after any other Quote Request.</w:t>
      </w:r>
    </w:p>
    <w:p>
      <w:pPr>
        <w:spacing w:after="0" w:line="174" w:lineRule="exact"/>
        <w:rPr>
          <w:sz w:val="20"/>
          <w:szCs w:val="20"/>
          <w:color w:val="auto"/>
        </w:rPr>
      </w:pPr>
    </w:p>
    <w:p>
      <w:pPr>
        <w:ind w:right="3239" w:firstLine="875"/>
        <w:spacing w:after="0" w:line="235" w:lineRule="auto"/>
        <w:rPr>
          <w:sz w:val="20"/>
          <w:szCs w:val="20"/>
          <w:color w:val="auto"/>
        </w:rPr>
      </w:pPr>
      <w:r>
        <w:rPr>
          <w:rFonts w:ascii="Courier New" w:cs="Courier New" w:eastAsia="Courier New" w:hAnsi="Courier New"/>
          <w:sz w:val="15"/>
          <w:szCs w:val="15"/>
          <w:color w:val="auto"/>
        </w:rPr>
        <w:t>2.3.3. Promptly upon receipt of a Quote Request, the Agent shall send to the Banks by telex or telecopy an Invitation for Quotes substantially in the form of Exhibit C, which shall constitute an invitation by the Company to each Bank to submit Quotes in response to the related Quote Request.</w:t>
      </w:r>
    </w:p>
    <w:p>
      <w:pPr>
        <w:spacing w:after="0" w:line="175"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2.3.4. (a) Each Bank may submit a Quote containing an offer or offers to make Money Market Loans in response to any Invitation for Quotes sent pursuant to Section 2.3.3. Each Quote must comply with the requirements of this Section 2.3.4 and must be submitted to the Agent by telex or telecopy or by telephone promptly confirmed by telex or telecopy so as to be received no later than (i) 2:00 P.M. (New York City time) on the fourth Euro-Dollar</w:t>
      </w:r>
    </w:p>
    <w:p>
      <w:pPr>
        <w:sectPr>
          <w:pgSz w:w="11900" w:h="16838" w:orient="portrait"/>
          <w:cols w:equalWidth="0" w:num="1">
            <w:col w:w="10239"/>
          </w:cols>
          <w:pgMar w:left="220" w:top="617" w:right="1440" w:bottom="1440" w:gutter="0" w:footer="0" w:header="0"/>
        </w:sectPr>
      </w:pPr>
    </w:p>
    <w:bookmarkStart w:id="44" w:name="page45"/>
    <w:bookmarkEnd w:id="44"/>
    <w:p>
      <w:pPr>
        <w:ind w:left="6560"/>
        <w:spacing w:after="0"/>
        <w:rPr>
          <w:sz w:val="20"/>
          <w:szCs w:val="20"/>
          <w:color w:val="auto"/>
        </w:rPr>
      </w:pPr>
      <w:r>
        <w:rPr>
          <w:rFonts w:ascii="Courier New" w:cs="Courier New" w:eastAsia="Courier New" w:hAnsi="Courier New"/>
          <w:sz w:val="15"/>
          <w:szCs w:val="15"/>
          <w:color w:val="auto"/>
        </w:rPr>
        <w:t>19</w:t>
      </w:r>
    </w:p>
    <w:p>
      <w:pPr>
        <w:spacing w:after="0" w:line="341" w:lineRule="exact"/>
        <w:rPr>
          <w:sz w:val="20"/>
          <w:szCs w:val="20"/>
          <w:color w:val="auto"/>
        </w:rPr>
      </w:pPr>
    </w:p>
    <w:p>
      <w:pPr>
        <w:ind w:right="3579"/>
        <w:spacing w:after="0" w:line="254" w:lineRule="auto"/>
        <w:rPr>
          <w:sz w:val="20"/>
          <w:szCs w:val="20"/>
          <w:color w:val="auto"/>
        </w:rPr>
      </w:pPr>
      <w:r>
        <w:rPr>
          <w:rFonts w:ascii="Courier New" w:cs="Courier New" w:eastAsia="Courier New" w:hAnsi="Courier New"/>
          <w:sz w:val="14"/>
          <w:szCs w:val="14"/>
          <w:color w:val="auto"/>
        </w:rPr>
        <w:t>Business Day prior to the proposed date of the Borrowing, in the case of a LIBOR Auction or (ii) 9:00 A.M. (New York City time) on the proposed date of the Borrowing, in the case of an Absolute Rate Auction; provided that Quotes</w:t>
      </w:r>
    </w:p>
    <w:p>
      <w:pPr>
        <w:ind w:left="4900"/>
        <w:spacing w:after="0" w:line="232"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submitted by the Agent (or any affiliate of the Agent) in the capacity of a Bank may be submitted, and may only be submitted, if the Agent or such affiliate notifies the Company of the terms of the offer or offers contained therein not later than (y) 1:00 P.M. (New York City time) on the fourth Euro-Dollar Business Day prior to the proposed date of the Borrowing, in the case of a LIBOR Auction or (z) 8:45 A.M. (New York City time) on the proposed date of the Borrowing, in the case of an Absolute Rate Auction.</w:t>
      </w:r>
    </w:p>
    <w:p>
      <w:pPr>
        <w:spacing w:after="0" w:line="166" w:lineRule="exact"/>
        <w:rPr>
          <w:sz w:val="20"/>
          <w:szCs w:val="20"/>
          <w:color w:val="auto"/>
        </w:rPr>
      </w:pPr>
    </w:p>
    <w:p>
      <w:pPr>
        <w:ind w:right="3239" w:firstLine="884"/>
        <w:spacing w:after="0" w:line="254" w:lineRule="auto"/>
        <w:tabs>
          <w:tab w:leader="none" w:pos="1312" w:val="left"/>
        </w:tabs>
        <w:numPr>
          <w:ilvl w:val="1"/>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Quote shall be in substantially the form of Exhibit D and shall in any case specify: (i) the proposed date of the Borrowing (as specified in the related Invitation for Quotes); (ii) the principal amount of the Money Market Loan for which each such offer is being made, which principal amount (x) may be greater than or less than the Commitment of the quoting Bank, (y) must be $1,000,000 or any larger multiple thereof and (z) may not exceed the principal amount of Money Market Loans specified in the related Invitation for Quotes;</w:t>
      </w:r>
    </w:p>
    <w:p>
      <w:pPr>
        <w:spacing w:after="0" w:line="2" w:lineRule="exact"/>
        <w:rPr>
          <w:rFonts w:ascii="Courier New" w:cs="Courier New" w:eastAsia="Courier New" w:hAnsi="Courier New"/>
          <w:sz w:val="14"/>
          <w:szCs w:val="14"/>
          <w:color w:val="auto"/>
        </w:rPr>
      </w:pPr>
    </w:p>
    <w:p>
      <w:pPr>
        <w:ind w:right="3319" w:firstLine="10"/>
        <w:spacing w:after="0" w:line="254" w:lineRule="auto"/>
        <w:tabs>
          <w:tab w:leader="none" w:pos="525"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 a LIBOR Auction, the Money Market Margin offered for each such Money Market LIBOR Loan, and (B) an Absolute Rate Auction, the Money Market Absolute Rate offered for each such Money Market Absolute Rate Loan; and</w:t>
      </w:r>
    </w:p>
    <w:p>
      <w:pPr>
        <w:ind w:left="440" w:hanging="430"/>
        <w:spacing w:after="0" w:line="237" w:lineRule="auto"/>
        <w:tabs>
          <w:tab w:leader="none" w:pos="44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identity of the quoting Bank.  No Quote shall contain qualifying,</w:t>
      </w:r>
    </w:p>
    <w:p>
      <w:pPr>
        <w:spacing w:after="0" w:line="5" w:lineRule="exact"/>
        <w:rPr>
          <w:rFonts w:ascii="Courier New" w:cs="Courier New" w:eastAsia="Courier New" w:hAnsi="Courier New"/>
          <w:sz w:val="15"/>
          <w:szCs w:val="15"/>
          <w:color w:val="auto"/>
        </w:rPr>
      </w:pPr>
    </w:p>
    <w:p>
      <w:pPr>
        <w:ind w:right="331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conditional or similar language or propose terms other than, or in addition to, those set forth in the applicable Invitation for Quotes.</w:t>
      </w:r>
    </w:p>
    <w:p>
      <w:pPr>
        <w:spacing w:after="0" w:line="173" w:lineRule="exact"/>
        <w:rPr>
          <w:rFonts w:ascii="Courier New" w:cs="Courier New" w:eastAsia="Courier New" w:hAnsi="Courier New"/>
          <w:sz w:val="15"/>
          <w:szCs w:val="15"/>
          <w:color w:val="auto"/>
        </w:rPr>
      </w:pPr>
    </w:p>
    <w:p>
      <w:pPr>
        <w:ind w:right="3239" w:firstLine="884"/>
        <w:spacing w:after="0" w:line="254" w:lineRule="auto"/>
        <w:tabs>
          <w:tab w:leader="none" w:pos="1312" w:val="left"/>
        </w:tabs>
        <w:numPr>
          <w:ilvl w:val="1"/>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Agent shall disregard any Quote, and shall not communicate any Quote pursuant to Section 2.3.5, if the Quote does not meet the requirements of Section 2.3.4(b) or arrives after the time specified in Section 2.3.4(a).</w:t>
      </w:r>
    </w:p>
    <w:p>
      <w:pPr>
        <w:spacing w:after="0" w:line="1" w:lineRule="exact"/>
        <w:rPr>
          <w:rFonts w:ascii="Courier New" w:cs="Courier New" w:eastAsia="Courier New" w:hAnsi="Courier New"/>
          <w:sz w:val="14"/>
          <w:szCs w:val="14"/>
          <w:color w:val="auto"/>
        </w:rPr>
      </w:pPr>
    </w:p>
    <w:p>
      <w:pPr>
        <w:jc w:val="both"/>
        <w:ind w:right="357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Agent shall disregard any subsequent Quote received from any Bank unless such subsequent Quote is submitted solely to correct a manifest error in the original Quote.</w:t>
      </w:r>
    </w:p>
    <w:p>
      <w:pPr>
        <w:spacing w:after="0" w:line="173" w:lineRule="exact"/>
        <w:rPr>
          <w:rFonts w:ascii="Courier New" w:cs="Courier New" w:eastAsia="Courier New" w:hAnsi="Courier New"/>
          <w:sz w:val="14"/>
          <w:szCs w:val="14"/>
          <w:color w:val="auto"/>
        </w:rPr>
      </w:pPr>
    </w:p>
    <w:p>
      <w:pPr>
        <w:ind w:right="3239" w:firstLine="884"/>
        <w:spacing w:after="0" w:line="258" w:lineRule="auto"/>
        <w:tabs>
          <w:tab w:leader="none" w:pos="1312" w:val="left"/>
        </w:tabs>
        <w:numPr>
          <w:ilvl w:val="1"/>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provisions of Sections 3 and 6, any Quote made in accordance with the provisions of this Section 2.3.4 shall be irrevocable except with the written consent of the Agent given on the instructions of the Company.</w:t>
      </w:r>
    </w:p>
    <w:p>
      <w:pPr>
        <w:sectPr>
          <w:pgSz w:w="11900" w:h="16838" w:orient="portrait"/>
          <w:cols w:equalWidth="0" w:num="1">
            <w:col w:w="10239"/>
          </w:cols>
          <w:pgMar w:left="220" w:top="617" w:right="1440" w:bottom="1440" w:gutter="0" w:footer="0" w:header="0"/>
        </w:sectPr>
      </w:pPr>
    </w:p>
    <w:bookmarkStart w:id="45" w:name="page46"/>
    <w:bookmarkEnd w:id="45"/>
    <w:p>
      <w:pPr>
        <w:ind w:left="6560"/>
        <w:spacing w:after="0"/>
        <w:rPr>
          <w:sz w:val="20"/>
          <w:szCs w:val="20"/>
          <w:color w:val="auto"/>
        </w:rPr>
      </w:pPr>
      <w:r>
        <w:rPr>
          <w:rFonts w:ascii="Courier New" w:cs="Courier New" w:eastAsia="Courier New" w:hAnsi="Courier New"/>
          <w:sz w:val="15"/>
          <w:szCs w:val="15"/>
          <w:color w:val="auto"/>
        </w:rPr>
        <w:t>20</w:t>
      </w:r>
    </w:p>
    <w:p>
      <w:pPr>
        <w:spacing w:after="0" w:line="341"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2.3.5. The Agent shall notify the Company not later than (y) 4:00 P.M. (New York City time) on the fourth Euro-Dollar Business Day prior to the proposed date of Borrowing, in the case of a LIBOR Auction or (z) 9:15 A.M. (New York City time) on the proposed date of Borrowing, in the case of an Absolute Rate Auction of: (a) the aggregate principal amount of Money Market Loans for which Quotes have been timely received for each Interest Period specified in the related Quote Request and (b) the respective principal amounts and Money Market Margins or Money Market Absolute Rates, as the case may be, offered by each Bank for each Interest Period specified in the related Quote Request and the name of the Bank making each Quote.</w:t>
      </w:r>
    </w:p>
    <w:p>
      <w:pPr>
        <w:spacing w:after="0" w:line="179" w:lineRule="exact"/>
        <w:rPr>
          <w:sz w:val="20"/>
          <w:szCs w:val="20"/>
          <w:color w:val="auto"/>
        </w:rPr>
      </w:pPr>
    </w:p>
    <w:p>
      <w:pPr>
        <w:ind w:right="3319" w:firstLine="875"/>
        <w:spacing w:after="0" w:line="254" w:lineRule="auto"/>
        <w:rPr>
          <w:sz w:val="20"/>
          <w:szCs w:val="20"/>
          <w:color w:val="auto"/>
        </w:rPr>
      </w:pPr>
      <w:r>
        <w:rPr>
          <w:rFonts w:ascii="Courier New" w:cs="Courier New" w:eastAsia="Courier New" w:hAnsi="Courier New"/>
          <w:sz w:val="14"/>
          <w:szCs w:val="14"/>
          <w:color w:val="auto"/>
        </w:rPr>
        <w:t>2.3.6. Not later than 10:00 A.M. (New York City time) on (y) the third Euro-Dollar Business Day prior to the proposed date of the Borrowing, in the case of a LIBOR Auction or (z) the proposed date of the Borrowing, in the case of an Absolute Rate Auction, the Company shall give the Agent notice of acceptance or non-acceptance by the Company of the Quotes specified pursuant to Section 2.3.5. In the case of acceptance, the Company shall specify in such notice (a "Notice of Money Market Borrowing"), for each Interest Period, the aggregate principal amount of Quotes that are accepted, provided that:</w:t>
      </w:r>
    </w:p>
    <w:p>
      <w:pPr>
        <w:ind w:left="4900"/>
        <w:spacing w:after="0" w:line="234" w:lineRule="auto"/>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239" w:firstLine="884"/>
        <w:spacing w:after="0" w:line="234" w:lineRule="auto"/>
        <w:tabs>
          <w:tab w:leader="none" w:pos="1312"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principal amount of each Money Market Borrowing may not exceed the applicable amount set forth in the related Quote Request;</w:t>
      </w:r>
    </w:p>
    <w:p>
      <w:pPr>
        <w:spacing w:after="0" w:line="173" w:lineRule="exact"/>
        <w:rPr>
          <w:rFonts w:ascii="Courier New" w:cs="Courier New" w:eastAsia="Courier New" w:hAnsi="Courier New"/>
          <w:sz w:val="15"/>
          <w:szCs w:val="15"/>
          <w:color w:val="auto"/>
        </w:rPr>
      </w:pPr>
    </w:p>
    <w:p>
      <w:pPr>
        <w:ind w:right="3579" w:firstLine="884"/>
        <w:spacing w:after="0" w:line="234" w:lineRule="auto"/>
        <w:tabs>
          <w:tab w:leader="none" w:pos="1312"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principal amount of each Money Market Borrowing must be $20,000,000 or any larger multiple of $1,000,000; and</w:t>
      </w:r>
    </w:p>
    <w:p>
      <w:pPr>
        <w:spacing w:after="0" w:line="173" w:lineRule="exact"/>
        <w:rPr>
          <w:rFonts w:ascii="Courier New" w:cs="Courier New" w:eastAsia="Courier New" w:hAnsi="Courier New"/>
          <w:sz w:val="15"/>
          <w:szCs w:val="15"/>
          <w:color w:val="auto"/>
        </w:rPr>
      </w:pPr>
    </w:p>
    <w:p>
      <w:pPr>
        <w:ind w:right="3759" w:firstLine="884"/>
        <w:spacing w:after="0" w:line="261" w:lineRule="auto"/>
        <w:tabs>
          <w:tab w:leader="none" w:pos="1312"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Quotes may only be accepted on the basis of ascending Money Market Margins or Money Market Absolute Rates, as the case may be.</w:t>
      </w:r>
    </w:p>
    <w:p>
      <w:pPr>
        <w:spacing w:after="0" w:line="160"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2.3.7. If Quotes are made by two or more Banks with the same Money Market Margins or Money Market Absolute Rates, as the case may be, for a greater aggregate principal amount than the amount in respect of which such Quotes are accepted for the related Interest Period, the principal amount of Money Market Loans in respect of which such Quotes are accepted shall be allocated by the Agent among such Banks as nearly as possible (in multiples of $1,000,000, as the Agent may deem appropriate) in proportion to the principal amounts of such Quotes. Any such</w:t>
      </w:r>
    </w:p>
    <w:p>
      <w:pPr>
        <w:sectPr>
          <w:pgSz w:w="11900" w:h="16838" w:orient="portrait"/>
          <w:cols w:equalWidth="0" w:num="1">
            <w:col w:w="10239"/>
          </w:cols>
          <w:pgMar w:left="220" w:top="617" w:right="1440" w:bottom="1440" w:gutter="0" w:footer="0" w:header="0"/>
        </w:sectPr>
      </w:pPr>
    </w:p>
    <w:bookmarkStart w:id="46" w:name="page47"/>
    <w:bookmarkEnd w:id="46"/>
    <w:p>
      <w:pPr>
        <w:ind w:left="6560"/>
        <w:spacing w:after="0"/>
        <w:rPr>
          <w:sz w:val="20"/>
          <w:szCs w:val="20"/>
          <w:color w:val="auto"/>
        </w:rPr>
      </w:pPr>
      <w:r>
        <w:rPr>
          <w:rFonts w:ascii="Courier New" w:cs="Courier New" w:eastAsia="Courier New" w:hAnsi="Courier New"/>
          <w:sz w:val="15"/>
          <w:szCs w:val="15"/>
          <w:color w:val="auto"/>
        </w:rPr>
        <w:t>21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allocations by the Agent shall be conclusive in the absence of manifest error.</w:t>
      </w:r>
    </w:p>
    <w:p>
      <w:pPr>
        <w:spacing w:after="0" w:line="171" w:lineRule="exact"/>
        <w:rPr>
          <w:sz w:val="20"/>
          <w:szCs w:val="20"/>
          <w:color w:val="auto"/>
        </w:rPr>
      </w:pPr>
    </w:p>
    <w:p>
      <w:pPr>
        <w:ind w:left="880"/>
        <w:spacing w:after="0"/>
        <w:tabs>
          <w:tab w:leader="none" w:pos="1380" w:val="left"/>
        </w:tabs>
        <w:rPr>
          <w:sz w:val="20"/>
          <w:szCs w:val="20"/>
          <w:color w:val="auto"/>
        </w:rPr>
      </w:pPr>
      <w:r>
        <w:rPr>
          <w:rFonts w:ascii="Courier New" w:cs="Courier New" w:eastAsia="Courier New" w:hAnsi="Courier New"/>
          <w:sz w:val="15"/>
          <w:szCs w:val="15"/>
          <w:color w:val="auto"/>
        </w:rPr>
        <w:t>2.4.</w:t>
      </w:r>
      <w:r>
        <w:rPr>
          <w:sz w:val="20"/>
          <w:szCs w:val="20"/>
          <w:color w:val="auto"/>
        </w:rPr>
        <w:tab/>
      </w:r>
      <w:r>
        <w:rPr>
          <w:rFonts w:ascii="Courier New" w:cs="Courier New" w:eastAsia="Courier New" w:hAnsi="Courier New"/>
          <w:sz w:val="14"/>
          <w:szCs w:val="14"/>
          <w:color w:val="auto"/>
        </w:rPr>
        <w:t>Notice to Banks; Funding of Loans.</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19" w:firstLine="875"/>
        <w:spacing w:after="0" w:line="254" w:lineRule="auto"/>
        <w:rPr>
          <w:sz w:val="20"/>
          <w:szCs w:val="20"/>
          <w:color w:val="auto"/>
        </w:rPr>
      </w:pPr>
      <w:r>
        <w:rPr>
          <w:rFonts w:ascii="Courier New" w:cs="Courier New" w:eastAsia="Courier New" w:hAnsi="Courier New"/>
          <w:sz w:val="14"/>
          <w:szCs w:val="14"/>
          <w:color w:val="auto"/>
        </w:rPr>
        <w:t>2.4.1. Upon receipt of a Notice of Borrowing, the Agent shall promptly notify (a) the Company of its receipt of such Notice of Borrowing, and</w:t>
      </w:r>
    </w:p>
    <w:p>
      <w:pPr>
        <w:spacing w:after="0" w:line="1" w:lineRule="exact"/>
        <w:rPr>
          <w:sz w:val="20"/>
          <w:szCs w:val="20"/>
          <w:color w:val="auto"/>
        </w:rPr>
      </w:pPr>
    </w:p>
    <w:p>
      <w:pPr>
        <w:ind w:right="3239" w:firstLine="10"/>
        <w:spacing w:after="0" w:line="236" w:lineRule="auto"/>
        <w:tabs>
          <w:tab w:leader="none" w:pos="35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Bank of the contents thereof and of such Bank's share (if any) of such Borrowing, and, subject to Section 2.15, any such Notice of Borrowing shall thereafter be irrevocable by the Company. In no event shall any Bank's obligation to participate ratably in any Syndicated Borrowing be discharged or modified by the fact that, on the date of such Syndicated Borrowing, one or more Money Market Loans made by such Bank are then outstanding.</w:t>
      </w:r>
    </w:p>
    <w:p>
      <w:pPr>
        <w:spacing w:after="0" w:line="175"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2.4.2. No later than 12:00 Noon (New York City time) on the date of each Borrowing, each Bank participating therein shall (except as provided in Section 2.4.3) make available to the Agent its share of such Borrowing, in federal or other funds immediately available in New York City. Unless the Agent determines that any applicable condition specified in Section 3 has not been satisfied, the Agent shall transmit to the Company, or to its order, no later than 1:00 P.M. (New York City time) on the date of each Borrowing the proceeds so received from the Banks in federal or other funds immediately available in New York City.</w:t>
      </w:r>
    </w:p>
    <w:p>
      <w:pPr>
        <w:spacing w:after="0" w:line="178" w:lineRule="exact"/>
        <w:rPr>
          <w:sz w:val="20"/>
          <w:szCs w:val="20"/>
          <w:color w:val="auto"/>
        </w:rPr>
      </w:pPr>
    </w:p>
    <w:p>
      <w:pPr>
        <w:ind w:right="3319" w:firstLine="875"/>
        <w:spacing w:after="0" w:line="236" w:lineRule="auto"/>
        <w:rPr>
          <w:sz w:val="20"/>
          <w:szCs w:val="20"/>
          <w:color w:val="auto"/>
        </w:rPr>
      </w:pPr>
      <w:r>
        <w:rPr>
          <w:rFonts w:ascii="Courier New" w:cs="Courier New" w:eastAsia="Courier New" w:hAnsi="Courier New"/>
          <w:sz w:val="15"/>
          <w:szCs w:val="15"/>
          <w:color w:val="auto"/>
        </w:rPr>
        <w:t>2.4.3. If any Bank makes a new Loan on a day on which the Company is to repay all or any part of an outstanding Loan from such Bank, such Bank shall apply the proceeds of its new Loan to make such repayment and only an amount equal to the difference (if any) between the amount being borrowed and the amount being repaid shall be made available by such Bank to the Agent, as provided in Section 2.4.2, or remitted by the Company to the Agent, as provided in Section 2.11, as the case may be.</w:t>
      </w:r>
    </w:p>
    <w:p>
      <w:pPr>
        <w:spacing w:after="0" w:line="176" w:lineRule="exact"/>
        <w:rPr>
          <w:sz w:val="20"/>
          <w:szCs w:val="20"/>
          <w:color w:val="auto"/>
        </w:rPr>
      </w:pPr>
    </w:p>
    <w:p>
      <w:pPr>
        <w:ind w:right="3319" w:firstLine="875"/>
        <w:spacing w:after="0" w:line="255" w:lineRule="auto"/>
        <w:rPr>
          <w:sz w:val="20"/>
          <w:szCs w:val="20"/>
          <w:color w:val="auto"/>
        </w:rPr>
      </w:pPr>
      <w:r>
        <w:rPr>
          <w:rFonts w:ascii="Courier New" w:cs="Courier New" w:eastAsia="Courier New" w:hAnsi="Courier New"/>
          <w:sz w:val="14"/>
          <w:szCs w:val="14"/>
          <w:color w:val="auto"/>
        </w:rPr>
        <w:t>2.4.4. Unless the Agent shall have received notice from a Bank prior to 11:00 A.M. (New York City time) on the date of any Borrowing that such Bank will not make available to the Agent such Bank's share of such Borrowing, the Agent may assume that such Bank has made such share available to the Agent on the date of such Borrowing in accordance with Sections 2.4.2 and 2.4.3 and the Agent may, in reliance upon such assumption, make available to the</w:t>
      </w:r>
    </w:p>
    <w:p>
      <w:pPr>
        <w:sectPr>
          <w:pgSz w:w="11900" w:h="16838" w:orient="portrait"/>
          <w:cols w:equalWidth="0" w:num="1">
            <w:col w:w="10239"/>
          </w:cols>
          <w:pgMar w:left="220" w:top="617" w:right="1440" w:bottom="1440" w:gutter="0" w:footer="0" w:header="0"/>
        </w:sectPr>
      </w:pPr>
    </w:p>
    <w:bookmarkStart w:id="47" w:name="page48"/>
    <w:bookmarkEnd w:id="47"/>
    <w:p>
      <w:pPr>
        <w:ind w:left="6560"/>
        <w:spacing w:after="0"/>
        <w:rPr>
          <w:sz w:val="20"/>
          <w:szCs w:val="20"/>
          <w:color w:val="auto"/>
        </w:rPr>
      </w:pPr>
      <w:r>
        <w:rPr>
          <w:rFonts w:ascii="Courier New" w:cs="Courier New" w:eastAsia="Courier New" w:hAnsi="Courier New"/>
          <w:sz w:val="15"/>
          <w:szCs w:val="15"/>
          <w:color w:val="auto"/>
        </w:rPr>
        <w:t>22</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Company on such date a corresponding amount. If and to the extent that such Bank shall not have so made such share available to the Agent, (a) such Bank shall be liable to the Company for its failure to make such share available, and</w:t>
      </w:r>
    </w:p>
    <w:p>
      <w:pPr>
        <w:spacing w:after="0" w:line="1" w:lineRule="exact"/>
        <w:rPr>
          <w:sz w:val="20"/>
          <w:szCs w:val="20"/>
          <w:color w:val="auto"/>
        </w:rPr>
      </w:pPr>
    </w:p>
    <w:p>
      <w:pPr>
        <w:ind w:right="3239" w:firstLine="10"/>
        <w:spacing w:after="0" w:line="236" w:lineRule="auto"/>
        <w:tabs>
          <w:tab w:leader="none" w:pos="35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Bank and the Company severally agree to repay to the Agent forthwith on demand such corresponding amount together with interest thereon, for each day from the date such amount is made available to the Company until the date such amount is repaid to the Agent, at the Federal Funds Rate. If such Bank shall repay to the Agent such corresponding amount, such amount so repaid shall constitute such Bank's Loan included in such Borrowing for purposes of this Agreement.</w:t>
      </w:r>
    </w:p>
    <w:p>
      <w:pPr>
        <w:spacing w:after="0" w:line="169" w:lineRule="exact"/>
        <w:rPr>
          <w:sz w:val="20"/>
          <w:szCs w:val="20"/>
          <w:color w:val="auto"/>
        </w:rPr>
      </w:pPr>
    </w:p>
    <w:p>
      <w:pPr>
        <w:ind w:left="880"/>
        <w:spacing w:after="0"/>
        <w:tabs>
          <w:tab w:leader="none" w:pos="1380" w:val="left"/>
        </w:tabs>
        <w:rPr>
          <w:sz w:val="20"/>
          <w:szCs w:val="20"/>
          <w:color w:val="auto"/>
        </w:rPr>
      </w:pPr>
      <w:r>
        <w:rPr>
          <w:rFonts w:ascii="Courier New" w:cs="Courier New" w:eastAsia="Courier New" w:hAnsi="Courier New"/>
          <w:sz w:val="15"/>
          <w:szCs w:val="15"/>
          <w:color w:val="auto"/>
        </w:rPr>
        <w:t>2.5.</w:t>
        <w:tab/>
        <w:t>Notes.</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579" w:firstLine="875"/>
        <w:spacing w:after="0" w:line="261" w:lineRule="auto"/>
        <w:rPr>
          <w:sz w:val="20"/>
          <w:szCs w:val="20"/>
          <w:color w:val="auto"/>
        </w:rPr>
      </w:pPr>
      <w:r>
        <w:rPr>
          <w:rFonts w:ascii="Courier New" w:cs="Courier New" w:eastAsia="Courier New" w:hAnsi="Courier New"/>
          <w:sz w:val="14"/>
          <w:szCs w:val="14"/>
          <w:color w:val="auto"/>
        </w:rPr>
        <w:t>2.5.1. The Loans of each Bank shall be evidenced by a single Note payable to the order of such Bank for the account of its Lending Office.</w:t>
      </w:r>
    </w:p>
    <w:p>
      <w:pPr>
        <w:spacing w:after="0" w:line="160" w:lineRule="exact"/>
        <w:rPr>
          <w:sz w:val="20"/>
          <w:szCs w:val="20"/>
          <w:color w:val="auto"/>
        </w:rPr>
      </w:pPr>
    </w:p>
    <w:p>
      <w:pPr>
        <w:ind w:right="3319" w:firstLine="875"/>
        <w:spacing w:after="0" w:line="236" w:lineRule="auto"/>
        <w:rPr>
          <w:sz w:val="20"/>
          <w:szCs w:val="20"/>
          <w:color w:val="auto"/>
        </w:rPr>
      </w:pPr>
      <w:r>
        <w:rPr>
          <w:rFonts w:ascii="Courier New" w:cs="Courier New" w:eastAsia="Courier New" w:hAnsi="Courier New"/>
          <w:sz w:val="15"/>
          <w:szCs w:val="15"/>
          <w:color w:val="auto"/>
        </w:rPr>
        <w:t>2.5.2. Each Bank may, by notice to the Company and the Agent (to be given at least two Domestic Business Days before the first Borrowing) request that its Loans of a particular type be evidenced by a separate Note. Each such Note shall be in substantially the form of Exhibit A, with appropriate modifications to reflect the fact that such Note evidences solely Loans of the relevant type. Thereafter, each reference in this Agreement to the "Note" of such Bank shall be deemed to refer to and include any or all of such Notes, as the context may require.</w:t>
      </w:r>
    </w:p>
    <w:p>
      <w:pPr>
        <w:spacing w:after="0" w:line="177" w:lineRule="exact"/>
        <w:rPr>
          <w:sz w:val="20"/>
          <w:szCs w:val="20"/>
          <w:color w:val="auto"/>
        </w:rPr>
      </w:pPr>
    </w:p>
    <w:p>
      <w:pPr>
        <w:ind w:right="3319" w:firstLine="875"/>
        <w:spacing w:after="0" w:line="254" w:lineRule="auto"/>
        <w:rPr>
          <w:sz w:val="20"/>
          <w:szCs w:val="20"/>
          <w:color w:val="auto"/>
        </w:rPr>
      </w:pPr>
      <w:r>
        <w:rPr>
          <w:rFonts w:ascii="Courier New" w:cs="Courier New" w:eastAsia="Courier New" w:hAnsi="Courier New"/>
          <w:sz w:val="14"/>
          <w:szCs w:val="14"/>
          <w:color w:val="auto"/>
        </w:rPr>
        <w:t>2.5.3. Upon receipt of each Bank's Note pursuant to Section 9.1.5, the Agent shall deliver such Note to such Bank. Each Bank shall record, and prior to any transfer of any Note of such Bank shall endorse on the schedule forming a part of such Note, appropriate notations to evidence the date, amount and maturity of each Loan made by such Bank under such Note and the date and amount of each payment of principal made by the Company with respect thereto; provided that the failure of any Bank to make any such recordation or</w:t>
      </w:r>
    </w:p>
    <w:p>
      <w:pPr>
        <w:spacing w:after="0" w:line="234"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endorsement shall not affect the obligations of the Company under this Agreement or the relevant Note. Each Bank is hereby irrevocably authorized by the Company to so endorse its Note and to attach to and make a part of any Note a continuation of any such schedule as and when required.</w:t>
      </w:r>
    </w:p>
    <w:p>
      <w:pPr>
        <w:sectPr>
          <w:pgSz w:w="11900" w:h="16838" w:orient="portrait"/>
          <w:cols w:equalWidth="0" w:num="1">
            <w:col w:w="10239"/>
          </w:cols>
          <w:pgMar w:left="220" w:top="617" w:right="1440" w:bottom="1440" w:gutter="0" w:footer="0" w:header="0"/>
        </w:sectPr>
      </w:pPr>
    </w:p>
    <w:bookmarkStart w:id="48" w:name="page49"/>
    <w:bookmarkEnd w:id="48"/>
    <w:p>
      <w:pPr>
        <w:ind w:left="6560"/>
        <w:spacing w:after="0"/>
        <w:rPr>
          <w:sz w:val="20"/>
          <w:szCs w:val="20"/>
          <w:color w:val="auto"/>
        </w:rPr>
      </w:pPr>
      <w:r>
        <w:rPr>
          <w:rFonts w:ascii="Courier New" w:cs="Courier New" w:eastAsia="Courier New" w:hAnsi="Courier New"/>
          <w:sz w:val="15"/>
          <w:szCs w:val="15"/>
          <w:color w:val="auto"/>
        </w:rPr>
        <w:t>23</w:t>
      </w:r>
    </w:p>
    <w:p>
      <w:pPr>
        <w:spacing w:after="0" w:line="335" w:lineRule="exact"/>
        <w:rPr>
          <w:sz w:val="20"/>
          <w:szCs w:val="20"/>
          <w:color w:val="auto"/>
        </w:rPr>
      </w:pPr>
    </w:p>
    <w:p>
      <w:pPr>
        <w:ind w:left="880"/>
        <w:spacing w:after="0"/>
        <w:tabs>
          <w:tab w:leader="none" w:pos="1380" w:val="left"/>
        </w:tabs>
        <w:rPr>
          <w:sz w:val="20"/>
          <w:szCs w:val="20"/>
          <w:color w:val="auto"/>
        </w:rPr>
      </w:pPr>
      <w:r>
        <w:rPr>
          <w:rFonts w:ascii="Courier New" w:cs="Courier New" w:eastAsia="Courier New" w:hAnsi="Courier New"/>
          <w:sz w:val="15"/>
          <w:szCs w:val="15"/>
          <w:color w:val="auto"/>
        </w:rPr>
        <w:t>2.6.</w:t>
      </w:r>
      <w:r>
        <w:rPr>
          <w:sz w:val="20"/>
          <w:szCs w:val="20"/>
          <w:color w:val="auto"/>
        </w:rPr>
        <w:tab/>
      </w:r>
      <w:r>
        <w:rPr>
          <w:rFonts w:ascii="Courier New" w:cs="Courier New" w:eastAsia="Courier New" w:hAnsi="Courier New"/>
          <w:sz w:val="14"/>
          <w:szCs w:val="14"/>
          <w:color w:val="auto"/>
        </w:rPr>
        <w:t>Maturity of Loans.</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firstLine="875"/>
        <w:spacing w:after="0" w:line="261" w:lineRule="auto"/>
        <w:rPr>
          <w:sz w:val="20"/>
          <w:szCs w:val="20"/>
          <w:color w:val="auto"/>
        </w:rPr>
      </w:pPr>
      <w:r>
        <w:rPr>
          <w:rFonts w:ascii="Courier New" w:cs="Courier New" w:eastAsia="Courier New" w:hAnsi="Courier New"/>
          <w:sz w:val="14"/>
          <w:szCs w:val="14"/>
          <w:color w:val="auto"/>
        </w:rPr>
        <w:t>2.6.1. Each Loan shall mature, and the principal thereof shall be due and payable, on the last day of the Interest Period applicable to such Loan;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provided, however, that any Interest Period which would otherwise end after the</w:t>
      </w:r>
    </w:p>
    <w:p>
      <w:pPr>
        <w:spacing w:after="0" w:line="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237" w:lineRule="auto"/>
        <w:rPr>
          <w:sz w:val="20"/>
          <w:szCs w:val="20"/>
          <w:color w:val="auto"/>
        </w:rPr>
      </w:pPr>
      <w:r>
        <w:rPr>
          <w:rFonts w:ascii="Courier New" w:cs="Courier New" w:eastAsia="Courier New" w:hAnsi="Courier New"/>
          <w:sz w:val="15"/>
          <w:szCs w:val="15"/>
          <w:color w:val="auto"/>
        </w:rPr>
        <w:t>Termination Date shall end on the Termination Date.</w:t>
      </w:r>
    </w:p>
    <w:p>
      <w:pPr>
        <w:spacing w:after="0" w:line="173" w:lineRule="exact"/>
        <w:rPr>
          <w:sz w:val="20"/>
          <w:szCs w:val="20"/>
          <w:color w:val="auto"/>
        </w:rPr>
      </w:pPr>
    </w:p>
    <w:p>
      <w:pPr>
        <w:ind w:right="3239" w:firstLine="875"/>
        <w:spacing w:after="0" w:line="254" w:lineRule="auto"/>
        <w:rPr>
          <w:sz w:val="20"/>
          <w:szCs w:val="20"/>
          <w:color w:val="auto"/>
        </w:rPr>
      </w:pPr>
      <w:r>
        <w:rPr>
          <w:rFonts w:ascii="Courier New" w:cs="Courier New" w:eastAsia="Courier New" w:hAnsi="Courier New"/>
          <w:sz w:val="14"/>
          <w:szCs w:val="14"/>
          <w:color w:val="auto"/>
        </w:rPr>
        <w:t>2.6.2. Subject to Section 2.6.1, if any payments due under any of the Notes or under this Agreement shall be stated to be due (a) with respect to a Euro-Dollar Borrowing or Money Market LIBOR Borrowing, on a day other than a Euro-Dollar Business Day, then such payment shall be due and payable on (and the related Interest Period shall, if necessary, end on) the next succeeding Euro-Dollar Business Day; provided, however, in the event that the day on which such</w:t>
      </w:r>
    </w:p>
    <w:p>
      <w:pPr>
        <w:ind w:left="1840"/>
        <w:spacing w:after="0"/>
        <w:tabs>
          <w:tab w:leader="none" w:pos="27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payment in respect of a Euro-Dollar Borrowing or Money Market LIBOR Borrowing is due is not a Euro-Dollar Business Day but a day of the month after which no further Euro-Dollar Business Day occurs in such month, then the due date thereof shall be the next preceding Euro-Dollar Business Day, or (b) with respect to any other Borrowing or any other compensation or other amount hereunder, on a day other than a Euro-Dollar Business Day, then such payment shall be due and payable on (and the related Interest Period shall, if necessary, be extended to) the next succeeding Euro-Dollar Business Day. Any such extensions or reductions of time shall, in each case, be considered in computing interest in connection with any such payment of principal or interest.</w:t>
      </w:r>
    </w:p>
    <w:p>
      <w:pPr>
        <w:spacing w:after="0" w:line="159" w:lineRule="exact"/>
        <w:rPr>
          <w:sz w:val="20"/>
          <w:szCs w:val="20"/>
          <w:color w:val="auto"/>
        </w:rPr>
      </w:pPr>
    </w:p>
    <w:p>
      <w:pPr>
        <w:ind w:left="880"/>
        <w:spacing w:after="0"/>
        <w:tabs>
          <w:tab w:leader="none" w:pos="1380" w:val="left"/>
        </w:tabs>
        <w:rPr>
          <w:sz w:val="20"/>
          <w:szCs w:val="20"/>
          <w:color w:val="auto"/>
        </w:rPr>
      </w:pPr>
      <w:r>
        <w:rPr>
          <w:rFonts w:ascii="Courier New" w:cs="Courier New" w:eastAsia="Courier New" w:hAnsi="Courier New"/>
          <w:sz w:val="15"/>
          <w:szCs w:val="15"/>
          <w:color w:val="auto"/>
        </w:rPr>
        <w:t>2.7.</w:t>
      </w:r>
      <w:r>
        <w:rPr>
          <w:sz w:val="20"/>
          <w:szCs w:val="20"/>
          <w:color w:val="auto"/>
        </w:rPr>
        <w:tab/>
      </w:r>
      <w:r>
        <w:rPr>
          <w:rFonts w:ascii="Courier New" w:cs="Courier New" w:eastAsia="Courier New" w:hAnsi="Courier New"/>
          <w:sz w:val="14"/>
          <w:szCs w:val="14"/>
          <w:color w:val="auto"/>
        </w:rPr>
        <w:t>Interest Rates.</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19" w:firstLine="875"/>
        <w:spacing w:after="0" w:line="236" w:lineRule="auto"/>
        <w:rPr>
          <w:sz w:val="20"/>
          <w:szCs w:val="20"/>
          <w:color w:val="auto"/>
        </w:rPr>
      </w:pPr>
      <w:r>
        <w:rPr>
          <w:rFonts w:ascii="Courier New" w:cs="Courier New" w:eastAsia="Courier New" w:hAnsi="Courier New"/>
          <w:sz w:val="15"/>
          <w:szCs w:val="15"/>
          <w:color w:val="auto"/>
        </w:rPr>
        <w:t>2.7.1. Subject to the provisions of Section 2.9.3(e), each Base Rate Loan shall bear interest on the outstanding principal amount, for each day from the date such Loan is made until it becomes due, at a rate per annum equal to the applicable Base Rate for such day. Interest payable at the Base Rate for each Interest Period shall be paid by the Company on the last day of such Interest Period. The Agent shall give prompt notice to the Company of each change in the Base Rate and the effective date thereof.</w:t>
      </w:r>
    </w:p>
    <w:p>
      <w:pPr>
        <w:spacing w:after="0" w:line="176" w:lineRule="exact"/>
        <w:rPr>
          <w:sz w:val="20"/>
          <w:szCs w:val="20"/>
          <w:color w:val="auto"/>
        </w:rPr>
      </w:pPr>
    </w:p>
    <w:p>
      <w:pPr>
        <w:jc w:val="both"/>
        <w:ind w:right="3319" w:firstLine="875"/>
        <w:spacing w:after="0" w:line="235" w:lineRule="auto"/>
        <w:rPr>
          <w:sz w:val="20"/>
          <w:szCs w:val="20"/>
          <w:color w:val="auto"/>
        </w:rPr>
      </w:pPr>
      <w:r>
        <w:rPr>
          <w:rFonts w:ascii="Courier New" w:cs="Courier New" w:eastAsia="Courier New" w:hAnsi="Courier New"/>
          <w:sz w:val="15"/>
          <w:szCs w:val="15"/>
          <w:color w:val="auto"/>
        </w:rPr>
        <w:t>2.7.2. (a) Subject to the provisions of Section 2.9.3(e), each CD Loan shall bear interest on the outstanding principal amount, for the Interest Period applicable thereto, at a rate per annum equal to the applicable CD Rate. Interest payable on any CD Loan shall</w:t>
      </w:r>
    </w:p>
    <w:p>
      <w:pPr>
        <w:sectPr>
          <w:pgSz w:w="11900" w:h="16838" w:orient="portrait"/>
          <w:cols w:equalWidth="0" w:num="1">
            <w:col w:w="10239"/>
          </w:cols>
          <w:pgMar w:left="220" w:top="617" w:right="1440" w:bottom="1440" w:gutter="0" w:footer="0" w:header="0"/>
        </w:sectPr>
      </w:pPr>
    </w:p>
    <w:bookmarkStart w:id="49" w:name="page50"/>
    <w:bookmarkEnd w:id="49"/>
    <w:p>
      <w:pPr>
        <w:ind w:left="6560"/>
        <w:spacing w:after="0"/>
        <w:rPr>
          <w:sz w:val="20"/>
          <w:szCs w:val="20"/>
          <w:color w:val="auto"/>
        </w:rPr>
      </w:pPr>
      <w:r>
        <w:rPr>
          <w:rFonts w:ascii="Courier New" w:cs="Courier New" w:eastAsia="Courier New" w:hAnsi="Courier New"/>
          <w:sz w:val="15"/>
          <w:szCs w:val="15"/>
          <w:color w:val="auto"/>
        </w:rPr>
        <w:t>24</w:t>
      </w:r>
    </w:p>
    <w:p>
      <w:pPr>
        <w:spacing w:after="0" w:line="173"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be paid by the Company on the last day of the Interest Period relating to such CD Loan, except when such Interest Period is longer than 90 days, in which case interest shall be paid on the 90th day of such Interest Period and on the last day thereof.</w:t>
      </w:r>
    </w:p>
    <w:p>
      <w:pPr>
        <w:spacing w:after="0" w:line="175" w:lineRule="exact"/>
        <w:rPr>
          <w:sz w:val="20"/>
          <w:szCs w:val="20"/>
          <w:color w:val="auto"/>
        </w:rPr>
      </w:pPr>
    </w:p>
    <w:p>
      <w:pPr>
        <w:ind w:right="3399" w:firstLine="884"/>
        <w:spacing w:after="0" w:line="235" w:lineRule="auto"/>
        <w:tabs>
          <w:tab w:leader="none" w:pos="1312"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herein, the "CD Rate" applicable to any CD Loan for any Interest Period means a rate per annum equal to the sum of the CD Margin plus the applicable Adjusted CD Base Rate.</w:t>
      </w:r>
    </w:p>
    <w:p>
      <w:pPr>
        <w:spacing w:after="0" w:line="174" w:lineRule="exact"/>
        <w:rPr>
          <w:sz w:val="20"/>
          <w:szCs w:val="20"/>
          <w:color w:val="auto"/>
        </w:rPr>
      </w:pPr>
    </w:p>
    <w:p>
      <w:pPr>
        <w:ind w:right="3319" w:firstLine="875"/>
        <w:spacing w:after="0" w:line="234" w:lineRule="auto"/>
        <w:rPr>
          <w:sz w:val="20"/>
          <w:szCs w:val="20"/>
          <w:color w:val="auto"/>
        </w:rPr>
      </w:pPr>
      <w:r>
        <w:rPr>
          <w:rFonts w:ascii="Courier New" w:cs="Courier New" w:eastAsia="Courier New" w:hAnsi="Courier New"/>
          <w:sz w:val="15"/>
          <w:szCs w:val="15"/>
          <w:color w:val="auto"/>
        </w:rPr>
        <w:t>The "Adjusted CD Base Rate" applicable to any Interest Period means a rate per annum determined pursuant to the following formula:</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  CDBR  ]*</w:t>
            </w:r>
          </w:p>
        </w:tc>
        <w:tc>
          <w:tcPr>
            <w:tcW w:w="1020" w:type="dxa"/>
            <w:vAlign w:val="bottom"/>
          </w:tcPr>
          <w:p>
            <w:pPr>
              <w:spacing w:after="0"/>
              <w:rPr>
                <w:sz w:val="14"/>
                <w:szCs w:val="14"/>
                <w:color w:val="auto"/>
              </w:rPr>
            </w:pP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ACDBR</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AR</w:t>
            </w:r>
          </w:p>
        </w:tc>
      </w:tr>
      <w:tr>
        <w:trPr>
          <w:trHeight w:val="336"/>
        </w:trPr>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ind w:left="340"/>
              <w:spacing w:after="0"/>
              <w:rPr>
                <w:sz w:val="20"/>
                <w:szCs w:val="20"/>
                <w:color w:val="auto"/>
              </w:rPr>
            </w:pPr>
            <w:r>
              <w:rPr>
                <w:rFonts w:ascii="Courier New" w:cs="Courier New" w:eastAsia="Courier New" w:hAnsi="Courier New"/>
                <w:sz w:val="15"/>
                <w:szCs w:val="15"/>
                <w:color w:val="auto"/>
              </w:rPr>
              <w:t>[ 1.00 -</w:t>
            </w:r>
          </w:p>
        </w:tc>
        <w:tc>
          <w:tcPr>
            <w:tcW w:w="600" w:type="dxa"/>
            <w:vAlign w:val="bottom"/>
          </w:tcPr>
          <w:p>
            <w:pPr>
              <w:ind w:left="40"/>
              <w:spacing w:after="0"/>
              <w:rPr>
                <w:sz w:val="20"/>
                <w:szCs w:val="20"/>
                <w:color w:val="auto"/>
              </w:rPr>
            </w:pPr>
            <w:r>
              <w:rPr>
                <w:rFonts w:ascii="Courier New" w:cs="Courier New" w:eastAsia="Courier New" w:hAnsi="Courier New"/>
                <w:sz w:val="15"/>
                <w:szCs w:val="15"/>
                <w:color w:val="auto"/>
              </w:rPr>
              <w:t>DRP</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ACDBR</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Adjusted</w:t>
            </w:r>
          </w:p>
        </w:tc>
        <w:tc>
          <w:tcPr>
            <w:tcW w:w="16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CD Base Rate</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CDBR</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CD Base Rate</w:t>
            </w:r>
          </w:p>
        </w:tc>
        <w:tc>
          <w:tcPr>
            <w:tcW w:w="1020" w:type="dxa"/>
            <w:vAlign w:val="bottom"/>
          </w:tcPr>
          <w:p>
            <w:pPr>
              <w:spacing w:after="0"/>
              <w:rPr>
                <w:sz w:val="14"/>
                <w:szCs w:val="14"/>
                <w:color w:val="auto"/>
              </w:rPr>
            </w:pP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DRP</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Domestic</w:t>
            </w:r>
          </w:p>
        </w:tc>
        <w:tc>
          <w:tcPr>
            <w:tcW w:w="16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Reserve Percentage</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AR</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w w:val="99"/>
              </w:rPr>
              <w:t>Assessment Rate</w:t>
            </w:r>
          </w:p>
        </w:tc>
        <w:tc>
          <w:tcPr>
            <w:tcW w:w="1020" w:type="dxa"/>
            <w:vAlign w:val="bottom"/>
          </w:tcPr>
          <w:p>
            <w:pPr>
              <w:spacing w:after="0"/>
              <w:rPr>
                <w:sz w:val="14"/>
                <w:szCs w:val="14"/>
                <w:color w:val="auto"/>
              </w:rPr>
            </w:pP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w:t>
      </w:r>
    </w:p>
    <w:p>
      <w:pPr>
        <w:spacing w:after="0" w:line="5" w:lineRule="exact"/>
        <w:rPr>
          <w:sz w:val="20"/>
          <w:szCs w:val="20"/>
          <w:color w:val="auto"/>
        </w:rPr>
      </w:pPr>
    </w:p>
    <w:p>
      <w:pPr>
        <w:ind w:left="100" w:right="4899" w:hanging="90"/>
        <w:spacing w:after="0" w:line="234" w:lineRule="auto"/>
        <w:tabs>
          <w:tab w:leader="none" w:pos="187"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in brackets being rounded upwards, if necessary, to the next higher 1/100th of 1%.</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"CD Base Rate" applicable to any Interest Period is the rate of interest determined by the Agent to be the arithmetic average of the prevailing rates per annum bid at 10:00 A.M. (New York City time) (or as soon thereafter as practicable) on the first day of such Interest Period by two or more New York certificate of deposit dealers of recognized standing for the purchase at face value from each CD Reference Bank of its certificates of deposit in an amount comparable to the principal amount of such CD Reference Bank's portion of the CD Borrowing to which such Interest Period applies and having a maturity comparable to such Interest Period. "Domestic Reserve Percentage" means for any day that percentage (expressed as a decimal) which is in effect on such day, as prescribed by the Board of Governors of the Federal Reserve System (or any successor) for determining the maximum reserve requirement (including without limitation any basic, supplemental or emergency reserves) for a member bank of the Federal Reserve System in New York City with deposits exceeding five billion dollars in respect of new non-personal time deposits in dollars in</w:t>
      </w:r>
    </w:p>
    <w:p>
      <w:pPr>
        <w:sectPr>
          <w:pgSz w:w="11900" w:h="16838" w:orient="portrait"/>
          <w:cols w:equalWidth="0" w:num="1">
            <w:col w:w="10239"/>
          </w:cols>
          <w:pgMar w:left="220" w:top="617" w:right="1440" w:bottom="1440" w:gutter="0" w:footer="0" w:header="0"/>
        </w:sectPr>
      </w:pPr>
    </w:p>
    <w:bookmarkStart w:id="50" w:name="page51"/>
    <w:bookmarkEnd w:id="50"/>
    <w:p>
      <w:pPr>
        <w:ind w:left="6560"/>
        <w:spacing w:after="0"/>
        <w:rPr>
          <w:sz w:val="20"/>
          <w:szCs w:val="20"/>
          <w:color w:val="auto"/>
        </w:rPr>
      </w:pPr>
      <w:r>
        <w:rPr>
          <w:rFonts w:ascii="Courier New" w:cs="Courier New" w:eastAsia="Courier New" w:hAnsi="Courier New"/>
          <w:sz w:val="15"/>
          <w:szCs w:val="15"/>
          <w:color w:val="auto"/>
        </w:rPr>
        <w:t>25</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New York City having a maturity comparable to the related Interest Period and in an amount of $100,000 or more. The CD Rate shall be adjusted automatically on and as of the effective date of any change in the Domestic Reserve Percentage. "Assessment Rate" means for any day the annual assessment rate in effect on such day which is payable by a member of the Bank Insurance Fund classified as adequately capitalized and within supervisory subgroup "A" (or a comparable successor assessment risk classification) within the meaning of 12 C.F.R. Section 327.4(a) (or any successor provision) to the Federal Deposit Insurance Corporation (or any successor) for such Corporation's (or such successor's) insuring time deposits at offices of such institution in the United States. The CD Rate shall be adjusted automatically on the effective date of any change in the Assessment Rate.</w:t>
      </w:r>
    </w:p>
    <w:p>
      <w:pPr>
        <w:spacing w:after="0" w:line="173"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2.7.3. Subject to the provisions of Section 2.9.3(e), each Euro-Dollar Loan shall bear interest on the outstanding principal amount, for the Interest Period applicable thereto, at a rate per annum equal to the sum of the Euro-Dollar Margin plus the applicable London Interbank Offered Rate. Interest payable on any Euro-Dollar Loan shall be paid by the Company on the last day of the Interest Period relating to such Euro-Dollar Loan, except when such Interest Period is longer than three months, in which case interest shall be payable on the last day of the third month of such Interest Period and on the last day thereof.</w:t>
      </w:r>
    </w:p>
    <w:p>
      <w:pPr>
        <w:spacing w:after="0" w:line="178" w:lineRule="exact"/>
        <w:rPr>
          <w:sz w:val="20"/>
          <w:szCs w:val="20"/>
          <w:color w:val="auto"/>
        </w:rPr>
      </w:pPr>
    </w:p>
    <w:p>
      <w:pPr>
        <w:ind w:right="3239" w:firstLine="875"/>
        <w:spacing w:after="0" w:line="237" w:lineRule="auto"/>
        <w:rPr>
          <w:sz w:val="20"/>
          <w:szCs w:val="20"/>
          <w:color w:val="auto"/>
        </w:rPr>
      </w:pPr>
      <w:r>
        <w:rPr>
          <w:rFonts w:ascii="Courier New" w:cs="Courier New" w:eastAsia="Courier New" w:hAnsi="Courier New"/>
          <w:sz w:val="15"/>
          <w:szCs w:val="15"/>
          <w:color w:val="auto"/>
        </w:rPr>
        <w:t>2.7.4. (a) For so long as any Bank maintains reserves against "Euro currency liabilities" (or any other category of liabilities which includes deposits by reference to which the interest rate on Euro-Dollar Loans is determined or any category of extensions of credit or other assets which includes loans by a non-United States office of any Bank to United States residents), and as a result the cost to such Bank (or its Euro-Dollar Lending Office) of making or maintaining its Euro-Dollar Loans is increased, then such Bank may require the Company to pay, contemporaneously with each payment of interest on any Euro-Dollar Loan (but not on any Money Market LIBOR Loan or any Euro-Dollar Loan bearing interest determined on the basis of the Base Rate pursuant to Section 2.14.2(z)) of such Bank, additional interest on such Euro-Dollar Loan for the Interest Period of such Euro-Dollar Loan at a rate per annum up to but not exceeding the excess of (i)(A) the applicable London Interbank Offered Rate (or, if applicable, the base rate determined pursuant to Section 2.14.2(y)) divided by</w:t>
      </w:r>
    </w:p>
    <w:p>
      <w:pPr>
        <w:sectPr>
          <w:pgSz w:w="11900" w:h="16838" w:orient="portrait"/>
          <w:cols w:equalWidth="0" w:num="1">
            <w:col w:w="10239"/>
          </w:cols>
          <w:pgMar w:left="220" w:top="617" w:right="1440" w:bottom="1440" w:gutter="0" w:footer="0" w:header="0"/>
        </w:sectPr>
      </w:pPr>
    </w:p>
    <w:bookmarkStart w:id="51" w:name="page52"/>
    <w:bookmarkEnd w:id="51"/>
    <w:p>
      <w:pPr>
        <w:ind w:left="6560"/>
        <w:spacing w:after="0"/>
        <w:rPr>
          <w:sz w:val="20"/>
          <w:szCs w:val="20"/>
          <w:color w:val="auto"/>
        </w:rPr>
      </w:pPr>
      <w:r>
        <w:rPr>
          <w:rFonts w:ascii="Courier New" w:cs="Courier New" w:eastAsia="Courier New" w:hAnsi="Courier New"/>
          <w:sz w:val="15"/>
          <w:szCs w:val="15"/>
          <w:color w:val="auto"/>
        </w:rPr>
        <w:t>26</w:t>
      </w:r>
    </w:p>
    <w:p>
      <w:pPr>
        <w:spacing w:after="0" w:line="173" w:lineRule="exact"/>
        <w:rPr>
          <w:sz w:val="20"/>
          <w:szCs w:val="20"/>
          <w:color w:val="auto"/>
        </w:rPr>
      </w:pPr>
    </w:p>
    <w:p>
      <w:pPr>
        <w:ind w:right="3499" w:firstLine="10"/>
        <w:spacing w:after="0" w:line="234" w:lineRule="auto"/>
        <w:tabs>
          <w:tab w:leader="none" w:pos="35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minus the Euro-Dollar Reserve Percentage over (ii) the rate specified in the preceding clause (i)(A).</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Bank wishing to require payment of such additional interest</w:t>
      </w:r>
    </w:p>
    <w:p>
      <w:pPr>
        <w:spacing w:after="0" w:line="4" w:lineRule="exact"/>
        <w:rPr>
          <w:rFonts w:ascii="Courier New" w:cs="Courier New" w:eastAsia="Courier New" w:hAnsi="Courier New"/>
          <w:sz w:val="15"/>
          <w:szCs w:val="15"/>
          <w:color w:val="auto"/>
        </w:rPr>
      </w:pPr>
    </w:p>
    <w:p>
      <w:pPr>
        <w:ind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(x) shall so notify the Company and the Agent, in which case such additional interest on the Euro-Dollar Loans of such Bank shall be payable to such Bank at the place indicated in such notice with respect to each Interest Period commencing at least three Euro-Dollar Business Days after the giving of such notice and (y) shall furnish to the Company at least five Euro-Dollar Business Days prior to each date on which interest is payable on the Euro-Dollar Loans an officer's certificate setting forth the amount to which such Bank is then entitled under this Section (which shall be consistent with such Bank's good faith estimate of the level at which the related reserves are maintained by it). Each such certificate shall be accompanied by such information as the Company may reasonably request as to the computation set forth therein.</w:t>
      </w:r>
    </w:p>
    <w:p>
      <w:pPr>
        <w:spacing w:after="0" w:line="164" w:lineRule="exact"/>
        <w:rPr>
          <w:rFonts w:ascii="Courier New" w:cs="Courier New" w:eastAsia="Courier New" w:hAnsi="Courier New"/>
          <w:sz w:val="15"/>
          <w:szCs w:val="15"/>
          <w:color w:val="auto"/>
        </w:rPr>
      </w:pPr>
    </w:p>
    <w:p>
      <w:pPr>
        <w:ind w:right="3239" w:firstLine="884"/>
        <w:spacing w:after="0" w:line="236" w:lineRule="auto"/>
        <w:tabs>
          <w:tab w:leader="none" w:pos="1312"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herein, "Euro-Dollar Reserve Percentage" means for any day that percentage (expressed as a decimal) which is in effect on such day, as prescribed by the Board of Governors of the Federal Reserve System (or any successor) for determining the maximum reserve requirement for a member bank of the Federal Reserve System in New York City with deposits exceeding five billion dollars in respect of "Eurocurrency liabilities" (or in respect of any other category of liabilities which includes deposits by reference to which the interest rate on Euro-Dollar Loans is determined or any category of extensions of credit or other assets which includes loans by a non-United States office of any Bank to United States residents).</w:t>
      </w:r>
    </w:p>
    <w:p>
      <w:pPr>
        <w:spacing w:after="0" w:line="179"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2.7.5. Subject to Sections 2.15 and 2.9.3(e), each Money Market LIBOR Loan shall bear interest on the outstanding principal amount, for the Interest Period applicable thereto, at a rate per annum equal to the sum of the London Interbank Offered Rate plus (or minus) the Money Market Margin quoted by the Bank making such Loan in accordance with Section 2.3. Subject to Section 2.9.3(e), each Money Market Absolute Rate Loan shall bear interest on the outstanding principal amount, for the Interest Period applicable thereto, at a rate per annum equal to the Money Market Absolute Rate quoted by the Bank making such Loan in accordance with Section 2.3. Interest payable on any Money Market Loan shall be paid by the Company on the last day of the Interest Period relating to such Money Market Loan,</w:t>
      </w:r>
    </w:p>
    <w:p>
      <w:pPr>
        <w:sectPr>
          <w:pgSz w:w="11900" w:h="16838" w:orient="portrait"/>
          <w:cols w:equalWidth="0" w:num="1">
            <w:col w:w="10239"/>
          </w:cols>
          <w:pgMar w:left="220" w:top="617" w:right="1440" w:bottom="1440" w:gutter="0" w:footer="0" w:header="0"/>
        </w:sectPr>
      </w:pPr>
    </w:p>
    <w:bookmarkStart w:id="52" w:name="page53"/>
    <w:bookmarkEnd w:id="52"/>
    <w:p>
      <w:pPr>
        <w:ind w:left="6560"/>
        <w:spacing w:after="0"/>
        <w:rPr>
          <w:sz w:val="20"/>
          <w:szCs w:val="20"/>
          <w:color w:val="auto"/>
        </w:rPr>
      </w:pPr>
      <w:r>
        <w:rPr>
          <w:rFonts w:ascii="Courier New" w:cs="Courier New" w:eastAsia="Courier New" w:hAnsi="Courier New"/>
          <w:sz w:val="15"/>
          <w:szCs w:val="15"/>
          <w:color w:val="auto"/>
        </w:rPr>
        <w:t>27</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except when such Interest Period is longer than three months, in which case interest shall be paid at intervals of three months after the first day of such Interest Period and on the last day thereof.</w:t>
      </w:r>
    </w:p>
    <w:p>
      <w:pPr>
        <w:spacing w:after="0" w:line="174" w:lineRule="exact"/>
        <w:rPr>
          <w:sz w:val="20"/>
          <w:szCs w:val="20"/>
          <w:color w:val="auto"/>
        </w:rPr>
      </w:pPr>
    </w:p>
    <w:p>
      <w:pPr>
        <w:ind w:right="3319" w:firstLine="875"/>
        <w:spacing w:after="0" w:line="236" w:lineRule="auto"/>
        <w:rPr>
          <w:sz w:val="20"/>
          <w:szCs w:val="20"/>
          <w:color w:val="auto"/>
        </w:rPr>
      </w:pPr>
      <w:r>
        <w:rPr>
          <w:rFonts w:ascii="Courier New" w:cs="Courier New" w:eastAsia="Courier New" w:hAnsi="Courier New"/>
          <w:sz w:val="15"/>
          <w:szCs w:val="15"/>
          <w:color w:val="auto"/>
        </w:rPr>
        <w:t>2.7.6. Pursuant to the foregoing provisions of this Section 2.7, the Agent shall calculate each interest rate applicable to each of the Loans made under this Agreement. The Agent shall give prompt notice to the Company by telecopy and to the participating Banks by telex or telecopy of each interest rate so determined, and its determination thereof shall be conclusive in the absence of manifest error.</w:t>
      </w:r>
    </w:p>
    <w:p>
      <w:pPr>
        <w:spacing w:after="0" w:line="175"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2.7.7. Each Reference Bank agrees to use its best efforts to furnish quotations to the Agent as contemplated by this Section 2.7. If any Reference Bank does not furnish a timely quotation, the Agent shall calculate the relevant interest rate on the basis of the quotation or quotations furnished by the remaining Reference Bank or Banks or, if none of such quotations is available on a timely basis, the provisions of Section 2.15 shall apply.</w:t>
      </w:r>
    </w:p>
    <w:p>
      <w:pPr>
        <w:spacing w:after="0" w:line="168" w:lineRule="exact"/>
        <w:rPr>
          <w:sz w:val="20"/>
          <w:szCs w:val="20"/>
          <w:color w:val="auto"/>
        </w:rPr>
      </w:pPr>
    </w:p>
    <w:p>
      <w:pPr>
        <w:jc w:val="right"/>
        <w:ind w:right="3239"/>
        <w:spacing w:after="0"/>
        <w:tabs>
          <w:tab w:leader="none" w:pos="5580" w:val="left"/>
          <w:tab w:leader="none" w:pos="4180" w:val="left"/>
          <w:tab w:leader="none" w:pos="3740" w:val="left"/>
        </w:tabs>
        <w:rPr>
          <w:sz w:val="20"/>
          <w:szCs w:val="20"/>
          <w:color w:val="auto"/>
        </w:rPr>
      </w:pPr>
      <w:r>
        <w:rPr>
          <w:rFonts w:ascii="Courier New" w:cs="Courier New" w:eastAsia="Courier New" w:hAnsi="Courier New"/>
          <w:sz w:val="15"/>
          <w:szCs w:val="15"/>
          <w:color w:val="auto"/>
        </w:rPr>
        <w:t>2.8.</w:t>
        <w:tab/>
        <w:t>Facility Fees.</w:t>
        <w:tab/>
        <w:t>(a)</w:t>
      </w:r>
      <w:r>
        <w:rPr>
          <w:sz w:val="20"/>
          <w:szCs w:val="20"/>
          <w:color w:val="auto"/>
        </w:rPr>
        <w:tab/>
      </w:r>
      <w:r>
        <w:rPr>
          <w:rFonts w:ascii="Courier New" w:cs="Courier New" w:eastAsia="Courier New" w:hAnsi="Courier New"/>
          <w:sz w:val="14"/>
          <w:szCs w:val="14"/>
          <w:color w:val="auto"/>
        </w:rPr>
        <w:t>The Company shall pay a facility fee to the</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Agent, for the accounts of the Banks ratably in proportion to their Commitments, in an amount determined pursuant to Section 2.8(b). Such facility fee shall be calculated for each day, shall accrue from and including the Effective Date to but excluding the day on which no Bank has any Commitment hereunder and on which no amount payable under any Note remains unpaid, and shall be payable quarterly in arrears on each March 31, June 30, September 30 and December 31 prior to the Termination Date and on the Termination Date (or on demand, if payable for any day on or after the Termination Date) upon receipt of a statement from the Agent calculating the amount thereof.</w:t>
      </w:r>
    </w:p>
    <w:p>
      <w:pPr>
        <w:spacing w:after="0" w:line="165" w:lineRule="exact"/>
        <w:rPr>
          <w:sz w:val="20"/>
          <w:szCs w:val="20"/>
          <w:color w:val="auto"/>
        </w:rPr>
      </w:pPr>
    </w:p>
    <w:p>
      <w:pPr>
        <w:ind w:right="3239" w:firstLine="884"/>
        <w:spacing w:after="0" w:line="236" w:lineRule="auto"/>
        <w:tabs>
          <w:tab w:leader="none" w:pos="1312"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facility fee payable pursuant to Section 2.8(a) shall be calculated on the aggregate amount of the Commitments, regardless of usage, or if the Commitments have terminated but any Syndicated Loan remains unpaid, on the aggregate principal amount of Syndicated Loans outstanding (i) for each day when the Company has a Highest Company Rating, at the rate of .10 of 1% per annum, (ii) for each day when the Company has or is deemed to have a High Company Rating, at the rate of .125 of 2% per annum, (iii) for each day when the Company has or is deemed to have an Adequate Company Rating, at the rate of .15 of 1% per</w:t>
      </w:r>
    </w:p>
    <w:p>
      <w:pPr>
        <w:sectPr>
          <w:pgSz w:w="11900" w:h="16838" w:orient="portrait"/>
          <w:cols w:equalWidth="0" w:num="1">
            <w:col w:w="10239"/>
          </w:cols>
          <w:pgMar w:left="220" w:top="617" w:right="1440" w:bottom="1440" w:gutter="0" w:footer="0" w:header="0"/>
        </w:sectPr>
      </w:pPr>
    </w:p>
    <w:bookmarkStart w:id="53" w:name="page54"/>
    <w:bookmarkEnd w:id="53"/>
    <w:p>
      <w:pPr>
        <w:ind w:left="6560"/>
        <w:spacing w:after="0"/>
        <w:rPr>
          <w:sz w:val="20"/>
          <w:szCs w:val="20"/>
          <w:color w:val="auto"/>
        </w:rPr>
      </w:pPr>
      <w:r>
        <w:rPr>
          <w:rFonts w:ascii="Courier New" w:cs="Courier New" w:eastAsia="Courier New" w:hAnsi="Courier New"/>
          <w:sz w:val="15"/>
          <w:szCs w:val="15"/>
          <w:color w:val="auto"/>
        </w:rPr>
        <w:t>28</w:t>
      </w:r>
    </w:p>
    <w:p>
      <w:pPr>
        <w:spacing w:after="0" w:line="173"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annum, and (iv) for each day when the Company has or is deemed to have neither a Highest Company Rating nor a High Company Rating nor an Adequate Company Rating, at the rate of .25 of 1% per annum; provided, that from the Effective Date until</w:t>
      </w:r>
    </w:p>
    <w:p>
      <w:pPr>
        <w:ind w:left="3160"/>
        <w:spacing w:after="0" w:line="232"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499"/>
        <w:spacing w:after="0" w:line="235" w:lineRule="auto"/>
        <w:rPr>
          <w:sz w:val="20"/>
          <w:szCs w:val="20"/>
          <w:color w:val="auto"/>
        </w:rPr>
      </w:pPr>
      <w:r>
        <w:rPr>
          <w:rFonts w:ascii="Courier New" w:cs="Courier New" w:eastAsia="Courier New" w:hAnsi="Courier New"/>
          <w:sz w:val="15"/>
          <w:szCs w:val="15"/>
          <w:color w:val="auto"/>
        </w:rPr>
        <w:t>such time that the Company Rating ceases to be under the review by Standard &amp; Poor's or Moody's ongoing as of the Effective Date, the facility fee shall be calculated at the rate of .15 of l% per annum.</w:t>
      </w:r>
    </w:p>
    <w:p>
      <w:pPr>
        <w:spacing w:after="0" w:line="167" w:lineRule="exact"/>
        <w:rPr>
          <w:sz w:val="20"/>
          <w:szCs w:val="20"/>
          <w:color w:val="auto"/>
        </w:rPr>
      </w:pPr>
    </w:p>
    <w:p>
      <w:pPr>
        <w:ind w:left="880"/>
        <w:spacing w:after="0"/>
        <w:tabs>
          <w:tab w:leader="none" w:pos="1380" w:val="left"/>
        </w:tabs>
        <w:rPr>
          <w:sz w:val="20"/>
          <w:szCs w:val="20"/>
          <w:color w:val="auto"/>
        </w:rPr>
      </w:pPr>
      <w:r>
        <w:rPr>
          <w:rFonts w:ascii="Courier New" w:cs="Courier New" w:eastAsia="Courier New" w:hAnsi="Courier New"/>
          <w:sz w:val="15"/>
          <w:szCs w:val="15"/>
          <w:color w:val="auto"/>
        </w:rPr>
        <w:t>2.9.</w:t>
      </w:r>
      <w:r>
        <w:rPr>
          <w:sz w:val="20"/>
          <w:szCs w:val="20"/>
          <w:color w:val="auto"/>
        </w:rPr>
        <w:tab/>
      </w:r>
      <w:r>
        <w:rPr>
          <w:rFonts w:ascii="Courier New" w:cs="Courier New" w:eastAsia="Courier New" w:hAnsi="Courier New"/>
          <w:sz w:val="14"/>
          <w:szCs w:val="14"/>
          <w:color w:val="auto"/>
        </w:rPr>
        <w:t>Termination or Reduction of Commitments; Replacement of a</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ind w:left="100"/>
        <w:spacing w:after="0" w:line="238" w:lineRule="auto"/>
        <w:rPr>
          <w:sz w:val="20"/>
          <w:szCs w:val="20"/>
          <w:color w:val="auto"/>
        </w:rPr>
      </w:pPr>
      <w:r>
        <w:rPr>
          <w:rFonts w:ascii="Courier New" w:cs="Courier New" w:eastAsia="Courier New" w:hAnsi="Courier New"/>
          <w:sz w:val="15"/>
          <w:szCs w:val="15"/>
          <w:color w:val="auto"/>
        </w:rPr>
        <w:t>Certificate Bank.</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19" w:firstLine="875"/>
        <w:spacing w:after="0" w:line="255" w:lineRule="auto"/>
        <w:rPr>
          <w:sz w:val="20"/>
          <w:szCs w:val="20"/>
          <w:color w:val="auto"/>
        </w:rPr>
      </w:pPr>
      <w:r>
        <w:rPr>
          <w:rFonts w:ascii="Courier New" w:cs="Courier New" w:eastAsia="Courier New" w:hAnsi="Courier New"/>
          <w:sz w:val="14"/>
          <w:szCs w:val="14"/>
          <w:color w:val="auto"/>
        </w:rPr>
        <w:t>2.9.1. The Company may, upon at least three Domestic Business Days' notice to the Agent, (a) terminate the Commitments at any time, if no Loans are outstanding at such time, or (b) ratably reduce from time to time by an aggregate amount of $25,000,000 or any larger multiple of $1,000,000, the aggregate amount of the Commitments in excess of the aggregate outstanding principal amount of the Loans. If the Commitments are terminated in their entirety, all fees accrued under Section 2.8 shall be payable on the effective date of such termination. Upon receipt of any notice pursuant to this Section 2.9.1, the Agent shall promptly notify each Bank of the contents thereof.</w:t>
      </w:r>
    </w:p>
    <w:p>
      <w:pPr>
        <w:spacing w:after="0" w:line="165" w:lineRule="exact"/>
        <w:rPr>
          <w:sz w:val="20"/>
          <w:szCs w:val="20"/>
          <w:color w:val="auto"/>
        </w:rPr>
      </w:pPr>
    </w:p>
    <w:p>
      <w:pPr>
        <w:ind w:right="3239" w:firstLine="875"/>
        <w:spacing w:after="0" w:line="235" w:lineRule="auto"/>
        <w:rPr>
          <w:sz w:val="20"/>
          <w:szCs w:val="20"/>
          <w:color w:val="auto"/>
        </w:rPr>
      </w:pPr>
      <w:r>
        <w:rPr>
          <w:rFonts w:ascii="Courier New" w:cs="Courier New" w:eastAsia="Courier New" w:hAnsi="Courier New"/>
          <w:sz w:val="15"/>
          <w:szCs w:val="15"/>
          <w:color w:val="auto"/>
        </w:rPr>
        <w:t>2.9.2. The Commitments shall terminate on the Termination Date and any Loans then outstanding (together with accrued interest thereon) shall be due and payable on such date.</w:t>
      </w:r>
    </w:p>
    <w:p>
      <w:pPr>
        <w:spacing w:after="0" w:line="174"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2.9.3. (a) Notwithstanding any other provisions of this Agreement or the Notes, the Company, at any time after any Bank has delivered a notice or certificate pursuant to Section 2.7.4(b), 2.16 or 2.17.3 (in any case, a "Certificate Bank"), shall have the right to replace the Certificate Bank in accordance with this Section 2.9.3.</w:t>
      </w:r>
    </w:p>
    <w:p>
      <w:pPr>
        <w:spacing w:after="0" w:line="174" w:lineRule="exact"/>
        <w:rPr>
          <w:sz w:val="20"/>
          <w:szCs w:val="20"/>
          <w:color w:val="auto"/>
        </w:rPr>
      </w:pPr>
    </w:p>
    <w:p>
      <w:pPr>
        <w:ind w:right="3319" w:firstLine="884"/>
        <w:spacing w:after="0" w:line="236" w:lineRule="auto"/>
        <w:tabs>
          <w:tab w:leader="none" w:pos="1312"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in exercising its right to replace the Certificate Bank, shall (i) reduce the Commitment of such Bank to zero and (ii) (A) agree with one or more Banks to increase the respective Commitment of such Bank by an aggregate amount not in excess of the Commitment of the Certificate Bank, in full substitution of the Certificate Bank, or (B) add one or more additional banks as signatories to this Agreement for Commitments not in excess of the Commitment of the Certificate Bank, in full substitution of the Certificate Bank, or (C) any combination</w:t>
      </w:r>
    </w:p>
    <w:p>
      <w:pPr>
        <w:sectPr>
          <w:pgSz w:w="11900" w:h="16838" w:orient="portrait"/>
          <w:cols w:equalWidth="0" w:num="1">
            <w:col w:w="10239"/>
          </w:cols>
          <w:pgMar w:left="220" w:top="617" w:right="1440" w:bottom="1440" w:gutter="0" w:footer="0" w:header="0"/>
        </w:sectPr>
      </w:pPr>
    </w:p>
    <w:bookmarkStart w:id="54" w:name="page55"/>
    <w:bookmarkEnd w:id="54"/>
    <w:p>
      <w:pPr>
        <w:ind w:left="6560"/>
        <w:spacing w:after="0"/>
        <w:rPr>
          <w:sz w:val="20"/>
          <w:szCs w:val="20"/>
          <w:color w:val="auto"/>
        </w:rPr>
      </w:pPr>
      <w:r>
        <w:rPr>
          <w:rFonts w:ascii="Courier New" w:cs="Courier New" w:eastAsia="Courier New" w:hAnsi="Courier New"/>
          <w:sz w:val="15"/>
          <w:szCs w:val="15"/>
          <w:color w:val="auto"/>
        </w:rPr>
        <w:t>29</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of increases in Commitments pursuant to (A) above and additional new banks pursuant to (B) above, so long as the aggregate sum of the increases in Commitments plus the additional Commitments of the additional banks equals the Commitment of the Certificate Bank and such increases in Commitments and additional Commitments shall become effective concurrently with the reduction of the Commitment of the Certificate Bank. Any new bank becoming a signatory to this Agreement shall, without further action, be considered a Bank for all purposes of this Agreement at the time of execution of a counterpart of this Agreement.</w:t>
      </w:r>
    </w:p>
    <w:p>
      <w:pPr>
        <w:spacing w:after="0" w:line="178" w:lineRule="exact"/>
        <w:rPr>
          <w:sz w:val="20"/>
          <w:szCs w:val="20"/>
          <w:color w:val="auto"/>
        </w:rPr>
      </w:pPr>
    </w:p>
    <w:p>
      <w:pPr>
        <w:ind w:right="3239" w:firstLine="884"/>
        <w:spacing w:after="0" w:line="235" w:lineRule="auto"/>
        <w:tabs>
          <w:tab w:leader="none" w:pos="1312"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the right to select any additional bank or banks to become signatories to this Agreement pursuant to Section 2.9.3(b) above, subject to the consent of the Agent, which consent shall not be unreasonably withheld.</w:t>
      </w:r>
    </w:p>
    <w:p>
      <w:pPr>
        <w:spacing w:after="0" w:line="175" w:lineRule="exact"/>
        <w:rPr>
          <w:rFonts w:ascii="Courier New" w:cs="Courier New" w:eastAsia="Courier New" w:hAnsi="Courier New"/>
          <w:sz w:val="15"/>
          <w:szCs w:val="15"/>
          <w:color w:val="auto"/>
        </w:rPr>
      </w:pPr>
    </w:p>
    <w:p>
      <w:pPr>
        <w:jc w:val="both"/>
        <w:ind w:right="3319" w:firstLine="884"/>
        <w:spacing w:after="0" w:line="254" w:lineRule="auto"/>
        <w:tabs>
          <w:tab w:leader="none" w:pos="1312" w:val="left"/>
        </w:tabs>
        <w:numPr>
          <w:ilvl w:val="1"/>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Bank may be replaced within 30 days after the date such Certificate Bank has delivered a certificate or notice pursuant to Section 2.7.4(b), 2.16 or 2.17.3 or at any time thereafter during the period that such Certificate Bank is accruing charges pursuant to Section 2.7.4, 2.16 or 2.1.7, provided that notice of such replacement is given by the Company to the Agent</w:t>
      </w:r>
    </w:p>
    <w:p>
      <w:pPr>
        <w:ind w:left="180" w:hanging="170"/>
        <w:spacing w:after="0" w:line="237" w:lineRule="auto"/>
        <w:tabs>
          <w:tab w:leader="none" w:pos="18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499"/>
        <w:spacing w:after="0" w:line="261" w:lineRule="auto"/>
        <w:rPr>
          <w:sz w:val="20"/>
          <w:szCs w:val="20"/>
          <w:color w:val="auto"/>
        </w:rPr>
      </w:pPr>
      <w:r>
        <w:rPr>
          <w:rFonts w:ascii="Courier New" w:cs="Courier New" w:eastAsia="Courier New" w:hAnsi="Courier New"/>
          <w:sz w:val="14"/>
          <w:szCs w:val="14"/>
          <w:color w:val="auto"/>
        </w:rPr>
        <w:t>and such Certificate Bank at least three Domestic Business Days prior to such replacement and the Company complies with the provisions of Section 2.12.</w:t>
      </w:r>
    </w:p>
    <w:p>
      <w:pPr>
        <w:spacing w:after="0" w:line="160" w:lineRule="exact"/>
        <w:rPr>
          <w:sz w:val="20"/>
          <w:szCs w:val="20"/>
          <w:color w:val="auto"/>
        </w:rPr>
      </w:pPr>
    </w:p>
    <w:p>
      <w:pPr>
        <w:ind w:right="3239" w:firstLine="884"/>
        <w:spacing w:after="0" w:line="236" w:lineRule="auto"/>
        <w:tabs>
          <w:tab w:leader="none" w:pos="1312"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Bank or additional bank which replaces a Certificate Bank pursuant to this Section 2.9.3 shall acquire all (or if more than one Bank or bank is replacing a Certificate Bank pursuant to this Section 2.9.3, all of such Banks or banks shall in the aggregate severally acquire all) of the then outstanding Loans of the Certificate Bank under such terms with respect to the amounts to be paid as interest thereon as may be agreed to by the Company, such Certificate Bank and such Bank(s) or bank(s). The Company shall promptly give notice of such terms to the Agent so that the Agent may send notices to the Company and distribute payments of interest to the Banks in accordance therewith.</w:t>
      </w:r>
    </w:p>
    <w:p>
      <w:pPr>
        <w:spacing w:after="0" w:line="172"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a Certificate Bank is replaced pursuant to this Section</w:t>
      </w:r>
    </w:p>
    <w:p>
      <w:pPr>
        <w:spacing w:after="0" w:line="5" w:lineRule="exact"/>
        <w:rPr>
          <w:sz w:val="20"/>
          <w:szCs w:val="20"/>
          <w:color w:val="auto"/>
        </w:rPr>
      </w:pPr>
    </w:p>
    <w:p>
      <w:pPr>
        <w:ind w:right="3499"/>
        <w:spacing w:after="0" w:line="254" w:lineRule="auto"/>
        <w:rPr>
          <w:sz w:val="20"/>
          <w:szCs w:val="20"/>
          <w:color w:val="auto"/>
        </w:rPr>
      </w:pPr>
      <w:r>
        <w:rPr>
          <w:rFonts w:ascii="Courier New" w:cs="Courier New" w:eastAsia="Courier New" w:hAnsi="Courier New"/>
          <w:sz w:val="14"/>
          <w:szCs w:val="14"/>
          <w:color w:val="auto"/>
        </w:rPr>
        <w:t>2.9.3, it shall have no further rights or obligations hereunder (and shall no longer be a "Bank" for purposes hereof), provided that a replaced Certificate</w:t>
      </w:r>
    </w:p>
    <w:p>
      <w:pPr>
        <w:ind w:left="3600"/>
        <w:spacing w:after="0" w:line="231"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Bank shall retain its rights and obligations as</w:t>
      </w:r>
    </w:p>
    <w:p>
      <w:pPr>
        <w:sectPr>
          <w:pgSz w:w="11900" w:h="16838" w:orient="portrait"/>
          <w:cols w:equalWidth="0" w:num="1">
            <w:col w:w="10239"/>
          </w:cols>
          <w:pgMar w:left="220" w:top="617" w:right="1440" w:bottom="1440" w:gutter="0" w:footer="0" w:header="0"/>
        </w:sectPr>
      </w:pPr>
    </w:p>
    <w:bookmarkStart w:id="55" w:name="page56"/>
    <w:bookmarkEnd w:id="55"/>
    <w:p>
      <w:pPr>
        <w:ind w:left="6560"/>
        <w:spacing w:after="0"/>
        <w:rPr>
          <w:sz w:val="20"/>
          <w:szCs w:val="20"/>
          <w:color w:val="auto"/>
        </w:rPr>
      </w:pPr>
      <w:r>
        <w:rPr>
          <w:rFonts w:ascii="Courier New" w:cs="Courier New" w:eastAsia="Courier New" w:hAnsi="Courier New"/>
          <w:sz w:val="15"/>
          <w:szCs w:val="15"/>
          <w:color w:val="auto"/>
        </w:rPr>
        <w:t>30</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 Bank hereunder with respect to the period before it was so replaced (except to the extent that it shall have assigned or otherwise transferred such rights to another Bank or additional bank).</w:t>
      </w:r>
    </w:p>
    <w:p>
      <w:pPr>
        <w:spacing w:after="0" w:line="167" w:lineRule="exact"/>
        <w:rPr>
          <w:sz w:val="20"/>
          <w:szCs w:val="20"/>
          <w:color w:val="auto"/>
        </w:rPr>
      </w:pPr>
    </w:p>
    <w:p>
      <w:pPr>
        <w:ind w:left="880"/>
        <w:spacing w:after="0"/>
        <w:tabs>
          <w:tab w:leader="none" w:pos="1480" w:val="left"/>
        </w:tabs>
        <w:rPr>
          <w:sz w:val="20"/>
          <w:szCs w:val="20"/>
          <w:color w:val="auto"/>
        </w:rPr>
      </w:pPr>
      <w:r>
        <w:rPr>
          <w:rFonts w:ascii="Courier New" w:cs="Courier New" w:eastAsia="Courier New" w:hAnsi="Courier New"/>
          <w:sz w:val="15"/>
          <w:szCs w:val="15"/>
          <w:color w:val="auto"/>
        </w:rPr>
        <w:t>2.10.</w:t>
      </w:r>
      <w:r>
        <w:rPr>
          <w:sz w:val="20"/>
          <w:szCs w:val="20"/>
          <w:color w:val="auto"/>
        </w:rPr>
        <w:tab/>
      </w:r>
      <w:r>
        <w:rPr>
          <w:rFonts w:ascii="Courier New" w:cs="Courier New" w:eastAsia="Courier New" w:hAnsi="Courier New"/>
          <w:sz w:val="14"/>
          <w:szCs w:val="14"/>
          <w:color w:val="auto"/>
        </w:rPr>
        <w:t>Optional Prepayments.</w:t>
      </w:r>
    </w:p>
    <w:p>
      <w:pPr>
        <w:ind w:left="150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19" w:firstLine="875"/>
        <w:spacing w:after="0" w:line="254" w:lineRule="auto"/>
        <w:rPr>
          <w:sz w:val="20"/>
          <w:szCs w:val="20"/>
          <w:color w:val="auto"/>
        </w:rPr>
      </w:pPr>
      <w:r>
        <w:rPr>
          <w:rFonts w:ascii="Courier New" w:cs="Courier New" w:eastAsia="Courier New" w:hAnsi="Courier New"/>
          <w:sz w:val="14"/>
          <w:szCs w:val="14"/>
          <w:color w:val="auto"/>
        </w:rPr>
        <w:t>2.10.1. The Company shall have the right to make prepayments at any time of the principal amount of any Syndicated Borrowing and any Money Market Borrowing bearing interest at the Prime Rate pursuant to Section 2.15, provided</w:t>
      </w:r>
    </w:p>
    <w:p>
      <w:pPr>
        <w:ind w:left="6220"/>
        <w:spacing w:after="0" w:line="232" w:lineRule="auto"/>
        <w:rPr>
          <w:sz w:val="20"/>
          <w:szCs w:val="20"/>
          <w:color w:val="auto"/>
        </w:rPr>
      </w:pPr>
      <w:r>
        <w:rPr>
          <w:rFonts w:ascii="Courier New" w:cs="Courier New" w:eastAsia="Courier New" w:hAnsi="Courier New"/>
          <w:sz w:val="15"/>
          <w:szCs w:val="15"/>
          <w:color w:val="auto"/>
        </w:rPr>
        <w:t>--------</w:t>
      </w:r>
    </w:p>
    <w:p>
      <w:pPr>
        <w:ind w:left="360" w:hanging="350"/>
        <w:spacing w:after="0" w:line="237" w:lineRule="auto"/>
        <w:tabs>
          <w:tab w:leader="none" w:pos="36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such prepayment is given by the Company to the Agent not later</w:t>
      </w:r>
    </w:p>
    <w:p>
      <w:pPr>
        <w:spacing w:after="0" w:line="5" w:lineRule="exact"/>
        <w:rPr>
          <w:rFonts w:ascii="Courier New" w:cs="Courier New" w:eastAsia="Courier New" w:hAnsi="Courier New"/>
          <w:sz w:val="15"/>
          <w:szCs w:val="15"/>
          <w:color w:val="auto"/>
        </w:rPr>
      </w:pPr>
    </w:p>
    <w:p>
      <w:pPr>
        <w:ind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than 3:00 P.M. (New York City time) on the Domestic Business Day before the date of such prepayment, (b) the date of such prepayment is a Euro-Dollar Business Day or, in the case of a CD Borrowing or Base Rate Borrowing, a Domestic Business Day and (c) each prepayment is in an amount of $20,000,000 or a larger multiple of $1,000,000 (unless the then outstanding balance of such Borrowing is to be prepaid in full, in which event the prepayment may be in the amount of such Borrowing). Each such prepayment shall be applied to prepay ratably the Loans of the several Banks included in the Borrowing being prepaid. Any such prepayment shall be made without premium or penalty but together with interest accrued, if any, on the amount prepaid to the date of prepayment provided, however, that upon prepayment of any Fixed Rate Borrowing (except a Money Market Borrowing bearing interest at the Prime Rate pursuant to Section 2.15), other than at the end of the Interest Period applicable thereto, the Company will pay such amount or amounts, if any, as are required to be paid pursuant to Section 2.12.</w:t>
      </w:r>
    </w:p>
    <w:p>
      <w:pPr>
        <w:spacing w:after="0" w:line="174" w:lineRule="exact"/>
        <w:rPr>
          <w:sz w:val="20"/>
          <w:szCs w:val="20"/>
          <w:color w:val="auto"/>
        </w:rPr>
      </w:pPr>
    </w:p>
    <w:p>
      <w:pPr>
        <w:ind w:right="3499" w:firstLine="875"/>
        <w:spacing w:after="0" w:line="235" w:lineRule="auto"/>
        <w:rPr>
          <w:sz w:val="20"/>
          <w:szCs w:val="20"/>
          <w:color w:val="auto"/>
        </w:rPr>
      </w:pPr>
      <w:r>
        <w:rPr>
          <w:rFonts w:ascii="Courier New" w:cs="Courier New" w:eastAsia="Courier New" w:hAnsi="Courier New"/>
          <w:sz w:val="15"/>
          <w:szCs w:val="15"/>
          <w:color w:val="auto"/>
        </w:rPr>
        <w:t>2.10.2. The Company may not prepay all or any portion of the principal amount of any Money Market Loan (except a Money Market Loan bearing interest at the Prime Rate) prior to the maturity thereof.</w:t>
      </w:r>
    </w:p>
    <w:p>
      <w:pPr>
        <w:spacing w:after="0" w:line="174" w:lineRule="exact"/>
        <w:rPr>
          <w:sz w:val="20"/>
          <w:szCs w:val="20"/>
          <w:color w:val="auto"/>
        </w:rPr>
      </w:pPr>
    </w:p>
    <w:p>
      <w:pPr>
        <w:ind w:right="3239" w:firstLine="875"/>
        <w:spacing w:after="0" w:line="235" w:lineRule="auto"/>
        <w:rPr>
          <w:sz w:val="20"/>
          <w:szCs w:val="20"/>
          <w:color w:val="auto"/>
        </w:rPr>
      </w:pPr>
      <w:r>
        <w:rPr>
          <w:rFonts w:ascii="Courier New" w:cs="Courier New" w:eastAsia="Courier New" w:hAnsi="Courier New"/>
          <w:sz w:val="15"/>
          <w:szCs w:val="15"/>
          <w:color w:val="auto"/>
        </w:rPr>
        <w:t>2.10.3. Upon receipt of any prepayment pursuant to this Section 2.10, the Agent shall promptly notify each Bank thereof and of such Bank's ratable share (if any) of such prepayment.</w:t>
      </w:r>
    </w:p>
    <w:p>
      <w:pPr>
        <w:spacing w:after="0" w:line="167" w:lineRule="exact"/>
        <w:rPr>
          <w:sz w:val="20"/>
          <w:szCs w:val="20"/>
          <w:color w:val="auto"/>
        </w:rPr>
      </w:pPr>
    </w:p>
    <w:p>
      <w:pPr>
        <w:ind w:left="880"/>
        <w:spacing w:after="0"/>
        <w:tabs>
          <w:tab w:leader="none" w:pos="1480" w:val="left"/>
        </w:tabs>
        <w:rPr>
          <w:sz w:val="20"/>
          <w:szCs w:val="20"/>
          <w:color w:val="auto"/>
        </w:rPr>
      </w:pPr>
      <w:r>
        <w:rPr>
          <w:rFonts w:ascii="Courier New" w:cs="Courier New" w:eastAsia="Courier New" w:hAnsi="Courier New"/>
          <w:sz w:val="15"/>
          <w:szCs w:val="15"/>
          <w:color w:val="auto"/>
        </w:rPr>
        <w:t>2.11.</w:t>
      </w:r>
      <w:r>
        <w:rPr>
          <w:sz w:val="20"/>
          <w:szCs w:val="20"/>
          <w:color w:val="auto"/>
        </w:rPr>
        <w:tab/>
      </w:r>
      <w:r>
        <w:rPr>
          <w:rFonts w:ascii="Courier New" w:cs="Courier New" w:eastAsia="Courier New" w:hAnsi="Courier New"/>
          <w:sz w:val="14"/>
          <w:szCs w:val="14"/>
          <w:color w:val="auto"/>
        </w:rPr>
        <w:t>General Provisions as to Payments.</w:t>
      </w:r>
    </w:p>
    <w:p>
      <w:pPr>
        <w:ind w:left="150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firstLine="875"/>
        <w:spacing w:after="0" w:line="235" w:lineRule="auto"/>
        <w:rPr>
          <w:sz w:val="20"/>
          <w:szCs w:val="20"/>
          <w:color w:val="auto"/>
        </w:rPr>
      </w:pPr>
      <w:r>
        <w:rPr>
          <w:rFonts w:ascii="Courier New" w:cs="Courier New" w:eastAsia="Courier New" w:hAnsi="Courier New"/>
          <w:sz w:val="15"/>
          <w:szCs w:val="15"/>
          <w:color w:val="auto"/>
        </w:rPr>
        <w:t>2.11.1. The Company shall make each payment of principal of and interest on the Loans and of additional compensation hereunder, on the date when due, in federal or</w:t>
      </w:r>
    </w:p>
    <w:p>
      <w:pPr>
        <w:sectPr>
          <w:pgSz w:w="11900" w:h="16838" w:orient="portrait"/>
          <w:cols w:equalWidth="0" w:num="1">
            <w:col w:w="10239"/>
          </w:cols>
          <w:pgMar w:left="220" w:top="617" w:right="1440" w:bottom="1440" w:gutter="0" w:footer="0" w:header="0"/>
        </w:sectPr>
      </w:pPr>
    </w:p>
    <w:bookmarkStart w:id="56" w:name="page57"/>
    <w:bookmarkEnd w:id="56"/>
    <w:p>
      <w:pPr>
        <w:ind w:left="6560"/>
        <w:spacing w:after="0"/>
        <w:rPr>
          <w:sz w:val="20"/>
          <w:szCs w:val="20"/>
          <w:color w:val="auto"/>
        </w:rPr>
      </w:pPr>
      <w:r>
        <w:rPr>
          <w:rFonts w:ascii="Courier New" w:cs="Courier New" w:eastAsia="Courier New" w:hAnsi="Courier New"/>
          <w:sz w:val="15"/>
          <w:szCs w:val="15"/>
          <w:color w:val="auto"/>
        </w:rPr>
        <w:t>31</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other funds immediately available in New York City, to the Agent, and the Company agrees to instruct its bank which will be transmitting such funds with respect to such payments not later than 10:00 A.M. (New York City time) on the date when due. The Agent will promptly distribute to each Bank its ratable share (if any) of each such payment received by the Agent for the account of the Banks. If the date for any payment of principal is extended by operation of law or otherwise, interest thereon shall be payable for such extended time.</w:t>
      </w:r>
    </w:p>
    <w:p>
      <w:pPr>
        <w:spacing w:after="0" w:line="166" w:lineRule="exact"/>
        <w:rPr>
          <w:sz w:val="20"/>
          <w:szCs w:val="20"/>
          <w:color w:val="auto"/>
        </w:rPr>
      </w:pPr>
    </w:p>
    <w:p>
      <w:pPr>
        <w:ind w:right="3319" w:firstLine="875"/>
        <w:spacing w:after="0" w:line="236" w:lineRule="auto"/>
        <w:rPr>
          <w:sz w:val="20"/>
          <w:szCs w:val="20"/>
          <w:color w:val="auto"/>
        </w:rPr>
      </w:pPr>
      <w:r>
        <w:rPr>
          <w:rFonts w:ascii="Courier New" w:cs="Courier New" w:eastAsia="Courier New" w:hAnsi="Courier New"/>
          <w:sz w:val="15"/>
          <w:szCs w:val="15"/>
          <w:color w:val="auto"/>
        </w:rPr>
        <w:t>2.11.2. Any Bank may from time to time, by notice to the Company and the Agent, designate (a) separate Domestic Lending Offices for its Base Rate Loans, on the one hand, and its CD Loans, on the other hand or (b) separate Money Market Lending Offices for its Money Market LIBOR Loans, on the one hand, and its Money Market Absolute Rate Loans, on the other hand; in any such case all references in this Agreement to the Domestic Lending Office or Money Market Lending Office of such Bank shall be deemed to refer to either or both of such designated offices, as the context may require.</w:t>
      </w:r>
    </w:p>
    <w:p>
      <w:pPr>
        <w:spacing w:after="0" w:line="177" w:lineRule="exact"/>
        <w:rPr>
          <w:sz w:val="20"/>
          <w:szCs w:val="20"/>
          <w:color w:val="auto"/>
        </w:rPr>
      </w:pPr>
    </w:p>
    <w:p>
      <w:pPr>
        <w:ind w:right="3319" w:firstLine="875"/>
        <w:spacing w:after="0" w:line="236" w:lineRule="auto"/>
        <w:rPr>
          <w:sz w:val="20"/>
          <w:szCs w:val="20"/>
          <w:color w:val="auto"/>
        </w:rPr>
      </w:pPr>
      <w:r>
        <w:rPr>
          <w:rFonts w:ascii="Courier New" w:cs="Courier New" w:eastAsia="Courier New" w:hAnsi="Courier New"/>
          <w:sz w:val="15"/>
          <w:szCs w:val="15"/>
          <w:color w:val="auto"/>
        </w:rPr>
        <w:t>2.11.3. Unless the Agent shall have received notice from the Company prior to the date on which any payment is due to the Banks hereunder that the Company will not make such payment in full, the Agent may assume that the Company has made such payment in full to the Agent on such date and the Agent may, in reliance upon such assumption, cause to be distributed to each Bank on such due date an amount equal to the amount then due such Bank. If and to the extent that the Company shall not have so made such payment, each Bank shall repay to the Agent forthwith on demand such amount distributed to such Bank together with interest thereon, for each day from the date such amount is distributed to such Bank until the date such Bank repays such amount to the Agent, at the Federal Funds Rate.</w:t>
      </w:r>
    </w:p>
    <w:p>
      <w:pPr>
        <w:spacing w:after="0" w:line="174" w:lineRule="exact"/>
        <w:rPr>
          <w:sz w:val="20"/>
          <w:szCs w:val="20"/>
          <w:color w:val="auto"/>
        </w:rPr>
      </w:pPr>
    </w:p>
    <w:p>
      <w:pPr>
        <w:ind w:left="880"/>
        <w:spacing w:after="0"/>
        <w:tabs>
          <w:tab w:leader="none" w:pos="1480" w:val="left"/>
          <w:tab w:leader="none" w:pos="2960" w:val="left"/>
        </w:tabs>
        <w:rPr>
          <w:sz w:val="20"/>
          <w:szCs w:val="20"/>
          <w:color w:val="auto"/>
        </w:rPr>
      </w:pPr>
      <w:r>
        <w:rPr>
          <w:rFonts w:ascii="Courier New" w:cs="Courier New" w:eastAsia="Courier New" w:hAnsi="Courier New"/>
          <w:sz w:val="15"/>
          <w:szCs w:val="15"/>
          <w:color w:val="auto"/>
        </w:rPr>
        <w:t>2.12.</w:t>
        <w:tab/>
        <w:t>Funding Losses.</w:t>
      </w:r>
      <w:r>
        <w:rPr>
          <w:sz w:val="20"/>
          <w:szCs w:val="20"/>
          <w:color w:val="auto"/>
        </w:rPr>
        <w:tab/>
      </w:r>
      <w:r>
        <w:rPr>
          <w:rFonts w:ascii="Courier New" w:cs="Courier New" w:eastAsia="Courier New" w:hAnsi="Courier New"/>
          <w:sz w:val="14"/>
          <w:szCs w:val="14"/>
          <w:color w:val="auto"/>
        </w:rPr>
        <w:t>If the Company (a) makes any payment of</w:t>
      </w:r>
    </w:p>
    <w:p>
      <w:pPr>
        <w:ind w:left="15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principal (except a payment required by Section 2.16) with respect to any Fixed Rate Loan (except a Money Market Loan bearing interest at the Prime Rate pursuant to Section 2.15) on any day other than (i) the last day of the Interest Period applicable to such Fixed Rate Loan or (ii) the end of an applicable period fixed pursuant to Section 2.14, or (b) fails to borrow any Fixed Rate Loan after notice has been given to any Bank in accordance with Section 2.4.1, the Company shall reimburse each Bank for any</w:t>
      </w:r>
    </w:p>
    <w:p>
      <w:pPr>
        <w:sectPr>
          <w:pgSz w:w="11900" w:h="16838" w:orient="portrait"/>
          <w:cols w:equalWidth="0" w:num="1">
            <w:col w:w="10239"/>
          </w:cols>
          <w:pgMar w:left="220" w:top="617" w:right="1440" w:bottom="1440" w:gutter="0" w:footer="0" w:header="0"/>
        </w:sectPr>
      </w:pPr>
    </w:p>
    <w:bookmarkStart w:id="57" w:name="page58"/>
    <w:bookmarkEnd w:id="57"/>
    <w:p>
      <w:pPr>
        <w:ind w:left="6560"/>
        <w:spacing w:after="0"/>
        <w:rPr>
          <w:sz w:val="20"/>
          <w:szCs w:val="20"/>
          <w:color w:val="auto"/>
        </w:rPr>
      </w:pPr>
      <w:r>
        <w:rPr>
          <w:rFonts w:ascii="Courier New" w:cs="Courier New" w:eastAsia="Courier New" w:hAnsi="Courier New"/>
          <w:sz w:val="15"/>
          <w:szCs w:val="15"/>
          <w:color w:val="auto"/>
        </w:rPr>
        <w:t>32</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resulting loss, premium or penalty which, in the reasonable judgment of such Bank, such Bank (or an existing or prospective participant in a related Loan) incurred, including (without limitation) any loss incurred in obtaining, liquidating or employing deposits from third parties, but excluding loss of margin for the period after any such payment. The Company shall not be required to pay any such reimbursement except upon demand therefor following receipt of a certificate from any such Bank as to the amount of such loss, premium or penalty, which certificate shall be conclusive in the absence of manifest error.</w:t>
      </w:r>
    </w:p>
    <w:p>
      <w:pPr>
        <w:spacing w:after="0" w:line="159" w:lineRule="exact"/>
        <w:rPr>
          <w:sz w:val="20"/>
          <w:szCs w:val="20"/>
          <w:color w:val="auto"/>
        </w:rPr>
      </w:pPr>
    </w:p>
    <w:p>
      <w:pPr>
        <w:ind w:left="880"/>
        <w:spacing w:after="0"/>
        <w:tabs>
          <w:tab w:leader="none" w:pos="1480" w:val="left"/>
          <w:tab w:leader="none" w:pos="4540" w:val="left"/>
        </w:tabs>
        <w:rPr>
          <w:sz w:val="20"/>
          <w:szCs w:val="20"/>
          <w:color w:val="auto"/>
        </w:rPr>
      </w:pPr>
      <w:r>
        <w:rPr>
          <w:rFonts w:ascii="Courier New" w:cs="Courier New" w:eastAsia="Courier New" w:hAnsi="Courier New"/>
          <w:sz w:val="15"/>
          <w:szCs w:val="15"/>
          <w:color w:val="auto"/>
        </w:rPr>
        <w:t>2.13.</w:t>
        <w:tab/>
        <w:t>Computation of Interest and Fees.</w:t>
      </w:r>
      <w:r>
        <w:rPr>
          <w:sz w:val="20"/>
          <w:szCs w:val="20"/>
          <w:color w:val="auto"/>
        </w:rPr>
        <w:tab/>
      </w:r>
      <w:r>
        <w:rPr>
          <w:rFonts w:ascii="Courier New" w:cs="Courier New" w:eastAsia="Courier New" w:hAnsi="Courier New"/>
          <w:sz w:val="14"/>
          <w:szCs w:val="14"/>
          <w:color w:val="auto"/>
        </w:rPr>
        <w:t>Interest based on the Prime</w:t>
      </w:r>
    </w:p>
    <w:p>
      <w:pPr>
        <w:ind w:left="15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Rate hereunder shall be computed on the basis of a year of 365 days (or 366 days in a leap year) and paid for the actual number of days elapsed (including the first day but excluding the last day). All other interest and fees shall be computed on the basis of a year of 360 days and paid for the actual number of days elapsed (including the first day but excluding the last day).</w:t>
      </w:r>
    </w:p>
    <w:p>
      <w:pPr>
        <w:spacing w:after="0" w:line="157" w:lineRule="exact"/>
        <w:rPr>
          <w:sz w:val="20"/>
          <w:szCs w:val="20"/>
          <w:color w:val="auto"/>
        </w:rPr>
      </w:pPr>
    </w:p>
    <w:p>
      <w:pPr>
        <w:ind w:left="880"/>
        <w:spacing w:after="0"/>
        <w:tabs>
          <w:tab w:leader="none" w:pos="1480" w:val="left"/>
          <w:tab w:leader="none" w:pos="3760" w:val="left"/>
        </w:tabs>
        <w:rPr>
          <w:sz w:val="20"/>
          <w:szCs w:val="20"/>
          <w:color w:val="auto"/>
        </w:rPr>
      </w:pPr>
      <w:r>
        <w:rPr>
          <w:rFonts w:ascii="Courier New" w:cs="Courier New" w:eastAsia="Courier New" w:hAnsi="Courier New"/>
          <w:sz w:val="15"/>
          <w:szCs w:val="15"/>
          <w:color w:val="auto"/>
        </w:rPr>
        <w:t>2.14.</w:t>
        <w:tab/>
        <w:t>Interest after Maturity.</w:t>
      </w:r>
      <w:r>
        <w:rPr>
          <w:sz w:val="20"/>
          <w:szCs w:val="20"/>
          <w:color w:val="auto"/>
        </w:rPr>
        <w:tab/>
      </w:r>
      <w:r>
        <w:rPr>
          <w:rFonts w:ascii="Courier New" w:cs="Courier New" w:eastAsia="Courier New" w:hAnsi="Courier New"/>
          <w:sz w:val="14"/>
          <w:szCs w:val="14"/>
          <w:color w:val="auto"/>
        </w:rPr>
        <w:t>Any overdue principal of, and, to</w:t>
      </w:r>
    </w:p>
    <w:p>
      <w:pPr>
        <w:ind w:left="150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the extent permitted by law, overdue interest on:</w:t>
      </w:r>
    </w:p>
    <w:p>
      <w:pPr>
        <w:spacing w:after="0" w:line="173" w:lineRule="exact"/>
        <w:rPr>
          <w:sz w:val="20"/>
          <w:szCs w:val="20"/>
          <w:color w:val="auto"/>
        </w:rPr>
      </w:pPr>
    </w:p>
    <w:p>
      <w:pPr>
        <w:jc w:val="both"/>
        <w:ind w:right="3319" w:firstLine="875"/>
        <w:spacing w:after="0" w:line="235" w:lineRule="auto"/>
        <w:rPr>
          <w:sz w:val="20"/>
          <w:szCs w:val="20"/>
          <w:color w:val="auto"/>
        </w:rPr>
      </w:pPr>
      <w:r>
        <w:rPr>
          <w:rFonts w:ascii="Courier New" w:cs="Courier New" w:eastAsia="Courier New" w:hAnsi="Courier New"/>
          <w:sz w:val="15"/>
          <w:szCs w:val="15"/>
          <w:color w:val="auto"/>
        </w:rPr>
        <w:t>2.14.1. any Base Rate Loan, CD Loan or Money Market Loan shall bear interest, payable on demand, for each day until paid at, a rate per annum equal to the sum of l% plus the Base Rate for such day; and</w:t>
      </w:r>
    </w:p>
    <w:p>
      <w:pPr>
        <w:spacing w:after="0" w:line="174" w:lineRule="exact"/>
        <w:rPr>
          <w:sz w:val="20"/>
          <w:szCs w:val="20"/>
          <w:color w:val="auto"/>
        </w:rPr>
      </w:pPr>
    </w:p>
    <w:p>
      <w:pPr>
        <w:ind w:right="3239" w:firstLine="875"/>
        <w:spacing w:after="0" w:line="255" w:lineRule="auto"/>
        <w:rPr>
          <w:sz w:val="20"/>
          <w:szCs w:val="20"/>
          <w:color w:val="auto"/>
        </w:rPr>
      </w:pPr>
      <w:r>
        <w:rPr>
          <w:rFonts w:ascii="Courier New" w:cs="Courier New" w:eastAsia="Courier New" w:hAnsi="Courier New"/>
          <w:sz w:val="14"/>
          <w:szCs w:val="14"/>
          <w:color w:val="auto"/>
        </w:rPr>
        <w:t>2.14.2. any Euro-Dollar Loan shall bear interest, payable on demand, for each day from and including the date payment thereof was due to but excluding the date of actual payment, either (y) at a rate per annum equal to the sum of 2% plus the Euro-Dollar Margin plus the average (rounded upward, if necessary, to the next higher 1/16th of 1%) of the respective rates per annum at which one day (or, if such overdue payment remains unpaid more than three Euro-Dollar Business Days, then for such other period of time not longer than three months as the Agent may elect) deposits in dollars in an amount approximately equal to the Euro-Dollar Reference Bank's respective portion of such overdue payment are offered to each of the Euro-Dollar Reference Banks in the London interbank market for the applicable period determined as provided above or, (z) if the circumstances described in Section 2.15(a) or (b) shall exist, at a rate per annum equal to the sum of 1% plus the Base Rate for such day.</w:t>
      </w:r>
    </w:p>
    <w:p>
      <w:pPr>
        <w:sectPr>
          <w:pgSz w:w="11900" w:h="16838" w:orient="portrait"/>
          <w:cols w:equalWidth="0" w:num="1">
            <w:col w:w="10239"/>
          </w:cols>
          <w:pgMar w:left="220" w:top="617" w:right="1440" w:bottom="1440" w:gutter="0" w:footer="0" w:header="0"/>
        </w:sectPr>
      </w:pPr>
    </w:p>
    <w:bookmarkStart w:id="58" w:name="page59"/>
    <w:bookmarkEnd w:id="58"/>
    <w:p>
      <w:pPr>
        <w:ind w:left="6560"/>
        <w:spacing w:after="0"/>
        <w:rPr>
          <w:sz w:val="20"/>
          <w:szCs w:val="20"/>
          <w:color w:val="auto"/>
        </w:rPr>
      </w:pPr>
      <w:r>
        <w:rPr>
          <w:rFonts w:ascii="Courier New" w:cs="Courier New" w:eastAsia="Courier New" w:hAnsi="Courier New"/>
          <w:sz w:val="15"/>
          <w:szCs w:val="15"/>
          <w:color w:val="auto"/>
        </w:rPr>
        <w:t>33</w:t>
      </w:r>
    </w:p>
    <w:p>
      <w:pPr>
        <w:spacing w:after="0" w:line="335" w:lineRule="exact"/>
        <w:rPr>
          <w:sz w:val="20"/>
          <w:szCs w:val="20"/>
          <w:color w:val="auto"/>
        </w:rPr>
      </w:pPr>
    </w:p>
    <w:p>
      <w:pPr>
        <w:ind w:left="880"/>
        <w:spacing w:after="0"/>
        <w:tabs>
          <w:tab w:leader="none" w:pos="1480" w:val="left"/>
          <w:tab w:leader="none" w:pos="6640" w:val="left"/>
        </w:tabs>
        <w:rPr>
          <w:sz w:val="20"/>
          <w:szCs w:val="20"/>
          <w:color w:val="auto"/>
        </w:rPr>
      </w:pPr>
      <w:r>
        <w:rPr>
          <w:rFonts w:ascii="Courier New" w:cs="Courier New" w:eastAsia="Courier New" w:hAnsi="Courier New"/>
          <w:sz w:val="15"/>
          <w:szCs w:val="15"/>
          <w:color w:val="auto"/>
        </w:rPr>
        <w:t>2.15.</w:t>
        <w:tab/>
        <w:t>Basis for Determining Interest Rate Inadequate or Unfair.</w:t>
        <w:tab/>
        <w:t>If</w:t>
      </w:r>
    </w:p>
    <w:p>
      <w:pPr>
        <w:ind w:left="15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on or prior to the first day of any Interest Period for any Fixed Rate Borrowing (other than a Money Market Absolute Rate Borrowing):</w:t>
      </w:r>
    </w:p>
    <w:p>
      <w:pPr>
        <w:spacing w:after="0" w:line="173" w:lineRule="exact"/>
        <w:rPr>
          <w:sz w:val="20"/>
          <w:szCs w:val="20"/>
          <w:color w:val="auto"/>
        </w:rPr>
      </w:pPr>
    </w:p>
    <w:p>
      <w:pPr>
        <w:ind w:left="440" w:right="3239" w:firstLine="444"/>
        <w:spacing w:after="0" w:line="235" w:lineRule="auto"/>
        <w:tabs>
          <w:tab w:leader="none" w:pos="1315"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is advised by each of the Reference Banks that deposits in dollars (in the applicable amounts) are not being offered to such Reference Bank in the relevant market for such Interest Period, or</w:t>
      </w:r>
    </w:p>
    <w:p>
      <w:pPr>
        <w:spacing w:after="0" w:line="173" w:lineRule="exact"/>
        <w:rPr>
          <w:rFonts w:ascii="Courier New" w:cs="Courier New" w:eastAsia="Courier New" w:hAnsi="Courier New"/>
          <w:sz w:val="15"/>
          <w:szCs w:val="15"/>
          <w:color w:val="auto"/>
        </w:rPr>
      </w:pPr>
    </w:p>
    <w:p>
      <w:pPr>
        <w:ind w:left="440" w:right="3239" w:firstLine="444"/>
        <w:spacing w:after="0" w:line="236" w:lineRule="auto"/>
        <w:tabs>
          <w:tab w:leader="none" w:pos="1315"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Syndicated Borrowing, Banks having 50% or more of the aggregate amount of the Commitments advise the Agent that the Adjusted CD Rate or the London Interbank Offered Rate, as the case, may be, as determined by the Agent will not adequately and fairly reflect the cost to such Banks of funding their CD Loans or Euro-Dollar Loans, as the case may for such Interest Period,</w:t>
      </w:r>
    </w:p>
    <w:p>
      <w:pPr>
        <w:spacing w:after="0" w:line="17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Agent shall forthwith give notice thereof, but not later than 10:00 A.M. (New York City time) on the date of such Borrowing, to the Company and the Banks, whereupon until the Agent notifies the Company that the circumstances giving rise to such suspension no longer exist, the obligations of the Banks to make CD Loans or Euro-Dollar Loans, as the case may be, shall be suspended. Unless the Company notifies the Agent by 12:00 Noon (New York City time) on the date of any Fixed Rate Borrowing for which a Notice of Borrowing has previously been given that it elects not to borrow on such date, (i) if such Fixed Rate Borrowing is a Syndicated Borrowing, such Borrowing shall instead be made as a Base Rate Borrowing and (ii) if such Fixed Rate Borrowing is a Money Market LIBOR Borrowing, the Money Market LIBOR Loans comprising such Borrowing shall bear interest for each day from and including the first day to but excluding the last day of the Interest Period applicable thereto at the Prime Rate for such day.</w:t>
      </w:r>
    </w:p>
    <w:p>
      <w:pPr>
        <w:spacing w:after="0" w:line="167" w:lineRule="exact"/>
        <w:rPr>
          <w:sz w:val="20"/>
          <w:szCs w:val="20"/>
          <w:color w:val="auto"/>
        </w:rPr>
      </w:pPr>
    </w:p>
    <w:p>
      <w:pPr>
        <w:jc w:val="right"/>
        <w:ind w:right="3239"/>
        <w:spacing w:after="0"/>
        <w:tabs>
          <w:tab w:leader="none" w:pos="5480" w:val="left"/>
          <w:tab w:leader="none" w:pos="4340" w:val="left"/>
        </w:tabs>
        <w:rPr>
          <w:sz w:val="20"/>
          <w:szCs w:val="20"/>
          <w:color w:val="auto"/>
        </w:rPr>
      </w:pPr>
      <w:r>
        <w:rPr>
          <w:rFonts w:ascii="Courier New" w:cs="Courier New" w:eastAsia="Courier New" w:hAnsi="Courier New"/>
          <w:sz w:val="15"/>
          <w:szCs w:val="15"/>
          <w:color w:val="auto"/>
        </w:rPr>
        <w:t>2.16.</w:t>
        <w:tab/>
        <w:t>Illegality.</w:t>
      </w:r>
      <w:r>
        <w:rPr>
          <w:sz w:val="20"/>
          <w:szCs w:val="20"/>
          <w:color w:val="auto"/>
        </w:rPr>
        <w:tab/>
      </w:r>
      <w:r>
        <w:rPr>
          <w:rFonts w:ascii="Courier New" w:cs="Courier New" w:eastAsia="Courier New" w:hAnsi="Courier New"/>
          <w:sz w:val="14"/>
          <w:szCs w:val="14"/>
          <w:color w:val="auto"/>
        </w:rPr>
        <w:t>If, after the date of this Agreement, the adoption</w:t>
      </w:r>
    </w:p>
    <w:p>
      <w:pPr>
        <w:ind w:left="15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of any applicable law, rule or regulation, or any change in any applicable law, rule or regulation, or any change in the interpretation or administration thereof by any governmental authority, central bank or comparable agency charged with the interpretation or administration thereof, or compliance by any Bank (or its Euro-Dollar Lending Office) with any request or directive (whether or not having the force of law) of any such authority, central bank or comparable</w:t>
      </w:r>
    </w:p>
    <w:p>
      <w:pPr>
        <w:sectPr>
          <w:pgSz w:w="11900" w:h="16838" w:orient="portrait"/>
          <w:cols w:equalWidth="0" w:num="1">
            <w:col w:w="10239"/>
          </w:cols>
          <w:pgMar w:left="220" w:top="617" w:right="1440" w:bottom="1440" w:gutter="0" w:footer="0" w:header="0"/>
        </w:sectPr>
      </w:pPr>
    </w:p>
    <w:bookmarkStart w:id="59" w:name="page60"/>
    <w:bookmarkEnd w:id="59"/>
    <w:p>
      <w:pPr>
        <w:ind w:left="6560"/>
        <w:spacing w:after="0"/>
        <w:rPr>
          <w:sz w:val="20"/>
          <w:szCs w:val="20"/>
          <w:color w:val="auto"/>
        </w:rPr>
      </w:pPr>
      <w:r>
        <w:rPr>
          <w:rFonts w:ascii="Courier New" w:cs="Courier New" w:eastAsia="Courier New" w:hAnsi="Courier New"/>
          <w:sz w:val="15"/>
          <w:szCs w:val="15"/>
          <w:color w:val="auto"/>
        </w:rPr>
        <w:t>34</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agency shall make it unlawful or impossible for any Bank (or its Euro-Dollar Lending Office) to make, maintain or fund its Euro-Dollar Loans and such Bank shall so notify the Agent and the Company, the Agent shall forthwith give notice thereof to the other Banks, whereupon until such Bank notifies the Company and the Agent that the circumstances giving rise to such suspension no longer exist, the obligation of such Bank to make Euro-Dollar Loans shall be suspended.</w:t>
      </w:r>
    </w:p>
    <w:p>
      <w:pPr>
        <w:spacing w:after="0" w:line="2"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Before giving notice to the Agent pursuant to this Section, such Bank shall designate a different Euro-Dollar Lending Office if such designation will avoid the need for giving such notice and will not, in the judgment of such Bank, be otherwise disadvantageous to such Bank. If such Bank shall determine that it may not lawfully continue to maintain and fund any of its outstanding Euro-Dollar Loans to maturity and shall so specify in such notice, the Company shall immediately prepay in full such Loans, together with accrued interest thereon. Concurrently with prepaying each such Euro-Dollar Loan, the Company shall borrow a Base Rate Loan in an equal principal amount from such Bank (on which interest and principal shall be payable contemporaneously with the related Euro-Dollar Loans of the other Banks), and such Bank shall make such a Base Rate Loan.</w:t>
      </w:r>
    </w:p>
    <w:p>
      <w:pPr>
        <w:spacing w:after="0" w:line="158" w:lineRule="exact"/>
        <w:rPr>
          <w:sz w:val="20"/>
          <w:szCs w:val="20"/>
          <w:color w:val="auto"/>
        </w:rPr>
      </w:pPr>
    </w:p>
    <w:p>
      <w:pPr>
        <w:ind w:left="880"/>
        <w:spacing w:after="0"/>
        <w:tabs>
          <w:tab w:leader="none" w:pos="1480" w:val="left"/>
        </w:tabs>
        <w:rPr>
          <w:sz w:val="20"/>
          <w:szCs w:val="20"/>
          <w:color w:val="auto"/>
        </w:rPr>
      </w:pPr>
      <w:r>
        <w:rPr>
          <w:rFonts w:ascii="Courier New" w:cs="Courier New" w:eastAsia="Courier New" w:hAnsi="Courier New"/>
          <w:sz w:val="15"/>
          <w:szCs w:val="15"/>
          <w:color w:val="auto"/>
        </w:rPr>
        <w:t>2.17.</w:t>
      </w:r>
      <w:r>
        <w:rPr>
          <w:sz w:val="20"/>
          <w:szCs w:val="20"/>
          <w:color w:val="auto"/>
        </w:rPr>
        <w:tab/>
      </w:r>
      <w:r>
        <w:rPr>
          <w:rFonts w:ascii="Courier New" w:cs="Courier New" w:eastAsia="Courier New" w:hAnsi="Courier New"/>
          <w:sz w:val="14"/>
          <w:szCs w:val="14"/>
          <w:color w:val="auto"/>
        </w:rPr>
        <w:t>Increased Cost and Reduced Return.</w:t>
      </w:r>
    </w:p>
    <w:p>
      <w:pPr>
        <w:ind w:left="150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2.17.1. If, on or after (a) the date hereof, in the case of any Syndicated Loan or any obligation to make Syndicated Loans or (b) the date of the related Quote, in the case of any Money Market Loan, the adoption of any applicable law, rule or regulation, or any change in any applicable law, rule or regulation, or any change in the interpretation or administration thereof by any governmental authority, central bank or comparable agency charged with the interpretation or administration thereof, or compliance by any Bank (or its Lending Office) with any request or directive (whether or not having the force of law) of any such authority, central bank or comparable agency:</w:t>
      </w:r>
    </w:p>
    <w:p>
      <w:pPr>
        <w:spacing w:after="0" w:line="178" w:lineRule="exact"/>
        <w:rPr>
          <w:sz w:val="20"/>
          <w:szCs w:val="20"/>
          <w:color w:val="auto"/>
        </w:rPr>
      </w:pPr>
    </w:p>
    <w:p>
      <w:pPr>
        <w:ind w:left="440" w:right="3319" w:firstLine="444"/>
        <w:spacing w:after="0" w:line="236" w:lineRule="auto"/>
        <w:tabs>
          <w:tab w:leader="none" w:pos="1315"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subject any Bank (or its Lending Office) to any tax, duty or other charge with respect to its Fixed Rate Loans, its Notes or its obligation to make Fixed Rate Loans, or shall change the basis of taxation of payments to any Bank (or its Lending Office) of the principal of or interest on its Fixed Rate Loans or any other amounts due under this Agreement in respect of its Fixed Rate Loans or its obligation to make Fixed Rate</w:t>
      </w:r>
    </w:p>
    <w:p>
      <w:pPr>
        <w:sectPr>
          <w:pgSz w:w="11900" w:h="16838" w:orient="portrait"/>
          <w:cols w:equalWidth="0" w:num="1">
            <w:col w:w="10239"/>
          </w:cols>
          <w:pgMar w:left="220" w:top="617" w:right="1440" w:bottom="1440" w:gutter="0" w:footer="0" w:header="0"/>
        </w:sectPr>
      </w:pPr>
    </w:p>
    <w:bookmarkStart w:id="60" w:name="page61"/>
    <w:bookmarkEnd w:id="60"/>
    <w:p>
      <w:pPr>
        <w:ind w:left="6560"/>
        <w:spacing w:after="0"/>
        <w:rPr>
          <w:sz w:val="20"/>
          <w:szCs w:val="20"/>
          <w:color w:val="auto"/>
        </w:rPr>
      </w:pPr>
      <w:r>
        <w:rPr>
          <w:rFonts w:ascii="Courier New" w:cs="Courier New" w:eastAsia="Courier New" w:hAnsi="Courier New"/>
          <w:sz w:val="15"/>
          <w:szCs w:val="15"/>
          <w:color w:val="auto"/>
        </w:rPr>
        <w:t>35</w:t>
      </w:r>
    </w:p>
    <w:p>
      <w:pPr>
        <w:spacing w:after="0" w:line="173" w:lineRule="exact"/>
        <w:rPr>
          <w:sz w:val="20"/>
          <w:szCs w:val="20"/>
          <w:color w:val="auto"/>
        </w:rPr>
      </w:pPr>
    </w:p>
    <w:p>
      <w:pPr>
        <w:jc w:val="both"/>
        <w:ind w:left="440" w:right="3399"/>
        <w:spacing w:after="0" w:line="235" w:lineRule="auto"/>
        <w:rPr>
          <w:sz w:val="20"/>
          <w:szCs w:val="20"/>
          <w:color w:val="auto"/>
        </w:rPr>
      </w:pPr>
      <w:r>
        <w:rPr>
          <w:rFonts w:ascii="Courier New" w:cs="Courier New" w:eastAsia="Courier New" w:hAnsi="Courier New"/>
          <w:sz w:val="15"/>
          <w:szCs w:val="15"/>
          <w:color w:val="auto"/>
        </w:rPr>
        <w:t>Loans (except for changes in the rate of tax on the overall net income of such Bank or its Lending Office imposed by the jurisdiction in which such Bank's executive office or Lending Office is located); or</w:t>
      </w:r>
    </w:p>
    <w:p>
      <w:pPr>
        <w:spacing w:after="0" w:line="174" w:lineRule="exact"/>
        <w:rPr>
          <w:sz w:val="20"/>
          <w:szCs w:val="20"/>
          <w:color w:val="auto"/>
        </w:rPr>
      </w:pPr>
    </w:p>
    <w:p>
      <w:pPr>
        <w:ind w:left="440" w:right="3239" w:firstLine="444"/>
        <w:spacing w:after="0" w:line="237" w:lineRule="auto"/>
        <w:tabs>
          <w:tab w:leader="none" w:pos="1402"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impose, modify or deem applicable any reserve, special deposit or similar requirement (including, without limitation, any such requirement imposed by the Board of Governors of the Federal Reserve System, but excluding (A) with respect to any CD Loan any such requirement included in an applicable Domestic Reserve Percentage and (B) with respect to any Euro-Dollar Loan any such requirement with respect to which such Bank is entitled to compensation under Section 2.7.4 during the relevant Interest Period) against assets of, deposits with or for the account of, or credit extended by, any Bank (or its Lending Office) or shall impose on any Bank (or its Lending Office) or on the United States market for certificates of deposit or the London interbank market any other condition affecting its Rate Loans, its Notes or its obligation to make Fixed Rate Loans;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and the result of any of the foregoing is to increase the cost to such Bank (or its Lending Office) of making or maintaining any Fixed Rate Loan, or to reduce the amount of any sum received or receivable by such Bank (or its Lending Office) under this Agreement or under its Notes with respect thereto, by an amount determined by such Bank to be material, then, within 15 days after demand by such Bank (with a copy to the Agent), the Company shall pay to such Bank such additional amount or amounts as will compensate such Bank for such increased cost or reduction.</w:t>
      </w:r>
    </w:p>
    <w:p>
      <w:pPr>
        <w:spacing w:after="0" w:line="177" w:lineRule="exact"/>
        <w:rPr>
          <w:sz w:val="20"/>
          <w:szCs w:val="20"/>
          <w:color w:val="auto"/>
        </w:rPr>
      </w:pPr>
    </w:p>
    <w:p>
      <w:pPr>
        <w:ind w:right="3319" w:firstLine="875"/>
        <w:spacing w:after="0" w:line="255" w:lineRule="auto"/>
        <w:rPr>
          <w:sz w:val="20"/>
          <w:szCs w:val="20"/>
          <w:color w:val="auto"/>
        </w:rPr>
      </w:pPr>
      <w:r>
        <w:rPr>
          <w:rFonts w:ascii="Courier New" w:cs="Courier New" w:eastAsia="Courier New" w:hAnsi="Courier New"/>
          <w:sz w:val="14"/>
          <w:szCs w:val="14"/>
          <w:color w:val="auto"/>
        </w:rPr>
        <w:t>2.17.2. If any Bank shall determine that, on or after the date hereof, the adoption of any applicable law, rule or regulation regarding capital adequacy, or any change in any existing or future law, rule or regulation, or any change in the interpretation or administration thereof by any governmental authority, central bank or comparable agency charged with the interpretation or administration thereof, or any request or directive regarding capital adequacy (whether or not having the force of law) of any such authority, central bank or comparable agency, has or would have the effect of reducing the rate of return on such Bank's capital as a consequence of its obligations under this Agreement to a level below that which such Bank could have achieved but for such adoption, change or compliance</w:t>
      </w:r>
    </w:p>
    <w:p>
      <w:pPr>
        <w:sectPr>
          <w:pgSz w:w="11900" w:h="16838" w:orient="portrait"/>
          <w:cols w:equalWidth="0" w:num="1">
            <w:col w:w="10239"/>
          </w:cols>
          <w:pgMar w:left="220" w:top="617" w:right="1440" w:bottom="1440" w:gutter="0" w:footer="0" w:header="0"/>
        </w:sectPr>
      </w:pPr>
    </w:p>
    <w:bookmarkStart w:id="61" w:name="page62"/>
    <w:bookmarkEnd w:id="61"/>
    <w:p>
      <w:pPr>
        <w:ind w:left="6560"/>
        <w:spacing w:after="0"/>
        <w:rPr>
          <w:sz w:val="20"/>
          <w:szCs w:val="20"/>
          <w:color w:val="auto"/>
        </w:rPr>
      </w:pPr>
      <w:r>
        <w:rPr>
          <w:rFonts w:ascii="Courier New" w:cs="Courier New" w:eastAsia="Courier New" w:hAnsi="Courier New"/>
          <w:sz w:val="15"/>
          <w:szCs w:val="15"/>
          <w:color w:val="auto"/>
        </w:rPr>
        <w:t>36</w:t>
      </w:r>
    </w:p>
    <w:p>
      <w:pPr>
        <w:spacing w:after="0" w:line="34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(taking into consideration such Bank's policies with respect to capital adequacy) by an amount determined by such Bank to be material, then from time to time, and following receipt by the Agent and the Company of a certificate from such Bank pursuant to Section 2.17.3, the Agent shall adjust the amount of the facility fee payable pursuant to Section 2.8 for the account of such Bank to include such additional amount or amounts as will compensate such Bank for any such reduction.</w:t>
      </w:r>
    </w:p>
    <w:p>
      <w:pPr>
        <w:spacing w:after="0" w:line="176" w:lineRule="exact"/>
        <w:rPr>
          <w:sz w:val="20"/>
          <w:szCs w:val="20"/>
          <w:color w:val="auto"/>
        </w:rPr>
      </w:pPr>
    </w:p>
    <w:p>
      <w:pPr>
        <w:ind w:right="3239" w:firstLine="875"/>
        <w:spacing w:after="0" w:line="237" w:lineRule="auto"/>
        <w:rPr>
          <w:sz w:val="20"/>
          <w:szCs w:val="20"/>
          <w:color w:val="auto"/>
        </w:rPr>
      </w:pPr>
      <w:r>
        <w:rPr>
          <w:rFonts w:ascii="Courier New" w:cs="Courier New" w:eastAsia="Courier New" w:hAnsi="Courier New"/>
          <w:sz w:val="15"/>
          <w:szCs w:val="15"/>
          <w:color w:val="auto"/>
        </w:rPr>
        <w:t>2.17.3. Each Bank will promptly notify the Company and the Agent of any event of which it has knowledge, occurring on or after the date of this Agreement, which will entitle such Bank to compensation pursuant to this Section 2.17 and will designate a different Lending Office if such designation will avoid the need for, or reduce the amount of, such compensation and will not, in the judgment of such Bank, be otherwise disadvantageous to such Bank. A certificate of any Bank claiming compensation under this Section 2.17 and setting forth the calculation for the additional amount or amounts to be paid to such Bank under this Section 2.17 shall be conclusive in the absence of manifest error. In determining any such amount, such Bank shall make its calculations (which shall be set forth in the certificate) reasonably and in good faith using any reasonable averaging and attribution methods (which shall be set forth in the certificate).</w:t>
      </w:r>
    </w:p>
    <w:p>
      <w:pPr>
        <w:spacing w:after="0" w:line="167" w:lineRule="exact"/>
        <w:rPr>
          <w:sz w:val="20"/>
          <w:szCs w:val="20"/>
          <w:color w:val="auto"/>
        </w:rPr>
      </w:pPr>
    </w:p>
    <w:p>
      <w:pPr>
        <w:ind w:left="880"/>
        <w:spacing w:after="0"/>
        <w:tabs>
          <w:tab w:leader="none" w:pos="1480" w:val="left"/>
          <w:tab w:leader="none" w:pos="6720" w:val="left"/>
        </w:tabs>
        <w:rPr>
          <w:sz w:val="20"/>
          <w:szCs w:val="20"/>
          <w:color w:val="auto"/>
        </w:rPr>
      </w:pPr>
      <w:r>
        <w:rPr>
          <w:rFonts w:ascii="Courier New" w:cs="Courier New" w:eastAsia="Courier New" w:hAnsi="Courier New"/>
          <w:sz w:val="15"/>
          <w:szCs w:val="15"/>
          <w:color w:val="auto"/>
        </w:rPr>
        <w:t>2.18.</w:t>
        <w:tab/>
        <w:t>Base Rate Loans Substituted for Affected Fixed Rate Loans.</w:t>
        <w:tab/>
        <w:t>If</w:t>
      </w:r>
    </w:p>
    <w:p>
      <w:pPr>
        <w:ind w:left="15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either (a) the obligation of any Bank to make Euro-Dollar Loans has been suspended pursuant to Section 2.16 or (b) any Bank has demanded compensation pursuant to Section 2.17.1 and the Company shall, by at least five Euro-Dollar Business Days' prior notice to such Bank through the Agent, have elected that the provisions of this Section 2.18 shall apply to such Bank, then, unless and until such Bank notifies the Company and the Agent that the circumstances giving rise to such suspension or demand for compensation no longer apply:</w:t>
      </w:r>
    </w:p>
    <w:p>
      <w:pPr>
        <w:spacing w:after="0" w:line="166" w:lineRule="exact"/>
        <w:rPr>
          <w:sz w:val="20"/>
          <w:szCs w:val="20"/>
          <w:color w:val="auto"/>
        </w:rPr>
      </w:pPr>
    </w:p>
    <w:p>
      <w:pPr>
        <w:jc w:val="both"/>
        <w:ind w:right="3399" w:firstLine="875"/>
        <w:spacing w:after="0" w:line="256" w:lineRule="auto"/>
        <w:rPr>
          <w:sz w:val="20"/>
          <w:szCs w:val="20"/>
          <w:color w:val="auto"/>
        </w:rPr>
      </w:pPr>
      <w:r>
        <w:rPr>
          <w:rFonts w:ascii="Courier New" w:cs="Courier New" w:eastAsia="Courier New" w:hAnsi="Courier New"/>
          <w:sz w:val="14"/>
          <w:szCs w:val="14"/>
          <w:color w:val="auto"/>
        </w:rPr>
        <w:t>2.18.1. All Loans which would otherwise be made by such Bank as CD Loans or Euro-Dollar Loans, as the case may be, shall be made instead as Base Rate Loans (on which interest and principal shall be payable contemporaneously with the related Fixed Rate Loans of the other Banks); and</w:t>
      </w:r>
    </w:p>
    <w:p>
      <w:pPr>
        <w:sectPr>
          <w:pgSz w:w="11900" w:h="16838" w:orient="portrait"/>
          <w:cols w:equalWidth="0" w:num="1">
            <w:col w:w="10239"/>
          </w:cols>
          <w:pgMar w:left="220" w:top="617" w:right="1440" w:bottom="1440" w:gutter="0" w:footer="0" w:header="0"/>
        </w:sectPr>
      </w:pPr>
    </w:p>
    <w:bookmarkStart w:id="62" w:name="page63"/>
    <w:bookmarkEnd w:id="62"/>
    <w:p>
      <w:pPr>
        <w:ind w:left="6560"/>
        <w:spacing w:after="0"/>
        <w:rPr>
          <w:sz w:val="20"/>
          <w:szCs w:val="20"/>
          <w:color w:val="auto"/>
        </w:rPr>
      </w:pPr>
      <w:r>
        <w:rPr>
          <w:rFonts w:ascii="Courier New" w:cs="Courier New" w:eastAsia="Courier New" w:hAnsi="Courier New"/>
          <w:sz w:val="15"/>
          <w:szCs w:val="15"/>
          <w:color w:val="auto"/>
        </w:rPr>
        <w:t>37</w:t>
      </w:r>
    </w:p>
    <w:p>
      <w:pPr>
        <w:spacing w:after="0" w:line="341" w:lineRule="exact"/>
        <w:rPr>
          <w:sz w:val="20"/>
          <w:szCs w:val="20"/>
          <w:color w:val="auto"/>
        </w:rPr>
      </w:pPr>
    </w:p>
    <w:p>
      <w:pPr>
        <w:ind w:right="3239" w:firstLine="875"/>
        <w:spacing w:after="0" w:line="235" w:lineRule="auto"/>
        <w:rPr>
          <w:sz w:val="20"/>
          <w:szCs w:val="20"/>
          <w:color w:val="auto"/>
        </w:rPr>
      </w:pPr>
      <w:r>
        <w:rPr>
          <w:rFonts w:ascii="Courier New" w:cs="Courier New" w:eastAsia="Courier New" w:hAnsi="Courier New"/>
          <w:sz w:val="15"/>
          <w:szCs w:val="15"/>
          <w:color w:val="auto"/>
        </w:rPr>
        <w:t>2.18.2. After each of the CD Loans or Euro-Dollar Loans of such Bank, as the case may be, has been repaid, all payments of principal which would otherwise be applied to repay such Fixed Rate Loans shall be applied to repay its Base Rate Loans instead.</w:t>
      </w:r>
    </w:p>
    <w:p>
      <w:pPr>
        <w:spacing w:after="0" w:line="33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SECTION 3</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CONDITIONS TO BORROWINGS</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The obligation of any Bank to make a Loan on the occasion of any</w:t>
      </w:r>
    </w:p>
    <w:p>
      <w:pPr>
        <w:spacing w:after="0" w:line="237" w:lineRule="auto"/>
        <w:rPr>
          <w:sz w:val="20"/>
          <w:szCs w:val="20"/>
          <w:color w:val="auto"/>
        </w:rPr>
      </w:pPr>
      <w:r>
        <w:rPr>
          <w:rFonts w:ascii="Courier New" w:cs="Courier New" w:eastAsia="Courier New" w:hAnsi="Courier New"/>
          <w:sz w:val="15"/>
          <w:szCs w:val="15"/>
          <w:color w:val="auto"/>
        </w:rPr>
        <w:t>Borrowing is subject to the satisfaction of the following conditions:</w:t>
      </w:r>
    </w:p>
    <w:p>
      <w:pPr>
        <w:spacing w:after="0" w:line="167" w:lineRule="exact"/>
        <w:rPr>
          <w:sz w:val="20"/>
          <w:szCs w:val="20"/>
          <w:color w:val="auto"/>
        </w:rPr>
      </w:pPr>
    </w:p>
    <w:p>
      <w:pPr>
        <w:ind w:left="880"/>
        <w:spacing w:after="0"/>
        <w:tabs>
          <w:tab w:leader="none" w:pos="1380" w:val="left"/>
          <w:tab w:leader="none" w:pos="3320" w:val="left"/>
        </w:tabs>
        <w:rPr>
          <w:sz w:val="20"/>
          <w:szCs w:val="20"/>
          <w:color w:val="auto"/>
        </w:rPr>
      </w:pPr>
      <w:r>
        <w:rPr>
          <w:rFonts w:ascii="Courier New" w:cs="Courier New" w:eastAsia="Courier New" w:hAnsi="Courier New"/>
          <w:sz w:val="15"/>
          <w:szCs w:val="15"/>
          <w:color w:val="auto"/>
        </w:rPr>
        <w:t>3.1.</w:t>
        <w:tab/>
        <w:t>Notice of Borrowing.</w:t>
      </w:r>
      <w:r>
        <w:rPr>
          <w:sz w:val="20"/>
          <w:szCs w:val="20"/>
          <w:color w:val="auto"/>
        </w:rPr>
        <w:tab/>
      </w:r>
      <w:r>
        <w:rPr>
          <w:rFonts w:ascii="Courier New" w:cs="Courier New" w:eastAsia="Courier New" w:hAnsi="Courier New"/>
          <w:sz w:val="14"/>
          <w:szCs w:val="14"/>
          <w:color w:val="auto"/>
        </w:rPr>
        <w:t>The Agent shall have received a Notice of</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Borrowing as required by Section 2.2 or 2.3, as the case may be.</w:t>
      </w:r>
    </w:p>
    <w:p>
      <w:pPr>
        <w:spacing w:after="0" w:line="167" w:lineRule="exact"/>
        <w:rPr>
          <w:sz w:val="20"/>
          <w:szCs w:val="20"/>
          <w:color w:val="auto"/>
        </w:rPr>
      </w:pPr>
    </w:p>
    <w:p>
      <w:pPr>
        <w:ind w:left="880"/>
        <w:spacing w:after="0"/>
        <w:tabs>
          <w:tab w:leader="none" w:pos="1380" w:val="left"/>
          <w:tab w:leader="none" w:pos="2960" w:val="left"/>
          <w:tab w:leader="none" w:pos="4360" w:val="left"/>
        </w:tabs>
        <w:rPr>
          <w:sz w:val="20"/>
          <w:szCs w:val="20"/>
          <w:color w:val="auto"/>
        </w:rPr>
      </w:pPr>
      <w:r>
        <w:rPr>
          <w:rFonts w:ascii="Courier New" w:cs="Courier New" w:eastAsia="Courier New" w:hAnsi="Courier New"/>
          <w:sz w:val="15"/>
          <w:szCs w:val="15"/>
          <w:color w:val="auto"/>
        </w:rPr>
        <w:t>3.2.</w:t>
        <w:tab/>
        <w:t>Representations.</w:t>
        <w:tab/>
        <w:t>The fact that:</w:t>
      </w:r>
      <w:r>
        <w:rPr>
          <w:sz w:val="20"/>
          <w:szCs w:val="20"/>
          <w:color w:val="auto"/>
        </w:rPr>
        <w:tab/>
      </w:r>
      <w:r>
        <w:rPr>
          <w:rFonts w:ascii="Courier New" w:cs="Courier New" w:eastAsia="Courier New" w:hAnsi="Courier New"/>
          <w:sz w:val="14"/>
          <w:szCs w:val="14"/>
          <w:color w:val="auto"/>
        </w:rPr>
        <w:t>(a) immediately after such</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Borrowing, (i) in the case of a Refunding Borrowing, no Event of Default shall have occurred and be continuing or (ii) in the case of any other Borrowing, no Default shall have occurred and be continuing; (b) the representations and warranties of the Company contained in this Agreement (except, in the case of a Refunding Borrowing, the representations and warranties set forth in Section</w:t>
      </w:r>
    </w:p>
    <w:p>
      <w:pPr>
        <w:spacing w:after="0" w:line="2" w:lineRule="exact"/>
        <w:rPr>
          <w:sz w:val="20"/>
          <w:szCs w:val="20"/>
          <w:color w:val="auto"/>
        </w:rPr>
      </w:pPr>
    </w:p>
    <w:p>
      <w:pPr>
        <w:jc w:val="both"/>
        <w:ind w:right="3499"/>
        <w:spacing w:after="0" w:line="254" w:lineRule="auto"/>
        <w:rPr>
          <w:sz w:val="20"/>
          <w:szCs w:val="20"/>
          <w:color w:val="auto"/>
        </w:rPr>
      </w:pPr>
      <w:r>
        <w:rPr>
          <w:rFonts w:ascii="Courier New" w:cs="Courier New" w:eastAsia="Courier New" w:hAnsi="Courier New"/>
          <w:sz w:val="14"/>
          <w:szCs w:val="14"/>
          <w:color w:val="auto"/>
        </w:rPr>
        <w:t>4.5, 4.6, 4.8 and 4.9) shall be true on and as of the date of such Borrowing; and (c) immediately after such Borrowing, the aggregate outstanding principal amount of the Loans will not exceed the aggregate amount of the Commitments.</w:t>
      </w:r>
    </w:p>
    <w:p>
      <w:pPr>
        <w:spacing w:after="0" w:line="1"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Each Borrowing hereunder shall be deemed to be a representation and warranty by the Company, to the best of its knowledge, on the date of such Borrowing as to the facts specified in this Section 3.2.</w:t>
      </w:r>
    </w:p>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SECTION 4</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REPRESENTATIONS AND WARRANTIES</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The Company represents and warrants that:</w:t>
      </w:r>
    </w:p>
    <w:p>
      <w:pPr>
        <w:spacing w:after="0" w:line="166" w:lineRule="exact"/>
        <w:rPr>
          <w:sz w:val="20"/>
          <w:szCs w:val="20"/>
          <w:color w:val="auto"/>
        </w:rPr>
      </w:pPr>
    </w:p>
    <w:p>
      <w:pPr>
        <w:ind w:left="880"/>
        <w:spacing w:after="0"/>
        <w:tabs>
          <w:tab w:leader="none" w:pos="1380" w:val="left"/>
          <w:tab w:leader="none" w:pos="4180" w:val="left"/>
        </w:tabs>
        <w:rPr>
          <w:sz w:val="20"/>
          <w:szCs w:val="20"/>
          <w:color w:val="auto"/>
        </w:rPr>
      </w:pPr>
      <w:r>
        <w:rPr>
          <w:rFonts w:ascii="Courier New" w:cs="Courier New" w:eastAsia="Courier New" w:hAnsi="Courier New"/>
          <w:sz w:val="15"/>
          <w:szCs w:val="15"/>
          <w:color w:val="auto"/>
        </w:rPr>
        <w:t>4.1.</w:t>
        <w:tab/>
        <w:t>Corporate Existence and Power.</w:t>
      </w:r>
      <w:r>
        <w:rPr>
          <w:sz w:val="20"/>
          <w:szCs w:val="20"/>
          <w:color w:val="auto"/>
        </w:rPr>
        <w:tab/>
      </w:r>
      <w:r>
        <w:rPr>
          <w:rFonts w:ascii="Courier New" w:cs="Courier New" w:eastAsia="Courier New" w:hAnsi="Courier New"/>
          <w:sz w:val="14"/>
          <w:szCs w:val="14"/>
          <w:color w:val="auto"/>
        </w:rPr>
        <w:t>The Company is a corporation</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duly incorporated, validly existing and in good standing under the laws of the State of Delaware and has all corporate power and authority required to carry on its business as now conducted.</w:t>
      </w:r>
    </w:p>
    <w:p>
      <w:pPr>
        <w:sectPr>
          <w:pgSz w:w="11900" w:h="16838" w:orient="portrait"/>
          <w:cols w:equalWidth="0" w:num="1">
            <w:col w:w="10239"/>
          </w:cols>
          <w:pgMar w:left="220" w:top="617" w:right="1440" w:bottom="1440" w:gutter="0" w:footer="0" w:header="0"/>
        </w:sectPr>
      </w:pPr>
    </w:p>
    <w:bookmarkStart w:id="63" w:name="page64"/>
    <w:bookmarkEnd w:id="63"/>
    <w:p>
      <w:pPr>
        <w:ind w:left="6560"/>
        <w:spacing w:after="0"/>
        <w:rPr>
          <w:sz w:val="20"/>
          <w:szCs w:val="20"/>
          <w:color w:val="auto"/>
        </w:rPr>
      </w:pPr>
      <w:r>
        <w:rPr>
          <w:rFonts w:ascii="Courier New" w:cs="Courier New" w:eastAsia="Courier New" w:hAnsi="Courier New"/>
          <w:sz w:val="15"/>
          <w:szCs w:val="15"/>
          <w:color w:val="auto"/>
        </w:rPr>
        <w:t>38</w:t>
      </w:r>
    </w:p>
    <w:p>
      <w:pPr>
        <w:spacing w:after="0" w:line="335" w:lineRule="exact"/>
        <w:rPr>
          <w:sz w:val="20"/>
          <w:szCs w:val="20"/>
          <w:color w:val="auto"/>
        </w:rPr>
      </w:pPr>
    </w:p>
    <w:p>
      <w:pPr>
        <w:jc w:val="center"/>
        <w:ind w:right="2359"/>
        <w:spacing w:after="0"/>
        <w:tabs>
          <w:tab w:leader="none" w:pos="140" w:val="left"/>
          <w:tab w:leader="none" w:pos="160" w:val="left"/>
        </w:tabs>
        <w:rPr>
          <w:sz w:val="20"/>
          <w:szCs w:val="20"/>
          <w:color w:val="auto"/>
        </w:rPr>
      </w:pPr>
      <w:r>
        <w:rPr>
          <w:rFonts w:ascii="Courier New" w:cs="Courier New" w:eastAsia="Courier New" w:hAnsi="Courier New"/>
          <w:sz w:val="15"/>
          <w:szCs w:val="15"/>
          <w:color w:val="auto"/>
        </w:rPr>
        <w:t>4.2.</w:t>
        <w:tab/>
        <w:t>Corporate and Governmental Authorization; No Contravention.</w:t>
      </w:r>
      <w:r>
        <w:rPr>
          <w:sz w:val="20"/>
          <w:szCs w:val="20"/>
          <w:color w:val="auto"/>
        </w:rPr>
        <w:tab/>
      </w:r>
      <w:r>
        <w:rPr>
          <w:rFonts w:ascii="Courier New" w:cs="Courier New" w:eastAsia="Courier New" w:hAnsi="Courier New"/>
          <w:sz w:val="14"/>
          <w:szCs w:val="14"/>
          <w:color w:val="auto"/>
        </w:rPr>
        <w:t>The</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execution, delivery and performance by the Company of this Agreement and the Notes are within the Company's corporate power, have been duly authorized by all necessary corporate action, require no action by or in respect of, or filing with, any governmental body, agency or official (other than the filing of reports with the Securities and Exchange Commission) and do not contravene, or constitute a default under, any provision of applicable law or regulation or of the certificate of incorporation or bylaws of the Company or of any agreement, judgment, injunction, order, decree or other instrument binding upon the Company.</w:t>
      </w:r>
    </w:p>
    <w:p>
      <w:pPr>
        <w:spacing w:after="0" w:line="172" w:lineRule="exact"/>
        <w:rPr>
          <w:sz w:val="20"/>
          <w:szCs w:val="20"/>
          <w:color w:val="auto"/>
        </w:rPr>
      </w:pPr>
    </w:p>
    <w:p>
      <w:pPr>
        <w:ind w:left="880"/>
        <w:spacing w:after="0"/>
        <w:tabs>
          <w:tab w:leader="none" w:pos="1380" w:val="left"/>
          <w:tab w:leader="none" w:pos="2880" w:val="left"/>
        </w:tabs>
        <w:rPr>
          <w:sz w:val="20"/>
          <w:szCs w:val="20"/>
          <w:color w:val="auto"/>
        </w:rPr>
      </w:pPr>
      <w:r>
        <w:rPr>
          <w:rFonts w:ascii="Courier New" w:cs="Courier New" w:eastAsia="Courier New" w:hAnsi="Courier New"/>
          <w:sz w:val="15"/>
          <w:szCs w:val="15"/>
          <w:color w:val="auto"/>
        </w:rPr>
        <w:t>4.3.</w:t>
        <w:tab/>
        <w:t>Binding Effect.</w:t>
      </w:r>
      <w:r>
        <w:rPr>
          <w:sz w:val="20"/>
          <w:szCs w:val="20"/>
          <w:color w:val="auto"/>
        </w:rPr>
        <w:tab/>
      </w:r>
      <w:r>
        <w:rPr>
          <w:rFonts w:ascii="Courier New" w:cs="Courier New" w:eastAsia="Courier New" w:hAnsi="Courier New"/>
          <w:sz w:val="14"/>
          <w:szCs w:val="14"/>
          <w:color w:val="auto"/>
        </w:rPr>
        <w:t>This Agreement constitutes a valid and binding</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agreement of the Company and the Notes, when executed and delivered in accordance with this Agreement, will constitute valid and binding obligations of the Company.</w:t>
      </w:r>
    </w:p>
    <w:p>
      <w:pPr>
        <w:spacing w:after="0" w:line="167" w:lineRule="exact"/>
        <w:rPr>
          <w:sz w:val="20"/>
          <w:szCs w:val="20"/>
          <w:color w:val="auto"/>
        </w:rPr>
      </w:pPr>
    </w:p>
    <w:p>
      <w:pPr>
        <w:ind w:left="880"/>
        <w:spacing w:after="0"/>
        <w:tabs>
          <w:tab w:leader="none" w:pos="1380" w:val="left"/>
        </w:tabs>
        <w:rPr>
          <w:sz w:val="20"/>
          <w:szCs w:val="20"/>
          <w:color w:val="auto"/>
        </w:rPr>
      </w:pPr>
      <w:r>
        <w:rPr>
          <w:rFonts w:ascii="Courier New" w:cs="Courier New" w:eastAsia="Courier New" w:hAnsi="Courier New"/>
          <w:sz w:val="15"/>
          <w:szCs w:val="15"/>
          <w:color w:val="auto"/>
        </w:rPr>
        <w:t>4.4.</w:t>
      </w:r>
      <w:r>
        <w:rPr>
          <w:sz w:val="20"/>
          <w:szCs w:val="20"/>
          <w:color w:val="auto"/>
        </w:rPr>
        <w:tab/>
      </w:r>
      <w:r>
        <w:rPr>
          <w:rFonts w:ascii="Courier New" w:cs="Courier New" w:eastAsia="Courier New" w:hAnsi="Courier New"/>
          <w:sz w:val="14"/>
          <w:szCs w:val="14"/>
          <w:color w:val="auto"/>
        </w:rPr>
        <w:t>Financial Information.</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4.4.1. The consolidated balance sheet of the Company and Subsidiaries as of January 28, 1995 and the related consolidated statements of income, shareholders' equity and cash flows for the Fiscal Year then ended, reported on by Coopers &amp; Lybrand L.L.P. and set forth in the Company's Annual Report on Form 10-K for the Fiscal Year then ended, a copy of which has been delivered to each of the Banks, fairly present, in conformity with generally accepted accounting principles, the consolidated financial position of the Company and Subsidiaries as of such date and their consolidated results of operations and cash flows for such Fiscal Year.</w:t>
      </w:r>
    </w:p>
    <w:p>
      <w:pPr>
        <w:spacing w:after="0" w:line="178" w:lineRule="exact"/>
        <w:rPr>
          <w:sz w:val="20"/>
          <w:szCs w:val="20"/>
          <w:color w:val="auto"/>
        </w:rPr>
      </w:pPr>
    </w:p>
    <w:p>
      <w:pPr>
        <w:ind w:right="3239" w:firstLine="875"/>
        <w:spacing w:after="0" w:line="258" w:lineRule="auto"/>
        <w:rPr>
          <w:sz w:val="20"/>
          <w:szCs w:val="20"/>
          <w:color w:val="auto"/>
        </w:rPr>
      </w:pPr>
      <w:r>
        <w:rPr>
          <w:rFonts w:ascii="Courier New" w:cs="Courier New" w:eastAsia="Courier New" w:hAnsi="Courier New"/>
          <w:sz w:val="14"/>
          <w:szCs w:val="14"/>
          <w:color w:val="auto"/>
        </w:rPr>
        <w:t>4.4.2. From January 28, 1995 to the Effective Date, there has been no material adverse change in the business, financial position or results of operations of the Company and Consolidated Subsidiaries, considered as a whole.</w:t>
      </w:r>
    </w:p>
    <w:p>
      <w:pPr>
        <w:spacing w:after="0" w:line="155" w:lineRule="exact"/>
        <w:rPr>
          <w:sz w:val="20"/>
          <w:szCs w:val="20"/>
          <w:color w:val="auto"/>
        </w:rPr>
      </w:pPr>
    </w:p>
    <w:p>
      <w:pPr>
        <w:ind w:left="880"/>
        <w:spacing w:after="0"/>
        <w:tabs>
          <w:tab w:leader="none" w:pos="1380" w:val="left"/>
          <w:tab w:leader="none" w:pos="2520" w:val="left"/>
        </w:tabs>
        <w:rPr>
          <w:sz w:val="20"/>
          <w:szCs w:val="20"/>
          <w:color w:val="auto"/>
        </w:rPr>
      </w:pPr>
      <w:r>
        <w:rPr>
          <w:rFonts w:ascii="Courier New" w:cs="Courier New" w:eastAsia="Courier New" w:hAnsi="Courier New"/>
          <w:sz w:val="15"/>
          <w:szCs w:val="15"/>
          <w:color w:val="auto"/>
        </w:rPr>
        <w:t>4.5.</w:t>
        <w:tab/>
        <w:t>Litigation.</w:t>
      </w:r>
      <w:r>
        <w:rPr>
          <w:sz w:val="20"/>
          <w:szCs w:val="20"/>
          <w:color w:val="auto"/>
        </w:rPr>
        <w:tab/>
      </w:r>
      <w:r>
        <w:rPr>
          <w:rFonts w:ascii="Courier New" w:cs="Courier New" w:eastAsia="Courier New" w:hAnsi="Courier New"/>
          <w:sz w:val="14"/>
          <w:szCs w:val="14"/>
          <w:color w:val="auto"/>
        </w:rPr>
        <w:t>There is no action, suit or proceeding pending</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against, or to the knowledge of the Company threatened against or affecting, the Company or any Consolidated Subsidiaries before any court or arbitrator or any governmental body, agency or official in which there is, in the good faith judgment of the Company (which shall be conclusive), a reasonable possibility of an adverse decision</w:t>
      </w:r>
    </w:p>
    <w:p>
      <w:pPr>
        <w:sectPr>
          <w:pgSz w:w="11900" w:h="16838" w:orient="portrait"/>
          <w:cols w:equalWidth="0" w:num="1">
            <w:col w:w="10239"/>
          </w:cols>
          <w:pgMar w:left="220" w:top="617" w:right="1440" w:bottom="1440" w:gutter="0" w:footer="0" w:header="0"/>
        </w:sectPr>
      </w:pPr>
    </w:p>
    <w:bookmarkStart w:id="64" w:name="page65"/>
    <w:bookmarkEnd w:id="64"/>
    <w:p>
      <w:pPr>
        <w:ind w:left="6560"/>
        <w:spacing w:after="0"/>
        <w:rPr>
          <w:sz w:val="20"/>
          <w:szCs w:val="20"/>
          <w:color w:val="auto"/>
        </w:rPr>
      </w:pPr>
      <w:r>
        <w:rPr>
          <w:rFonts w:ascii="Courier New" w:cs="Courier New" w:eastAsia="Courier New" w:hAnsi="Courier New"/>
          <w:sz w:val="15"/>
          <w:szCs w:val="15"/>
          <w:color w:val="auto"/>
        </w:rPr>
        <w:t>39</w:t>
      </w:r>
    </w:p>
    <w:p>
      <w:pPr>
        <w:spacing w:after="0" w:line="173"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which could materially adversely affect the business, consolidated financial position or consolidated results of operations of the Company and Consolidated Subsidiaries considered as a whole or which in any manner draws into question the validity or enforceability of this Agreement or the Notes.</w:t>
      </w:r>
    </w:p>
    <w:p>
      <w:pPr>
        <w:spacing w:after="0" w:line="158" w:lineRule="exact"/>
        <w:rPr>
          <w:sz w:val="20"/>
          <w:szCs w:val="20"/>
          <w:color w:val="auto"/>
        </w:rPr>
      </w:pPr>
    </w:p>
    <w:p>
      <w:pPr>
        <w:ind w:left="880"/>
        <w:spacing w:after="0"/>
        <w:tabs>
          <w:tab w:leader="none" w:pos="1380" w:val="left"/>
          <w:tab w:leader="none" w:pos="2700" w:val="left"/>
        </w:tabs>
        <w:rPr>
          <w:sz w:val="20"/>
          <w:szCs w:val="20"/>
          <w:color w:val="auto"/>
        </w:rPr>
      </w:pPr>
      <w:r>
        <w:rPr>
          <w:rFonts w:ascii="Courier New" w:cs="Courier New" w:eastAsia="Courier New" w:hAnsi="Courier New"/>
          <w:sz w:val="15"/>
          <w:szCs w:val="15"/>
          <w:color w:val="auto"/>
        </w:rPr>
        <w:t>4.6.</w:t>
        <w:tab/>
        <w:t>Subsidiaries.</w:t>
      </w:r>
      <w:r>
        <w:rPr>
          <w:sz w:val="20"/>
          <w:szCs w:val="20"/>
          <w:color w:val="auto"/>
        </w:rPr>
        <w:tab/>
      </w:r>
      <w:r>
        <w:rPr>
          <w:rFonts w:ascii="Courier New" w:cs="Courier New" w:eastAsia="Courier New" w:hAnsi="Courier New"/>
          <w:sz w:val="14"/>
          <w:szCs w:val="14"/>
          <w:color w:val="auto"/>
        </w:rPr>
        <w:t>Each of the Company's corporate Consolidated</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Subsidiaries is a corporation duly incorporated, validly existing and in good standing under the laws of its jurisdiction of incorporation, and has all corporate power and authority required to carry on its business as now conducted except to the extent that the failure of any such Consolidated Subsidiary to be so incorporated, existing or in good standing or to have such power and authority is not reasonably expected by the Company to have a material adverse effect on the business, financial position or results of operations of the Company and Consolidated Subsidiaries considered as a whole.</w:t>
      </w:r>
    </w:p>
    <w:p>
      <w:pPr>
        <w:spacing w:after="0" w:line="159" w:lineRule="exact"/>
        <w:rPr>
          <w:sz w:val="20"/>
          <w:szCs w:val="20"/>
          <w:color w:val="auto"/>
        </w:rPr>
      </w:pPr>
    </w:p>
    <w:p>
      <w:pPr>
        <w:ind w:left="880"/>
        <w:spacing w:after="0"/>
        <w:tabs>
          <w:tab w:leader="none" w:pos="1380" w:val="left"/>
          <w:tab w:leader="none" w:pos="3840" w:val="left"/>
        </w:tabs>
        <w:rPr>
          <w:sz w:val="20"/>
          <w:szCs w:val="20"/>
          <w:color w:val="auto"/>
        </w:rPr>
      </w:pPr>
      <w:r>
        <w:rPr>
          <w:rFonts w:ascii="Courier New" w:cs="Courier New" w:eastAsia="Courier New" w:hAnsi="Courier New"/>
          <w:sz w:val="15"/>
          <w:szCs w:val="15"/>
          <w:color w:val="auto"/>
        </w:rPr>
        <w:t>4.7.</w:t>
        <w:tab/>
        <w:t>Not an Investment Company.</w:t>
      </w:r>
      <w:r>
        <w:rPr>
          <w:sz w:val="20"/>
          <w:szCs w:val="20"/>
          <w:color w:val="auto"/>
        </w:rPr>
        <w:tab/>
      </w:r>
      <w:r>
        <w:rPr>
          <w:rFonts w:ascii="Courier New" w:cs="Courier New" w:eastAsia="Courier New" w:hAnsi="Courier New"/>
          <w:sz w:val="14"/>
          <w:szCs w:val="14"/>
          <w:color w:val="auto"/>
        </w:rPr>
        <w:t>The Company is not an "investment</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within the meaning of the Investment Company Act of 1940, as amended.</w:t>
      </w:r>
    </w:p>
    <w:p>
      <w:pPr>
        <w:spacing w:after="0" w:line="171" w:lineRule="exact"/>
        <w:rPr>
          <w:sz w:val="20"/>
          <w:szCs w:val="20"/>
          <w:color w:val="auto"/>
        </w:rPr>
      </w:pPr>
    </w:p>
    <w:p>
      <w:pPr>
        <w:ind w:left="880"/>
        <w:spacing w:after="0"/>
        <w:tabs>
          <w:tab w:leader="none" w:pos="1380" w:val="left"/>
          <w:tab w:leader="none" w:pos="2080" w:val="left"/>
        </w:tabs>
        <w:rPr>
          <w:sz w:val="20"/>
          <w:szCs w:val="20"/>
          <w:color w:val="auto"/>
        </w:rPr>
      </w:pPr>
      <w:r>
        <w:rPr>
          <w:rFonts w:ascii="Courier New" w:cs="Courier New" w:eastAsia="Courier New" w:hAnsi="Courier New"/>
          <w:sz w:val="15"/>
          <w:szCs w:val="15"/>
          <w:color w:val="auto"/>
        </w:rPr>
        <w:t>4.8.</w:t>
        <w:tab/>
        <w:t>ERISA.</w:t>
      </w:r>
      <w:r>
        <w:rPr>
          <w:sz w:val="20"/>
          <w:szCs w:val="20"/>
          <w:color w:val="auto"/>
        </w:rPr>
        <w:tab/>
      </w:r>
      <w:r>
        <w:rPr>
          <w:rFonts w:ascii="Courier New" w:cs="Courier New" w:eastAsia="Courier New" w:hAnsi="Courier New"/>
          <w:sz w:val="14"/>
          <w:szCs w:val="14"/>
          <w:color w:val="auto"/>
        </w:rPr>
        <w:t>Each member of the ERISA Group (a) has fulfilled its</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material obligations under the minimum funding standards of ERISA and the Code with respect to each Plan, (b) is in compliance in all material respects with the presently applicable provisions of ERISA and the Code, and (c) has not incurred any material liability to the PBGC or a Plan under Title IV of ERISA other than a liability to PBGC for premiums under Section 4007 of ERISA;</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provided, that this sentence shall not apply to (a) any member of the ERISA</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Group described in Section 414(m) of the Code (other than the Company or a Subsidiary) or any Plan maintained by such a member or (b) any Plan referred to in clause (c) of the definition of "Plan" in Section 1.1 (a "Multiemployer Plan"). The Company and its Subsidiaries have made all material payments to Multiemployer Plans which they have been required to make under the related collective bargaining agreement or applicable law.</w:t>
      </w:r>
    </w:p>
    <w:p>
      <w:pPr>
        <w:spacing w:after="0" w:line="168" w:lineRule="exact"/>
        <w:rPr>
          <w:sz w:val="20"/>
          <w:szCs w:val="20"/>
          <w:color w:val="auto"/>
        </w:rPr>
      </w:pPr>
    </w:p>
    <w:p>
      <w:pPr>
        <w:ind w:left="880"/>
        <w:spacing w:after="0"/>
        <w:tabs>
          <w:tab w:leader="none" w:pos="1380" w:val="left"/>
          <w:tab w:leader="none" w:pos="2080" w:val="left"/>
        </w:tabs>
        <w:rPr>
          <w:sz w:val="20"/>
          <w:szCs w:val="20"/>
          <w:color w:val="auto"/>
        </w:rPr>
      </w:pPr>
      <w:r>
        <w:rPr>
          <w:rFonts w:ascii="Courier New" w:cs="Courier New" w:eastAsia="Courier New" w:hAnsi="Courier New"/>
          <w:sz w:val="15"/>
          <w:szCs w:val="15"/>
          <w:color w:val="auto"/>
        </w:rPr>
        <w:t>4.9.</w:t>
        <w:tab/>
        <w:t>Taxes.</w:t>
      </w:r>
      <w:r>
        <w:rPr>
          <w:sz w:val="20"/>
          <w:szCs w:val="20"/>
          <w:color w:val="auto"/>
        </w:rPr>
        <w:tab/>
      </w:r>
      <w:r>
        <w:rPr>
          <w:rFonts w:ascii="Courier New" w:cs="Courier New" w:eastAsia="Courier New" w:hAnsi="Courier New"/>
          <w:sz w:val="14"/>
          <w:szCs w:val="14"/>
          <w:color w:val="auto"/>
        </w:rPr>
        <w:t>The Company and Subsidiaries have filed all United</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States federal income tax returns and all other material tax returns which, in the opinion of the Company, are required to be filed by them and have paid all taxes due pursuant to such returns or pursuant to any assessment received by the Company or any Subsidiary, except</w:t>
      </w:r>
    </w:p>
    <w:p>
      <w:pPr>
        <w:sectPr>
          <w:pgSz w:w="11900" w:h="16838" w:orient="portrait"/>
          <w:cols w:equalWidth="0" w:num="1">
            <w:col w:w="10239"/>
          </w:cols>
          <w:pgMar w:left="220" w:top="617" w:right="1440" w:bottom="1440" w:gutter="0" w:footer="0" w:header="0"/>
        </w:sectPr>
      </w:pPr>
    </w:p>
    <w:bookmarkStart w:id="65" w:name="page66"/>
    <w:bookmarkEnd w:id="65"/>
    <w:p>
      <w:pPr>
        <w:ind w:left="6560"/>
        <w:spacing w:after="0"/>
        <w:rPr>
          <w:sz w:val="20"/>
          <w:szCs w:val="20"/>
          <w:color w:val="auto"/>
        </w:rPr>
      </w:pPr>
      <w:r>
        <w:rPr>
          <w:rFonts w:ascii="Courier New" w:cs="Courier New" w:eastAsia="Courier New" w:hAnsi="Courier New"/>
          <w:sz w:val="15"/>
          <w:szCs w:val="15"/>
          <w:color w:val="auto"/>
        </w:rPr>
        <w:t>40</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for assessments which are being contested in good faith by appropriate proceedings. The charges, accruals and reserves on the books of the Company and Subsidiaries in respect of taxes or other governmental charges are, in the opinion of the Company, adequate.</w:t>
      </w:r>
    </w:p>
    <w:p>
      <w:pPr>
        <w:spacing w:after="0" w:line="33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SECTION 5</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COVENANTS</w:t>
      </w:r>
    </w:p>
    <w:p>
      <w:pPr>
        <w:spacing w:after="0" w:line="173" w:lineRule="exact"/>
        <w:rPr>
          <w:sz w:val="20"/>
          <w:szCs w:val="20"/>
          <w:color w:val="auto"/>
        </w:rPr>
      </w:pPr>
    </w:p>
    <w:p>
      <w:pPr>
        <w:ind w:right="3839" w:firstLine="875"/>
        <w:spacing w:after="0" w:line="261" w:lineRule="auto"/>
        <w:rPr>
          <w:sz w:val="20"/>
          <w:szCs w:val="20"/>
          <w:color w:val="auto"/>
        </w:rPr>
      </w:pPr>
      <w:r>
        <w:rPr>
          <w:rFonts w:ascii="Courier New" w:cs="Courier New" w:eastAsia="Courier New" w:hAnsi="Courier New"/>
          <w:sz w:val="14"/>
          <w:szCs w:val="14"/>
          <w:color w:val="auto"/>
        </w:rPr>
        <w:t>The Company agrees that, so long as any Bank has any Commitment hereunder or any amount payable under any Note remains unpaid:</w:t>
      </w:r>
    </w:p>
    <w:p>
      <w:pPr>
        <w:spacing w:after="0" w:line="153" w:lineRule="exact"/>
        <w:rPr>
          <w:sz w:val="20"/>
          <w:szCs w:val="20"/>
          <w:color w:val="auto"/>
        </w:rPr>
      </w:pPr>
    </w:p>
    <w:p>
      <w:pPr>
        <w:ind w:left="880"/>
        <w:spacing w:after="0"/>
        <w:tabs>
          <w:tab w:leader="none" w:pos="1380"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4"/>
          <w:szCs w:val="14"/>
          <w:color w:val="auto"/>
        </w:rPr>
        <w:t>Information.</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5.1.1. The Company will deliver to each of the Banks:</w:t>
      </w:r>
    </w:p>
    <w:p>
      <w:pPr>
        <w:spacing w:after="0" w:line="173" w:lineRule="exact"/>
        <w:rPr>
          <w:sz w:val="20"/>
          <w:szCs w:val="20"/>
          <w:color w:val="auto"/>
        </w:rPr>
      </w:pPr>
    </w:p>
    <w:p>
      <w:pPr>
        <w:ind w:right="3239" w:firstLine="884"/>
        <w:spacing w:after="0" w:line="236" w:lineRule="auto"/>
        <w:tabs>
          <w:tab w:leader="none" w:pos="1312"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available and in any event within 120 days after the end of each Fiscal Year, the Annual Report of the Company on Form 10-K for such Fiscal Year, containing financial statements reported on in a manner acceptable to the Securities and Exchange Commission by Coopers &amp; Lybrand L.L.P. or other independent public accountants of nationally recognized standing selected by the Company;</w:t>
      </w:r>
    </w:p>
    <w:p>
      <w:pPr>
        <w:spacing w:after="0" w:line="174" w:lineRule="exact"/>
        <w:rPr>
          <w:rFonts w:ascii="Courier New" w:cs="Courier New" w:eastAsia="Courier New" w:hAnsi="Courier New"/>
          <w:sz w:val="15"/>
          <w:szCs w:val="15"/>
          <w:color w:val="auto"/>
        </w:rPr>
      </w:pPr>
    </w:p>
    <w:p>
      <w:pPr>
        <w:ind w:right="3239" w:firstLine="884"/>
        <w:spacing w:after="0" w:line="236" w:lineRule="auto"/>
        <w:tabs>
          <w:tab w:leader="none" w:pos="1312"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available and in any event within 60 days after the end of each of the first three quarters of each Fiscal Year, a copy of the Company's report on Form 10-Q for such quarter with the financial statements therein contained to be certified (subject to normal year end adjustments) as to fairness of presentation, generally accepted accounting principles (except footnotes) and consistency, by the chief financial officer, the chief accounting officer or the treasurer of the Company;</w:t>
      </w:r>
    </w:p>
    <w:p>
      <w:pPr>
        <w:spacing w:after="0" w:line="175" w:lineRule="exact"/>
        <w:rPr>
          <w:rFonts w:ascii="Courier New" w:cs="Courier New" w:eastAsia="Courier New" w:hAnsi="Courier New"/>
          <w:sz w:val="15"/>
          <w:szCs w:val="15"/>
          <w:color w:val="auto"/>
        </w:rPr>
      </w:pPr>
    </w:p>
    <w:p>
      <w:pPr>
        <w:ind w:right="3319" w:firstLine="884"/>
        <w:spacing w:after="0" w:line="255" w:lineRule="auto"/>
        <w:tabs>
          <w:tab w:leader="none" w:pos="1312"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simultaneously with the delivery of each set of financial statements referred to in clauses (a) and (b) above, a certificate of the chief financial officer, the chief accounting officer or treasurer of the Company (i) setting forth in reasonable detail the calculations required to establish whether the Company was in compliance with the requirements of Section 5.6 on the date of such financial statements and (ii) stating whether, to the best knowledge of such officer, any Default exists on the date of such</w:t>
      </w:r>
    </w:p>
    <w:p>
      <w:pPr>
        <w:sectPr>
          <w:pgSz w:w="11900" w:h="16838" w:orient="portrait"/>
          <w:cols w:equalWidth="0" w:num="1">
            <w:col w:w="10239"/>
          </w:cols>
          <w:pgMar w:left="220" w:top="617" w:right="1440" w:bottom="1440" w:gutter="0" w:footer="0" w:header="0"/>
        </w:sectPr>
      </w:pPr>
    </w:p>
    <w:bookmarkStart w:id="66" w:name="page67"/>
    <w:bookmarkEnd w:id="66"/>
    <w:p>
      <w:pPr>
        <w:ind w:left="6560"/>
        <w:spacing w:after="0"/>
        <w:rPr>
          <w:sz w:val="20"/>
          <w:szCs w:val="20"/>
          <w:color w:val="auto"/>
        </w:rPr>
      </w:pPr>
      <w:r>
        <w:rPr>
          <w:rFonts w:ascii="Courier New" w:cs="Courier New" w:eastAsia="Courier New" w:hAnsi="Courier New"/>
          <w:sz w:val="15"/>
          <w:szCs w:val="15"/>
          <w:color w:val="auto"/>
        </w:rPr>
        <w:t>41</w:t>
      </w:r>
    </w:p>
    <w:p>
      <w:pPr>
        <w:spacing w:after="0" w:line="173"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certificate and, if any Default then exists, setting forth the details thereof and the action which the Company is taking or proposes to take with respect thereto;</w:t>
      </w:r>
    </w:p>
    <w:p>
      <w:pPr>
        <w:spacing w:after="0" w:line="174" w:lineRule="exact"/>
        <w:rPr>
          <w:sz w:val="20"/>
          <w:szCs w:val="20"/>
          <w:color w:val="auto"/>
        </w:rPr>
      </w:pPr>
    </w:p>
    <w:p>
      <w:pPr>
        <w:ind w:right="3399" w:firstLine="884"/>
        <w:spacing w:after="0" w:line="236" w:lineRule="auto"/>
        <w:tabs>
          <w:tab w:leader="none" w:pos="1312"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simultaneously with the delivery of each set of financial statements referred to in clause (a) above, a statement of the firm of independent public accountants which reported on such statements whether anything has come to their attention to cause them to believe that any Default existed on the date of such statements (insofar as such pertains to accounting matters);</w:t>
      </w:r>
    </w:p>
    <w:p>
      <w:pPr>
        <w:spacing w:after="0" w:line="174" w:lineRule="exact"/>
        <w:rPr>
          <w:rFonts w:ascii="Courier New" w:cs="Courier New" w:eastAsia="Courier New" w:hAnsi="Courier New"/>
          <w:sz w:val="15"/>
          <w:szCs w:val="15"/>
          <w:color w:val="auto"/>
        </w:rPr>
      </w:pPr>
    </w:p>
    <w:p>
      <w:pPr>
        <w:ind w:right="3679" w:firstLine="884"/>
        <w:spacing w:after="0" w:line="235" w:lineRule="auto"/>
        <w:tabs>
          <w:tab w:leader="none" w:pos="1312"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upon the mailing thereof to the stockholders of the Company generally, copies of all financial statements, reports and proxy statements so mailed;</w:t>
      </w:r>
    </w:p>
    <w:p>
      <w:pPr>
        <w:spacing w:after="0" w:line="173" w:lineRule="exact"/>
        <w:rPr>
          <w:rFonts w:ascii="Courier New" w:cs="Courier New" w:eastAsia="Courier New" w:hAnsi="Courier New"/>
          <w:sz w:val="15"/>
          <w:szCs w:val="15"/>
          <w:color w:val="auto"/>
        </w:rPr>
      </w:pPr>
    </w:p>
    <w:p>
      <w:pPr>
        <w:ind w:right="3239" w:firstLine="884"/>
        <w:spacing w:after="0" w:line="236" w:lineRule="auto"/>
        <w:tabs>
          <w:tab w:leader="none" w:pos="1312"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upon the filing thereof, copies of all registration statements (other than the exhibits, thereto and any registration statements on Form S-8 or its equivalent) and reports on Forms 10-K, 10-Q and 8-K (or their equivalents) which the Company shall have filed with the Securities and Exchange Commission;</w:t>
      </w:r>
    </w:p>
    <w:p>
      <w:pPr>
        <w:spacing w:after="0" w:line="173" w:lineRule="exact"/>
        <w:rPr>
          <w:rFonts w:ascii="Courier New" w:cs="Courier New" w:eastAsia="Courier New" w:hAnsi="Courier New"/>
          <w:sz w:val="15"/>
          <w:szCs w:val="15"/>
          <w:color w:val="auto"/>
        </w:rPr>
      </w:pPr>
    </w:p>
    <w:p>
      <w:pPr>
        <w:jc w:val="both"/>
        <w:ind w:right="3319" w:firstLine="884"/>
        <w:spacing w:after="0" w:line="236" w:lineRule="auto"/>
        <w:tabs>
          <w:tab w:leader="none" w:pos="1312"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four Domestic Business Days of any executive or financial officer of the Company obtaining knowledge of any condition or event recognized by such officer to be a Default, a certificate of the chief financial officer, the chief accounting officer or the treasurer of the Company setting forth the details thereof and the action which the Company is taking or proposes to take with respect thereto;</w:t>
      </w:r>
    </w:p>
    <w:p>
      <w:pPr>
        <w:spacing w:after="0" w:line="174" w:lineRule="exact"/>
        <w:rPr>
          <w:rFonts w:ascii="Courier New" w:cs="Courier New" w:eastAsia="Courier New" w:hAnsi="Courier New"/>
          <w:sz w:val="15"/>
          <w:szCs w:val="15"/>
          <w:color w:val="auto"/>
        </w:rPr>
      </w:pPr>
    </w:p>
    <w:p>
      <w:pPr>
        <w:ind w:right="3319" w:firstLine="884"/>
        <w:spacing w:after="0" w:line="254" w:lineRule="auto"/>
        <w:tabs>
          <w:tab w:leader="none" w:pos="1312" w:val="left"/>
        </w:tabs>
        <w:numPr>
          <w:ilvl w:val="1"/>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and when any executive or financial officer of the Company obtains knowledge that any member of the ERISA Group (i) has given or is required to give notice to the PBGC of any "reportable event" (as defined in Section 4043 of ERISA) with respect to any Plan which might constitute grounds for a termination of such Plan under Title IV of ERISA, or knows that the plan administrator of any Plan has given or is required to give notice of any such reportable event, a copy of the notice of such reportable event given or required to be given to the PBGC; (ii) has received notice of complete or partial withdrawal liability under Title IV of ERISA, a copy of such notice; or</w:t>
      </w:r>
    </w:p>
    <w:p>
      <w:pPr>
        <w:spacing w:after="0" w:line="3" w:lineRule="exact"/>
        <w:rPr>
          <w:rFonts w:ascii="Courier New" w:cs="Courier New" w:eastAsia="Courier New" w:hAnsi="Courier New"/>
          <w:sz w:val="14"/>
          <w:szCs w:val="14"/>
          <w:color w:val="auto"/>
        </w:rPr>
      </w:pPr>
    </w:p>
    <w:p>
      <w:pPr>
        <w:ind w:right="3319" w:firstLine="10"/>
        <w:spacing w:after="0" w:line="235" w:lineRule="auto"/>
        <w:tabs>
          <w:tab w:leader="none" w:pos="525"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has received notice from the PBGC under Title IV of ERISA of an intent to terminate or appoint a trustee to administer any Plan, a copy of such notice; and</w:t>
      </w:r>
    </w:p>
    <w:p>
      <w:pPr>
        <w:sectPr>
          <w:pgSz w:w="11900" w:h="16838" w:orient="portrait"/>
          <w:cols w:equalWidth="0" w:num="1">
            <w:col w:w="10239"/>
          </w:cols>
          <w:pgMar w:left="220" w:top="617" w:right="1440" w:bottom="1440" w:gutter="0" w:footer="0" w:header="0"/>
        </w:sectPr>
      </w:pPr>
    </w:p>
    <w:bookmarkStart w:id="67" w:name="page68"/>
    <w:bookmarkEnd w:id="67"/>
    <w:p>
      <w:pPr>
        <w:ind w:left="6560"/>
        <w:spacing w:after="0"/>
        <w:rPr>
          <w:sz w:val="20"/>
          <w:szCs w:val="20"/>
          <w:color w:val="auto"/>
        </w:rPr>
      </w:pPr>
      <w:r>
        <w:rPr>
          <w:rFonts w:ascii="Courier New" w:cs="Courier New" w:eastAsia="Courier New" w:hAnsi="Courier New"/>
          <w:sz w:val="15"/>
          <w:szCs w:val="15"/>
          <w:color w:val="auto"/>
        </w:rPr>
        <w:t>42</w:t>
      </w:r>
    </w:p>
    <w:p>
      <w:pPr>
        <w:spacing w:after="0" w:line="341" w:lineRule="exact"/>
        <w:rPr>
          <w:sz w:val="20"/>
          <w:szCs w:val="20"/>
          <w:color w:val="auto"/>
        </w:rPr>
      </w:pPr>
    </w:p>
    <w:p>
      <w:pPr>
        <w:ind w:right="3319" w:firstLine="884"/>
        <w:spacing w:after="0" w:line="235" w:lineRule="auto"/>
        <w:tabs>
          <w:tab w:leader="none" w:pos="1312"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time to time such additional information regarding the financial position or business of the Company and Subsidiaries as the Agent, at the request of any Bank, may reasonably request.</w:t>
      </w:r>
    </w:p>
    <w:p>
      <w:pPr>
        <w:spacing w:after="0" w:line="174" w:lineRule="exact"/>
        <w:rPr>
          <w:sz w:val="20"/>
          <w:szCs w:val="20"/>
          <w:color w:val="auto"/>
        </w:rPr>
      </w:pPr>
    </w:p>
    <w:p>
      <w:pPr>
        <w:ind w:right="3759" w:firstLine="875"/>
        <w:spacing w:after="0" w:line="234" w:lineRule="auto"/>
        <w:rPr>
          <w:sz w:val="20"/>
          <w:szCs w:val="20"/>
          <w:color w:val="auto"/>
        </w:rPr>
      </w:pPr>
      <w:r>
        <w:rPr>
          <w:rFonts w:ascii="Courier New" w:cs="Courier New" w:eastAsia="Courier New" w:hAnsi="Courier New"/>
          <w:sz w:val="15"/>
          <w:szCs w:val="15"/>
          <w:color w:val="auto"/>
        </w:rPr>
        <w:t>5.1.2. Certificates delivered pursuant to this Section shall be signed manually or shall be copies of a manually signed certificate.</w:t>
      </w:r>
    </w:p>
    <w:p>
      <w:pPr>
        <w:spacing w:after="0" w:line="167" w:lineRule="exact"/>
        <w:rPr>
          <w:sz w:val="20"/>
          <w:szCs w:val="20"/>
          <w:color w:val="auto"/>
        </w:rPr>
      </w:pPr>
    </w:p>
    <w:p>
      <w:pPr>
        <w:ind w:left="880"/>
        <w:spacing w:after="0"/>
        <w:tabs>
          <w:tab w:leader="none" w:pos="1380" w:val="left"/>
          <w:tab w:leader="none" w:pos="3840" w:val="left"/>
        </w:tabs>
        <w:rPr>
          <w:sz w:val="20"/>
          <w:szCs w:val="20"/>
          <w:color w:val="auto"/>
        </w:rPr>
      </w:pPr>
      <w:r>
        <w:rPr>
          <w:rFonts w:ascii="Courier New" w:cs="Courier New" w:eastAsia="Courier New" w:hAnsi="Courier New"/>
          <w:sz w:val="15"/>
          <w:szCs w:val="15"/>
          <w:color w:val="auto"/>
        </w:rPr>
        <w:t>5.2.</w:t>
        <w:tab/>
        <w:t>Maintenance of Properties.</w:t>
      </w:r>
      <w:r>
        <w:rPr>
          <w:sz w:val="20"/>
          <w:szCs w:val="20"/>
          <w:color w:val="auto"/>
        </w:rPr>
        <w:tab/>
      </w:r>
      <w:r>
        <w:rPr>
          <w:rFonts w:ascii="Courier New" w:cs="Courier New" w:eastAsia="Courier New" w:hAnsi="Courier New"/>
          <w:sz w:val="14"/>
          <w:szCs w:val="14"/>
          <w:color w:val="auto"/>
        </w:rPr>
        <w:t>The Company will, and will cause</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each Consolidated Subsidiary to, maintain and keep in good condition, repair and working order all properties used or useful in the conduct of its business and supply such properties with all necessary equipment and make all necessary repairs, renewals, replacements, betterments and improvements thereof, all as in the judgment of the Company may be necessary so that the business carried on in connection therewith may be properly and advantageously conducted at all times; provided that nothing in this Section 5.2 shall prevent the Company or any</w:t>
      </w:r>
    </w:p>
    <w:p>
      <w:pPr>
        <w:spacing w:after="0" w:line="234"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Consolidated Subsidiary from discontinuing the operation and maintenance of any of such properties if such discontinuance is, in the judgment of the Company, desirable in the conduct of the business of the Company or such Consolidated Subsidiary, as the case may be, and not disadvantageous in any material respect to the Banks.</w:t>
      </w:r>
    </w:p>
    <w:p>
      <w:pPr>
        <w:spacing w:after="0" w:line="167" w:lineRule="exact"/>
        <w:rPr>
          <w:sz w:val="20"/>
          <w:szCs w:val="20"/>
          <w:color w:val="auto"/>
        </w:rPr>
      </w:pPr>
    </w:p>
    <w:p>
      <w:pPr>
        <w:jc w:val="right"/>
        <w:ind w:right="3239"/>
        <w:spacing w:after="0"/>
        <w:tabs>
          <w:tab w:leader="none" w:pos="5580" w:val="left"/>
          <w:tab w:leader="none" w:pos="3200" w:val="left"/>
        </w:tabs>
        <w:rPr>
          <w:sz w:val="20"/>
          <w:szCs w:val="20"/>
          <w:color w:val="auto"/>
        </w:rPr>
      </w:pPr>
      <w:r>
        <w:rPr>
          <w:rFonts w:ascii="Courier New" w:cs="Courier New" w:eastAsia="Courier New" w:hAnsi="Courier New"/>
          <w:sz w:val="15"/>
          <w:szCs w:val="15"/>
          <w:color w:val="auto"/>
        </w:rPr>
        <w:t>5.3.</w:t>
        <w:tab/>
        <w:t>Maintenance of Insurance.</w:t>
      </w:r>
      <w:r>
        <w:rPr>
          <w:sz w:val="20"/>
          <w:szCs w:val="20"/>
          <w:color w:val="auto"/>
        </w:rPr>
        <w:tab/>
      </w:r>
      <w:r>
        <w:rPr>
          <w:rFonts w:ascii="Courier New" w:cs="Courier New" w:eastAsia="Courier New" w:hAnsi="Courier New"/>
          <w:sz w:val="14"/>
          <w:szCs w:val="14"/>
          <w:color w:val="auto"/>
        </w:rPr>
        <w:t>The Company will, and will cause each</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Consolidated Subsidiary to, insure and keep insured, with reputable insurance companies, so much of its properties and such of its liabilities for bodily injury or property damage, to such an extent and against such risks (including fire), as companies engaged in similar businesses customarily insure properties and liabilities of a similar character; or, in lieu thereof, the Company will maintain, or cause each Consolidated Subsidiary to maintain, a system or systems of self-insurance which will be in accord with the customary practices of companies engaged in similar businesses in maintaining such systems.</w:t>
      </w:r>
    </w:p>
    <w:p>
      <w:pPr>
        <w:spacing w:after="0" w:line="159" w:lineRule="exact"/>
        <w:rPr>
          <w:sz w:val="20"/>
          <w:szCs w:val="20"/>
          <w:color w:val="auto"/>
        </w:rPr>
      </w:pPr>
    </w:p>
    <w:p>
      <w:pPr>
        <w:jc w:val="right"/>
        <w:ind w:right="3239"/>
        <w:spacing w:after="0"/>
        <w:tabs>
          <w:tab w:leader="none" w:pos="5580" w:val="left"/>
          <w:tab w:leader="none" w:pos="2240" w:val="left"/>
        </w:tabs>
        <w:rPr>
          <w:sz w:val="20"/>
          <w:szCs w:val="20"/>
          <w:color w:val="auto"/>
        </w:rPr>
      </w:pPr>
      <w:r>
        <w:rPr>
          <w:rFonts w:ascii="Courier New" w:cs="Courier New" w:eastAsia="Courier New" w:hAnsi="Courier New"/>
          <w:sz w:val="15"/>
          <w:szCs w:val="15"/>
          <w:color w:val="auto"/>
        </w:rPr>
        <w:t>5.4.</w:t>
        <w:tab/>
        <w:t>Preservation of Corporate Existence.</w:t>
      </w:r>
      <w:r>
        <w:rPr>
          <w:sz w:val="20"/>
          <w:szCs w:val="20"/>
          <w:color w:val="auto"/>
        </w:rPr>
        <w:tab/>
      </w:r>
      <w:r>
        <w:rPr>
          <w:rFonts w:ascii="Courier New" w:cs="Courier New" w:eastAsia="Courier New" w:hAnsi="Courier New"/>
          <w:sz w:val="14"/>
          <w:szCs w:val="14"/>
          <w:color w:val="auto"/>
        </w:rPr>
        <w:t>The Company shall preserve</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and maintain its corporate existence, rights, franchises and privileges in the State of Delaware or in any other State of the United States which it shall select as its jurisdiction of incorporation, and qualify and remain qualified as a foreign corporation in each jurisdiction in which such qualification is necessary, except such jurisdictions, if any, where the failure to</w:t>
      </w:r>
    </w:p>
    <w:p>
      <w:pPr>
        <w:sectPr>
          <w:pgSz w:w="11900" w:h="16838" w:orient="portrait"/>
          <w:cols w:equalWidth="0" w:num="1">
            <w:col w:w="10239"/>
          </w:cols>
          <w:pgMar w:left="220" w:top="617" w:right="1440" w:bottom="1440" w:gutter="0" w:footer="0" w:header="0"/>
        </w:sectPr>
      </w:pPr>
    </w:p>
    <w:bookmarkStart w:id="68" w:name="page69"/>
    <w:bookmarkEnd w:id="68"/>
    <w:p>
      <w:pPr>
        <w:ind w:left="6560"/>
        <w:spacing w:after="0"/>
        <w:rPr>
          <w:sz w:val="20"/>
          <w:szCs w:val="20"/>
          <w:color w:val="auto"/>
        </w:rPr>
      </w:pPr>
      <w:r>
        <w:rPr>
          <w:rFonts w:ascii="Courier New" w:cs="Courier New" w:eastAsia="Courier New" w:hAnsi="Courier New"/>
          <w:sz w:val="15"/>
          <w:szCs w:val="15"/>
          <w:color w:val="auto"/>
        </w:rPr>
        <w:t>43</w:t>
      </w:r>
    </w:p>
    <w:p>
      <w:pPr>
        <w:spacing w:after="0" w:line="173"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preserve and maintain its corporate existence, rights, franchises and privileges, or qualify or remain qualified will not have a material adverse effect on the business or property of the Company.</w:t>
      </w:r>
    </w:p>
    <w:p>
      <w:pPr>
        <w:spacing w:after="0" w:line="167" w:lineRule="exact"/>
        <w:rPr>
          <w:sz w:val="20"/>
          <w:szCs w:val="20"/>
          <w:color w:val="auto"/>
        </w:rPr>
      </w:pPr>
    </w:p>
    <w:p>
      <w:pPr>
        <w:ind w:left="880"/>
        <w:spacing w:after="0"/>
        <w:tabs>
          <w:tab w:leader="none" w:pos="1380" w:val="left"/>
          <w:tab w:leader="none" w:pos="5240" w:val="left"/>
        </w:tabs>
        <w:rPr>
          <w:sz w:val="20"/>
          <w:szCs w:val="20"/>
          <w:color w:val="auto"/>
        </w:rPr>
      </w:pPr>
      <w:r>
        <w:rPr>
          <w:rFonts w:ascii="Courier New" w:cs="Courier New" w:eastAsia="Courier New" w:hAnsi="Courier New"/>
          <w:sz w:val="15"/>
          <w:szCs w:val="15"/>
          <w:color w:val="auto"/>
        </w:rPr>
        <w:t>5.5.</w:t>
        <w:tab/>
        <w:t>Inspection of Property, Books and Records.</w:t>
      </w:r>
      <w:r>
        <w:rPr>
          <w:sz w:val="20"/>
          <w:szCs w:val="20"/>
          <w:color w:val="auto"/>
        </w:rPr>
        <w:tab/>
      </w:r>
      <w:r>
        <w:rPr>
          <w:rFonts w:ascii="Courier New" w:cs="Courier New" w:eastAsia="Courier New" w:hAnsi="Courier New"/>
          <w:sz w:val="14"/>
          <w:szCs w:val="14"/>
          <w:color w:val="auto"/>
        </w:rPr>
        <w:t>The Company will,</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and will cause each Consolidated Subsidiary to, make and keep books, records and accounts in which transactions are recorded as necessary to (a) permit preparation of the Company's consolidated financial statements in accordance with generally accepted accounting principles and (b) otherwise comply with the requirements of Section 13(b)(2) of the Securities Exchange Act of 1934 as in effect from time to time. At any reasonable time during normal business hours and from time to time, the Company will permit the Agent or any of the Banks or any agents or representatives thereof at their expense (to the extent not in violation of applicable law) to examine and make copies of and abstracts from the records and books of account of, and visit the properties of, the Company and any Consolidated Subsidiaries and to discuss the affairs, finances and accounts of the Company and any Consolidated Subsidiaries with any of their respective officers or directors. Except (i) as any Bank deems it necessary in connection with the enforcement of its rights arising out of any Default or as required by law or with respect to disclosures to bank regulatory authorities or the independent auditors or counsel or the employees, officers or directors of such Bank, (ii) disclosures to any actual or potential participant or, with the prior written consent of the Company, assignee (a "Transferee") of such Bank's rights under this Agreement who signs a confidentiality agreement containing provisions substantially similar to those contained in this Section 5.5; provided that such Bank shall promptly notify the Company of the identity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such actual or potential Transferee, or (iii) as consented to by the Company in writing, such Bank will not publish or disclose to any third Person any information gained under any inspection conducted pursuant to this Section 5.5 or information obtained pursuant to Section 5.1.1(i) unless and until such information is or becomes a matter of public knowledge through no fault of such Bank or is lawfully acquired by such Bank without restrictions of confidentiality.</w:t>
      </w:r>
    </w:p>
    <w:p>
      <w:pPr>
        <w:spacing w:after="0" w:line="338" w:lineRule="exact"/>
        <w:rPr>
          <w:sz w:val="20"/>
          <w:szCs w:val="20"/>
          <w:color w:val="auto"/>
        </w:rPr>
      </w:pPr>
    </w:p>
    <w:p>
      <w:pPr>
        <w:ind w:left="880"/>
        <w:spacing w:after="0"/>
        <w:tabs>
          <w:tab w:leader="none" w:pos="1380" w:val="left"/>
          <w:tab w:leader="none" w:pos="3920" w:val="left"/>
        </w:tabs>
        <w:rPr>
          <w:sz w:val="20"/>
          <w:szCs w:val="20"/>
          <w:color w:val="auto"/>
        </w:rPr>
      </w:pPr>
      <w:r>
        <w:rPr>
          <w:rFonts w:ascii="Courier New" w:cs="Courier New" w:eastAsia="Courier New" w:hAnsi="Courier New"/>
          <w:sz w:val="15"/>
          <w:szCs w:val="15"/>
          <w:color w:val="auto"/>
        </w:rPr>
        <w:t>5.6.</w:t>
        <w:tab/>
        <w:t>Limitations on the Company.</w:t>
      </w:r>
      <w:r>
        <w:rPr>
          <w:sz w:val="20"/>
          <w:szCs w:val="20"/>
          <w:color w:val="auto"/>
        </w:rPr>
        <w:tab/>
      </w:r>
      <w:r>
        <w:rPr>
          <w:rFonts w:ascii="Courier New" w:cs="Courier New" w:eastAsia="Courier New" w:hAnsi="Courier New"/>
          <w:sz w:val="14"/>
          <w:szCs w:val="14"/>
          <w:color w:val="auto"/>
        </w:rPr>
        <w:t>The Company will not:</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617" w:right="1440" w:bottom="1440" w:gutter="0" w:footer="0" w:header="0"/>
        </w:sectPr>
      </w:pPr>
    </w:p>
    <w:bookmarkStart w:id="69" w:name="page70"/>
    <w:bookmarkEnd w:id="69"/>
    <w:p>
      <w:pPr>
        <w:ind w:left="6560"/>
        <w:spacing w:after="0"/>
        <w:rPr>
          <w:sz w:val="20"/>
          <w:szCs w:val="20"/>
          <w:color w:val="auto"/>
        </w:rPr>
      </w:pPr>
      <w:r>
        <w:rPr>
          <w:rFonts w:ascii="Courier New" w:cs="Courier New" w:eastAsia="Courier New" w:hAnsi="Courier New"/>
          <w:sz w:val="15"/>
          <w:szCs w:val="15"/>
          <w:color w:val="auto"/>
        </w:rPr>
        <w:t>44</w:t>
      </w:r>
    </w:p>
    <w:p>
      <w:pPr>
        <w:spacing w:after="0" w:line="166" w:lineRule="exact"/>
        <w:rPr>
          <w:sz w:val="20"/>
          <w:szCs w:val="20"/>
          <w:color w:val="auto"/>
        </w:rPr>
      </w:pPr>
    </w:p>
    <w:p>
      <w:pPr>
        <w:ind w:left="880"/>
        <w:spacing w:after="0"/>
        <w:tabs>
          <w:tab w:leader="none" w:pos="1560" w:val="left"/>
          <w:tab w:leader="none" w:pos="2960" w:val="left"/>
        </w:tabs>
        <w:rPr>
          <w:sz w:val="20"/>
          <w:szCs w:val="20"/>
          <w:color w:val="auto"/>
        </w:rPr>
      </w:pPr>
      <w:r>
        <w:rPr>
          <w:rFonts w:ascii="Courier New" w:cs="Courier New" w:eastAsia="Courier New" w:hAnsi="Courier New"/>
          <w:sz w:val="15"/>
          <w:szCs w:val="15"/>
          <w:color w:val="auto"/>
        </w:rPr>
        <w:t>5.6.1.</w:t>
        <w:tab/>
        <w:t>Current Ratio.</w:t>
      </w:r>
      <w:r>
        <w:rPr>
          <w:sz w:val="20"/>
          <w:szCs w:val="20"/>
          <w:color w:val="auto"/>
        </w:rPr>
        <w:tab/>
      </w:r>
      <w:r>
        <w:rPr>
          <w:rFonts w:ascii="Courier New" w:cs="Courier New" w:eastAsia="Courier New" w:hAnsi="Courier New"/>
          <w:sz w:val="14"/>
          <w:szCs w:val="14"/>
          <w:color w:val="auto"/>
        </w:rPr>
        <w:t>Permit the ratio of (x) the sum of</w:t>
      </w:r>
    </w:p>
    <w:p>
      <w:pPr>
        <w:ind w:left="15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Consolidated Current Assets plus the Unused Commitments to (y) Consolidated Current Liabilities to be less than 1.33 to 1.</w:t>
      </w:r>
    </w:p>
    <w:p>
      <w:pPr>
        <w:spacing w:after="0" w:line="167" w:lineRule="exact"/>
        <w:rPr>
          <w:sz w:val="20"/>
          <w:szCs w:val="20"/>
          <w:color w:val="auto"/>
        </w:rPr>
      </w:pPr>
    </w:p>
    <w:p>
      <w:pPr>
        <w:ind w:left="880"/>
        <w:spacing w:after="0"/>
        <w:tabs>
          <w:tab w:leader="none" w:pos="1560" w:val="left"/>
          <w:tab w:leader="none" w:pos="3400" w:val="left"/>
        </w:tabs>
        <w:rPr>
          <w:sz w:val="20"/>
          <w:szCs w:val="20"/>
          <w:color w:val="auto"/>
        </w:rPr>
      </w:pPr>
      <w:r>
        <w:rPr>
          <w:rFonts w:ascii="Courier New" w:cs="Courier New" w:eastAsia="Courier New" w:hAnsi="Courier New"/>
          <w:sz w:val="15"/>
          <w:szCs w:val="15"/>
          <w:color w:val="auto"/>
        </w:rPr>
        <w:t>5.6.2.</w:t>
        <w:tab/>
        <w:t>Tangible Net Worth.</w:t>
      </w:r>
      <w:r>
        <w:rPr>
          <w:sz w:val="20"/>
          <w:szCs w:val="20"/>
          <w:color w:val="auto"/>
        </w:rPr>
        <w:tab/>
      </w:r>
      <w:r>
        <w:rPr>
          <w:rFonts w:ascii="Courier New" w:cs="Courier New" w:eastAsia="Courier New" w:hAnsi="Courier New"/>
          <w:sz w:val="14"/>
          <w:szCs w:val="14"/>
          <w:color w:val="auto"/>
        </w:rPr>
        <w:t>Permit Consolidated Tangible Net</w:t>
      </w:r>
    </w:p>
    <w:p>
      <w:pPr>
        <w:ind w:left="158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Worth to be less than $1,000,000,000.</w:t>
      </w:r>
    </w:p>
    <w:p>
      <w:pPr>
        <w:spacing w:after="0" w:line="167" w:lineRule="exact"/>
        <w:rPr>
          <w:sz w:val="20"/>
          <w:szCs w:val="20"/>
          <w:color w:val="auto"/>
        </w:rPr>
      </w:pPr>
    </w:p>
    <w:p>
      <w:pPr>
        <w:ind w:left="880"/>
        <w:spacing w:after="0"/>
        <w:tabs>
          <w:tab w:leader="none" w:pos="1560" w:val="left"/>
          <w:tab w:leader="none" w:pos="3660" w:val="left"/>
        </w:tabs>
        <w:rPr>
          <w:sz w:val="20"/>
          <w:szCs w:val="20"/>
          <w:color w:val="auto"/>
        </w:rPr>
      </w:pPr>
      <w:r>
        <w:rPr>
          <w:rFonts w:ascii="Courier New" w:cs="Courier New" w:eastAsia="Courier New" w:hAnsi="Courier New"/>
          <w:sz w:val="15"/>
          <w:szCs w:val="15"/>
          <w:color w:val="auto"/>
        </w:rPr>
        <w:t>5.6.3.</w:t>
        <w:tab/>
        <w:t>Debt to Capital Ratio.</w:t>
      </w:r>
      <w:r>
        <w:rPr>
          <w:sz w:val="20"/>
          <w:szCs w:val="20"/>
          <w:color w:val="auto"/>
        </w:rPr>
        <w:tab/>
      </w:r>
      <w:r>
        <w:rPr>
          <w:rFonts w:ascii="Courier New" w:cs="Courier New" w:eastAsia="Courier New" w:hAnsi="Courier New"/>
          <w:sz w:val="14"/>
          <w:szCs w:val="14"/>
          <w:color w:val="auto"/>
        </w:rPr>
        <w:t>Permit the ratio of Consolidated</w:t>
      </w:r>
    </w:p>
    <w:p>
      <w:pPr>
        <w:ind w:left="158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Debt to Capital to exceed 0.825 to 1.</w:t>
      </w:r>
    </w:p>
    <w:p>
      <w:pPr>
        <w:spacing w:after="0" w:line="167" w:lineRule="exact"/>
        <w:rPr>
          <w:sz w:val="20"/>
          <w:szCs w:val="20"/>
          <w:color w:val="auto"/>
        </w:rPr>
      </w:pPr>
    </w:p>
    <w:p>
      <w:pPr>
        <w:ind w:left="880"/>
        <w:spacing w:after="0"/>
        <w:tabs>
          <w:tab w:leader="none" w:pos="1380" w:val="left"/>
        </w:tabs>
        <w:rPr>
          <w:sz w:val="20"/>
          <w:szCs w:val="20"/>
          <w:color w:val="auto"/>
        </w:rPr>
      </w:pPr>
      <w:r>
        <w:rPr>
          <w:rFonts w:ascii="Courier New" w:cs="Courier New" w:eastAsia="Courier New" w:hAnsi="Courier New"/>
          <w:sz w:val="15"/>
          <w:szCs w:val="15"/>
          <w:color w:val="auto"/>
        </w:rPr>
        <w:t>5.7.</w:t>
      </w:r>
      <w:r>
        <w:rPr>
          <w:sz w:val="20"/>
          <w:szCs w:val="20"/>
          <w:color w:val="auto"/>
        </w:rPr>
        <w:tab/>
      </w:r>
      <w:r>
        <w:rPr>
          <w:rFonts w:ascii="Courier New" w:cs="Courier New" w:eastAsia="Courier New" w:hAnsi="Courier New"/>
          <w:sz w:val="14"/>
          <w:szCs w:val="14"/>
          <w:color w:val="auto"/>
        </w:rPr>
        <w:t>Restrictions on Liens upon Stock of Consolidated Subsidiaries.</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Neither the Company nor any Consolidated Subsidiary will create, assume or suffer to exist any Lien on any stock of any Consolidated Subsidiary except Liens on the stock of one or more Consolidated Subsidiaries which in the aggregate, if considered as a single Subsidiary, would not constitute a "Significant Subsidiary" as defined on the Effective Date in Rule 1-02 of Regulation S-X adopted by the Securities and Exchange Commission.</w:t>
      </w:r>
    </w:p>
    <w:p>
      <w:pPr>
        <w:spacing w:after="0" w:line="160" w:lineRule="exact"/>
        <w:rPr>
          <w:sz w:val="20"/>
          <w:szCs w:val="20"/>
          <w:color w:val="auto"/>
        </w:rPr>
      </w:pPr>
    </w:p>
    <w:p>
      <w:pPr>
        <w:ind w:left="880"/>
        <w:spacing w:after="0"/>
        <w:tabs>
          <w:tab w:leader="none" w:pos="1380" w:val="left"/>
          <w:tab w:leader="none" w:pos="3400" w:val="left"/>
        </w:tabs>
        <w:rPr>
          <w:sz w:val="20"/>
          <w:szCs w:val="20"/>
          <w:color w:val="auto"/>
        </w:rPr>
      </w:pPr>
      <w:r>
        <w:rPr>
          <w:rFonts w:ascii="Courier New" w:cs="Courier New" w:eastAsia="Courier New" w:hAnsi="Courier New"/>
          <w:sz w:val="15"/>
          <w:szCs w:val="15"/>
          <w:color w:val="auto"/>
        </w:rPr>
        <w:t>5.8.</w:t>
        <w:tab/>
        <w:t>Compliance with Laws.</w:t>
      </w:r>
      <w:r>
        <w:rPr>
          <w:sz w:val="20"/>
          <w:szCs w:val="20"/>
          <w:color w:val="auto"/>
        </w:rPr>
        <w:tab/>
      </w:r>
      <w:r>
        <w:rPr>
          <w:rFonts w:ascii="Courier New" w:cs="Courier New" w:eastAsia="Courier New" w:hAnsi="Courier New"/>
          <w:sz w:val="14"/>
          <w:szCs w:val="14"/>
          <w:color w:val="auto"/>
        </w:rPr>
        <w:t>The Company will, and will cause each</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Consolidated Subsidiary to, comply in all material respects with all applicable laws, ordinances, rules, regulations, and requirements of governmental authorities (including, without limitation, ERISA and the rules and regulations thereunder), except to the extent that (a) the necessity of compliance therewith is contested in good faith by appropriate proceedings or (b) the failure to so comply would not result in any material adverse effect on the business, financial condition or results of operations of the Company and Consolidated Subsidiaries taken as a whole.</w:t>
      </w:r>
    </w:p>
    <w:p>
      <w:pPr>
        <w:spacing w:after="0" w:line="171" w:lineRule="exact"/>
        <w:rPr>
          <w:sz w:val="20"/>
          <w:szCs w:val="20"/>
          <w:color w:val="auto"/>
        </w:rPr>
      </w:pPr>
    </w:p>
    <w:p>
      <w:pPr>
        <w:ind w:left="880"/>
        <w:spacing w:after="0"/>
        <w:tabs>
          <w:tab w:leader="none" w:pos="1380" w:val="left"/>
          <w:tab w:leader="none" w:pos="5160" w:val="left"/>
        </w:tabs>
        <w:rPr>
          <w:sz w:val="20"/>
          <w:szCs w:val="20"/>
          <w:color w:val="auto"/>
        </w:rPr>
      </w:pPr>
      <w:r>
        <w:rPr>
          <w:rFonts w:ascii="Courier New" w:cs="Courier New" w:eastAsia="Courier New" w:hAnsi="Courier New"/>
          <w:sz w:val="15"/>
          <w:szCs w:val="15"/>
          <w:color w:val="auto"/>
        </w:rPr>
        <w:t>5.9.</w:t>
        <w:tab/>
        <w:t>Consolidated Subsidiary Debt Limitations.</w:t>
      </w:r>
      <w:r>
        <w:rPr>
          <w:sz w:val="20"/>
          <w:szCs w:val="20"/>
          <w:color w:val="auto"/>
        </w:rPr>
        <w:tab/>
      </w:r>
      <w:r>
        <w:rPr>
          <w:rFonts w:ascii="Courier New" w:cs="Courier New" w:eastAsia="Courier New" w:hAnsi="Courier New"/>
          <w:sz w:val="14"/>
          <w:szCs w:val="14"/>
          <w:color w:val="auto"/>
        </w:rPr>
        <w:t>The Company will not</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permit any Consolidated Subsidiary to create, incur, assume or suffer to exist any Debt except:</w:t>
      </w:r>
    </w:p>
    <w:p>
      <w:pPr>
        <w:spacing w:after="0" w:line="173" w:lineRule="exact"/>
        <w:rPr>
          <w:sz w:val="20"/>
          <w:szCs w:val="20"/>
          <w:color w:val="auto"/>
        </w:rPr>
      </w:pPr>
    </w:p>
    <w:p>
      <w:pPr>
        <w:ind w:right="3239" w:firstLine="875"/>
        <w:spacing w:after="0" w:line="254" w:lineRule="auto"/>
        <w:rPr>
          <w:sz w:val="20"/>
          <w:szCs w:val="20"/>
          <w:color w:val="auto"/>
        </w:rPr>
      </w:pPr>
      <w:r>
        <w:rPr>
          <w:rFonts w:ascii="Courier New" w:cs="Courier New" w:eastAsia="Courier New" w:hAnsi="Courier New"/>
          <w:sz w:val="14"/>
          <w:szCs w:val="14"/>
          <w:color w:val="auto"/>
        </w:rPr>
        <w:t>5.9.1. Debt of any Consolidated Subsidiary which is, or the direct or indirect parent of which is, acquired by the Company or any other Consolidated Subsidiary after the Effective Date, which Debt is in existence at the time such Consolidated Subsidiary (or parent) is so acquired; provided such Debt was not</w:t>
      </w:r>
    </w:p>
    <w:p>
      <w:pPr>
        <w:ind w:left="4560"/>
        <w:spacing w:after="0" w:line="232"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created at the request or with the consent of the Company or any Subsidiary, and such Debt may not be extended other than pursuant to the</w:t>
      </w:r>
    </w:p>
    <w:p>
      <w:pPr>
        <w:sectPr>
          <w:pgSz w:w="11900" w:h="16838" w:orient="portrait"/>
          <w:cols w:equalWidth="0" w:num="1">
            <w:col w:w="10239"/>
          </w:cols>
          <w:pgMar w:left="220" w:top="617" w:right="1440" w:bottom="1440" w:gutter="0" w:footer="0" w:header="0"/>
        </w:sectPr>
      </w:pPr>
    </w:p>
    <w:bookmarkStart w:id="70" w:name="page71"/>
    <w:bookmarkEnd w:id="70"/>
    <w:p>
      <w:pPr>
        <w:ind w:left="6560"/>
        <w:spacing w:after="0"/>
        <w:rPr>
          <w:sz w:val="20"/>
          <w:szCs w:val="20"/>
          <w:color w:val="auto"/>
        </w:rPr>
      </w:pPr>
      <w:r>
        <w:rPr>
          <w:rFonts w:ascii="Courier New" w:cs="Courier New" w:eastAsia="Courier New" w:hAnsi="Courier New"/>
          <w:sz w:val="15"/>
          <w:szCs w:val="15"/>
          <w:color w:val="auto"/>
        </w:rPr>
        <w:t>45</w:t>
      </w:r>
    </w:p>
    <w:p>
      <w:pPr>
        <w:spacing w:after="0" w:line="341"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terms thereof as in existence at the time such Consolidated Subsidiary (or parent) was acquired;</w:t>
      </w:r>
    </w:p>
    <w:p>
      <w:pPr>
        <w:spacing w:after="0" w:line="173" w:lineRule="exact"/>
        <w:rPr>
          <w:sz w:val="20"/>
          <w:szCs w:val="20"/>
          <w:color w:val="auto"/>
        </w:rPr>
      </w:pPr>
    </w:p>
    <w:p>
      <w:pPr>
        <w:jc w:val="both"/>
        <w:ind w:right="3319" w:firstLine="875"/>
        <w:spacing w:after="0" w:line="254" w:lineRule="auto"/>
        <w:rPr>
          <w:sz w:val="20"/>
          <w:szCs w:val="20"/>
          <w:color w:val="auto"/>
        </w:rPr>
      </w:pPr>
      <w:r>
        <w:rPr>
          <w:rFonts w:ascii="Courier New" w:cs="Courier New" w:eastAsia="Courier New" w:hAnsi="Courier New"/>
          <w:sz w:val="14"/>
          <w:szCs w:val="14"/>
          <w:color w:val="auto"/>
        </w:rPr>
        <w:t>5.9.2. If the WFN Companies shall be Consolidated Subsidiaries, Debt of the WFN Companies in an aggregate principal amount not exceeding 50% of the WFN Companies' Tangible Assets; provided that for any one period not to exceed</w:t>
      </w:r>
    </w:p>
    <w:p>
      <w:pPr>
        <w:ind w:left="2800"/>
        <w:spacing w:after="0" w:line="232"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319"/>
        <w:spacing w:after="0" w:line="234" w:lineRule="auto"/>
        <w:rPr>
          <w:sz w:val="20"/>
          <w:szCs w:val="20"/>
          <w:color w:val="auto"/>
        </w:rPr>
      </w:pPr>
      <w:r>
        <w:rPr>
          <w:rFonts w:ascii="Courier New" w:cs="Courier New" w:eastAsia="Courier New" w:hAnsi="Courier New"/>
          <w:sz w:val="15"/>
          <w:szCs w:val="15"/>
          <w:color w:val="auto"/>
        </w:rPr>
        <w:t>56 days in any Fiscal Year, Debt of the WFN Companies may exceed 50% of the WFN Companies' Tangible Assets; and</w:t>
      </w:r>
    </w:p>
    <w:p>
      <w:pPr>
        <w:spacing w:after="0" w:line="173" w:lineRule="exact"/>
        <w:rPr>
          <w:sz w:val="20"/>
          <w:szCs w:val="20"/>
          <w:color w:val="auto"/>
        </w:rPr>
      </w:pPr>
    </w:p>
    <w:p>
      <w:pPr>
        <w:ind w:right="3499" w:firstLine="875"/>
        <w:spacing w:after="0" w:line="235" w:lineRule="auto"/>
        <w:rPr>
          <w:sz w:val="20"/>
          <w:szCs w:val="20"/>
          <w:color w:val="auto"/>
        </w:rPr>
      </w:pPr>
      <w:r>
        <w:rPr>
          <w:rFonts w:ascii="Courier New" w:cs="Courier New" w:eastAsia="Courier New" w:hAnsi="Courier New"/>
          <w:sz w:val="15"/>
          <w:szCs w:val="15"/>
          <w:color w:val="auto"/>
        </w:rPr>
        <w:t>5.9.3. Other Debt in an aggregate principal amount for all Consolidated Subsidiaries not exceeding the lesser of (a) $250,000,000 or (b) 15% of Consolidated Tangible Net Worth.</w:t>
      </w:r>
    </w:p>
    <w:p>
      <w:pPr>
        <w:spacing w:after="0" w:line="167" w:lineRule="exact"/>
        <w:rPr>
          <w:sz w:val="20"/>
          <w:szCs w:val="20"/>
          <w:color w:val="auto"/>
        </w:rPr>
      </w:pPr>
    </w:p>
    <w:p>
      <w:pPr>
        <w:ind w:left="880"/>
        <w:spacing w:after="0"/>
        <w:tabs>
          <w:tab w:leader="none" w:pos="1480" w:val="left"/>
          <w:tab w:leader="none" w:pos="5500" w:val="left"/>
        </w:tabs>
        <w:rPr>
          <w:sz w:val="20"/>
          <w:szCs w:val="20"/>
          <w:color w:val="auto"/>
        </w:rPr>
      </w:pPr>
      <w:r>
        <w:rPr>
          <w:rFonts w:ascii="Courier New" w:cs="Courier New" w:eastAsia="Courier New" w:hAnsi="Courier New"/>
          <w:sz w:val="15"/>
          <w:szCs w:val="15"/>
          <w:color w:val="auto"/>
        </w:rPr>
        <w:t>5.10.</w:t>
        <w:tab/>
        <w:t>Consolidations, Mergers and Sales of Assets.</w:t>
      </w:r>
      <w:r>
        <w:rPr>
          <w:sz w:val="20"/>
          <w:szCs w:val="20"/>
          <w:color w:val="auto"/>
        </w:rPr>
        <w:tab/>
      </w:r>
      <w:r>
        <w:rPr>
          <w:rFonts w:ascii="Courier New" w:cs="Courier New" w:eastAsia="Courier New" w:hAnsi="Courier New"/>
          <w:sz w:val="14"/>
          <w:szCs w:val="14"/>
          <w:color w:val="auto"/>
        </w:rPr>
        <w:t>The Company will</w:t>
      </w:r>
    </w:p>
    <w:p>
      <w:pPr>
        <w:ind w:left="15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not (a) consolidate or merge with or into any other Person or (b) sell, lease or otherwise transfer all or any substantial part of the assets of the Company and its Consolidated Subsidiaries, taken as a whole, to any other Person; provided</w:t>
      </w:r>
    </w:p>
    <w:p>
      <w:pPr>
        <w:ind w:left="6140"/>
        <w:spacing w:after="0" w:line="232"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that the Company may merge with another Person if (y) the corporation surviving the merger is the Company or a corporation organized under the laws of a State of the United States into which the Company desires to merge for the purpose of becoming incorporated in such State (in which case such corporation shall assume all of the Company's obligations under this Agreement and the Notes by an agreement satisfactory to the Required Banks (and the Required Banks shall not unreasonably withhold their consent to the form of such agreement) and shall deliver to the Banks such legal opinions and other documents as the Agent may reasonably request to evidence the due authorization, validity and binding effect thereof) and (z) immediately after giving effect to such merger, no Default. shall have occurred and be continuing; and provided further that the</w:t>
      </w:r>
    </w:p>
    <w:p>
      <w:pPr>
        <w:ind w:left="4560"/>
        <w:spacing w:after="0" w:line="236"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foregoing shall not be construed to prohibit, in addition to any other sale, lease or other transfer of assets (including by means of dividends, share repurchases or recapitalizations) that does not involve all or any substantial part of the assets of the Company and its Consolidated Subsidiaries, taken as a whole, (i) the WFN Transactions, (ii) any Minority Interest Disposition or</w:t>
      </w:r>
    </w:p>
    <w:p>
      <w:pPr>
        <w:spacing w:after="0" w:line="2" w:lineRule="exact"/>
        <w:rPr>
          <w:sz w:val="20"/>
          <w:szCs w:val="20"/>
          <w:color w:val="auto"/>
        </w:rPr>
      </w:pPr>
    </w:p>
    <w:p>
      <w:pPr>
        <w:ind w:right="3399" w:firstLine="10"/>
        <w:spacing w:after="0" w:line="258" w:lineRule="auto"/>
        <w:tabs>
          <w:tab w:leader="none" w:pos="525"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transfers to some or all of the shareholders of the Company, whether by means of dividend, share repurchase, recapitalization or otherwise, of cash in amounts that do not materially exceed the range indicated in the Company's</w:t>
      </w:r>
    </w:p>
    <w:p>
      <w:pPr>
        <w:sectPr>
          <w:pgSz w:w="11900" w:h="16838" w:orient="portrait"/>
          <w:cols w:equalWidth="0" w:num="1">
            <w:col w:w="10239"/>
          </w:cols>
          <w:pgMar w:left="220" w:top="617" w:right="1440" w:bottom="1440" w:gutter="0" w:footer="0" w:header="0"/>
        </w:sectPr>
      </w:pPr>
    </w:p>
    <w:bookmarkStart w:id="71" w:name="page72"/>
    <w:bookmarkEnd w:id="71"/>
    <w:p>
      <w:pPr>
        <w:ind w:left="6560"/>
        <w:spacing w:after="0"/>
        <w:rPr>
          <w:sz w:val="20"/>
          <w:szCs w:val="20"/>
          <w:color w:val="auto"/>
        </w:rPr>
      </w:pPr>
      <w:r>
        <w:rPr>
          <w:rFonts w:ascii="Courier New" w:cs="Courier New" w:eastAsia="Courier New" w:hAnsi="Courier New"/>
          <w:sz w:val="15"/>
          <w:szCs w:val="15"/>
          <w:color w:val="auto"/>
        </w:rPr>
        <w:t>46</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press release dated October 26, 1995, previously delivered to the Banks.</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SECTION 6</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EVENTS OF DEFAULT AND REMEDIES</w:t>
      </w:r>
    </w:p>
    <w:p>
      <w:pPr>
        <w:spacing w:after="0" w:line="166" w:lineRule="exact"/>
        <w:rPr>
          <w:sz w:val="20"/>
          <w:szCs w:val="20"/>
          <w:color w:val="auto"/>
        </w:rPr>
      </w:pPr>
    </w:p>
    <w:p>
      <w:pPr>
        <w:ind w:left="880"/>
        <w:spacing w:after="0"/>
        <w:tabs>
          <w:tab w:leader="none" w:pos="1380" w:val="left"/>
          <w:tab w:leader="none" w:pos="3140" w:val="left"/>
        </w:tabs>
        <w:rPr>
          <w:sz w:val="20"/>
          <w:szCs w:val="20"/>
          <w:color w:val="auto"/>
        </w:rPr>
      </w:pPr>
      <w:r>
        <w:rPr>
          <w:rFonts w:ascii="Courier New" w:cs="Courier New" w:eastAsia="Courier New" w:hAnsi="Courier New"/>
          <w:sz w:val="15"/>
          <w:szCs w:val="15"/>
          <w:color w:val="auto"/>
        </w:rPr>
        <w:t>6.1.</w:t>
        <w:tab/>
        <w:t>Events of Default.</w:t>
      </w:r>
      <w:r>
        <w:rPr>
          <w:sz w:val="20"/>
          <w:szCs w:val="20"/>
          <w:color w:val="auto"/>
        </w:rPr>
        <w:tab/>
      </w:r>
      <w:r>
        <w:rPr>
          <w:rFonts w:ascii="Courier New" w:cs="Courier New" w:eastAsia="Courier New" w:hAnsi="Courier New"/>
          <w:sz w:val="14"/>
          <w:szCs w:val="14"/>
          <w:color w:val="auto"/>
        </w:rPr>
        <w:t>Any of the following shall be an "Event of</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Default":</w:t>
      </w:r>
    </w:p>
    <w:p>
      <w:pPr>
        <w:spacing w:after="0" w:line="167" w:lineRule="exact"/>
        <w:rPr>
          <w:sz w:val="20"/>
          <w:szCs w:val="20"/>
          <w:color w:val="auto"/>
        </w:rPr>
      </w:pPr>
    </w:p>
    <w:p>
      <w:pPr>
        <w:ind w:left="880"/>
        <w:spacing w:after="0"/>
        <w:tabs>
          <w:tab w:leader="none" w:pos="1560" w:val="left"/>
          <w:tab w:leader="none" w:pos="2440" w:val="left"/>
        </w:tabs>
        <w:rPr>
          <w:sz w:val="20"/>
          <w:szCs w:val="20"/>
          <w:color w:val="auto"/>
        </w:rPr>
      </w:pPr>
      <w:r>
        <w:rPr>
          <w:rFonts w:ascii="Courier New" w:cs="Courier New" w:eastAsia="Courier New" w:hAnsi="Courier New"/>
          <w:sz w:val="15"/>
          <w:szCs w:val="15"/>
          <w:color w:val="auto"/>
        </w:rPr>
        <w:t>6.1.1.</w:t>
        <w:tab/>
        <w:t>Payment.</w:t>
      </w:r>
      <w:r>
        <w:rPr>
          <w:sz w:val="20"/>
          <w:szCs w:val="20"/>
          <w:color w:val="auto"/>
        </w:rPr>
        <w:tab/>
      </w:r>
      <w:r>
        <w:rPr>
          <w:rFonts w:ascii="Courier New" w:cs="Courier New" w:eastAsia="Courier New" w:hAnsi="Courier New"/>
          <w:sz w:val="14"/>
          <w:szCs w:val="14"/>
          <w:color w:val="auto"/>
        </w:rPr>
        <w:t>The Company shall fail to make any payment of</w:t>
      </w:r>
    </w:p>
    <w:p>
      <w:pPr>
        <w:ind w:left="15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principal of or interest on any Loan when due or to pay any fees or other amounts payable hereunder when due, and such failure remains unremedied for three Domestic Business Days after the Company's actual receipt of notice of such failure from the Agent at the request of any Bank;</w:t>
      </w:r>
    </w:p>
    <w:p>
      <w:pPr>
        <w:spacing w:after="0" w:line="169" w:lineRule="exact"/>
        <w:rPr>
          <w:sz w:val="20"/>
          <w:szCs w:val="20"/>
          <w:color w:val="auto"/>
        </w:rPr>
      </w:pPr>
    </w:p>
    <w:p>
      <w:pPr>
        <w:jc w:val="right"/>
        <w:ind w:right="3239"/>
        <w:spacing w:after="0"/>
        <w:tabs>
          <w:tab w:leader="none" w:pos="5400" w:val="left"/>
          <w:tab w:leader="none" w:pos="3820" w:val="left"/>
        </w:tabs>
        <w:rPr>
          <w:sz w:val="20"/>
          <w:szCs w:val="20"/>
          <w:color w:val="auto"/>
        </w:rPr>
      </w:pPr>
      <w:r>
        <w:rPr>
          <w:rFonts w:ascii="Courier New" w:cs="Courier New" w:eastAsia="Courier New" w:hAnsi="Courier New"/>
          <w:sz w:val="15"/>
          <w:szCs w:val="15"/>
          <w:color w:val="auto"/>
        </w:rPr>
        <w:t>6.1.2.</w:t>
        <w:tab/>
        <w:t>Representations.</w:t>
      </w:r>
      <w:r>
        <w:rPr>
          <w:sz w:val="20"/>
          <w:szCs w:val="20"/>
          <w:color w:val="auto"/>
        </w:rPr>
        <w:tab/>
      </w:r>
      <w:r>
        <w:rPr>
          <w:rFonts w:ascii="Courier New" w:cs="Courier New" w:eastAsia="Courier New" w:hAnsi="Courier New"/>
          <w:sz w:val="14"/>
          <w:szCs w:val="14"/>
          <w:color w:val="auto"/>
        </w:rPr>
        <w:t>Any statement of fact or representation made</w:t>
      </w:r>
    </w:p>
    <w:p>
      <w:pPr>
        <w:ind w:left="15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or deemed to be made by the Company in this Agreement or by the Company or any of its officers in any certificate delivered pursuant to this Agreement shall prove to have been incorrect in any material respect when made or deemed made, and, if the consequences of such representation or statement being incorrect shall be susceptible of remedy in all material respects, such consequences shall not be remedied in all material respects within 30 days after any executive or financial officer first becomes aware of or is advised that such representation or statement was incorrect in a material respect;</w:t>
      </w:r>
    </w:p>
    <w:p>
      <w:pPr>
        <w:spacing w:after="0" w:line="171" w:lineRule="exact"/>
        <w:rPr>
          <w:sz w:val="20"/>
          <w:szCs w:val="20"/>
          <w:color w:val="auto"/>
        </w:rPr>
      </w:pPr>
    </w:p>
    <w:p>
      <w:pPr>
        <w:ind w:left="880"/>
        <w:spacing w:after="0"/>
        <w:tabs>
          <w:tab w:leader="none" w:pos="1560" w:val="left"/>
          <w:tab w:leader="none" w:pos="3480" w:val="left"/>
        </w:tabs>
        <w:rPr>
          <w:sz w:val="20"/>
          <w:szCs w:val="20"/>
          <w:color w:val="auto"/>
        </w:rPr>
      </w:pPr>
      <w:r>
        <w:rPr>
          <w:rFonts w:ascii="Courier New" w:cs="Courier New" w:eastAsia="Courier New" w:hAnsi="Courier New"/>
          <w:sz w:val="15"/>
          <w:szCs w:val="15"/>
          <w:color w:val="auto"/>
        </w:rPr>
        <w:t>6.1.3.</w:t>
        <w:tab/>
        <w:t>Financial Covenants.</w:t>
      </w:r>
      <w:r>
        <w:rPr>
          <w:sz w:val="20"/>
          <w:szCs w:val="20"/>
          <w:color w:val="auto"/>
        </w:rPr>
        <w:tab/>
      </w:r>
      <w:r>
        <w:rPr>
          <w:rFonts w:ascii="Courier New" w:cs="Courier New" w:eastAsia="Courier New" w:hAnsi="Courier New"/>
          <w:sz w:val="14"/>
          <w:szCs w:val="14"/>
          <w:color w:val="auto"/>
        </w:rPr>
        <w:t>The Company shall fail to comply with</w:t>
      </w:r>
    </w:p>
    <w:p>
      <w:pPr>
        <w:ind w:left="15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any of the provisions of Section 5.6.1, 5.6.2 or 5.6.3 and, if the consequences of such failure shall be susceptible of remedy in all material respects, such consequences shall not be remedied in all material respects within 20 days after any executive or financial officer of the Company first becomes aware or is advised of such failure to comply;</w:t>
      </w:r>
    </w:p>
    <w:p>
      <w:pPr>
        <w:spacing w:after="0" w:line="167" w:lineRule="exact"/>
        <w:rPr>
          <w:sz w:val="20"/>
          <w:szCs w:val="20"/>
          <w:color w:val="auto"/>
        </w:rPr>
      </w:pPr>
    </w:p>
    <w:p>
      <w:pPr>
        <w:ind w:left="880"/>
        <w:spacing w:after="0"/>
        <w:tabs>
          <w:tab w:leader="none" w:pos="1560" w:val="left"/>
          <w:tab w:leader="none" w:pos="2700" w:val="left"/>
          <w:tab w:leader="none" w:pos="3140" w:val="left"/>
        </w:tabs>
        <w:rPr>
          <w:sz w:val="20"/>
          <w:szCs w:val="20"/>
          <w:color w:val="auto"/>
        </w:rPr>
      </w:pPr>
      <w:r>
        <w:rPr>
          <w:rFonts w:ascii="Courier New" w:cs="Courier New" w:eastAsia="Courier New" w:hAnsi="Courier New"/>
          <w:sz w:val="15"/>
          <w:szCs w:val="15"/>
          <w:color w:val="auto"/>
        </w:rPr>
        <w:t>6.1.4.</w:t>
        <w:tab/>
        <w:t>Other Debt.</w:t>
        <w:tab/>
        <w:t>(a)</w:t>
      </w:r>
      <w:r>
        <w:rPr>
          <w:sz w:val="20"/>
          <w:szCs w:val="20"/>
          <w:color w:val="auto"/>
        </w:rPr>
        <w:tab/>
      </w:r>
      <w:r>
        <w:rPr>
          <w:rFonts w:ascii="Courier New" w:cs="Courier New" w:eastAsia="Courier New" w:hAnsi="Courier New"/>
          <w:sz w:val="14"/>
          <w:szCs w:val="14"/>
          <w:color w:val="auto"/>
        </w:rPr>
        <w:t>The Company or any Consolidated Subsidiary</w:t>
      </w:r>
    </w:p>
    <w:p>
      <w:pPr>
        <w:ind w:left="15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shall fail to pay principal of or interest on any Debt (other than as evidenced by the Notes) and the longer of (i) any periods within which the Company or such Consolidated Subsidiary shall be allowed to cure such nonpayment shall have elapsed, or (ii) 10 days shall</w:t>
      </w:r>
    </w:p>
    <w:p>
      <w:pPr>
        <w:sectPr>
          <w:pgSz w:w="11900" w:h="16838" w:orient="portrait"/>
          <w:cols w:equalWidth="0" w:num="1">
            <w:col w:w="10239"/>
          </w:cols>
          <w:pgMar w:left="220" w:top="617" w:right="1440" w:bottom="1440" w:gutter="0" w:footer="0" w:header="0"/>
        </w:sectPr>
      </w:pPr>
    </w:p>
    <w:bookmarkStart w:id="72" w:name="page73"/>
    <w:bookmarkEnd w:id="72"/>
    <w:p>
      <w:pPr>
        <w:ind w:left="6560"/>
        <w:spacing w:after="0"/>
        <w:rPr>
          <w:sz w:val="20"/>
          <w:szCs w:val="20"/>
          <w:color w:val="auto"/>
        </w:rPr>
      </w:pPr>
      <w:r>
        <w:rPr>
          <w:rFonts w:ascii="Courier New" w:cs="Courier New" w:eastAsia="Courier New" w:hAnsi="Courier New"/>
          <w:sz w:val="15"/>
          <w:szCs w:val="15"/>
          <w:color w:val="auto"/>
        </w:rPr>
        <w:t>47</w:t>
      </w:r>
    </w:p>
    <w:p>
      <w:pPr>
        <w:spacing w:after="0" w:line="341"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have passed since such failure, in either case without curing such nonpayment or (b) any event or condition shall occur which enables the holder of any Debt (other than as evidenced by the Notes) or any Person acting on such holder's behalf to accelerate the maturity thereof, and the longer of (i) any periods within which the Company or such Consolidated Subsidiary shall be allowed to cure such condition or event shall have elapsed, or (ii) 10 days shall have passed since the occurrence of such event or condition, in either case without curing such event or condition, or (c) the holder of any Debt (other than as evidenced by the Notes) shall accelerate the maturity of such Debt and such acceleration shall not have been rescinded within 20 days of such acceleration, provided no Default under this Section 6.1.4 shall be deemed to occur where</w:t>
      </w:r>
    </w:p>
    <w:p>
      <w:pPr>
        <w:spacing w:after="0" w:line="236"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jc w:val="both"/>
        <w:ind w:right="3399" w:firstLine="10"/>
        <w:spacing w:after="0" w:line="254" w:lineRule="auto"/>
        <w:tabs>
          <w:tab w:leader="none" w:pos="35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individually or in the aggregate, of such Debt does not exceed $15,000,000; or (z) if at the time such event occur, the Company has a Highest Company Rating, a High Company Rating or an Adequate Company Rating and either</w:t>
      </w:r>
    </w:p>
    <w:p>
      <w:pPr>
        <w:spacing w:after="0" w:line="1" w:lineRule="exact"/>
        <w:rPr>
          <w:rFonts w:ascii="Courier New" w:cs="Courier New" w:eastAsia="Courier New" w:hAnsi="Courier New"/>
          <w:sz w:val="14"/>
          <w:szCs w:val="14"/>
          <w:color w:val="auto"/>
        </w:rPr>
      </w:pPr>
    </w:p>
    <w:p>
      <w:pPr>
        <w:jc w:val="both"/>
        <w:ind w:right="3499" w:firstLine="10"/>
        <w:spacing w:after="0" w:line="258" w:lineRule="auto"/>
        <w:tabs>
          <w:tab w:leader="none" w:pos="35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Debt is owed by a Consolidated Subsidiary not incorporated under the laws of any State of the United States, the District of Columbia or Canada or any province thereof, or (ii) such Debt is permitted under Section 5.9.1;</w:t>
      </w:r>
    </w:p>
    <w:p>
      <w:pPr>
        <w:spacing w:after="0" w:line="155" w:lineRule="exact"/>
        <w:rPr>
          <w:sz w:val="20"/>
          <w:szCs w:val="20"/>
          <w:color w:val="auto"/>
        </w:rPr>
      </w:pPr>
    </w:p>
    <w:p>
      <w:pPr>
        <w:ind w:left="880"/>
        <w:spacing w:after="0"/>
        <w:tabs>
          <w:tab w:leader="none" w:pos="1560" w:val="left"/>
          <w:tab w:leader="none" w:pos="3140" w:val="left"/>
        </w:tabs>
        <w:rPr>
          <w:sz w:val="20"/>
          <w:szCs w:val="20"/>
          <w:color w:val="auto"/>
        </w:rPr>
      </w:pPr>
      <w:r>
        <w:rPr>
          <w:rFonts w:ascii="Courier New" w:cs="Courier New" w:eastAsia="Courier New" w:hAnsi="Courier New"/>
          <w:sz w:val="15"/>
          <w:szCs w:val="15"/>
          <w:color w:val="auto"/>
        </w:rPr>
        <w:t>6.1.5.</w:t>
        <w:tab/>
        <w:t>Insolvency, etc.</w:t>
      </w:r>
      <w:r>
        <w:rPr>
          <w:sz w:val="20"/>
          <w:szCs w:val="20"/>
          <w:color w:val="auto"/>
        </w:rPr>
        <w:tab/>
      </w:r>
      <w:r>
        <w:rPr>
          <w:rFonts w:ascii="Courier New" w:cs="Courier New" w:eastAsia="Courier New" w:hAnsi="Courier New"/>
          <w:sz w:val="14"/>
          <w:szCs w:val="14"/>
          <w:color w:val="auto"/>
        </w:rPr>
        <w:t>The Company or any Consolidated Subsidiary</w:t>
      </w:r>
    </w:p>
    <w:p>
      <w:pPr>
        <w:ind w:left="15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shall (a) make a general assignment for the benefit of creditors; (b) apply for or consent (by admission of material allegations of a petition or otherwise) to the appointment of a receiver, custodian, trustee or liquidator of the Company or any Consolidated Subsidiary or any substantial part of the properties of the Company or any Consolidated Subsidiary or authorize such application or consent, or proceedings seeking such appointment shall be commenced without such authorization, consent or application against the Company or any Consolidated Subsidiary and continue undismissed for 30 days (or if such dismissal of such unauthorized proceedings cannot reasonably be obtained within such 30 day period, the Company or any Consolidated Subsidiary shall fail either to proceed with due diligence to seek to obtain dismissal within such 30 day period or to obtain dismissal within 60 days); (c) authorize or file a voluntary petition in bankruptcy, suffer an order for relief under any federal bankruptcy law, or apply for or consent (b) admission of material allegations of a petition or otherwise) to the application of any bankruptcy, reorganization, arrangement, readjustment of debt, insolvency, dissolution, liquidation or other similar law of any jurisdiction, or authorize such</w:t>
      </w:r>
    </w:p>
    <w:p>
      <w:pPr>
        <w:sectPr>
          <w:pgSz w:w="11900" w:h="16838" w:orient="portrait"/>
          <w:cols w:equalWidth="0" w:num="1">
            <w:col w:w="10239"/>
          </w:cols>
          <w:pgMar w:left="220" w:top="617" w:right="1440" w:bottom="1440" w:gutter="0" w:footer="0" w:header="0"/>
        </w:sectPr>
      </w:pPr>
    </w:p>
    <w:bookmarkStart w:id="73" w:name="page74"/>
    <w:bookmarkEnd w:id="73"/>
    <w:p>
      <w:pPr>
        <w:ind w:left="6560"/>
        <w:spacing w:after="0"/>
        <w:rPr>
          <w:sz w:val="20"/>
          <w:szCs w:val="20"/>
          <w:color w:val="auto"/>
        </w:rPr>
      </w:pPr>
      <w:r>
        <w:rPr>
          <w:rFonts w:ascii="Courier New" w:cs="Courier New" w:eastAsia="Courier New" w:hAnsi="Courier New"/>
          <w:sz w:val="15"/>
          <w:szCs w:val="15"/>
          <w:color w:val="auto"/>
        </w:rPr>
        <w:t>48</w:t>
      </w:r>
    </w:p>
    <w:p>
      <w:pPr>
        <w:spacing w:after="0" w:line="341"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application or consent, or proceedings to such end shall be instituted against the Company or any Consolidated Subsidiary without such authorization, application or consent which are not vacated within 30 days from the date thereof (or if such vacation cannot reasonably be obtained within such 30 day period, the Company shall fail either to proceed with due diligence to seek to obtain vacation within such 30 day period or to obtain vacation within 60 days); (d) permit or suffer all or any substantial part of its properties to be sequestered, attached, or subjected to a Lien (other than a Lien expressly permitted by the exception to Section 5.7) through any legal proceeding or distraint which is not vacated within 30 days from the date thereof (or if such vacation cannot reasonably be obtained within such 30 day period, the Company shall fail either to proceed with due diligence to seek to obtain vacation within such 30 day period or to obtain vacation within 60 days); (e) generally not pay its debts as such debts become due or admit in writing its inability to do so; or (f) conceal, remove, or permit to be concealed or removed, any material part of its property, with intent to hinder, delay or defraud its creditors or any of them; provided, however, that the foregoing events</w:t>
      </w:r>
    </w:p>
    <w:p>
      <w:pPr>
        <w:ind w:left="2280"/>
        <w:spacing w:after="0"/>
        <w:tabs>
          <w:tab w:leader="none" w:pos="3140" w:val="left"/>
        </w:tabs>
        <w:rPr>
          <w:sz w:val="20"/>
          <w:szCs w:val="20"/>
          <w:color w:val="auto"/>
        </w:rPr>
      </w:pPr>
      <w:r>
        <w:rPr>
          <w:rFonts w:ascii="Courier New" w:cs="Courier New" w:eastAsia="Courier New" w:hAnsi="Courier New"/>
          <w:sz w:val="15"/>
          <w:szCs w:val="15"/>
          <w:color w:val="auto"/>
        </w:rPr>
        <w:t>--------</w:t>
        <w:tab/>
        <w:t>-------</w:t>
      </w:r>
    </w:p>
    <w:p>
      <w:pPr>
        <w:spacing w:after="0" w:line="4"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will not constitute an Event of Default if such events occur with respect to any Subsidiary which is: (i) a Consolidated Subsidiary not incorporated under the laws of any State of the United States, the District of Columbia or Canada or any province thereof and not engaged in the retail business, if the aggregate Value of the Company's and all Consolidated Subsidiaries' investments in and advances to such Consolidated Subsidiary and all such other Consolidated Subsidiaries to which these tests are being applied within a period of 18 months ending on the date of determination, does not exceed $15,000,000; or</w:t>
      </w:r>
    </w:p>
    <w:p>
      <w:pPr>
        <w:spacing w:after="0" w:line="3" w:lineRule="exact"/>
        <w:rPr>
          <w:sz w:val="20"/>
          <w:szCs w:val="20"/>
          <w:color w:val="auto"/>
        </w:rPr>
      </w:pPr>
    </w:p>
    <w:p>
      <w:pPr>
        <w:ind w:right="3399" w:firstLine="10"/>
        <w:spacing w:after="0" w:line="236" w:lineRule="auto"/>
        <w:tabs>
          <w:tab w:leader="none" w:pos="437"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Consolidated Subsidiary incorporated under the laws of any State of the United States, the District of Columbia or Canada or any province thereof and not engaged in the retail business, if at the time such events occur (y) the Company has a Highest Company Rating, a High Company Rating or an Adequate Company Rating and (z) the aggregate Value of the Company's and all Consolidated Subsidiaries, investments and advances to such Consolidated Subsidiary and all other such Consolidated Subsidiaries to which these tests are being applied within a period of 18 months ending on the date of determination, does not exceed $7,500,000;</w:t>
      </w:r>
    </w:p>
    <w:p>
      <w:pPr>
        <w:spacing w:after="0" w:line="172" w:lineRule="exact"/>
        <w:rPr>
          <w:sz w:val="20"/>
          <w:szCs w:val="20"/>
          <w:color w:val="auto"/>
        </w:rPr>
      </w:pPr>
    </w:p>
    <w:p>
      <w:pPr>
        <w:ind w:left="880"/>
        <w:spacing w:after="0"/>
        <w:tabs>
          <w:tab w:leader="none" w:pos="1560" w:val="left"/>
          <w:tab w:leader="none" w:pos="3760" w:val="left"/>
        </w:tabs>
        <w:rPr>
          <w:sz w:val="20"/>
          <w:szCs w:val="20"/>
          <w:color w:val="auto"/>
        </w:rPr>
      </w:pPr>
      <w:r>
        <w:rPr>
          <w:rFonts w:ascii="Courier New" w:cs="Courier New" w:eastAsia="Courier New" w:hAnsi="Courier New"/>
          <w:sz w:val="15"/>
          <w:szCs w:val="15"/>
          <w:color w:val="auto"/>
        </w:rPr>
        <w:t>6.1.6.</w:t>
        <w:tab/>
        <w:t>Employee Benefit Plans.</w:t>
      </w:r>
      <w:r>
        <w:rPr>
          <w:sz w:val="20"/>
          <w:szCs w:val="20"/>
          <w:color w:val="auto"/>
        </w:rPr>
        <w:tab/>
      </w:r>
      <w:r>
        <w:rPr>
          <w:rFonts w:ascii="Courier New" w:cs="Courier New" w:eastAsia="Courier New" w:hAnsi="Courier New"/>
          <w:sz w:val="14"/>
          <w:szCs w:val="14"/>
          <w:color w:val="auto"/>
        </w:rPr>
        <w:t>Any member of the ERISA Group shall</w:t>
      </w:r>
    </w:p>
    <w:p>
      <w:pPr>
        <w:ind w:left="15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fail to pay when due an amount or amounts aggregating in excess of $1,000,000 which it shall</w:t>
      </w:r>
    </w:p>
    <w:p>
      <w:pPr>
        <w:sectPr>
          <w:pgSz w:w="11900" w:h="16838" w:orient="portrait"/>
          <w:cols w:equalWidth="0" w:num="1">
            <w:col w:w="10239"/>
          </w:cols>
          <w:pgMar w:left="220" w:top="617" w:right="1440" w:bottom="1440" w:gutter="0" w:footer="0" w:header="0"/>
        </w:sectPr>
      </w:pPr>
    </w:p>
    <w:bookmarkStart w:id="74" w:name="page75"/>
    <w:bookmarkEnd w:id="74"/>
    <w:p>
      <w:pPr>
        <w:ind w:left="6560"/>
        <w:spacing w:after="0"/>
        <w:rPr>
          <w:sz w:val="20"/>
          <w:szCs w:val="20"/>
          <w:color w:val="auto"/>
        </w:rPr>
      </w:pPr>
      <w:r>
        <w:rPr>
          <w:rFonts w:ascii="Courier New" w:cs="Courier New" w:eastAsia="Courier New" w:hAnsi="Courier New"/>
          <w:sz w:val="15"/>
          <w:szCs w:val="15"/>
          <w:color w:val="auto"/>
        </w:rPr>
        <w:t>49</w:t>
      </w:r>
    </w:p>
    <w:p>
      <w:pPr>
        <w:spacing w:after="0" w:line="200" w:lineRule="exact"/>
        <w:rPr>
          <w:sz w:val="20"/>
          <w:szCs w:val="20"/>
          <w:color w:val="auto"/>
        </w:rPr>
      </w:pPr>
    </w:p>
    <w:p>
      <w:pPr>
        <w:spacing w:after="0" w:line="309" w:lineRule="exact"/>
        <w:rPr>
          <w:sz w:val="20"/>
          <w:szCs w:val="20"/>
          <w:color w:val="auto"/>
        </w:rPr>
      </w:pPr>
    </w:p>
    <w:p>
      <w:pPr>
        <w:ind w:right="3399"/>
        <w:spacing w:after="0" w:line="237" w:lineRule="auto"/>
        <w:rPr>
          <w:sz w:val="20"/>
          <w:szCs w:val="20"/>
          <w:color w:val="auto"/>
        </w:rPr>
      </w:pPr>
      <w:r>
        <w:rPr>
          <w:rFonts w:ascii="Courier New" w:cs="Courier New" w:eastAsia="Courier New" w:hAnsi="Courier New"/>
          <w:sz w:val="15"/>
          <w:szCs w:val="15"/>
          <w:color w:val="auto"/>
        </w:rPr>
        <w:t>have become liable to pay to the PBGC or to a Plan under Title IV of ERISA; or notice of intent to terminate a Plan or Plans having aggregate Unfunded Liabilities in excess of $25,000,000 (collectively a "Material Plan") shall be filed under Title IV of ERISA by any member of the ERISA Group, any plan administrator or any combination of the foregoing; or the PBGC shall institute proceedings under Title IV of ERISA to terminate or to cause a trustee to be appointed to administer any Material Plan or a proceeding shall be instituted by a fiduciary of any Material Plan against any member of the ERISA Group to enforce Section 515 or 4219(c)(5) of ERISA and such proceeding shall not have been dismissed within 30 days thereafter; or a condition shall exist by reason of which the PBGC would be entitled to obtain a decree adjudicating that any Material Plan must be terminated; or</w:t>
      </w:r>
    </w:p>
    <w:p>
      <w:pPr>
        <w:spacing w:after="0" w:line="167" w:lineRule="exact"/>
        <w:rPr>
          <w:sz w:val="20"/>
          <w:szCs w:val="20"/>
          <w:color w:val="auto"/>
        </w:rPr>
      </w:pPr>
    </w:p>
    <w:p>
      <w:pPr>
        <w:ind w:left="880"/>
        <w:spacing w:after="0"/>
        <w:tabs>
          <w:tab w:leader="none" w:pos="1560" w:val="left"/>
          <w:tab w:leader="none" w:pos="3400" w:val="left"/>
        </w:tabs>
        <w:rPr>
          <w:sz w:val="20"/>
          <w:szCs w:val="20"/>
          <w:color w:val="auto"/>
        </w:rPr>
      </w:pPr>
      <w:r>
        <w:rPr>
          <w:rFonts w:ascii="Courier New" w:cs="Courier New" w:eastAsia="Courier New" w:hAnsi="Courier New"/>
          <w:sz w:val="15"/>
          <w:szCs w:val="15"/>
          <w:color w:val="auto"/>
        </w:rPr>
        <w:t>6.1.7.</w:t>
        <w:tab/>
        <w:t>Failure to Perform.</w:t>
      </w:r>
      <w:r>
        <w:rPr>
          <w:sz w:val="20"/>
          <w:szCs w:val="20"/>
          <w:color w:val="auto"/>
        </w:rPr>
        <w:tab/>
      </w:r>
      <w:r>
        <w:rPr>
          <w:rFonts w:ascii="Courier New" w:cs="Courier New" w:eastAsia="Courier New" w:hAnsi="Courier New"/>
          <w:sz w:val="14"/>
          <w:szCs w:val="14"/>
          <w:color w:val="auto"/>
        </w:rPr>
        <w:t>The Company shall fail to perform or</w:t>
      </w:r>
    </w:p>
    <w:p>
      <w:pPr>
        <w:ind w:left="15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observe in any material respect any other term, covenant or agreement contained in this Agreement (including without limitation Section 5.1) or the Notes on its part to be performed or observed and any such failure remains unremedied for 30 days after the Company shall have received written notice thereof from the Agent at the request of any Bank.</w:t>
      </w:r>
    </w:p>
    <w:p>
      <w:pPr>
        <w:spacing w:after="0" w:line="167" w:lineRule="exact"/>
        <w:rPr>
          <w:sz w:val="20"/>
          <w:szCs w:val="20"/>
          <w:color w:val="auto"/>
        </w:rPr>
      </w:pPr>
    </w:p>
    <w:p>
      <w:pPr>
        <w:ind w:left="880"/>
        <w:spacing w:after="0"/>
        <w:tabs>
          <w:tab w:leader="none" w:pos="1380" w:val="left"/>
          <w:tab w:leader="none" w:pos="2360" w:val="left"/>
        </w:tabs>
        <w:rPr>
          <w:sz w:val="20"/>
          <w:szCs w:val="20"/>
          <w:color w:val="auto"/>
        </w:rPr>
      </w:pPr>
      <w:r>
        <w:rPr>
          <w:rFonts w:ascii="Courier New" w:cs="Courier New" w:eastAsia="Courier New" w:hAnsi="Courier New"/>
          <w:sz w:val="15"/>
          <w:szCs w:val="15"/>
          <w:color w:val="auto"/>
        </w:rPr>
        <w:t>6.2.</w:t>
        <w:tab/>
        <w:t>Remedies.</w:t>
      </w:r>
      <w:r>
        <w:rPr>
          <w:sz w:val="20"/>
          <w:szCs w:val="20"/>
          <w:color w:val="auto"/>
        </w:rPr>
        <w:tab/>
      </w:r>
      <w:r>
        <w:rPr>
          <w:rFonts w:ascii="Courier New" w:cs="Courier New" w:eastAsia="Courier New" w:hAnsi="Courier New"/>
          <w:sz w:val="14"/>
          <w:szCs w:val="14"/>
          <w:color w:val="auto"/>
        </w:rPr>
        <w:t>If any Event of Default shall occur and be</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continuing, the Agent shall (a) if requested by the Required Banks, by notice to the Company terminate the Commitments and they shall thereupon terminate, and</w:t>
      </w:r>
    </w:p>
    <w:p>
      <w:pPr>
        <w:spacing w:after="0" w:line="1" w:lineRule="exact"/>
        <w:rPr>
          <w:sz w:val="20"/>
          <w:szCs w:val="20"/>
          <w:color w:val="auto"/>
        </w:rPr>
      </w:pPr>
    </w:p>
    <w:p>
      <w:pPr>
        <w:ind w:right="3239" w:firstLine="10"/>
        <w:spacing w:after="0" w:line="254" w:lineRule="auto"/>
        <w:tabs>
          <w:tab w:leader="none" w:pos="35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requested by Banks holding Notes evidencing at least 60% of the aggregate unpaid principal amount of the Loans, by notice to the Company declare the Notes (together with accrued interest thereon and all other amounts payable by the Company hereunder) to be, and the Notes (together with accrued interest thereon and all other amounts payable by the Company hereunder) shall thereupon become, immediately due and payable without presentment, demand, protest or other notice of any kind, all of which are hereby waived by the Company; provided that in the</w:t>
      </w:r>
    </w:p>
    <w:p>
      <w:pPr>
        <w:ind w:left="5260"/>
        <w:spacing w:after="0" w:line="234"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case of any of the bankruptcy Events of Default specified in Section 6.1.5 with respect to the Company, without any notice to the Company or any other act by the Agent or the Banks, the Commitments shall thereupon terminate and the Notes (together with accrued interest thereon and all other amounts payable by the Company hereunder) shall become immediately due and</w:t>
      </w:r>
    </w:p>
    <w:p>
      <w:pPr>
        <w:spacing w:after="0" w:line="6"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payable without presentment, demand, protest or other notice of any kind, all of which are hereby waived by the Company.</w:t>
      </w:r>
    </w:p>
    <w:p>
      <w:pPr>
        <w:sectPr>
          <w:pgSz w:w="11900" w:h="16838" w:orient="portrait"/>
          <w:cols w:equalWidth="0" w:num="1">
            <w:col w:w="10239"/>
          </w:cols>
          <w:pgMar w:left="220" w:top="617" w:right="1440" w:bottom="1440" w:gutter="0" w:footer="0" w:header="0"/>
        </w:sectPr>
      </w:pPr>
    </w:p>
    <w:bookmarkStart w:id="75" w:name="page76"/>
    <w:bookmarkEnd w:id="75"/>
    <w:p>
      <w:pPr>
        <w:ind w:left="6560"/>
        <w:spacing w:after="0"/>
        <w:rPr>
          <w:sz w:val="20"/>
          <w:szCs w:val="20"/>
          <w:color w:val="auto"/>
        </w:rPr>
      </w:pPr>
      <w:r>
        <w:rPr>
          <w:rFonts w:ascii="Courier New" w:cs="Courier New" w:eastAsia="Courier New" w:hAnsi="Courier New"/>
          <w:sz w:val="15"/>
          <w:szCs w:val="15"/>
          <w:color w:val="auto"/>
        </w:rPr>
        <w:t>50</w:t>
      </w:r>
    </w:p>
    <w:p>
      <w:pPr>
        <w:spacing w:after="0" w:line="166" w:lineRule="exact"/>
        <w:rPr>
          <w:sz w:val="20"/>
          <w:szCs w:val="20"/>
          <w:color w:val="auto"/>
        </w:rPr>
      </w:pPr>
    </w:p>
    <w:p>
      <w:pPr>
        <w:ind w:left="880"/>
        <w:spacing w:after="0"/>
        <w:tabs>
          <w:tab w:leader="none" w:pos="1380" w:val="left"/>
          <w:tab w:leader="none" w:pos="3140" w:val="left"/>
        </w:tabs>
        <w:rPr>
          <w:sz w:val="20"/>
          <w:szCs w:val="20"/>
          <w:color w:val="auto"/>
        </w:rPr>
      </w:pPr>
      <w:r>
        <w:rPr>
          <w:rFonts w:ascii="Courier New" w:cs="Courier New" w:eastAsia="Courier New" w:hAnsi="Courier New"/>
          <w:sz w:val="15"/>
          <w:szCs w:val="15"/>
          <w:color w:val="auto"/>
        </w:rPr>
        <w:t>6.3.</w:t>
        <w:tab/>
        <w:t>Notice of Default.</w:t>
      </w:r>
      <w:r>
        <w:rPr>
          <w:sz w:val="20"/>
          <w:szCs w:val="20"/>
          <w:color w:val="auto"/>
        </w:rPr>
        <w:tab/>
      </w:r>
      <w:r>
        <w:rPr>
          <w:rFonts w:ascii="Courier New" w:cs="Courier New" w:eastAsia="Courier New" w:hAnsi="Courier New"/>
          <w:sz w:val="14"/>
          <w:szCs w:val="14"/>
          <w:color w:val="auto"/>
        </w:rPr>
        <w:t>The Agent shall give notice to the Company</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under Section 6.1.1 or 6.1.7 promptly upon being requested to do so by any Bank and shall thereupon notify all the Banks thereof.</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SECTION 7</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THE AGENT</w:t>
      </w:r>
    </w:p>
    <w:p>
      <w:pPr>
        <w:spacing w:after="0" w:line="166" w:lineRule="exact"/>
        <w:rPr>
          <w:sz w:val="20"/>
          <w:szCs w:val="20"/>
          <w:color w:val="auto"/>
        </w:rPr>
      </w:pPr>
    </w:p>
    <w:p>
      <w:pPr>
        <w:ind w:left="880"/>
        <w:spacing w:after="0"/>
        <w:tabs>
          <w:tab w:leader="none" w:pos="1380" w:val="left"/>
          <w:tab w:leader="none" w:pos="4180" w:val="left"/>
        </w:tabs>
        <w:rPr>
          <w:sz w:val="20"/>
          <w:szCs w:val="20"/>
          <w:color w:val="auto"/>
        </w:rPr>
      </w:pPr>
      <w:r>
        <w:rPr>
          <w:rFonts w:ascii="Courier New" w:cs="Courier New" w:eastAsia="Courier New" w:hAnsi="Courier New"/>
          <w:sz w:val="15"/>
          <w:szCs w:val="15"/>
          <w:color w:val="auto"/>
        </w:rPr>
        <w:t>7.1.</w:t>
        <w:tab/>
        <w:t>Appointment and Authorization.</w:t>
      </w:r>
      <w:r>
        <w:rPr>
          <w:sz w:val="20"/>
          <w:szCs w:val="20"/>
          <w:color w:val="auto"/>
        </w:rPr>
        <w:tab/>
      </w:r>
      <w:r>
        <w:rPr>
          <w:rFonts w:ascii="Courier New" w:cs="Courier New" w:eastAsia="Courier New" w:hAnsi="Courier New"/>
          <w:sz w:val="14"/>
          <w:szCs w:val="14"/>
          <w:color w:val="auto"/>
        </w:rPr>
        <w:t>Each Bank irrevocably appoints</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and authorizes the Agent to take such action as agent on its behalf and to exercise such powers under this Agreement and the Notes as are delegated to the Agent by the terms hereof or thereof, together with all such powers as are reasonably incidental thereto.</w:t>
      </w:r>
    </w:p>
    <w:p>
      <w:pPr>
        <w:spacing w:after="0" w:line="169" w:lineRule="exact"/>
        <w:rPr>
          <w:sz w:val="20"/>
          <w:szCs w:val="20"/>
          <w:color w:val="auto"/>
        </w:rPr>
      </w:pPr>
    </w:p>
    <w:p>
      <w:pPr>
        <w:jc w:val="right"/>
        <w:ind w:right="3239"/>
        <w:spacing w:after="0"/>
        <w:tabs>
          <w:tab w:leader="none" w:pos="5580" w:val="left"/>
          <w:tab w:leader="none" w:pos="3560" w:val="left"/>
        </w:tabs>
        <w:rPr>
          <w:sz w:val="20"/>
          <w:szCs w:val="20"/>
          <w:color w:val="auto"/>
        </w:rPr>
      </w:pPr>
      <w:r>
        <w:rPr>
          <w:rFonts w:ascii="Courier New" w:cs="Courier New" w:eastAsia="Courier New" w:hAnsi="Courier New"/>
          <w:sz w:val="15"/>
          <w:szCs w:val="15"/>
          <w:color w:val="auto"/>
        </w:rPr>
        <w:t>7.2.</w:t>
        <w:tab/>
        <w:t>Agent and Affiliates.</w:t>
      </w:r>
      <w:r>
        <w:rPr>
          <w:sz w:val="20"/>
          <w:szCs w:val="20"/>
          <w:color w:val="auto"/>
        </w:rPr>
        <w:tab/>
      </w:r>
      <w:r>
        <w:rPr>
          <w:rFonts w:ascii="Courier New" w:cs="Courier New" w:eastAsia="Courier New" w:hAnsi="Courier New"/>
          <w:sz w:val="14"/>
          <w:szCs w:val="14"/>
          <w:color w:val="auto"/>
        </w:rPr>
        <w:t>Morgan Guaranty Trust Company of New York</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shall have the same rights and powers under this Agreement as any other Bank and may exercise or refrain from exercising the same as though it were not the Agent, and Morgan Guaranty Trust Company of New York and its affiliates may accept deposits from, lend money to, and generally engage in any kind of business with the Company or any Subsidiary or affiliate of the Company as if it were not the Agent hereunder.</w:t>
      </w:r>
    </w:p>
    <w:p>
      <w:pPr>
        <w:spacing w:after="0" w:line="168" w:lineRule="exact"/>
        <w:rPr>
          <w:sz w:val="20"/>
          <w:szCs w:val="20"/>
          <w:color w:val="auto"/>
        </w:rPr>
      </w:pPr>
    </w:p>
    <w:p>
      <w:pPr>
        <w:ind w:left="880"/>
        <w:spacing w:after="0"/>
        <w:tabs>
          <w:tab w:leader="none" w:pos="1380" w:val="left"/>
          <w:tab w:leader="none" w:pos="2960" w:val="left"/>
        </w:tabs>
        <w:rPr>
          <w:sz w:val="20"/>
          <w:szCs w:val="20"/>
          <w:color w:val="auto"/>
        </w:rPr>
      </w:pPr>
      <w:r>
        <w:rPr>
          <w:rFonts w:ascii="Courier New" w:cs="Courier New" w:eastAsia="Courier New" w:hAnsi="Courier New"/>
          <w:sz w:val="15"/>
          <w:szCs w:val="15"/>
          <w:color w:val="auto"/>
        </w:rPr>
        <w:t>7.3.</w:t>
        <w:tab/>
        <w:t>Action by Agent.</w:t>
      </w:r>
      <w:r>
        <w:rPr>
          <w:sz w:val="20"/>
          <w:szCs w:val="20"/>
          <w:color w:val="auto"/>
        </w:rPr>
        <w:tab/>
      </w:r>
      <w:r>
        <w:rPr>
          <w:rFonts w:ascii="Courier New" w:cs="Courier New" w:eastAsia="Courier New" w:hAnsi="Courier New"/>
          <w:sz w:val="14"/>
          <w:szCs w:val="14"/>
          <w:color w:val="auto"/>
        </w:rPr>
        <w:t>The obligations of the Agent hereunder are</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only those expressly set forth herein. Without limiting the generality of the foregoing, the Agent shall not be required to take any action with respect to any Default, except as expressly provided in Section 6.</w:t>
      </w:r>
    </w:p>
    <w:p>
      <w:pPr>
        <w:spacing w:after="0" w:line="167" w:lineRule="exact"/>
        <w:rPr>
          <w:sz w:val="20"/>
          <w:szCs w:val="20"/>
          <w:color w:val="auto"/>
        </w:rPr>
      </w:pPr>
    </w:p>
    <w:p>
      <w:pPr>
        <w:ind w:left="880"/>
        <w:spacing w:after="0"/>
        <w:tabs>
          <w:tab w:leader="none" w:pos="1380" w:val="left"/>
          <w:tab w:leader="none" w:pos="3840" w:val="left"/>
        </w:tabs>
        <w:rPr>
          <w:sz w:val="20"/>
          <w:szCs w:val="20"/>
          <w:color w:val="auto"/>
        </w:rPr>
      </w:pPr>
      <w:r>
        <w:rPr>
          <w:rFonts w:ascii="Courier New" w:cs="Courier New" w:eastAsia="Courier New" w:hAnsi="Courier New"/>
          <w:sz w:val="15"/>
          <w:szCs w:val="15"/>
          <w:color w:val="auto"/>
        </w:rPr>
        <w:t>7.4.</w:t>
        <w:tab/>
        <w:t>Consultation with Experts.</w:t>
      </w:r>
      <w:r>
        <w:rPr>
          <w:sz w:val="20"/>
          <w:szCs w:val="20"/>
          <w:color w:val="auto"/>
        </w:rPr>
        <w:tab/>
      </w:r>
      <w:r>
        <w:rPr>
          <w:rFonts w:ascii="Courier New" w:cs="Courier New" w:eastAsia="Courier New" w:hAnsi="Courier New"/>
          <w:sz w:val="14"/>
          <w:szCs w:val="14"/>
          <w:color w:val="auto"/>
        </w:rPr>
        <w:t>The Agent may consult with legal</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counsel (who may be counsel for the Company), independent public accountants and other experts selected by it and shall not be liable for any action taken or omitted to be taken by it in good faith in accordance with the advice of such counsel, accountants or experts.</w:t>
      </w:r>
    </w:p>
    <w:p>
      <w:pPr>
        <w:spacing w:after="0" w:line="169" w:lineRule="exact"/>
        <w:rPr>
          <w:sz w:val="20"/>
          <w:szCs w:val="20"/>
          <w:color w:val="auto"/>
        </w:rPr>
      </w:pPr>
    </w:p>
    <w:p>
      <w:pPr>
        <w:jc w:val="right"/>
        <w:ind w:right="3239"/>
        <w:spacing w:after="0"/>
        <w:tabs>
          <w:tab w:leader="none" w:pos="5580" w:val="left"/>
          <w:tab w:leader="none" w:pos="3740" w:val="left"/>
        </w:tabs>
        <w:rPr>
          <w:sz w:val="20"/>
          <w:szCs w:val="20"/>
          <w:color w:val="auto"/>
        </w:rPr>
      </w:pPr>
      <w:r>
        <w:rPr>
          <w:rFonts w:ascii="Courier New" w:cs="Courier New" w:eastAsia="Courier New" w:hAnsi="Courier New"/>
          <w:sz w:val="15"/>
          <w:szCs w:val="15"/>
          <w:color w:val="auto"/>
        </w:rPr>
        <w:t>7.5.</w:t>
        <w:tab/>
        <w:t>Liability of Agent.</w:t>
      </w:r>
      <w:r>
        <w:rPr>
          <w:sz w:val="20"/>
          <w:szCs w:val="20"/>
          <w:color w:val="auto"/>
        </w:rPr>
        <w:tab/>
      </w:r>
      <w:r>
        <w:rPr>
          <w:rFonts w:ascii="Courier New" w:cs="Courier New" w:eastAsia="Courier New" w:hAnsi="Courier New"/>
          <w:sz w:val="14"/>
          <w:szCs w:val="14"/>
          <w:color w:val="auto"/>
        </w:rPr>
        <w:t>Neither the Agent nor any of its directors,</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officers, agents, or employees shall be liable for any action taken or not taken by it in connection herewith (a) with the consent or at the request of the Required Banks or (b) in the absence of its own gross negligence or willful misconduct. Neither the Agent nor any of its directors, officers, agents or employees shall be responsible or have any duty to ascertain, inquire into or</w:t>
      </w:r>
    </w:p>
    <w:p>
      <w:pPr>
        <w:sectPr>
          <w:pgSz w:w="11900" w:h="16838" w:orient="portrait"/>
          <w:cols w:equalWidth="0" w:num="1">
            <w:col w:w="10239"/>
          </w:cols>
          <w:pgMar w:left="220" w:top="617" w:right="1440" w:bottom="1440" w:gutter="0" w:footer="0" w:header="0"/>
        </w:sectPr>
      </w:pPr>
    </w:p>
    <w:bookmarkStart w:id="76" w:name="page77"/>
    <w:bookmarkEnd w:id="76"/>
    <w:p>
      <w:pPr>
        <w:ind w:left="6560"/>
        <w:spacing w:after="0"/>
        <w:rPr>
          <w:sz w:val="20"/>
          <w:szCs w:val="20"/>
          <w:color w:val="auto"/>
        </w:rPr>
      </w:pPr>
      <w:r>
        <w:rPr>
          <w:rFonts w:ascii="Courier New" w:cs="Courier New" w:eastAsia="Courier New" w:hAnsi="Courier New"/>
          <w:sz w:val="15"/>
          <w:szCs w:val="15"/>
          <w:color w:val="auto"/>
        </w:rPr>
        <w:t>51</w:t>
      </w:r>
    </w:p>
    <w:p>
      <w:pPr>
        <w:spacing w:after="0" w:line="341"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verify (i) any statement, warranty or representation made in connection with this Agreement or any Borrowing hereunder; (ii) the performance or observance of any of the covenants or agreements of the Company; (iii) the satisfaction of any condition specified in Section 3 or 9, except receipt of items required to be delivered to the Agent; or (iv) the validity, effectiveness or genuineness of this Agreement, the Notes or any other instrument or writing furnished in connection herewith. The Agent shall not incur any liability by acting in reliance upon any notice, consent, certificate, statement, or other writing (which may be a bank wire, telex, telecopy or similar writing) believed by it to be genuine or to be signed by the proper party or parties.</w:t>
      </w:r>
    </w:p>
    <w:p>
      <w:pPr>
        <w:spacing w:after="0" w:line="159" w:lineRule="exact"/>
        <w:rPr>
          <w:sz w:val="20"/>
          <w:szCs w:val="20"/>
          <w:color w:val="auto"/>
        </w:rPr>
      </w:pPr>
    </w:p>
    <w:p>
      <w:pPr>
        <w:ind w:left="880"/>
        <w:spacing w:after="0"/>
        <w:tabs>
          <w:tab w:leader="none" w:pos="1380" w:val="left"/>
          <w:tab w:leader="none" w:pos="2960" w:val="left"/>
        </w:tabs>
        <w:rPr>
          <w:sz w:val="20"/>
          <w:szCs w:val="20"/>
          <w:color w:val="auto"/>
        </w:rPr>
      </w:pPr>
      <w:r>
        <w:rPr>
          <w:rFonts w:ascii="Courier New" w:cs="Courier New" w:eastAsia="Courier New" w:hAnsi="Courier New"/>
          <w:sz w:val="15"/>
          <w:szCs w:val="15"/>
          <w:color w:val="auto"/>
        </w:rPr>
        <w:t>7.6.</w:t>
        <w:tab/>
        <w:t>Indemnification.</w:t>
      </w:r>
      <w:r>
        <w:rPr>
          <w:sz w:val="20"/>
          <w:szCs w:val="20"/>
          <w:color w:val="auto"/>
        </w:rPr>
        <w:tab/>
      </w:r>
      <w:r>
        <w:rPr>
          <w:rFonts w:ascii="Courier New" w:cs="Courier New" w:eastAsia="Courier New" w:hAnsi="Courier New"/>
          <w:sz w:val="14"/>
          <w:szCs w:val="14"/>
          <w:color w:val="auto"/>
        </w:rPr>
        <w:t>Each Bank shall, ratably in accordance with</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its Commitment, indemnify the Agent (to the extent not reimbursed by the Company) against any cost, expense (including counsel fees and disbursements), claim, demand,, action, loss or liability (except such as result from the Agent's gross negligence or willful misconduct) that the Agent may suffer or incur in connection with this Agreement or any action taken or omitted by the Agent hereunder.</w:t>
      </w:r>
    </w:p>
    <w:p>
      <w:pPr>
        <w:spacing w:after="0" w:line="168" w:lineRule="exact"/>
        <w:rPr>
          <w:sz w:val="20"/>
          <w:szCs w:val="20"/>
          <w:color w:val="auto"/>
        </w:rPr>
      </w:pPr>
    </w:p>
    <w:p>
      <w:pPr>
        <w:ind w:left="880"/>
        <w:spacing w:after="0"/>
        <w:tabs>
          <w:tab w:leader="none" w:pos="1380" w:val="left"/>
          <w:tab w:leader="none" w:pos="2960" w:val="left"/>
        </w:tabs>
        <w:rPr>
          <w:sz w:val="20"/>
          <w:szCs w:val="20"/>
          <w:color w:val="auto"/>
        </w:rPr>
      </w:pPr>
      <w:r>
        <w:rPr>
          <w:rFonts w:ascii="Courier New" w:cs="Courier New" w:eastAsia="Courier New" w:hAnsi="Courier New"/>
          <w:sz w:val="15"/>
          <w:szCs w:val="15"/>
          <w:color w:val="auto"/>
        </w:rPr>
        <w:t>7.7.</w:t>
        <w:tab/>
        <w:t>Credit Decision.</w:t>
      </w:r>
      <w:r>
        <w:rPr>
          <w:sz w:val="20"/>
          <w:szCs w:val="20"/>
          <w:color w:val="auto"/>
        </w:rPr>
        <w:tab/>
      </w:r>
      <w:r>
        <w:rPr>
          <w:rFonts w:ascii="Courier New" w:cs="Courier New" w:eastAsia="Courier New" w:hAnsi="Courier New"/>
          <w:sz w:val="14"/>
          <w:szCs w:val="14"/>
          <w:color w:val="auto"/>
        </w:rPr>
        <w:t>Each Bank acknowledges that it has,</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independently and without reliance upon the Agent or any other Bank, and based on such documents and information as it has deemed appropriate, made its own credit analysis and decision to enter into this Agreement. Each Bank also acknowledges that it will, independently and without reliance upon the Agent or any other Bank, and based on such documents and information as it shall deem appropriate at the time, continue to make its own credit decisions in taking or not taking any action under this Agreement.</w:t>
      </w:r>
    </w:p>
    <w:p>
      <w:pPr>
        <w:spacing w:after="0" w:line="169" w:lineRule="exact"/>
        <w:rPr>
          <w:sz w:val="20"/>
          <w:szCs w:val="20"/>
          <w:color w:val="auto"/>
        </w:rPr>
      </w:pPr>
    </w:p>
    <w:p>
      <w:pPr>
        <w:ind w:left="880"/>
        <w:spacing w:after="0"/>
        <w:tabs>
          <w:tab w:leader="none" w:pos="1380" w:val="left"/>
          <w:tab w:leader="none" w:pos="2960" w:val="left"/>
        </w:tabs>
        <w:rPr>
          <w:sz w:val="20"/>
          <w:szCs w:val="20"/>
          <w:color w:val="auto"/>
        </w:rPr>
      </w:pPr>
      <w:r>
        <w:rPr>
          <w:rFonts w:ascii="Courier New" w:cs="Courier New" w:eastAsia="Courier New" w:hAnsi="Courier New"/>
          <w:sz w:val="15"/>
          <w:szCs w:val="15"/>
          <w:color w:val="auto"/>
        </w:rPr>
        <w:t>7.8.</w:t>
        <w:tab/>
        <w:t>Successor Agent.</w:t>
      </w:r>
      <w:r>
        <w:rPr>
          <w:sz w:val="20"/>
          <w:szCs w:val="20"/>
          <w:color w:val="auto"/>
        </w:rPr>
        <w:tab/>
      </w:r>
      <w:r>
        <w:rPr>
          <w:rFonts w:ascii="Courier New" w:cs="Courier New" w:eastAsia="Courier New" w:hAnsi="Courier New"/>
          <w:sz w:val="14"/>
          <w:szCs w:val="14"/>
          <w:color w:val="auto"/>
        </w:rPr>
        <w:t>The Agent may resign at any time by giving</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written notice thereof to the Banks and the Company. Upon any such resignation, the Required Banks shall have the right to appoint another Bank as successor Agent. If no successor Agent shall have been so appointed by the Required Banks, and shall have accepted such appointment, within 30 days after the retiring Agents giving notice of resignation, then the retiring Agent may, on behalf of the Banks, appoint a successor Agent, which shall be a commercial bank organized under the laws of the United States of America or of any State thereof and having a combined capital and surplus of at least $100,000,000.</w:t>
      </w:r>
    </w:p>
    <w:p>
      <w:pPr>
        <w:sectPr>
          <w:pgSz w:w="11900" w:h="16838" w:orient="portrait"/>
          <w:cols w:equalWidth="0" w:num="1">
            <w:col w:w="10239"/>
          </w:cols>
          <w:pgMar w:left="220" w:top="617" w:right="1440" w:bottom="1440" w:gutter="0" w:footer="0" w:header="0"/>
        </w:sectPr>
      </w:pPr>
    </w:p>
    <w:bookmarkStart w:id="77" w:name="page78"/>
    <w:bookmarkEnd w:id="77"/>
    <w:p>
      <w:pPr>
        <w:ind w:left="6560"/>
        <w:spacing w:after="0"/>
        <w:rPr>
          <w:sz w:val="20"/>
          <w:szCs w:val="20"/>
          <w:color w:val="auto"/>
        </w:rPr>
      </w:pPr>
      <w:r>
        <w:rPr>
          <w:rFonts w:ascii="Courier New" w:cs="Courier New" w:eastAsia="Courier New" w:hAnsi="Courier New"/>
          <w:sz w:val="15"/>
          <w:szCs w:val="15"/>
          <w:color w:val="auto"/>
        </w:rPr>
        <w:t>52</w:t>
      </w:r>
    </w:p>
    <w:p>
      <w:pPr>
        <w:spacing w:after="0" w:line="200" w:lineRule="exact"/>
        <w:rPr>
          <w:sz w:val="20"/>
          <w:szCs w:val="20"/>
          <w:color w:val="auto"/>
        </w:rPr>
      </w:pPr>
    </w:p>
    <w:p>
      <w:pPr>
        <w:spacing w:after="0" w:line="309"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Upon the acceptance of its appointment as Agent hereunder by, a successor Agent, such successor Agent shall thereupon succeed to and become vested with all the rights and duties of the retiring Agent, and the retiring Agent shall be discharged from its duties and obligations hereunder. After any retiring Agent's resignation hereunder as Agent, the provisions of this Section 7 shall inure to its benefit as to any actions taken or omitted to be taken by it while it was Agent.</w:t>
      </w:r>
    </w:p>
    <w:p>
      <w:pPr>
        <w:spacing w:after="0" w:line="169" w:lineRule="exact"/>
        <w:rPr>
          <w:sz w:val="20"/>
          <w:szCs w:val="20"/>
          <w:color w:val="auto"/>
        </w:rPr>
      </w:pPr>
    </w:p>
    <w:p>
      <w:pPr>
        <w:ind w:left="880"/>
        <w:spacing w:after="0"/>
        <w:tabs>
          <w:tab w:leader="none" w:pos="2520" w:val="left"/>
        </w:tabs>
        <w:rPr>
          <w:sz w:val="20"/>
          <w:szCs w:val="20"/>
          <w:color w:val="auto"/>
        </w:rPr>
      </w:pPr>
      <w:r>
        <w:rPr>
          <w:rFonts w:ascii="Courier New" w:cs="Courier New" w:eastAsia="Courier New" w:hAnsi="Courier New"/>
          <w:sz w:val="15"/>
          <w:szCs w:val="15"/>
          <w:color w:val="auto"/>
        </w:rPr>
        <w:t>7.9. Agent's Fee.</w:t>
      </w:r>
      <w:r>
        <w:rPr>
          <w:sz w:val="20"/>
          <w:szCs w:val="20"/>
          <w:color w:val="auto"/>
        </w:rPr>
        <w:tab/>
      </w:r>
      <w:r>
        <w:rPr>
          <w:rFonts w:ascii="Courier New" w:cs="Courier New" w:eastAsia="Courier New" w:hAnsi="Courier New"/>
          <w:sz w:val="14"/>
          <w:szCs w:val="14"/>
          <w:color w:val="auto"/>
        </w:rPr>
        <w:t>The Company shall pay to the Agent for its own</w:t>
      </w:r>
    </w:p>
    <w:p>
      <w:pPr>
        <w:ind w:left="132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account fees in the amounts and at the times previously agreed upon between the Company and the Agent.</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SECTION 8</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MISCELLANEOUS</w:t>
      </w:r>
    </w:p>
    <w:p>
      <w:pPr>
        <w:spacing w:after="0" w:line="166" w:lineRule="exact"/>
        <w:rPr>
          <w:sz w:val="20"/>
          <w:szCs w:val="20"/>
          <w:color w:val="auto"/>
        </w:rPr>
      </w:pPr>
    </w:p>
    <w:p>
      <w:pPr>
        <w:ind w:left="880"/>
        <w:spacing w:after="0"/>
        <w:tabs>
          <w:tab w:leader="none" w:pos="1380" w:val="left"/>
          <w:tab w:leader="none" w:pos="2260" w:val="left"/>
        </w:tabs>
        <w:rPr>
          <w:sz w:val="20"/>
          <w:szCs w:val="20"/>
          <w:color w:val="auto"/>
        </w:rPr>
      </w:pPr>
      <w:r>
        <w:rPr>
          <w:rFonts w:ascii="Courier New" w:cs="Courier New" w:eastAsia="Courier New" w:hAnsi="Courier New"/>
          <w:sz w:val="15"/>
          <w:szCs w:val="15"/>
          <w:color w:val="auto"/>
        </w:rPr>
        <w:t>8.1.</w:t>
        <w:tab/>
        <w:t>Notices.</w:t>
      </w:r>
      <w:r>
        <w:rPr>
          <w:sz w:val="20"/>
          <w:szCs w:val="20"/>
          <w:color w:val="auto"/>
        </w:rPr>
        <w:tab/>
      </w:r>
      <w:r>
        <w:rPr>
          <w:rFonts w:ascii="Courier New" w:cs="Courier New" w:eastAsia="Courier New" w:hAnsi="Courier New"/>
          <w:sz w:val="14"/>
          <w:szCs w:val="14"/>
          <w:color w:val="auto"/>
        </w:rPr>
        <w:t>All notices, requests and other communications to any</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party hereunder shall be in writing (including bank wire, telex (other than in the case of the Company), telecopy or similar writing) or shall be by telephone promptly confirmed in writing and shall be given to such party: (a) in the case of the Company or the Agent, at its address, telephone number, telecopy number or telex (other than in the case of the Company) number set forth on the signature pages hereof, (b) in the case of any Bank at its address, telephone number, telecopy number or telex number set forth in its Administrative Questionnaire or (c) in the case of any party such other address, telephone number, telecopy number or telex number as such party may hereafter specify for the purpose of notice to the Agent. and the Company. Each such notice, request or other communication shall be effective (i) if given by telecopy or telex, when such telecopy or telex is transmitted to the telecopy number or telex number specified in or pursuant to this Section 8.1 and the appropriate confirmation or answerback is received, (ii) if given by mail, 120 hours after such communication is deposited in the mails with first class postage prepaid, addressed as aforesaid, (iii) if given by telephone, when such notice is given subject to prompt confirmation in writing or (iv) if given by any other means, when delivered at the address specified in or pursuant to this Section; provided</w:t>
      </w:r>
    </w:p>
    <w:p>
      <w:pPr>
        <w:spacing w:after="0" w:line="6" w:lineRule="exact"/>
        <w:rPr>
          <w:sz w:val="20"/>
          <w:szCs w:val="20"/>
          <w:color w:val="auto"/>
        </w:rPr>
      </w:pPr>
    </w:p>
    <w:p>
      <w:pPr>
        <w:ind w:left="630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that notices to the Agent under Section 2 shall not be effective until received.</w:t>
      </w:r>
    </w:p>
    <w:p>
      <w:pPr>
        <w:sectPr>
          <w:pgSz w:w="11900" w:h="16838" w:orient="portrait"/>
          <w:cols w:equalWidth="0" w:num="1">
            <w:col w:w="10239"/>
          </w:cols>
          <w:pgMar w:left="220" w:top="617" w:right="1440" w:bottom="1440" w:gutter="0" w:footer="0" w:header="0"/>
        </w:sectPr>
      </w:pPr>
    </w:p>
    <w:bookmarkStart w:id="78" w:name="page79"/>
    <w:bookmarkEnd w:id="78"/>
    <w:p>
      <w:pPr>
        <w:ind w:left="6560"/>
        <w:spacing w:after="0"/>
        <w:rPr>
          <w:sz w:val="20"/>
          <w:szCs w:val="20"/>
          <w:color w:val="auto"/>
        </w:rPr>
      </w:pPr>
      <w:r>
        <w:rPr>
          <w:rFonts w:ascii="Courier New" w:cs="Courier New" w:eastAsia="Courier New" w:hAnsi="Courier New"/>
          <w:sz w:val="15"/>
          <w:szCs w:val="15"/>
          <w:color w:val="auto"/>
        </w:rPr>
        <w:t>53</w:t>
      </w:r>
    </w:p>
    <w:p>
      <w:pPr>
        <w:spacing w:after="0" w:line="335" w:lineRule="exact"/>
        <w:rPr>
          <w:sz w:val="20"/>
          <w:szCs w:val="20"/>
          <w:color w:val="auto"/>
        </w:rPr>
      </w:pPr>
    </w:p>
    <w:p>
      <w:pPr>
        <w:ind w:left="880"/>
        <w:spacing w:after="0"/>
        <w:tabs>
          <w:tab w:leader="none" w:pos="1380" w:val="left"/>
          <w:tab w:leader="none" w:pos="2520" w:val="left"/>
        </w:tabs>
        <w:rPr>
          <w:sz w:val="20"/>
          <w:szCs w:val="20"/>
          <w:color w:val="auto"/>
        </w:rPr>
      </w:pPr>
      <w:r>
        <w:rPr>
          <w:rFonts w:ascii="Courier New" w:cs="Courier New" w:eastAsia="Courier New" w:hAnsi="Courier New"/>
          <w:sz w:val="15"/>
          <w:szCs w:val="15"/>
          <w:color w:val="auto"/>
        </w:rPr>
        <w:t>8.2.</w:t>
        <w:tab/>
        <w:t>No Waivers.</w:t>
      </w:r>
      <w:r>
        <w:rPr>
          <w:sz w:val="20"/>
          <w:szCs w:val="20"/>
          <w:color w:val="auto"/>
        </w:rPr>
        <w:tab/>
      </w:r>
      <w:r>
        <w:rPr>
          <w:rFonts w:ascii="Courier New" w:cs="Courier New" w:eastAsia="Courier New" w:hAnsi="Courier New"/>
          <w:sz w:val="14"/>
          <w:szCs w:val="14"/>
          <w:color w:val="auto"/>
        </w:rPr>
        <w:t>No failure or delay by the Agent or any Bank an</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579"/>
        <w:spacing w:after="0" w:line="256" w:lineRule="auto"/>
        <w:rPr>
          <w:sz w:val="20"/>
          <w:szCs w:val="20"/>
          <w:color w:val="auto"/>
        </w:rPr>
      </w:pPr>
      <w:r>
        <w:rPr>
          <w:rFonts w:ascii="Courier New" w:cs="Courier New" w:eastAsia="Courier New" w:hAnsi="Courier New"/>
          <w:sz w:val="14"/>
          <w:szCs w:val="14"/>
          <w:color w:val="auto"/>
        </w:rPr>
        <w:t>exercising any right, power or privilege hereunder or under any Note shall operate as a waiver thereof norshall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157" w:lineRule="exact"/>
        <w:rPr>
          <w:sz w:val="20"/>
          <w:szCs w:val="20"/>
          <w:color w:val="auto"/>
        </w:rPr>
      </w:pPr>
    </w:p>
    <w:p>
      <w:pPr>
        <w:ind w:left="880"/>
        <w:spacing w:after="0"/>
        <w:tabs>
          <w:tab w:leader="none" w:pos="1380" w:val="left"/>
          <w:tab w:leader="none" w:pos="4020" w:val="left"/>
        </w:tabs>
        <w:rPr>
          <w:sz w:val="20"/>
          <w:szCs w:val="20"/>
          <w:color w:val="auto"/>
        </w:rPr>
      </w:pPr>
      <w:r>
        <w:rPr>
          <w:rFonts w:ascii="Courier New" w:cs="Courier New" w:eastAsia="Courier New" w:hAnsi="Courier New"/>
          <w:sz w:val="15"/>
          <w:szCs w:val="15"/>
          <w:color w:val="auto"/>
        </w:rPr>
        <w:t>8.3.</w:t>
        <w:tab/>
        <w:t>Expenses; Documentary Taxes.</w:t>
      </w:r>
      <w:r>
        <w:rPr>
          <w:sz w:val="20"/>
          <w:szCs w:val="20"/>
          <w:color w:val="auto"/>
        </w:rPr>
        <w:tab/>
      </w:r>
      <w:r>
        <w:rPr>
          <w:rFonts w:ascii="Courier New" w:cs="Courier New" w:eastAsia="Courier New" w:hAnsi="Courier New"/>
          <w:sz w:val="14"/>
          <w:szCs w:val="14"/>
          <w:color w:val="auto"/>
        </w:rPr>
        <w:t>The Company shall pay (a) all</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reasonable out-of-pocket expenses of the Agent, including fees and disbursements of Cravath, Swaine &amp; Moore, special counsel for the Agent, in connection with the preparation of this Agreement, any waiver or consent hereunder or any amendment hereof or any Default hereunder and (b) if an Event of Default occurs, all reasonable out-of-pocket expenses incurred by the Agent or any Bank, including fees and disbursements of counsel, in connection with such Event of Default and collection and other enforcement proceedings resulting therefrom. The Company shall indemnify each Bank against any transfer taxes, documentary taxes, assessments or charges made by any governmental authority by reason of the execution and delivery of this Agreement or the Notes.</w:t>
      </w:r>
    </w:p>
    <w:p>
      <w:pPr>
        <w:spacing w:after="0" w:line="159" w:lineRule="exact"/>
        <w:rPr>
          <w:sz w:val="20"/>
          <w:szCs w:val="20"/>
          <w:color w:val="auto"/>
        </w:rPr>
      </w:pPr>
    </w:p>
    <w:p>
      <w:pPr>
        <w:ind w:left="880"/>
        <w:spacing w:after="0"/>
        <w:tabs>
          <w:tab w:leader="none" w:pos="1380" w:val="left"/>
          <w:tab w:leader="none" w:pos="3320" w:val="left"/>
        </w:tabs>
        <w:rPr>
          <w:sz w:val="20"/>
          <w:szCs w:val="20"/>
          <w:color w:val="auto"/>
        </w:rPr>
      </w:pPr>
      <w:r>
        <w:rPr>
          <w:rFonts w:ascii="Courier New" w:cs="Courier New" w:eastAsia="Courier New" w:hAnsi="Courier New"/>
          <w:sz w:val="15"/>
          <w:szCs w:val="15"/>
          <w:color w:val="auto"/>
        </w:rPr>
        <w:t>8.4.</w:t>
        <w:tab/>
        <w:t>Sharing of Set-Offs.</w:t>
      </w:r>
      <w:r>
        <w:rPr>
          <w:sz w:val="20"/>
          <w:szCs w:val="20"/>
          <w:color w:val="auto"/>
        </w:rPr>
        <w:tab/>
      </w:r>
      <w:r>
        <w:rPr>
          <w:rFonts w:ascii="Courier New" w:cs="Courier New" w:eastAsia="Courier New" w:hAnsi="Courier New"/>
          <w:sz w:val="14"/>
          <w:szCs w:val="14"/>
          <w:color w:val="auto"/>
        </w:rPr>
        <w:t>Each Bank agrees that if it shall, by</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exercising any right of set-off or counterclaim or otherwise, receive payment of a proportion of the aggregate amount of principal and interest then due with respect to any Note held by it which is greater than the proportion received by any other Bank in respect of the aggregate amount of principal and interest then due with respect to any Note held by such other Bank, the Bank receiving such proportionately greater payment shall purchase such participations in the Notes held by the other Banks, and such other adjustments shall be made from time to time, as may be required so that all such payments of principal and interest with respect to the Notes held by the Banks shall be shared by the Banks pro rata; provided that nothing in this Section shall impair the right of any Bank</w:t>
      </w:r>
    </w:p>
    <w:p>
      <w:pPr>
        <w:ind w:left="540"/>
        <w:spacing w:after="0" w:line="235"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to exercise any right of set-off or counterclaim it may have and to apply the amount subject to such exercise to the payment of indebtedness of the Company other than its indebtedness under the Notes. The Company agrees, to the fullest extent it may effectively do so under applicable law, that any holder of a participation in a Note, whether or not acquired pursuant to the foregoing arrangements, may exercise rights of set-off or counterclaim and other rights</w:t>
      </w:r>
    </w:p>
    <w:p>
      <w:pPr>
        <w:sectPr>
          <w:pgSz w:w="11900" w:h="16838" w:orient="portrait"/>
          <w:cols w:equalWidth="0" w:num="1">
            <w:col w:w="10239"/>
          </w:cols>
          <w:pgMar w:left="220" w:top="617" w:right="1440" w:bottom="1440" w:gutter="0" w:footer="0" w:header="0"/>
        </w:sectPr>
      </w:pPr>
    </w:p>
    <w:bookmarkStart w:id="79" w:name="page80"/>
    <w:bookmarkEnd w:id="79"/>
    <w:p>
      <w:pPr>
        <w:ind w:left="6560"/>
        <w:spacing w:after="0"/>
        <w:rPr>
          <w:sz w:val="20"/>
          <w:szCs w:val="20"/>
          <w:color w:val="auto"/>
        </w:rPr>
      </w:pPr>
      <w:r>
        <w:rPr>
          <w:rFonts w:ascii="Courier New" w:cs="Courier New" w:eastAsia="Courier New" w:hAnsi="Courier New"/>
          <w:sz w:val="15"/>
          <w:szCs w:val="15"/>
          <w:color w:val="auto"/>
        </w:rPr>
        <w:t>54</w:t>
      </w:r>
    </w:p>
    <w:p>
      <w:pPr>
        <w:spacing w:after="0" w:line="173" w:lineRule="exact"/>
        <w:rPr>
          <w:sz w:val="20"/>
          <w:szCs w:val="20"/>
          <w:color w:val="auto"/>
        </w:rPr>
      </w:pPr>
    </w:p>
    <w:p>
      <w:pPr>
        <w:ind w:right="3839"/>
        <w:spacing w:after="0" w:line="235" w:lineRule="auto"/>
        <w:rPr>
          <w:sz w:val="20"/>
          <w:szCs w:val="20"/>
          <w:color w:val="auto"/>
        </w:rPr>
      </w:pPr>
      <w:r>
        <w:rPr>
          <w:rFonts w:ascii="Courier New" w:cs="Courier New" w:eastAsia="Courier New" w:hAnsi="Courier New"/>
          <w:sz w:val="15"/>
          <w:szCs w:val="15"/>
          <w:color w:val="auto"/>
        </w:rPr>
        <w:t>with respect to such participation as fully as if such holder of the participation were a direct creditor of the Company in the amount of such participation.</w:t>
      </w:r>
    </w:p>
    <w:p>
      <w:pPr>
        <w:spacing w:after="0" w:line="167" w:lineRule="exact"/>
        <w:rPr>
          <w:sz w:val="20"/>
          <w:szCs w:val="20"/>
          <w:color w:val="auto"/>
        </w:rPr>
      </w:pPr>
    </w:p>
    <w:p>
      <w:pPr>
        <w:ind w:left="880"/>
        <w:spacing w:after="0"/>
        <w:tabs>
          <w:tab w:leader="none" w:pos="1380" w:val="left"/>
          <w:tab w:leader="none" w:pos="3580" w:val="left"/>
        </w:tabs>
        <w:rPr>
          <w:sz w:val="20"/>
          <w:szCs w:val="20"/>
          <w:color w:val="auto"/>
        </w:rPr>
      </w:pPr>
      <w:r>
        <w:rPr>
          <w:rFonts w:ascii="Courier New" w:cs="Courier New" w:eastAsia="Courier New" w:hAnsi="Courier New"/>
          <w:sz w:val="15"/>
          <w:szCs w:val="15"/>
          <w:color w:val="auto"/>
        </w:rPr>
        <w:t>8.5.</w:t>
        <w:tab/>
        <w:t>Amendments and Waivers.</w:t>
      </w:r>
      <w:r>
        <w:rPr>
          <w:sz w:val="20"/>
          <w:szCs w:val="20"/>
          <w:color w:val="auto"/>
        </w:rPr>
        <w:tab/>
      </w:r>
      <w:r>
        <w:rPr>
          <w:rFonts w:ascii="Courier New" w:cs="Courier New" w:eastAsia="Courier New" w:hAnsi="Courier New"/>
          <w:sz w:val="14"/>
          <w:szCs w:val="14"/>
          <w:color w:val="auto"/>
        </w:rPr>
        <w:t>Any provision of this Agreement or the</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319"/>
        <w:spacing w:after="0" w:line="254" w:lineRule="auto"/>
        <w:rPr>
          <w:sz w:val="20"/>
          <w:szCs w:val="20"/>
          <w:color w:val="auto"/>
        </w:rPr>
      </w:pPr>
      <w:r>
        <w:rPr>
          <w:rFonts w:ascii="Courier New" w:cs="Courier New" w:eastAsia="Courier New" w:hAnsi="Courier New"/>
          <w:sz w:val="14"/>
          <w:szCs w:val="14"/>
          <w:color w:val="auto"/>
        </w:rPr>
        <w:t>Notes may be amended or waived if, but only if, such amendment or waiver is in writing and is signed by the Company and the Required Banks (and, if the rights or duties of the Agent are affected thereby, by the Agent); provided that no</w:t>
      </w:r>
    </w:p>
    <w:p>
      <w:pPr>
        <w:ind w:left="5260"/>
        <w:spacing w:after="0" w:line="232"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such amendment or waiver shall, unless signed by all the Banks, (i) increase or decrease the Commitment of any Bank except as provided in Section 2.9 or subject any Bank to any additional obligation, (ii) reduce the principal of or the rate of interest on any Loan or any fees hereunder, (iii) postpone the date fixed (a) for any payment of principal of or interest on any Loan or any fees hereunder or</w:t>
      </w:r>
    </w:p>
    <w:p>
      <w:pPr>
        <w:spacing w:after="0" w:line="2" w:lineRule="exact"/>
        <w:rPr>
          <w:sz w:val="20"/>
          <w:szCs w:val="20"/>
          <w:color w:val="auto"/>
        </w:rPr>
      </w:pPr>
    </w:p>
    <w:p>
      <w:pPr>
        <w:ind w:right="3319" w:firstLine="10"/>
        <w:spacing w:after="0" w:line="235" w:lineRule="auto"/>
        <w:tabs>
          <w:tab w:leader="none" w:pos="35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any termination of any Commitment, or (iv) change the percentage of the Commitments or of the aggregate unpaid principal amount of the Notes, or the number of Banks, which shall be required for the Banks or any of them to take any action under this Section or any other provision of this Agreement.</w:t>
      </w:r>
    </w:p>
    <w:p>
      <w:pPr>
        <w:spacing w:after="0" w:line="169" w:lineRule="exact"/>
        <w:rPr>
          <w:sz w:val="20"/>
          <w:szCs w:val="20"/>
          <w:color w:val="auto"/>
        </w:rPr>
      </w:pPr>
    </w:p>
    <w:p>
      <w:pPr>
        <w:ind w:left="880"/>
        <w:spacing w:after="0"/>
        <w:tabs>
          <w:tab w:leader="none" w:pos="1380" w:val="left"/>
        </w:tabs>
        <w:rPr>
          <w:sz w:val="20"/>
          <w:szCs w:val="20"/>
          <w:color w:val="auto"/>
        </w:rPr>
      </w:pPr>
      <w:r>
        <w:rPr>
          <w:rFonts w:ascii="Courier New" w:cs="Courier New" w:eastAsia="Courier New" w:hAnsi="Courier New"/>
          <w:sz w:val="15"/>
          <w:szCs w:val="15"/>
          <w:color w:val="auto"/>
        </w:rPr>
        <w:t>8.6.</w:t>
      </w:r>
      <w:r>
        <w:rPr>
          <w:sz w:val="20"/>
          <w:szCs w:val="20"/>
          <w:color w:val="auto"/>
        </w:rPr>
        <w:tab/>
      </w:r>
      <w:r>
        <w:rPr>
          <w:rFonts w:ascii="Courier New" w:cs="Courier New" w:eastAsia="Courier New" w:hAnsi="Courier New"/>
          <w:sz w:val="14"/>
          <w:szCs w:val="14"/>
          <w:color w:val="auto"/>
        </w:rPr>
        <w:t>Successors and Assiqns.</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firstLine="875"/>
        <w:spacing w:after="0" w:line="256" w:lineRule="auto"/>
        <w:rPr>
          <w:sz w:val="20"/>
          <w:szCs w:val="20"/>
          <w:color w:val="auto"/>
        </w:rPr>
      </w:pPr>
      <w:r>
        <w:rPr>
          <w:rFonts w:ascii="Courier New" w:cs="Courier New" w:eastAsia="Courier New" w:hAnsi="Courier New"/>
          <w:sz w:val="14"/>
          <w:szCs w:val="14"/>
          <w:color w:val="auto"/>
        </w:rPr>
        <w:t>8.6.1. The provisions of this Agreement shall be binding upon and inure to the benefit of the parties hereto and their respective successors and assigns, except that the Company may not assign or otherwise transfer any of its rights under this Agreement without the prior written consent of all Banks.</w:t>
      </w:r>
    </w:p>
    <w:p>
      <w:pPr>
        <w:spacing w:after="0" w:line="164" w:lineRule="exact"/>
        <w:rPr>
          <w:sz w:val="20"/>
          <w:szCs w:val="20"/>
          <w:color w:val="auto"/>
        </w:rPr>
      </w:pPr>
    </w:p>
    <w:p>
      <w:pPr>
        <w:ind w:right="3239" w:firstLine="875"/>
        <w:spacing w:after="0" w:line="254" w:lineRule="auto"/>
        <w:rPr>
          <w:sz w:val="20"/>
          <w:szCs w:val="20"/>
          <w:color w:val="auto"/>
        </w:rPr>
      </w:pPr>
      <w:r>
        <w:rPr>
          <w:rFonts w:ascii="Courier New" w:cs="Courier New" w:eastAsia="Courier New" w:hAnsi="Courier New"/>
          <w:sz w:val="14"/>
          <w:szCs w:val="14"/>
          <w:color w:val="auto"/>
        </w:rPr>
        <w:t>8.6.2. Any Bank may at any time grant to one or more banks or other institutions (each a "Participant") participating interests in its Commitment or any or all of its Loans. In the event of any such grant by a Bank of a participating interest to a Participant, whether or not upon notice to the Company and the Agent, such Bank shall remain responsible for the performance of its obligations hereunder, and the Company and the Agent shall continue to deal solely and directly with such Bank in connection with such Bank's rights and obligations under this Agreement. Any agreement pursuant to which any Bank may grant such a participating interest shall provide that such Bank shall retain the sole right and responsibility to enforce the obligations of the Company hereunder including, without limitation the right to approve any amendment, modification or waiver of any provision of this Agreement; provided that</w:t>
      </w:r>
    </w:p>
    <w:p>
      <w:pPr>
        <w:ind w:left="5180"/>
        <w:spacing w:after="0" w:line="236" w:lineRule="auto"/>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617" w:right="1440" w:bottom="1440" w:gutter="0" w:footer="0" w:header="0"/>
        </w:sectPr>
      </w:pPr>
    </w:p>
    <w:bookmarkStart w:id="80" w:name="page81"/>
    <w:bookmarkEnd w:id="80"/>
    <w:p>
      <w:pPr>
        <w:ind w:left="6560"/>
        <w:spacing w:after="0"/>
        <w:rPr>
          <w:sz w:val="20"/>
          <w:szCs w:val="20"/>
          <w:color w:val="auto"/>
        </w:rPr>
      </w:pPr>
      <w:r>
        <w:rPr>
          <w:rFonts w:ascii="Courier New" w:cs="Courier New" w:eastAsia="Courier New" w:hAnsi="Courier New"/>
          <w:sz w:val="15"/>
          <w:szCs w:val="15"/>
          <w:color w:val="auto"/>
        </w:rPr>
        <w:t>55</w:t>
      </w:r>
    </w:p>
    <w:p>
      <w:pPr>
        <w:spacing w:after="0" w:line="173" w:lineRule="exact"/>
        <w:rPr>
          <w:sz w:val="20"/>
          <w:szCs w:val="20"/>
          <w:color w:val="auto"/>
        </w:rPr>
      </w:pPr>
    </w:p>
    <w:p>
      <w:pPr>
        <w:ind w:right="3499"/>
        <w:spacing w:after="0" w:line="254" w:lineRule="auto"/>
        <w:rPr>
          <w:sz w:val="20"/>
          <w:szCs w:val="20"/>
          <w:color w:val="auto"/>
        </w:rPr>
      </w:pPr>
      <w:r>
        <w:rPr>
          <w:rFonts w:ascii="Courier New" w:cs="Courier New" w:eastAsia="Courier New" w:hAnsi="Courier New"/>
          <w:sz w:val="14"/>
          <w:szCs w:val="14"/>
          <w:color w:val="auto"/>
        </w:rPr>
        <w:t>such participation agreement may provide that such Bank will not agree to any modification, amendment or waiver of this Agreement described in clause (i),</w:t>
      </w:r>
    </w:p>
    <w:p>
      <w:pPr>
        <w:ind w:left="440" w:hanging="430"/>
        <w:spacing w:after="0" w:line="231" w:lineRule="auto"/>
        <w:tabs>
          <w:tab w:leader="none" w:pos="44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 (iii) of Section 8.5 without the consent of the Participant.  The</w:t>
      </w:r>
    </w:p>
    <w:p>
      <w:pPr>
        <w:spacing w:after="0" w:line="5" w:lineRule="exact"/>
        <w:rPr>
          <w:rFonts w:ascii="Courier New" w:cs="Courier New" w:eastAsia="Courier New" w:hAnsi="Courier New"/>
          <w:sz w:val="15"/>
          <w:szCs w:val="15"/>
          <w:color w:val="auto"/>
        </w:rPr>
      </w:pPr>
    </w:p>
    <w:p>
      <w:pPr>
        <w:ind w:right="339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Company agrees that each Participant to a participation, the granting of which has been approved in writing by the Company, shall, to the extent provided in its participation agreement, be entitled to the benefits of Sections 2.7.4 and 2.17 with respect to its participating interest. An assignment or other transfer which is not permitted by Section 8.6.3 or 8.6.4 below shall be given effect for purposes of this Agreement only to the extent of a participating interest granted in accordance with this Section 8.6.2.</w:t>
      </w:r>
    </w:p>
    <w:p>
      <w:pPr>
        <w:spacing w:after="0" w:line="166" w:lineRule="exact"/>
        <w:rPr>
          <w:sz w:val="20"/>
          <w:szCs w:val="20"/>
          <w:color w:val="auto"/>
        </w:rPr>
      </w:pPr>
    </w:p>
    <w:p>
      <w:pPr>
        <w:ind w:right="3239" w:firstLine="875"/>
        <w:spacing w:after="0" w:line="254" w:lineRule="auto"/>
        <w:rPr>
          <w:sz w:val="20"/>
          <w:szCs w:val="20"/>
          <w:color w:val="auto"/>
        </w:rPr>
      </w:pPr>
      <w:r>
        <w:rPr>
          <w:rFonts w:ascii="Courier New" w:cs="Courier New" w:eastAsia="Courier New" w:hAnsi="Courier New"/>
          <w:sz w:val="14"/>
          <w:szCs w:val="14"/>
          <w:color w:val="auto"/>
        </w:rPr>
        <w:t>8.6.3. Any Bank may at any time assign to one or more banks or other institutions (each an "Assignee") all, or a proportionate part of all, of its rights and obligations under this Agreement and the Notes, and such Assignee shall assume such rights and obligations, pursuant to an Assignment and Assumption Agreement in substantially the form of Exhibit G hereto executed by such Assignee and such transferor Bank, with (and subject to) the subscribed consent of the Company and the Agent; provided that (a) if an Assignee is a Bank</w:t>
      </w:r>
    </w:p>
    <w:p>
      <w:pPr>
        <w:ind w:left="3340"/>
        <w:spacing w:after="0" w:line="234"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or an affiliate of such transferor Bank, no consent shall be required, (b) such assignment may, but need not, include rights of the transferor Bank in respect of outstanding Money Market Loans and (c) any such assignment shall be for at least $10,000,000 of the Commitment of such Bank. Upon execution and delivery of such instrument and any necessary payment by such Assignee, such Assignee shall be a Bank party to this Agreement and shall have all the rights and obligations of a Bank with a Commitment as set forth in such instrument of assumption, and the transferor Bank shall be released from its obligations hereunder to a corresponding extent, and no further consent or action by any party shall be required. Upon the consummation of any assignment pursuant to this Section 8.6.3 the transferor Bank, the Agent and the Company shall make appropriate arrangements so that, if required, a new Note is issued to the Assignee. In connection with any such assignment (other than in the case of the replacement of a Bank pursuant to Section 2.1.3 or Section 2.9.3) the transferor Bank shall pay to the Agent an administrative fee for processing such assignment in the amount of $2,000.</w:t>
      </w:r>
    </w:p>
    <w:p>
      <w:pPr>
        <w:spacing w:after="0" w:line="175" w:lineRule="exact"/>
        <w:rPr>
          <w:sz w:val="20"/>
          <w:szCs w:val="20"/>
          <w:color w:val="auto"/>
        </w:rPr>
      </w:pPr>
    </w:p>
    <w:p>
      <w:pPr>
        <w:ind w:right="3679" w:firstLine="875"/>
        <w:spacing w:after="0" w:line="234" w:lineRule="auto"/>
        <w:rPr>
          <w:sz w:val="20"/>
          <w:szCs w:val="20"/>
          <w:color w:val="auto"/>
        </w:rPr>
      </w:pPr>
      <w:r>
        <w:rPr>
          <w:rFonts w:ascii="Courier New" w:cs="Courier New" w:eastAsia="Courier New" w:hAnsi="Courier New"/>
          <w:sz w:val="15"/>
          <w:szCs w:val="15"/>
          <w:color w:val="auto"/>
        </w:rPr>
        <w:t>8.6.4. Any Bank may at any time assign all or any portion of its rights under this Agreement and its Note</w:t>
      </w:r>
    </w:p>
    <w:p>
      <w:pPr>
        <w:sectPr>
          <w:pgSz w:w="11900" w:h="16838" w:orient="portrait"/>
          <w:cols w:equalWidth="0" w:num="1">
            <w:col w:w="10239"/>
          </w:cols>
          <w:pgMar w:left="220" w:top="617" w:right="1440" w:bottom="1440" w:gutter="0" w:footer="0" w:header="0"/>
        </w:sectPr>
      </w:pPr>
    </w:p>
    <w:bookmarkStart w:id="81" w:name="page82"/>
    <w:bookmarkEnd w:id="81"/>
    <w:p>
      <w:pPr>
        <w:ind w:left="6560"/>
        <w:spacing w:after="0"/>
        <w:rPr>
          <w:sz w:val="20"/>
          <w:szCs w:val="20"/>
          <w:color w:val="auto"/>
        </w:rPr>
      </w:pPr>
      <w:r>
        <w:rPr>
          <w:rFonts w:ascii="Courier New" w:cs="Courier New" w:eastAsia="Courier New" w:hAnsi="Courier New"/>
          <w:sz w:val="15"/>
          <w:szCs w:val="15"/>
          <w:color w:val="auto"/>
        </w:rPr>
        <w:t>56</w:t>
      </w:r>
    </w:p>
    <w:p>
      <w:pPr>
        <w:spacing w:after="0" w:line="173"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to a Federal Reserve Bank. No such assignment shall release the transferor Bank from its obligations hereunder.</w:t>
      </w:r>
    </w:p>
    <w:p>
      <w:pPr>
        <w:spacing w:after="0" w:line="173" w:lineRule="exact"/>
        <w:rPr>
          <w:sz w:val="20"/>
          <w:szCs w:val="20"/>
          <w:color w:val="auto"/>
        </w:rPr>
      </w:pPr>
    </w:p>
    <w:p>
      <w:pPr>
        <w:ind w:right="3239" w:firstLine="875"/>
        <w:spacing w:after="0" w:line="255" w:lineRule="auto"/>
        <w:rPr>
          <w:sz w:val="20"/>
          <w:szCs w:val="20"/>
          <w:color w:val="auto"/>
        </w:rPr>
      </w:pPr>
      <w:r>
        <w:rPr>
          <w:rFonts w:ascii="Courier New" w:cs="Courier New" w:eastAsia="Courier New" w:hAnsi="Courier New"/>
          <w:sz w:val="14"/>
          <w:szCs w:val="14"/>
          <w:color w:val="auto"/>
        </w:rPr>
        <w:t>8.6.5. No Assignee, Participant or other transferee of any Bank's rights shall be entitled to receive any greater payment under Section 2.17 than such Bank would have been entitled to receive with respect to the rights transferred, unless such transfer is made with the Company's prior written consent or by reason of the provisions of Section 2.16 or 2.17 requiring such Bank to designate a different Lending Office under certain circumstances or at a time when the circumstances giving rise to such greater payment did not exist.</w:t>
      </w:r>
    </w:p>
    <w:p>
      <w:pPr>
        <w:spacing w:after="0" w:line="166" w:lineRule="exact"/>
        <w:rPr>
          <w:sz w:val="20"/>
          <w:szCs w:val="20"/>
          <w:color w:val="auto"/>
        </w:rPr>
      </w:pPr>
    </w:p>
    <w:p>
      <w:pPr>
        <w:ind w:right="3239" w:firstLine="875"/>
        <w:spacing w:after="0" w:line="235" w:lineRule="auto"/>
        <w:rPr>
          <w:sz w:val="20"/>
          <w:szCs w:val="20"/>
          <w:color w:val="auto"/>
        </w:rPr>
      </w:pPr>
      <w:r>
        <w:rPr>
          <w:rFonts w:ascii="Courier New" w:cs="Courier New" w:eastAsia="Courier New" w:hAnsi="Courier New"/>
          <w:sz w:val="15"/>
          <w:szCs w:val="15"/>
          <w:color w:val="auto"/>
        </w:rPr>
        <w:t>8.6.6. If any Reference Bank assigns its Notes to an unaffiliated institution as permitted by Section 8.6.1, the Agent shall, in consultation with the Company and with the consent of the Required Banks, appoint another Bank to act as a Reference Bank hereunder.</w:t>
      </w:r>
    </w:p>
    <w:p>
      <w:pPr>
        <w:spacing w:after="0" w:line="169" w:lineRule="exact"/>
        <w:rPr>
          <w:sz w:val="20"/>
          <w:szCs w:val="20"/>
          <w:color w:val="auto"/>
        </w:rPr>
      </w:pPr>
    </w:p>
    <w:p>
      <w:pPr>
        <w:ind w:left="880"/>
        <w:spacing w:after="0"/>
        <w:tabs>
          <w:tab w:leader="none" w:pos="1380" w:val="left"/>
          <w:tab w:leader="none" w:pos="2520" w:val="left"/>
        </w:tabs>
        <w:rPr>
          <w:sz w:val="20"/>
          <w:szCs w:val="20"/>
          <w:color w:val="auto"/>
        </w:rPr>
      </w:pPr>
      <w:r>
        <w:rPr>
          <w:rFonts w:ascii="Courier New" w:cs="Courier New" w:eastAsia="Courier New" w:hAnsi="Courier New"/>
          <w:sz w:val="15"/>
          <w:szCs w:val="15"/>
          <w:color w:val="auto"/>
        </w:rPr>
        <w:t>8.7.</w:t>
        <w:tab/>
        <w:t>Collateral.</w:t>
      </w:r>
      <w:r>
        <w:rPr>
          <w:sz w:val="20"/>
          <w:szCs w:val="20"/>
          <w:color w:val="auto"/>
        </w:rPr>
        <w:tab/>
      </w:r>
      <w:r>
        <w:rPr>
          <w:rFonts w:ascii="Courier New" w:cs="Courier New" w:eastAsia="Courier New" w:hAnsi="Courier New"/>
          <w:sz w:val="14"/>
          <w:szCs w:val="14"/>
          <w:color w:val="auto"/>
        </w:rPr>
        <w:t>Each of the Banks represents to the Agent and each</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of the other Banks that it in good faith is not relying upon any Margin Stock as collateral in the extension or maintenance of the credit provided for in this Agreement.</w:t>
      </w:r>
    </w:p>
    <w:p>
      <w:pPr>
        <w:spacing w:after="0" w:line="167" w:lineRule="exact"/>
        <w:rPr>
          <w:sz w:val="20"/>
          <w:szCs w:val="20"/>
          <w:color w:val="auto"/>
        </w:rPr>
      </w:pPr>
    </w:p>
    <w:p>
      <w:pPr>
        <w:ind w:left="880"/>
        <w:spacing w:after="0"/>
        <w:tabs>
          <w:tab w:leader="none" w:pos="1380" w:val="left"/>
          <w:tab w:leader="none" w:pos="2700" w:val="left"/>
        </w:tabs>
        <w:rPr>
          <w:sz w:val="20"/>
          <w:szCs w:val="20"/>
          <w:color w:val="auto"/>
        </w:rPr>
      </w:pPr>
      <w:r>
        <w:rPr>
          <w:rFonts w:ascii="Courier New" w:cs="Courier New" w:eastAsia="Courier New" w:hAnsi="Courier New"/>
          <w:sz w:val="15"/>
          <w:szCs w:val="15"/>
          <w:color w:val="auto"/>
        </w:rPr>
        <w:t>8.8.</w:t>
        <w:tab/>
        <w:t>New York Law.</w:t>
      </w:r>
      <w:r>
        <w:rPr>
          <w:sz w:val="20"/>
          <w:szCs w:val="20"/>
          <w:color w:val="auto"/>
        </w:rPr>
        <w:tab/>
      </w:r>
      <w:r>
        <w:rPr>
          <w:rFonts w:ascii="Courier New" w:cs="Courier New" w:eastAsia="Courier New" w:hAnsi="Courier New"/>
          <w:sz w:val="14"/>
          <w:szCs w:val="14"/>
          <w:color w:val="auto"/>
        </w:rPr>
        <w:t>This Agreement and each Note shall be construed</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in accordance with and governed by the law of the State of New York.</w:t>
      </w:r>
    </w:p>
    <w:p>
      <w:pPr>
        <w:spacing w:after="0" w:line="167" w:lineRule="exact"/>
        <w:rPr>
          <w:sz w:val="20"/>
          <w:szCs w:val="20"/>
          <w:color w:val="auto"/>
        </w:rPr>
      </w:pPr>
    </w:p>
    <w:p>
      <w:pPr>
        <w:ind w:left="880"/>
        <w:spacing w:after="0"/>
        <w:tabs>
          <w:tab w:leader="none" w:pos="1380" w:val="left"/>
          <w:tab w:leader="none" w:pos="3840" w:val="left"/>
        </w:tabs>
        <w:rPr>
          <w:sz w:val="20"/>
          <w:szCs w:val="20"/>
          <w:color w:val="auto"/>
        </w:rPr>
      </w:pPr>
      <w:r>
        <w:rPr>
          <w:rFonts w:ascii="Courier New" w:cs="Courier New" w:eastAsia="Courier New" w:hAnsi="Courier New"/>
          <w:sz w:val="15"/>
          <w:szCs w:val="15"/>
          <w:color w:val="auto"/>
        </w:rPr>
        <w:t>8.9.</w:t>
        <w:tab/>
        <w:t>Counterparts; Integration.</w:t>
      </w:r>
      <w:r>
        <w:rPr>
          <w:sz w:val="20"/>
          <w:szCs w:val="20"/>
          <w:color w:val="auto"/>
        </w:rPr>
        <w:tab/>
      </w:r>
      <w:r>
        <w:rPr>
          <w:rFonts w:ascii="Courier New" w:cs="Courier New" w:eastAsia="Courier New" w:hAnsi="Courier New"/>
          <w:sz w:val="14"/>
          <w:szCs w:val="14"/>
          <w:color w:val="auto"/>
        </w:rPr>
        <w:t>This Agreement may be signed in any</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number of counterparts, each of which shall be an original, with the same effect as if the signatures thereto and hereto were upon the same instrument. This Agreement constitutes the entire agreement and understanding among the parties hereto and supersedes any and all prior agreements and understandings, oral or written, relating to the subject matter hereof.</w:t>
      </w:r>
    </w:p>
    <w:p>
      <w:pPr>
        <w:spacing w:after="0" w:line="167" w:lineRule="exact"/>
        <w:rPr>
          <w:sz w:val="20"/>
          <w:szCs w:val="20"/>
          <w:color w:val="auto"/>
        </w:rPr>
      </w:pPr>
    </w:p>
    <w:p>
      <w:pPr>
        <w:ind w:left="880"/>
        <w:spacing w:after="0"/>
        <w:tabs>
          <w:tab w:leader="none" w:pos="1480" w:val="left"/>
          <w:tab w:leader="none" w:pos="3480" w:val="left"/>
        </w:tabs>
        <w:rPr>
          <w:sz w:val="20"/>
          <w:szCs w:val="20"/>
          <w:color w:val="auto"/>
        </w:rPr>
      </w:pPr>
      <w:r>
        <w:rPr>
          <w:rFonts w:ascii="Courier New" w:cs="Courier New" w:eastAsia="Courier New" w:hAnsi="Courier New"/>
          <w:sz w:val="15"/>
          <w:szCs w:val="15"/>
          <w:color w:val="auto"/>
        </w:rPr>
        <w:t>8.10.</w:t>
        <w:tab/>
        <w:t>Indemnity by Company.</w:t>
      </w:r>
      <w:r>
        <w:rPr>
          <w:sz w:val="20"/>
          <w:szCs w:val="20"/>
          <w:color w:val="auto"/>
        </w:rPr>
        <w:tab/>
      </w:r>
      <w:r>
        <w:rPr>
          <w:rFonts w:ascii="Courier New" w:cs="Courier New" w:eastAsia="Courier New" w:hAnsi="Courier New"/>
          <w:sz w:val="14"/>
          <w:szCs w:val="14"/>
          <w:color w:val="auto"/>
        </w:rPr>
        <w:t>The Company agrees to indemnify each</w:t>
      </w:r>
    </w:p>
    <w:p>
      <w:pPr>
        <w:ind w:left="15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Bank and hold each Bank harmless from and against any and all liabilities, losses, damages, costs and expenses of any kind (including, without limitation, the reasonable fees and disbursements of counsel for any Bank in connection with any investigative, administrative or judicial proceeding, whether or not such Bank shall be designated a party thereto) which may be incurred by any Bank (or by the Agent in connection with its actions as</w:t>
      </w:r>
    </w:p>
    <w:p>
      <w:pPr>
        <w:sectPr>
          <w:pgSz w:w="11900" w:h="16838" w:orient="portrait"/>
          <w:cols w:equalWidth="0" w:num="1">
            <w:col w:w="10239"/>
          </w:cols>
          <w:pgMar w:left="220" w:top="617" w:right="1440" w:bottom="1440" w:gutter="0" w:footer="0" w:header="0"/>
        </w:sectPr>
      </w:pPr>
    </w:p>
    <w:bookmarkStart w:id="82" w:name="page83"/>
    <w:bookmarkEnd w:id="82"/>
    <w:p>
      <w:pPr>
        <w:ind w:left="6560"/>
        <w:spacing w:after="0"/>
        <w:rPr>
          <w:sz w:val="20"/>
          <w:szCs w:val="20"/>
          <w:color w:val="auto"/>
        </w:rPr>
      </w:pPr>
      <w:r>
        <w:rPr>
          <w:rFonts w:ascii="Courier New" w:cs="Courier New" w:eastAsia="Courier New" w:hAnsi="Courier New"/>
          <w:sz w:val="15"/>
          <w:szCs w:val="15"/>
          <w:color w:val="auto"/>
        </w:rPr>
        <w:t>57</w:t>
      </w:r>
    </w:p>
    <w:p>
      <w:pPr>
        <w:spacing w:after="0" w:line="173" w:lineRule="exact"/>
        <w:rPr>
          <w:sz w:val="20"/>
          <w:szCs w:val="20"/>
          <w:color w:val="auto"/>
        </w:rPr>
      </w:pPr>
    </w:p>
    <w:p>
      <w:pPr>
        <w:jc w:val="both"/>
        <w:ind w:right="3499"/>
        <w:spacing w:after="0" w:line="254" w:lineRule="auto"/>
        <w:rPr>
          <w:sz w:val="20"/>
          <w:szCs w:val="20"/>
          <w:color w:val="auto"/>
        </w:rPr>
      </w:pPr>
      <w:r>
        <w:rPr>
          <w:rFonts w:ascii="Courier New" w:cs="Courier New" w:eastAsia="Courier New" w:hAnsi="Courier New"/>
          <w:sz w:val="14"/>
          <w:szCs w:val="14"/>
          <w:color w:val="auto"/>
        </w:rPr>
        <w:t>Agent hereunder), relating to or arising out of any actual or proposed use of proceeds of Loans hereunder for the purpose of acquiring equity securities of any Person; provided, that no Bank shall have the right to be indemnified</w:t>
      </w:r>
    </w:p>
    <w:p>
      <w:pPr>
        <w:ind w:left="1060"/>
        <w:spacing w:after="0" w:line="232"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hereunder (a) with respect to the acquisition of equity securities (i) of a wholly-owned Subsidiary, or (ii) of a Person who prior to such acquisition did not conduct any business, or (b) for its own gross negligence or willful misconduct.</w:t>
      </w:r>
    </w:p>
    <w:p>
      <w:pPr>
        <w:spacing w:after="0" w:line="169"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SECTION 9</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EFFECTIVENESS</w:t>
      </w:r>
    </w:p>
    <w:p>
      <w:pPr>
        <w:spacing w:after="0" w:line="166" w:lineRule="exact"/>
        <w:rPr>
          <w:sz w:val="20"/>
          <w:szCs w:val="20"/>
          <w:color w:val="auto"/>
        </w:rPr>
      </w:pPr>
    </w:p>
    <w:p>
      <w:pPr>
        <w:ind w:left="880"/>
        <w:spacing w:after="0"/>
        <w:tabs>
          <w:tab w:leader="none" w:pos="1380" w:val="left"/>
          <w:tab w:leader="none" w:pos="2520" w:val="left"/>
        </w:tabs>
        <w:rPr>
          <w:sz w:val="20"/>
          <w:szCs w:val="20"/>
          <w:color w:val="auto"/>
        </w:rPr>
      </w:pPr>
      <w:r>
        <w:rPr>
          <w:rFonts w:ascii="Courier New" w:cs="Courier New" w:eastAsia="Courier New" w:hAnsi="Courier New"/>
          <w:sz w:val="15"/>
          <w:szCs w:val="15"/>
          <w:color w:val="auto"/>
        </w:rPr>
        <w:t>9.1.</w:t>
        <w:tab/>
        <w:t>Conditions.</w:t>
      </w:r>
      <w:r>
        <w:rPr>
          <w:sz w:val="20"/>
          <w:szCs w:val="20"/>
          <w:color w:val="auto"/>
        </w:rPr>
        <w:tab/>
      </w:r>
      <w:r>
        <w:rPr>
          <w:rFonts w:ascii="Courier New" w:cs="Courier New" w:eastAsia="Courier New" w:hAnsi="Courier New"/>
          <w:sz w:val="14"/>
          <w:szCs w:val="14"/>
          <w:color w:val="auto"/>
        </w:rPr>
        <w:t>This Agreement shall become effective upon</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satisfaction of the following conditions:</w:t>
      </w:r>
    </w:p>
    <w:p>
      <w:pPr>
        <w:spacing w:after="0" w:line="173"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9.1.1. the Agent shall have received duly executed counterparts of this Agreement signed by the Company and the Banks (or, in the case of any party as to which 'an executed counterpart shall not have been received, the Agent shall have received telegraphic, telex or other written confirmation from such party of execution of a counterpart by such party);</w:t>
      </w:r>
    </w:p>
    <w:p>
      <w:pPr>
        <w:spacing w:after="0" w:line="174" w:lineRule="exact"/>
        <w:rPr>
          <w:sz w:val="20"/>
          <w:szCs w:val="20"/>
          <w:color w:val="auto"/>
        </w:rPr>
      </w:pPr>
    </w:p>
    <w:p>
      <w:pPr>
        <w:ind w:right="3319" w:firstLine="875"/>
        <w:spacing w:after="0" w:line="256" w:lineRule="auto"/>
        <w:rPr>
          <w:sz w:val="20"/>
          <w:szCs w:val="20"/>
          <w:color w:val="auto"/>
        </w:rPr>
      </w:pPr>
      <w:r>
        <w:rPr>
          <w:rFonts w:ascii="Courier New" w:cs="Courier New" w:eastAsia="Courier New" w:hAnsi="Courier New"/>
          <w:sz w:val="14"/>
          <w:szCs w:val="14"/>
          <w:color w:val="auto"/>
        </w:rPr>
        <w:t>9.2.2. the Agent shall have received opinions of each of Samuel P. Fried, Esq., General Counsel of the Company, and Davis Polk &amp; Wardwell, special counsel for the Company, substantially in the forms of Exhibits E-1 and E-2 hereto, respectively, and covering such additional matters relating to the transactions contemplated hereby as the Required Banks may reasonably request;</w:t>
      </w:r>
    </w:p>
    <w:p>
      <w:pPr>
        <w:spacing w:after="0" w:line="163" w:lineRule="exact"/>
        <w:rPr>
          <w:sz w:val="20"/>
          <w:szCs w:val="20"/>
          <w:color w:val="auto"/>
        </w:rPr>
      </w:pPr>
    </w:p>
    <w:p>
      <w:pPr>
        <w:ind w:right="3319" w:firstLine="875"/>
        <w:spacing w:after="0" w:line="235" w:lineRule="auto"/>
        <w:rPr>
          <w:sz w:val="20"/>
          <w:szCs w:val="20"/>
          <w:color w:val="auto"/>
        </w:rPr>
      </w:pPr>
      <w:r>
        <w:rPr>
          <w:rFonts w:ascii="Courier New" w:cs="Courier New" w:eastAsia="Courier New" w:hAnsi="Courier New"/>
          <w:sz w:val="15"/>
          <w:szCs w:val="15"/>
          <w:color w:val="auto"/>
        </w:rPr>
        <w:t>9.1.3. the Agent shall have received an opinion of Cravath, Swaine &amp; Moore, special counsel for the Agent, substantially in the form of Exhibit F hereto and covering such additional matters relating to the transactions contemplated hereby as the Required Banks may reasonably request;</w:t>
      </w:r>
    </w:p>
    <w:p>
      <w:pPr>
        <w:spacing w:after="0" w:line="175" w:lineRule="exact"/>
        <w:rPr>
          <w:sz w:val="20"/>
          <w:szCs w:val="20"/>
          <w:color w:val="auto"/>
        </w:rPr>
      </w:pPr>
    </w:p>
    <w:p>
      <w:pPr>
        <w:ind w:right="3239" w:firstLine="875"/>
        <w:spacing w:after="0" w:line="235" w:lineRule="auto"/>
        <w:rPr>
          <w:sz w:val="20"/>
          <w:szCs w:val="20"/>
          <w:color w:val="auto"/>
        </w:rPr>
      </w:pPr>
      <w:r>
        <w:rPr>
          <w:rFonts w:ascii="Courier New" w:cs="Courier New" w:eastAsia="Courier New" w:hAnsi="Courier New"/>
          <w:sz w:val="15"/>
          <w:szCs w:val="15"/>
          <w:color w:val="auto"/>
        </w:rPr>
        <w:t>9.1.4. the Agent shall have received a certificate signed by the chief financial officer or the treasurer of the Company, to the effect that the representations and warranties of the Company contained in Section 4 are true on and as of the date of such certificate;</w:t>
      </w:r>
    </w:p>
    <w:p>
      <w:pPr>
        <w:sectPr>
          <w:pgSz w:w="11900" w:h="16838" w:orient="portrait"/>
          <w:cols w:equalWidth="0" w:num="1">
            <w:col w:w="10239"/>
          </w:cols>
          <w:pgMar w:left="220" w:top="617" w:right="1440" w:bottom="1440" w:gutter="0" w:footer="0" w:header="0"/>
        </w:sectPr>
      </w:pPr>
    </w:p>
    <w:bookmarkStart w:id="83" w:name="page84"/>
    <w:bookmarkEnd w:id="83"/>
    <w:p>
      <w:pPr>
        <w:ind w:left="6560"/>
        <w:spacing w:after="0"/>
        <w:rPr>
          <w:sz w:val="20"/>
          <w:szCs w:val="20"/>
          <w:color w:val="auto"/>
        </w:rPr>
      </w:pPr>
      <w:r>
        <w:rPr>
          <w:rFonts w:ascii="Courier New" w:cs="Courier New" w:eastAsia="Courier New" w:hAnsi="Courier New"/>
          <w:sz w:val="15"/>
          <w:szCs w:val="15"/>
          <w:color w:val="auto"/>
        </w:rPr>
        <w:t>58</w:t>
      </w:r>
    </w:p>
    <w:p>
      <w:pPr>
        <w:spacing w:after="0" w:line="341" w:lineRule="exact"/>
        <w:rPr>
          <w:sz w:val="20"/>
          <w:szCs w:val="20"/>
          <w:color w:val="auto"/>
        </w:rPr>
      </w:pPr>
    </w:p>
    <w:p>
      <w:pPr>
        <w:jc w:val="both"/>
        <w:ind w:right="3239" w:firstLine="875"/>
        <w:spacing w:after="0" w:line="235" w:lineRule="auto"/>
        <w:rPr>
          <w:sz w:val="20"/>
          <w:szCs w:val="20"/>
          <w:color w:val="auto"/>
        </w:rPr>
      </w:pPr>
      <w:r>
        <w:rPr>
          <w:rFonts w:ascii="Courier New" w:cs="Courier New" w:eastAsia="Courier New" w:hAnsi="Courier New"/>
          <w:sz w:val="15"/>
          <w:szCs w:val="15"/>
          <w:color w:val="auto"/>
        </w:rPr>
        <w:t>9.1.5. the Agent shall have received, for the account of each Bank, a duly executed Note, dated on or before the Effective Date and complying with the provisions of Section 2.5 of this Agreement;</w:t>
      </w:r>
    </w:p>
    <w:p>
      <w:pPr>
        <w:spacing w:after="0" w:line="174" w:lineRule="exact"/>
        <w:rPr>
          <w:sz w:val="20"/>
          <w:szCs w:val="20"/>
          <w:color w:val="auto"/>
        </w:rPr>
      </w:pPr>
    </w:p>
    <w:p>
      <w:pPr>
        <w:ind w:right="3319" w:firstLine="875"/>
        <w:spacing w:after="0" w:line="235" w:lineRule="auto"/>
        <w:rPr>
          <w:sz w:val="20"/>
          <w:szCs w:val="20"/>
          <w:color w:val="auto"/>
        </w:rPr>
      </w:pPr>
      <w:r>
        <w:rPr>
          <w:rFonts w:ascii="Courier New" w:cs="Courier New" w:eastAsia="Courier New" w:hAnsi="Courier New"/>
          <w:sz w:val="15"/>
          <w:szCs w:val="15"/>
          <w:color w:val="auto"/>
        </w:rPr>
        <w:t>9.1.6. the Agent shall have received all documents it may reasonably request relating to the existence of the Company, the corporate authority for the validity of this Agreement, and any other matters relevant hereto, all in form and substance satisfactory to the Agent; and</w:t>
      </w:r>
    </w:p>
    <w:p>
      <w:pPr>
        <w:spacing w:after="0" w:line="175" w:lineRule="exact"/>
        <w:rPr>
          <w:sz w:val="20"/>
          <w:szCs w:val="20"/>
          <w:color w:val="auto"/>
        </w:rPr>
      </w:pPr>
    </w:p>
    <w:p>
      <w:pPr>
        <w:ind w:right="3399" w:firstLine="875"/>
        <w:spacing w:after="0" w:line="258" w:lineRule="auto"/>
        <w:rPr>
          <w:sz w:val="20"/>
          <w:szCs w:val="20"/>
          <w:color w:val="auto"/>
        </w:rPr>
      </w:pPr>
      <w:r>
        <w:rPr>
          <w:rFonts w:ascii="Courier New" w:cs="Courier New" w:eastAsia="Courier New" w:hAnsi="Courier New"/>
          <w:sz w:val="14"/>
          <w:szCs w:val="14"/>
          <w:color w:val="auto"/>
        </w:rPr>
        <w:t>9.1.7. the Agent shall have received evidence satisfactory to it of the termination of lending commitments under, and the payment of all amounts outstanding under, the Existing Credit Agreement and the WFN Credit Agreement.</w:t>
      </w:r>
    </w:p>
    <w:p>
      <w:pPr>
        <w:spacing w:after="0" w:line="161"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The opinions and certificate referred to in clauses 9.1.2, 9.1.3 and 9.1.4 above shall be dated the Effective Date.</w:t>
      </w:r>
    </w:p>
    <w:p>
      <w:pPr>
        <w:spacing w:after="0" w:line="167" w:lineRule="exact"/>
        <w:rPr>
          <w:sz w:val="20"/>
          <w:szCs w:val="20"/>
          <w:color w:val="auto"/>
        </w:rPr>
      </w:pPr>
    </w:p>
    <w:p>
      <w:pPr>
        <w:ind w:left="880"/>
        <w:spacing w:after="0"/>
        <w:tabs>
          <w:tab w:leader="none" w:pos="1380" w:val="left"/>
          <w:tab w:leader="none" w:pos="3840" w:val="left"/>
        </w:tabs>
        <w:rPr>
          <w:sz w:val="20"/>
          <w:szCs w:val="20"/>
          <w:color w:val="auto"/>
        </w:rPr>
      </w:pPr>
      <w:r>
        <w:rPr>
          <w:rFonts w:ascii="Courier New" w:cs="Courier New" w:eastAsia="Courier New" w:hAnsi="Courier New"/>
          <w:sz w:val="15"/>
          <w:szCs w:val="15"/>
          <w:color w:val="auto"/>
        </w:rPr>
        <w:t>9.2.</w:t>
        <w:tab/>
        <w:t>Termination of Agreements.</w:t>
      </w:r>
      <w:r>
        <w:rPr>
          <w:sz w:val="20"/>
          <w:szCs w:val="20"/>
          <w:color w:val="auto"/>
        </w:rPr>
        <w:tab/>
      </w:r>
      <w:r>
        <w:rPr>
          <w:rFonts w:ascii="Courier New" w:cs="Courier New" w:eastAsia="Courier New" w:hAnsi="Courier New"/>
          <w:sz w:val="14"/>
          <w:szCs w:val="14"/>
          <w:color w:val="auto"/>
        </w:rPr>
        <w:t>The Banks that are parties to the</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Existing Credit Agreement and the WFN Credit Agreement, comprising the "Required Banks" as defined therein, and the Company agree to waive notice of the termination of the commitments under the Existing Credit Agreement and the WFN Credit Agreement, and such commitments shall terminate in their entirety simultaneously with and subject to the effectiveness of this Agreement and that the Company shall be obligated to pay the accrued commitment and facility fees thereunder to but excluding the Effective Date. Each Bank that is a party to the Existing Credit Agreement or the WFN Credit Agreement agrees that,</w:t>
      </w:r>
    </w:p>
    <w:p>
      <w:pPr>
        <w:sectPr>
          <w:pgSz w:w="11900" w:h="16838" w:orient="portrait"/>
          <w:cols w:equalWidth="0" w:num="1">
            <w:col w:w="10239"/>
          </w:cols>
          <w:pgMar w:left="220" w:top="617" w:right="1440" w:bottom="1440" w:gutter="0" w:footer="0" w:header="0"/>
        </w:sectPr>
      </w:pPr>
    </w:p>
    <w:bookmarkStart w:id="84" w:name="page85"/>
    <w:bookmarkEnd w:id="84"/>
    <w:p>
      <w:pPr>
        <w:ind w:left="6560"/>
        <w:spacing w:after="0"/>
        <w:rPr>
          <w:sz w:val="20"/>
          <w:szCs w:val="20"/>
          <w:color w:val="auto"/>
        </w:rPr>
      </w:pPr>
      <w:r>
        <w:rPr>
          <w:rFonts w:ascii="Courier New" w:cs="Courier New" w:eastAsia="Courier New" w:hAnsi="Courier New"/>
          <w:sz w:val="15"/>
          <w:szCs w:val="15"/>
          <w:color w:val="auto"/>
        </w:rPr>
        <w:t>59</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immediately upon the effectiveness of this Agreement, it will mark all notes issued under the Existing Credit Agreement or the WFN Credit Agreement and held by it "CANCELLED" and will promptly return all such Notes to the Company or, in the event such notes have been lost, will indemnify the Company in respect of any loss arising from such loss pursuant to such Bank's customary indemnification for lost securities.</w:t>
      </w:r>
    </w:p>
    <w:p>
      <w:pPr>
        <w:spacing w:after="0" w:line="343" w:lineRule="exact"/>
        <w:rPr>
          <w:sz w:val="20"/>
          <w:szCs w:val="20"/>
          <w:color w:val="auto"/>
        </w:rPr>
      </w:pPr>
    </w:p>
    <w:p>
      <w:pPr>
        <w:ind w:right="3239" w:firstLine="875"/>
        <w:spacing w:after="0" w:line="261" w:lineRule="auto"/>
        <w:rPr>
          <w:sz w:val="20"/>
          <w:szCs w:val="20"/>
          <w:color w:val="auto"/>
        </w:rPr>
      </w:pPr>
      <w:r>
        <w:rPr>
          <w:rFonts w:ascii="Courier New" w:cs="Courier New" w:eastAsia="Courier New" w:hAnsi="Courier New"/>
          <w:sz w:val="14"/>
          <w:szCs w:val="14"/>
          <w:color w:val="auto"/>
        </w:rPr>
        <w:t>The parties hereto have caused this Agreement to be duly executed by their respective authorized officers as of the day and year first above written.</w:t>
      </w:r>
    </w:p>
    <w:p>
      <w:pPr>
        <w:spacing w:after="0" w:line="153"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THE LIMITED, INC.</w:t>
      </w:r>
    </w:p>
    <w:p>
      <w:pPr>
        <w:spacing w:after="0" w:line="335" w:lineRule="exact"/>
        <w:rPr>
          <w:sz w:val="20"/>
          <w:szCs w:val="20"/>
          <w:color w:val="auto"/>
        </w:rPr>
      </w:pPr>
    </w:p>
    <w:p>
      <w:pPr>
        <w:ind w:left="1760"/>
        <w:spacing w:after="0"/>
        <w:tabs>
          <w:tab w:leader="none" w:pos="2260" w:val="left"/>
          <w:tab w:leader="none" w:pos="2700" w:val="left"/>
        </w:tabs>
        <w:rPr>
          <w:sz w:val="20"/>
          <w:szCs w:val="20"/>
          <w:color w:val="auto"/>
        </w:rPr>
      </w:pPr>
      <w:r>
        <w:rPr>
          <w:rFonts w:ascii="Courier New" w:cs="Courier New" w:eastAsia="Courier New" w:hAnsi="Courier New"/>
          <w:sz w:val="15"/>
          <w:szCs w:val="15"/>
          <w:color w:val="auto"/>
        </w:rPr>
        <w:t>By:</w:t>
        <w:tab/>
        <w:t>/s/</w:t>
      </w:r>
      <w:r>
        <w:rPr>
          <w:sz w:val="20"/>
          <w:szCs w:val="20"/>
          <w:color w:val="auto"/>
        </w:rPr>
        <w:tab/>
      </w:r>
      <w:r>
        <w:rPr>
          <w:rFonts w:ascii="Courier New" w:cs="Courier New" w:eastAsia="Courier New" w:hAnsi="Courier New"/>
          <w:sz w:val="14"/>
          <w:szCs w:val="14"/>
          <w:color w:val="auto"/>
        </w:rPr>
        <w:t>Patrick Hectorne</w:t>
      </w:r>
    </w:p>
    <w:p>
      <w:pPr>
        <w:ind w:left="2100"/>
        <w:spacing w:after="0" w:line="237" w:lineRule="auto"/>
        <w:rPr>
          <w:sz w:val="20"/>
          <w:szCs w:val="20"/>
          <w:color w:val="auto"/>
        </w:rPr>
      </w:pPr>
      <w:r>
        <w:rPr>
          <w:rFonts w:ascii="Courier New" w:cs="Courier New" w:eastAsia="Courier New" w:hAnsi="Courier New"/>
          <w:sz w:val="15"/>
          <w:szCs w:val="15"/>
          <w:color w:val="auto"/>
        </w:rPr>
        <w:t>----------------------------</w:t>
      </w:r>
    </w:p>
    <w:p>
      <w:pPr>
        <w:ind w:left="2100"/>
        <w:spacing w:after="0"/>
        <w:tabs>
          <w:tab w:leader="none" w:pos="27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Patrick Hectorne</w:t>
      </w:r>
    </w:p>
    <w:p>
      <w:pPr>
        <w:ind w:left="2100"/>
        <w:spacing w:after="0" w:line="237" w:lineRule="auto"/>
        <w:rPr>
          <w:sz w:val="20"/>
          <w:szCs w:val="20"/>
          <w:color w:val="auto"/>
        </w:rPr>
      </w:pPr>
      <w:r>
        <w:rPr>
          <w:rFonts w:ascii="Courier New" w:cs="Courier New" w:eastAsia="Courier New" w:hAnsi="Courier New"/>
          <w:sz w:val="15"/>
          <w:szCs w:val="15"/>
          <w:color w:val="auto"/>
        </w:rPr>
        <w:t>Title: Treasurer</w:t>
      </w:r>
    </w:p>
    <w:p>
      <w:pPr>
        <w:spacing w:after="0" w:line="167"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Three Limited Parkway</w:t>
      </w:r>
    </w:p>
    <w:p>
      <w:pPr>
        <w:ind w:left="1760"/>
        <w:spacing w:after="0" w:line="237" w:lineRule="auto"/>
        <w:rPr>
          <w:sz w:val="20"/>
          <w:szCs w:val="20"/>
          <w:color w:val="auto"/>
        </w:rPr>
      </w:pPr>
      <w:r>
        <w:rPr>
          <w:rFonts w:ascii="Courier New" w:cs="Courier New" w:eastAsia="Courier New" w:hAnsi="Courier New"/>
          <w:sz w:val="15"/>
          <w:szCs w:val="15"/>
          <w:color w:val="auto"/>
        </w:rPr>
        <w:t>P.O. Box 16000</w:t>
      </w:r>
    </w:p>
    <w:p>
      <w:pPr>
        <w:ind w:left="1760"/>
        <w:spacing w:after="0" w:line="238" w:lineRule="auto"/>
        <w:rPr>
          <w:sz w:val="20"/>
          <w:szCs w:val="20"/>
          <w:color w:val="auto"/>
        </w:rPr>
      </w:pPr>
      <w:r>
        <w:rPr>
          <w:rFonts w:ascii="Courier New" w:cs="Courier New" w:eastAsia="Courier New" w:hAnsi="Courier New"/>
          <w:sz w:val="15"/>
          <w:szCs w:val="15"/>
          <w:color w:val="auto"/>
        </w:rPr>
        <w:t>Columbus, Ohio 43216</w:t>
      </w:r>
    </w:p>
    <w:p>
      <w:pPr>
        <w:ind w:left="1760"/>
        <w:spacing w:after="0"/>
        <w:tabs>
          <w:tab w:leader="none" w:pos="3320" w:val="left"/>
        </w:tabs>
        <w:rPr>
          <w:sz w:val="20"/>
          <w:szCs w:val="20"/>
          <w:color w:val="auto"/>
        </w:rPr>
      </w:pPr>
      <w:r>
        <w:rPr>
          <w:rFonts w:ascii="Courier New" w:cs="Courier New" w:eastAsia="Courier New" w:hAnsi="Courier New"/>
          <w:sz w:val="15"/>
          <w:szCs w:val="15"/>
          <w:color w:val="auto"/>
        </w:rPr>
        <w:t>Telecopy number:</w:t>
      </w:r>
      <w:r>
        <w:rPr>
          <w:sz w:val="20"/>
          <w:szCs w:val="20"/>
          <w:color w:val="auto"/>
        </w:rPr>
        <w:tab/>
      </w:r>
      <w:r>
        <w:rPr>
          <w:rFonts w:ascii="Courier New" w:cs="Courier New" w:eastAsia="Courier New" w:hAnsi="Courier New"/>
          <w:sz w:val="14"/>
          <w:szCs w:val="14"/>
          <w:color w:val="auto"/>
        </w:rPr>
        <w:t>614-479-7225</w:t>
      </w:r>
    </w:p>
    <w:p>
      <w:pPr>
        <w:ind w:left="1760"/>
        <w:spacing w:after="0"/>
        <w:tabs>
          <w:tab w:leader="none" w:pos="3400" w:val="left"/>
        </w:tabs>
        <w:rPr>
          <w:sz w:val="20"/>
          <w:szCs w:val="20"/>
          <w:color w:val="auto"/>
        </w:rPr>
      </w:pPr>
      <w:r>
        <w:rPr>
          <w:rFonts w:ascii="Courier New" w:cs="Courier New" w:eastAsia="Courier New" w:hAnsi="Courier New"/>
          <w:sz w:val="15"/>
          <w:szCs w:val="15"/>
          <w:color w:val="auto"/>
        </w:rPr>
        <w:t>Telephone number:</w:t>
      </w:r>
      <w:r>
        <w:rPr>
          <w:sz w:val="20"/>
          <w:szCs w:val="20"/>
          <w:color w:val="auto"/>
        </w:rPr>
        <w:tab/>
      </w:r>
      <w:r>
        <w:rPr>
          <w:rFonts w:ascii="Courier New" w:cs="Courier New" w:eastAsia="Courier New" w:hAnsi="Courier New"/>
          <w:sz w:val="14"/>
          <w:szCs w:val="14"/>
          <w:color w:val="auto"/>
        </w:rPr>
        <w:t>614-479-7033</w:t>
      </w:r>
    </w:p>
    <w:p>
      <w:pPr>
        <w:ind w:left="2200"/>
        <w:spacing w:after="0"/>
        <w:tabs>
          <w:tab w:leader="none" w:pos="2780" w:val="left"/>
        </w:tabs>
        <w:rPr>
          <w:sz w:val="20"/>
          <w:szCs w:val="20"/>
          <w:color w:val="auto"/>
        </w:rPr>
      </w:pPr>
      <w:r>
        <w:rPr>
          <w:rFonts w:ascii="Courier New" w:cs="Courier New" w:eastAsia="Courier New" w:hAnsi="Courier New"/>
          <w:sz w:val="15"/>
          <w:szCs w:val="15"/>
          <w:color w:val="auto"/>
        </w:rPr>
        <w:t>Attn:</w:t>
      </w:r>
      <w:r>
        <w:rPr>
          <w:sz w:val="20"/>
          <w:szCs w:val="20"/>
          <w:color w:val="auto"/>
        </w:rPr>
        <w:tab/>
      </w:r>
      <w:r>
        <w:rPr>
          <w:rFonts w:ascii="Courier New" w:cs="Courier New" w:eastAsia="Courier New" w:hAnsi="Courier New"/>
          <w:sz w:val="14"/>
          <w:szCs w:val="14"/>
          <w:color w:val="auto"/>
        </w:rPr>
        <w:t>Patrick Hectorne</w:t>
      </w:r>
    </w:p>
    <w:p>
      <w:pPr>
        <w:ind w:left="2800"/>
        <w:spacing w:after="0" w:line="238" w:lineRule="auto"/>
        <w:rPr>
          <w:sz w:val="20"/>
          <w:szCs w:val="20"/>
          <w:color w:val="auto"/>
        </w:rPr>
      </w:pPr>
      <w:r>
        <w:rPr>
          <w:rFonts w:ascii="Courier New" w:cs="Courier New" w:eastAsia="Courier New" w:hAnsi="Courier New"/>
          <w:sz w:val="15"/>
          <w:szCs w:val="15"/>
          <w:color w:val="auto"/>
        </w:rPr>
        <w:t>Treasurer</w:t>
      </w:r>
    </w:p>
    <w:p>
      <w:pPr>
        <w:spacing w:after="0" w:line="167"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With copy to:</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Kenneth B. Gilman,</w:t>
      </w:r>
    </w:p>
    <w:p>
      <w:pPr>
        <w:ind w:left="2200"/>
        <w:spacing w:after="0" w:line="237" w:lineRule="auto"/>
        <w:rPr>
          <w:sz w:val="20"/>
          <w:szCs w:val="20"/>
          <w:color w:val="auto"/>
        </w:rPr>
      </w:pPr>
      <w:r>
        <w:rPr>
          <w:rFonts w:ascii="Courier New" w:cs="Courier New" w:eastAsia="Courier New" w:hAnsi="Courier New"/>
          <w:sz w:val="15"/>
          <w:szCs w:val="15"/>
          <w:color w:val="auto"/>
        </w:rPr>
        <w:t>Vice Chairman and</w:t>
      </w:r>
    </w:p>
    <w:p>
      <w:pPr>
        <w:ind w:left="2200"/>
        <w:spacing w:after="0" w:line="238" w:lineRule="auto"/>
        <w:rPr>
          <w:sz w:val="20"/>
          <w:szCs w:val="20"/>
          <w:color w:val="auto"/>
        </w:rPr>
      </w:pPr>
      <w:r>
        <w:rPr>
          <w:rFonts w:ascii="Courier New" w:cs="Courier New" w:eastAsia="Courier New" w:hAnsi="Courier New"/>
          <w:sz w:val="15"/>
          <w:szCs w:val="15"/>
          <w:color w:val="auto"/>
        </w:rPr>
        <w:t>Chief Financial Officer</w:t>
      </w:r>
    </w:p>
    <w:p>
      <w:pPr>
        <w:ind w:left="2200"/>
        <w:spacing w:after="0"/>
        <w:tabs>
          <w:tab w:leader="none" w:pos="3760" w:val="left"/>
        </w:tabs>
        <w:rPr>
          <w:sz w:val="20"/>
          <w:szCs w:val="20"/>
          <w:color w:val="auto"/>
        </w:rPr>
      </w:pPr>
      <w:r>
        <w:rPr>
          <w:rFonts w:ascii="Courier New" w:cs="Courier New" w:eastAsia="Courier New" w:hAnsi="Courier New"/>
          <w:sz w:val="15"/>
          <w:szCs w:val="15"/>
          <w:color w:val="auto"/>
        </w:rPr>
        <w:t>Telecopy number:</w:t>
      </w:r>
      <w:r>
        <w:rPr>
          <w:sz w:val="20"/>
          <w:szCs w:val="20"/>
          <w:color w:val="auto"/>
        </w:rPr>
        <w:tab/>
      </w:r>
      <w:r>
        <w:rPr>
          <w:rFonts w:ascii="Courier New" w:cs="Courier New" w:eastAsia="Courier New" w:hAnsi="Courier New"/>
          <w:sz w:val="14"/>
          <w:szCs w:val="14"/>
          <w:color w:val="auto"/>
        </w:rPr>
        <w:t>614-479-7185</w:t>
      </w:r>
    </w:p>
    <w:p>
      <w:pPr>
        <w:sectPr>
          <w:pgSz w:w="11900" w:h="16838" w:orient="portrait"/>
          <w:cols w:equalWidth="0" w:num="1">
            <w:col w:w="10239"/>
          </w:cols>
          <w:pgMar w:left="220" w:top="617" w:right="1440" w:bottom="1440" w:gutter="0" w:footer="0" w:header="0"/>
        </w:sectPr>
      </w:pPr>
    </w:p>
    <w:bookmarkStart w:id="85" w:name="page86"/>
    <w:bookmarkEnd w:id="85"/>
    <w:p>
      <w:pPr>
        <w:jc w:val="right"/>
        <w:ind w:right="3499"/>
        <w:spacing w:after="0"/>
        <w:rPr>
          <w:sz w:val="20"/>
          <w:szCs w:val="20"/>
          <w:color w:val="auto"/>
        </w:rPr>
      </w:pPr>
      <w:r>
        <w:rPr>
          <w:rFonts w:ascii="Courier New" w:cs="Courier New" w:eastAsia="Courier New" w:hAnsi="Courier New"/>
          <w:sz w:val="15"/>
          <w:szCs w:val="15"/>
          <w:color w:val="auto"/>
        </w:rPr>
        <w:t>60</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Commitments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$125,000,000</w:t>
      </w:r>
      <w:r>
        <w:rPr>
          <w:sz w:val="20"/>
          <w:szCs w:val="20"/>
          <w:color w:val="auto"/>
        </w:rPr>
        <w:tab/>
      </w:r>
      <w:r>
        <w:rPr>
          <w:rFonts w:ascii="Courier New" w:cs="Courier New" w:eastAsia="Courier New" w:hAnsi="Courier New"/>
          <w:sz w:val="14"/>
          <w:szCs w:val="14"/>
          <w:color w:val="auto"/>
        </w:rPr>
        <w:t>MORGAN GUARANTY TRUST COMPANY</w:t>
      </w:r>
    </w:p>
    <w:p>
      <w:pPr>
        <w:ind w:left="1240"/>
        <w:spacing w:after="0" w:line="237" w:lineRule="auto"/>
        <w:rPr>
          <w:sz w:val="20"/>
          <w:szCs w:val="20"/>
          <w:color w:val="auto"/>
        </w:rPr>
      </w:pPr>
      <w:r>
        <w:rPr>
          <w:rFonts w:ascii="Courier New" w:cs="Courier New" w:eastAsia="Courier New" w:hAnsi="Courier New"/>
          <w:sz w:val="15"/>
          <w:szCs w:val="15"/>
          <w:color w:val="auto"/>
        </w:rPr>
        <w:t>OF NEW YORK</w:t>
      </w:r>
    </w:p>
    <w:p>
      <w:pPr>
        <w:spacing w:after="0" w:line="335" w:lineRule="exact"/>
        <w:rPr>
          <w:sz w:val="20"/>
          <w:szCs w:val="20"/>
          <w:color w:val="auto"/>
        </w:rPr>
      </w:pPr>
    </w:p>
    <w:p>
      <w:pPr>
        <w:ind w:left="1240"/>
        <w:spacing w:after="0"/>
        <w:tabs>
          <w:tab w:leader="none" w:pos="1920" w:val="left"/>
          <w:tab w:leader="none" w:pos="23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R. Blake Witherington</w:t>
      </w:r>
    </w:p>
    <w:p>
      <w:pPr>
        <w:ind w:left="1940"/>
        <w:spacing w:after="0" w:line="237" w:lineRule="auto"/>
        <w:rPr>
          <w:sz w:val="20"/>
          <w:szCs w:val="20"/>
          <w:color w:val="auto"/>
        </w:rPr>
      </w:pPr>
      <w:r>
        <w:rPr>
          <w:rFonts w:ascii="Courier New" w:cs="Courier New" w:eastAsia="Courier New" w:hAnsi="Courier New"/>
          <w:sz w:val="15"/>
          <w:szCs w:val="15"/>
          <w:color w:val="auto"/>
        </w:rPr>
        <w:t>--------------------------</w:t>
      </w:r>
    </w:p>
    <w:p>
      <w:pPr>
        <w:ind w:left="1240"/>
        <w:spacing w:after="0"/>
        <w:tabs>
          <w:tab w:leader="none" w:pos="192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Vice President</w:t>
      </w:r>
    </w:p>
    <w:p>
      <w:pPr>
        <w:spacing w:after="0" w:line="33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$82,000,000</w:t>
      </w:r>
      <w:r>
        <w:rPr>
          <w:sz w:val="20"/>
          <w:szCs w:val="20"/>
          <w:color w:val="auto"/>
        </w:rPr>
        <w:tab/>
      </w:r>
      <w:r>
        <w:rPr>
          <w:rFonts w:ascii="Courier New" w:cs="Courier New" w:eastAsia="Courier New" w:hAnsi="Courier New"/>
          <w:sz w:val="14"/>
          <w:szCs w:val="14"/>
          <w:color w:val="auto"/>
        </w:rPr>
        <w:t>CITIBANK, N.A.</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$82,000,000</w:t>
      </w:r>
      <w:r>
        <w:rPr>
          <w:sz w:val="20"/>
          <w:szCs w:val="20"/>
          <w:color w:val="auto"/>
        </w:rPr>
        <w:tab/>
      </w:r>
      <w:r>
        <w:rPr>
          <w:rFonts w:ascii="Courier New" w:cs="Courier New" w:eastAsia="Courier New" w:hAnsi="Courier New"/>
          <w:sz w:val="14"/>
          <w:szCs w:val="14"/>
          <w:color w:val="auto"/>
        </w:rPr>
        <w:t>DEUTSCHE BANK AG, NEW YORK AND/OR</w:t>
      </w:r>
    </w:p>
    <w:p>
      <w:pPr>
        <w:ind w:left="1140"/>
        <w:spacing w:after="0" w:line="237" w:lineRule="auto"/>
        <w:rPr>
          <w:sz w:val="20"/>
          <w:szCs w:val="20"/>
          <w:color w:val="auto"/>
        </w:rPr>
      </w:pPr>
      <w:r>
        <w:rPr>
          <w:rFonts w:ascii="Courier New" w:cs="Courier New" w:eastAsia="Courier New" w:hAnsi="Courier New"/>
          <w:sz w:val="15"/>
          <w:szCs w:val="15"/>
          <w:color w:val="auto"/>
        </w:rPr>
        <w:t>CAYMAN ISLANDS BRANCHES</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$62,500,000</w:t>
      </w:r>
      <w:r>
        <w:rPr>
          <w:sz w:val="20"/>
          <w:szCs w:val="20"/>
          <w:color w:val="auto"/>
        </w:rPr>
        <w:tab/>
      </w:r>
      <w:r>
        <w:rPr>
          <w:rFonts w:ascii="Courier New" w:cs="Courier New" w:eastAsia="Courier New" w:hAnsi="Courier New"/>
          <w:sz w:val="14"/>
          <w:szCs w:val="14"/>
          <w:color w:val="auto"/>
        </w:rPr>
        <w:t>CHEMICAL BANK</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$62,500,000</w:t>
      </w:r>
      <w:r>
        <w:rPr>
          <w:sz w:val="20"/>
          <w:szCs w:val="20"/>
          <w:color w:val="auto"/>
        </w:rPr>
        <w:tab/>
      </w:r>
      <w:r>
        <w:rPr>
          <w:rFonts w:ascii="Courier New" w:cs="Courier New" w:eastAsia="Courier New" w:hAnsi="Courier New"/>
          <w:sz w:val="14"/>
          <w:szCs w:val="14"/>
          <w:color w:val="auto"/>
        </w:rPr>
        <w:t>THE FIRST NATIONAL BANK OF CHICAGO</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39"/>
          </w:cols>
          <w:pgMar w:left="220" w:top="617" w:right="1440" w:bottom="1440" w:gutter="0" w:footer="0" w:header="0"/>
        </w:sectPr>
      </w:pPr>
    </w:p>
    <w:bookmarkStart w:id="86" w:name="page87"/>
    <w:bookmarkEnd w:id="86"/>
    <w:p>
      <w:pPr>
        <w:jc w:val="right"/>
        <w:ind w:right="3499"/>
        <w:spacing w:after="0"/>
        <w:rPr>
          <w:sz w:val="20"/>
          <w:szCs w:val="20"/>
          <w:color w:val="auto"/>
        </w:rPr>
      </w:pPr>
      <w:r>
        <w:rPr>
          <w:rFonts w:ascii="Courier New" w:cs="Courier New" w:eastAsia="Courier New" w:hAnsi="Courier New"/>
          <w:sz w:val="15"/>
          <w:szCs w:val="15"/>
          <w:color w:val="auto"/>
        </w:rPr>
        <w:t>60</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Commitments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$125,000,000</w:t>
      </w:r>
      <w:r>
        <w:rPr>
          <w:sz w:val="20"/>
          <w:szCs w:val="20"/>
          <w:color w:val="auto"/>
        </w:rPr>
        <w:tab/>
      </w:r>
      <w:r>
        <w:rPr>
          <w:rFonts w:ascii="Courier New" w:cs="Courier New" w:eastAsia="Courier New" w:hAnsi="Courier New"/>
          <w:sz w:val="14"/>
          <w:szCs w:val="14"/>
          <w:color w:val="auto"/>
        </w:rPr>
        <w:t>MORGAN GUARANTY TRUST COMPANY</w:t>
      </w:r>
    </w:p>
    <w:p>
      <w:pPr>
        <w:ind w:left="1240"/>
        <w:spacing w:after="0" w:line="237" w:lineRule="auto"/>
        <w:rPr>
          <w:sz w:val="20"/>
          <w:szCs w:val="20"/>
          <w:color w:val="auto"/>
        </w:rPr>
      </w:pPr>
      <w:r>
        <w:rPr>
          <w:rFonts w:ascii="Courier New" w:cs="Courier New" w:eastAsia="Courier New" w:hAnsi="Courier New"/>
          <w:sz w:val="15"/>
          <w:szCs w:val="15"/>
          <w:color w:val="auto"/>
        </w:rPr>
        <w:t>OF NEW YORK</w:t>
      </w:r>
    </w:p>
    <w:p>
      <w:pPr>
        <w:spacing w:after="0" w:line="335"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By:</w:t>
      </w:r>
    </w:p>
    <w:p>
      <w:pPr>
        <w:ind w:left="124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$82,000,000</w:t>
      </w:r>
      <w:r>
        <w:rPr>
          <w:sz w:val="20"/>
          <w:szCs w:val="20"/>
          <w:color w:val="auto"/>
        </w:rPr>
        <w:tab/>
      </w:r>
      <w:r>
        <w:rPr>
          <w:rFonts w:ascii="Courier New" w:cs="Courier New" w:eastAsia="Courier New" w:hAnsi="Courier New"/>
          <w:sz w:val="14"/>
          <w:szCs w:val="14"/>
          <w:color w:val="auto"/>
        </w:rPr>
        <w:t>CITIBANK, N.A.</w:t>
      </w:r>
    </w:p>
    <w:p>
      <w:pPr>
        <w:spacing w:after="0" w:line="335" w:lineRule="exact"/>
        <w:rPr>
          <w:sz w:val="20"/>
          <w:szCs w:val="20"/>
          <w:color w:val="auto"/>
        </w:rPr>
      </w:pPr>
    </w:p>
    <w:p>
      <w:pPr>
        <w:ind w:left="1140"/>
        <w:spacing w:after="0"/>
        <w:tabs>
          <w:tab w:leader="none" w:pos="1820" w:val="left"/>
          <w:tab w:leader="none" w:pos="22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William P. Stengel</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ind w:left="1140"/>
        <w:spacing w:after="0" w:line="238" w:lineRule="auto"/>
        <w:tabs>
          <w:tab w:leader="none" w:pos="1820" w:val="left"/>
        </w:tabs>
        <w:rPr>
          <w:sz w:val="20"/>
          <w:szCs w:val="20"/>
          <w:color w:val="auto"/>
        </w:rPr>
      </w:pPr>
      <w:r>
        <w:rPr>
          <w:rFonts w:ascii="Courier New" w:cs="Courier New" w:eastAsia="Courier New" w:hAnsi="Courier New"/>
          <w:sz w:val="15"/>
          <w:szCs w:val="15"/>
          <w:color w:val="auto"/>
        </w:rPr>
        <w:t>Title:</w:t>
        <w:tab/>
        <w:t>Vice President</w:t>
      </w:r>
    </w:p>
    <w:p>
      <w:pPr>
        <w:spacing w:after="0" w:line="33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$82,000,000</w:t>
      </w:r>
      <w:r>
        <w:rPr>
          <w:sz w:val="20"/>
          <w:szCs w:val="20"/>
          <w:color w:val="auto"/>
        </w:rPr>
        <w:tab/>
      </w:r>
      <w:r>
        <w:rPr>
          <w:rFonts w:ascii="Courier New" w:cs="Courier New" w:eastAsia="Courier New" w:hAnsi="Courier New"/>
          <w:sz w:val="14"/>
          <w:szCs w:val="14"/>
          <w:color w:val="auto"/>
        </w:rPr>
        <w:t>DEUTSCHE BANK AG, NEW YORK AND/OR</w:t>
      </w:r>
    </w:p>
    <w:p>
      <w:pPr>
        <w:ind w:left="1140"/>
        <w:spacing w:after="0" w:line="237" w:lineRule="auto"/>
        <w:rPr>
          <w:sz w:val="20"/>
          <w:szCs w:val="20"/>
          <w:color w:val="auto"/>
        </w:rPr>
      </w:pPr>
      <w:r>
        <w:rPr>
          <w:rFonts w:ascii="Courier New" w:cs="Courier New" w:eastAsia="Courier New" w:hAnsi="Courier New"/>
          <w:sz w:val="15"/>
          <w:szCs w:val="15"/>
          <w:color w:val="auto"/>
        </w:rPr>
        <w:t>CAYMAN ISLANDS BRANCHES</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$62,500,000</w:t>
      </w:r>
      <w:r>
        <w:rPr>
          <w:sz w:val="20"/>
          <w:szCs w:val="20"/>
          <w:color w:val="auto"/>
        </w:rPr>
        <w:tab/>
      </w:r>
      <w:r>
        <w:rPr>
          <w:rFonts w:ascii="Courier New" w:cs="Courier New" w:eastAsia="Courier New" w:hAnsi="Courier New"/>
          <w:sz w:val="14"/>
          <w:szCs w:val="14"/>
          <w:color w:val="auto"/>
        </w:rPr>
        <w:t>CHEMICAL BANK</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$62,500,000</w:t>
      </w:r>
      <w:r>
        <w:rPr>
          <w:sz w:val="20"/>
          <w:szCs w:val="20"/>
          <w:color w:val="auto"/>
        </w:rPr>
        <w:tab/>
      </w:r>
      <w:r>
        <w:rPr>
          <w:rFonts w:ascii="Courier New" w:cs="Courier New" w:eastAsia="Courier New" w:hAnsi="Courier New"/>
          <w:sz w:val="14"/>
          <w:szCs w:val="14"/>
          <w:color w:val="auto"/>
        </w:rPr>
        <w:t>THE FIRST NATIONAL BANK OF CHICAGO</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39"/>
          </w:cols>
          <w:pgMar w:left="220" w:top="617" w:right="1440" w:bottom="1440" w:gutter="0" w:footer="0" w:header="0"/>
        </w:sectPr>
      </w:pPr>
    </w:p>
    <w:bookmarkStart w:id="87" w:name="page88"/>
    <w:bookmarkEnd w:id="87"/>
    <w:p>
      <w:pPr>
        <w:jc w:val="right"/>
        <w:ind w:right="3499"/>
        <w:spacing w:after="0"/>
        <w:rPr>
          <w:sz w:val="20"/>
          <w:szCs w:val="20"/>
          <w:color w:val="auto"/>
        </w:rPr>
      </w:pPr>
      <w:r>
        <w:rPr>
          <w:rFonts w:ascii="Courier New" w:cs="Courier New" w:eastAsia="Courier New" w:hAnsi="Courier New"/>
          <w:sz w:val="15"/>
          <w:szCs w:val="15"/>
          <w:color w:val="auto"/>
        </w:rPr>
        <w:t>60</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Commitments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$125,000,000</w:t>
      </w:r>
      <w:r>
        <w:rPr>
          <w:sz w:val="20"/>
          <w:szCs w:val="20"/>
          <w:color w:val="auto"/>
        </w:rPr>
        <w:tab/>
      </w:r>
      <w:r>
        <w:rPr>
          <w:rFonts w:ascii="Courier New" w:cs="Courier New" w:eastAsia="Courier New" w:hAnsi="Courier New"/>
          <w:sz w:val="14"/>
          <w:szCs w:val="14"/>
          <w:color w:val="auto"/>
        </w:rPr>
        <w:t>MORGAN GUARANTY TRUST COMPANY</w:t>
      </w:r>
    </w:p>
    <w:p>
      <w:pPr>
        <w:ind w:left="1240"/>
        <w:spacing w:after="0" w:line="237" w:lineRule="auto"/>
        <w:rPr>
          <w:sz w:val="20"/>
          <w:szCs w:val="20"/>
          <w:color w:val="auto"/>
        </w:rPr>
      </w:pPr>
      <w:r>
        <w:rPr>
          <w:rFonts w:ascii="Courier New" w:cs="Courier New" w:eastAsia="Courier New" w:hAnsi="Courier New"/>
          <w:sz w:val="15"/>
          <w:szCs w:val="15"/>
          <w:color w:val="auto"/>
        </w:rPr>
        <w:t>OF NEW YORK</w:t>
      </w:r>
    </w:p>
    <w:p>
      <w:pPr>
        <w:spacing w:after="0" w:line="335"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By:</w:t>
      </w:r>
    </w:p>
    <w:p>
      <w:pPr>
        <w:ind w:left="124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$82,000,000</w:t>
      </w:r>
      <w:r>
        <w:rPr>
          <w:sz w:val="20"/>
          <w:szCs w:val="20"/>
          <w:color w:val="auto"/>
        </w:rPr>
        <w:tab/>
      </w:r>
      <w:r>
        <w:rPr>
          <w:rFonts w:ascii="Courier New" w:cs="Courier New" w:eastAsia="Courier New" w:hAnsi="Courier New"/>
          <w:sz w:val="14"/>
          <w:szCs w:val="14"/>
          <w:color w:val="auto"/>
        </w:rPr>
        <w:t>CITIBANK, N.A.</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$82,000,000</w:t>
      </w:r>
      <w:r>
        <w:rPr>
          <w:sz w:val="20"/>
          <w:szCs w:val="20"/>
          <w:color w:val="auto"/>
        </w:rPr>
        <w:tab/>
      </w:r>
      <w:r>
        <w:rPr>
          <w:rFonts w:ascii="Courier New" w:cs="Courier New" w:eastAsia="Courier New" w:hAnsi="Courier New"/>
          <w:sz w:val="14"/>
          <w:szCs w:val="14"/>
          <w:color w:val="auto"/>
        </w:rPr>
        <w:t>DEUTSCHE BANK AG, NEW YORK AND/OR</w:t>
      </w:r>
    </w:p>
    <w:p>
      <w:pPr>
        <w:ind w:left="1140"/>
        <w:spacing w:after="0" w:line="237" w:lineRule="auto"/>
        <w:rPr>
          <w:sz w:val="20"/>
          <w:szCs w:val="20"/>
          <w:color w:val="auto"/>
        </w:rPr>
      </w:pPr>
      <w:r>
        <w:rPr>
          <w:rFonts w:ascii="Courier New" w:cs="Courier New" w:eastAsia="Courier New" w:hAnsi="Courier New"/>
          <w:sz w:val="15"/>
          <w:szCs w:val="15"/>
          <w:color w:val="auto"/>
        </w:rPr>
        <w:t>CAYMAN ISLANDS BRANCHES</w:t>
      </w:r>
    </w:p>
    <w:p>
      <w:pPr>
        <w:spacing w:after="0" w:line="335" w:lineRule="exact"/>
        <w:rPr>
          <w:sz w:val="20"/>
          <w:szCs w:val="20"/>
          <w:color w:val="auto"/>
        </w:rPr>
      </w:pPr>
    </w:p>
    <w:tbl>
      <w:tblPr>
        <w:tblLayout w:type="fixed"/>
        <w:tblInd w:w="1140" w:type="dxa"/>
        <w:tblCellMar>
          <w:top w:w="0" w:type="dxa"/>
          <w:left w:w="0" w:type="dxa"/>
          <w:bottom w:w="0" w:type="dxa"/>
          <w:right w:w="0" w:type="dxa"/>
        </w:tblCellMar>
      </w:tblPr>
      <w:tr>
        <w:trPr>
          <w:trHeight w:val="170"/>
        </w:trPr>
        <w:tc>
          <w:tcPr>
            <w:tcW w:w="62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/s/</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David H. Kahn</w:t>
            </w:r>
          </w:p>
        </w:tc>
      </w:tr>
      <w:tr>
        <w:trPr>
          <w:trHeight w:val="168"/>
        </w:trPr>
        <w:tc>
          <w:tcPr>
            <w:tcW w:w="620" w:type="dxa"/>
            <w:vAlign w:val="bottom"/>
          </w:tcPr>
          <w:p>
            <w:pPr>
              <w:spacing w:after="0"/>
              <w:rPr>
                <w:sz w:val="14"/>
                <w:szCs w:val="14"/>
                <w:color w:val="auto"/>
              </w:rPr>
            </w:pPr>
          </w:p>
        </w:tc>
        <w:tc>
          <w:tcPr>
            <w:tcW w:w="23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Title:</w:t>
            </w:r>
          </w:p>
        </w:tc>
        <w:tc>
          <w:tcPr>
            <w:tcW w:w="23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Assistant Vice President</w:t>
            </w:r>
          </w:p>
        </w:tc>
      </w:tr>
      <w:tr>
        <w:trPr>
          <w:trHeight w:val="336"/>
        </w:trPr>
        <w:tc>
          <w:tcPr>
            <w:tcW w:w="62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/s/</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Hans-Josef Thiele</w:t>
            </w:r>
          </w:p>
        </w:tc>
      </w:tr>
      <w:tr>
        <w:trPr>
          <w:trHeight w:val="168"/>
        </w:trPr>
        <w:tc>
          <w:tcPr>
            <w:tcW w:w="620" w:type="dxa"/>
            <w:vAlign w:val="bottom"/>
          </w:tcPr>
          <w:p>
            <w:pPr>
              <w:spacing w:after="0"/>
              <w:rPr>
                <w:sz w:val="14"/>
                <w:szCs w:val="14"/>
                <w:color w:val="auto"/>
              </w:rPr>
            </w:pPr>
          </w:p>
        </w:tc>
        <w:tc>
          <w:tcPr>
            <w:tcW w:w="23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Title:</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Vice</w:t>
            </w:r>
          </w:p>
        </w:tc>
        <w:tc>
          <w:tcPr>
            <w:tcW w:w="1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President</w:t>
            </w:r>
          </w:p>
        </w:tc>
      </w:tr>
    </w:tbl>
    <w:p>
      <w:pPr>
        <w:spacing w:after="0" w:line="33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$62,500,000</w:t>
      </w:r>
      <w:r>
        <w:rPr>
          <w:sz w:val="20"/>
          <w:szCs w:val="20"/>
          <w:color w:val="auto"/>
        </w:rPr>
        <w:tab/>
      </w:r>
      <w:r>
        <w:rPr>
          <w:rFonts w:ascii="Courier New" w:cs="Courier New" w:eastAsia="Courier New" w:hAnsi="Courier New"/>
          <w:sz w:val="14"/>
          <w:szCs w:val="14"/>
          <w:color w:val="auto"/>
        </w:rPr>
        <w:t>CHEMICAL BANK</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$62,500,000</w:t>
      </w:r>
      <w:r>
        <w:rPr>
          <w:sz w:val="20"/>
          <w:szCs w:val="20"/>
          <w:color w:val="auto"/>
        </w:rPr>
        <w:tab/>
      </w:r>
      <w:r>
        <w:rPr>
          <w:rFonts w:ascii="Courier New" w:cs="Courier New" w:eastAsia="Courier New" w:hAnsi="Courier New"/>
          <w:sz w:val="14"/>
          <w:szCs w:val="14"/>
          <w:color w:val="auto"/>
        </w:rPr>
        <w:t>THE FIRST NATIONAL BANK OF CHICAGO</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39"/>
          </w:cols>
          <w:pgMar w:left="220" w:top="617" w:right="1440" w:bottom="1440" w:gutter="0" w:footer="0" w:header="0"/>
        </w:sectPr>
      </w:pPr>
    </w:p>
    <w:bookmarkStart w:id="88" w:name="page89"/>
    <w:bookmarkEnd w:id="88"/>
    <w:p>
      <w:pPr>
        <w:jc w:val="right"/>
        <w:ind w:right="3499"/>
        <w:spacing w:after="0"/>
        <w:rPr>
          <w:sz w:val="20"/>
          <w:szCs w:val="20"/>
          <w:color w:val="auto"/>
        </w:rPr>
      </w:pPr>
      <w:r>
        <w:rPr>
          <w:rFonts w:ascii="Courier New" w:cs="Courier New" w:eastAsia="Courier New" w:hAnsi="Courier New"/>
          <w:sz w:val="15"/>
          <w:szCs w:val="15"/>
          <w:color w:val="auto"/>
        </w:rPr>
        <w:t>60</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Commitments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$125,000,000</w:t>
      </w:r>
      <w:r>
        <w:rPr>
          <w:sz w:val="20"/>
          <w:szCs w:val="20"/>
          <w:color w:val="auto"/>
        </w:rPr>
        <w:tab/>
      </w:r>
      <w:r>
        <w:rPr>
          <w:rFonts w:ascii="Courier New" w:cs="Courier New" w:eastAsia="Courier New" w:hAnsi="Courier New"/>
          <w:sz w:val="14"/>
          <w:szCs w:val="14"/>
          <w:color w:val="auto"/>
        </w:rPr>
        <w:t>MORGAN GUARANTY TRUST COMPANY</w:t>
      </w:r>
    </w:p>
    <w:p>
      <w:pPr>
        <w:ind w:left="1240"/>
        <w:spacing w:after="0" w:line="237" w:lineRule="auto"/>
        <w:rPr>
          <w:sz w:val="20"/>
          <w:szCs w:val="20"/>
          <w:color w:val="auto"/>
        </w:rPr>
      </w:pPr>
      <w:r>
        <w:rPr>
          <w:rFonts w:ascii="Courier New" w:cs="Courier New" w:eastAsia="Courier New" w:hAnsi="Courier New"/>
          <w:sz w:val="15"/>
          <w:szCs w:val="15"/>
          <w:color w:val="auto"/>
        </w:rPr>
        <w:t>OF NEW YORK</w:t>
      </w:r>
    </w:p>
    <w:p>
      <w:pPr>
        <w:spacing w:after="0" w:line="335"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By:</w:t>
      </w:r>
    </w:p>
    <w:p>
      <w:pPr>
        <w:ind w:left="124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$82,000,000</w:t>
      </w:r>
      <w:r>
        <w:rPr>
          <w:sz w:val="20"/>
          <w:szCs w:val="20"/>
          <w:color w:val="auto"/>
        </w:rPr>
        <w:tab/>
      </w:r>
      <w:r>
        <w:rPr>
          <w:rFonts w:ascii="Courier New" w:cs="Courier New" w:eastAsia="Courier New" w:hAnsi="Courier New"/>
          <w:sz w:val="14"/>
          <w:szCs w:val="14"/>
          <w:color w:val="auto"/>
        </w:rPr>
        <w:t>CITIBANK, N.A.</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$82,000,000</w:t>
      </w:r>
      <w:r>
        <w:rPr>
          <w:sz w:val="20"/>
          <w:szCs w:val="20"/>
          <w:color w:val="auto"/>
        </w:rPr>
        <w:tab/>
      </w:r>
      <w:r>
        <w:rPr>
          <w:rFonts w:ascii="Courier New" w:cs="Courier New" w:eastAsia="Courier New" w:hAnsi="Courier New"/>
          <w:sz w:val="14"/>
          <w:szCs w:val="14"/>
          <w:color w:val="auto"/>
        </w:rPr>
        <w:t>DEUTSCHE BANK AG, NEW YORK AND/OR</w:t>
      </w:r>
    </w:p>
    <w:p>
      <w:pPr>
        <w:ind w:left="1140"/>
        <w:spacing w:after="0" w:line="237" w:lineRule="auto"/>
        <w:rPr>
          <w:sz w:val="20"/>
          <w:szCs w:val="20"/>
          <w:color w:val="auto"/>
        </w:rPr>
      </w:pPr>
      <w:r>
        <w:rPr>
          <w:rFonts w:ascii="Courier New" w:cs="Courier New" w:eastAsia="Courier New" w:hAnsi="Courier New"/>
          <w:sz w:val="15"/>
          <w:szCs w:val="15"/>
          <w:color w:val="auto"/>
        </w:rPr>
        <w:t>CAYMAN ISLANDS BRANCHES</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$62,500,000</w:t>
      </w:r>
      <w:r>
        <w:rPr>
          <w:sz w:val="20"/>
          <w:szCs w:val="20"/>
          <w:color w:val="auto"/>
        </w:rPr>
        <w:tab/>
      </w:r>
      <w:r>
        <w:rPr>
          <w:rFonts w:ascii="Courier New" w:cs="Courier New" w:eastAsia="Courier New" w:hAnsi="Courier New"/>
          <w:sz w:val="14"/>
          <w:szCs w:val="14"/>
          <w:color w:val="auto"/>
        </w:rPr>
        <w:t>CHEMICAL BANK</w:t>
      </w:r>
    </w:p>
    <w:p>
      <w:pPr>
        <w:spacing w:after="0" w:line="335" w:lineRule="exact"/>
        <w:rPr>
          <w:sz w:val="20"/>
          <w:szCs w:val="20"/>
          <w:color w:val="auto"/>
        </w:rPr>
      </w:pPr>
    </w:p>
    <w:p>
      <w:pPr>
        <w:ind w:left="1140"/>
        <w:spacing w:after="0"/>
        <w:tabs>
          <w:tab w:leader="none" w:pos="1820" w:val="left"/>
          <w:tab w:leader="none" w:pos="22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William Laggiano</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ind w:left="1140"/>
        <w:spacing w:after="0" w:line="238" w:lineRule="auto"/>
        <w:tabs>
          <w:tab w:leader="none" w:pos="1820" w:val="left"/>
        </w:tabs>
        <w:rPr>
          <w:sz w:val="20"/>
          <w:szCs w:val="20"/>
          <w:color w:val="auto"/>
        </w:rPr>
      </w:pPr>
      <w:r>
        <w:rPr>
          <w:rFonts w:ascii="Courier New" w:cs="Courier New" w:eastAsia="Courier New" w:hAnsi="Courier New"/>
          <w:sz w:val="15"/>
          <w:szCs w:val="15"/>
          <w:color w:val="auto"/>
        </w:rPr>
        <w:t>Title:</w:t>
        <w:tab/>
        <w:t>Managing Director</w:t>
      </w:r>
    </w:p>
    <w:p>
      <w:pPr>
        <w:spacing w:after="0" w:line="33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$62,500,000</w:t>
      </w:r>
      <w:r>
        <w:rPr>
          <w:sz w:val="20"/>
          <w:szCs w:val="20"/>
          <w:color w:val="auto"/>
        </w:rPr>
        <w:tab/>
      </w:r>
      <w:r>
        <w:rPr>
          <w:rFonts w:ascii="Courier New" w:cs="Courier New" w:eastAsia="Courier New" w:hAnsi="Courier New"/>
          <w:sz w:val="14"/>
          <w:szCs w:val="14"/>
          <w:color w:val="auto"/>
        </w:rPr>
        <w:t>THE FIRST NATIONAL BANK OF CHICAGO</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39"/>
          </w:cols>
          <w:pgMar w:left="220" w:top="617" w:right="1440" w:bottom="1440" w:gutter="0" w:footer="0" w:header="0"/>
        </w:sectPr>
      </w:pPr>
    </w:p>
    <w:bookmarkStart w:id="89" w:name="page90"/>
    <w:bookmarkEnd w:id="89"/>
    <w:p>
      <w:pPr>
        <w:jc w:val="right"/>
        <w:ind w:right="3499"/>
        <w:spacing w:after="0"/>
        <w:rPr>
          <w:sz w:val="20"/>
          <w:szCs w:val="20"/>
          <w:color w:val="auto"/>
        </w:rPr>
      </w:pPr>
      <w:r>
        <w:rPr>
          <w:rFonts w:ascii="Courier New" w:cs="Courier New" w:eastAsia="Courier New" w:hAnsi="Courier New"/>
          <w:sz w:val="15"/>
          <w:szCs w:val="15"/>
          <w:color w:val="auto"/>
        </w:rPr>
        <w:t>60</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Commitments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$125,000,000</w:t>
      </w:r>
      <w:r>
        <w:rPr>
          <w:sz w:val="20"/>
          <w:szCs w:val="20"/>
          <w:color w:val="auto"/>
        </w:rPr>
        <w:tab/>
      </w:r>
      <w:r>
        <w:rPr>
          <w:rFonts w:ascii="Courier New" w:cs="Courier New" w:eastAsia="Courier New" w:hAnsi="Courier New"/>
          <w:sz w:val="14"/>
          <w:szCs w:val="14"/>
          <w:color w:val="auto"/>
        </w:rPr>
        <w:t>MORGAN GUARANTY TRUST COMPANY</w:t>
      </w:r>
    </w:p>
    <w:p>
      <w:pPr>
        <w:ind w:left="1240"/>
        <w:spacing w:after="0" w:line="237" w:lineRule="auto"/>
        <w:rPr>
          <w:sz w:val="20"/>
          <w:szCs w:val="20"/>
          <w:color w:val="auto"/>
        </w:rPr>
      </w:pPr>
      <w:r>
        <w:rPr>
          <w:rFonts w:ascii="Courier New" w:cs="Courier New" w:eastAsia="Courier New" w:hAnsi="Courier New"/>
          <w:sz w:val="15"/>
          <w:szCs w:val="15"/>
          <w:color w:val="auto"/>
        </w:rPr>
        <w:t>OF NEW YORK</w:t>
      </w:r>
    </w:p>
    <w:p>
      <w:pPr>
        <w:spacing w:after="0" w:line="335"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By:</w:t>
      </w:r>
    </w:p>
    <w:p>
      <w:pPr>
        <w:ind w:left="124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$82,000,000</w:t>
      </w:r>
      <w:r>
        <w:rPr>
          <w:sz w:val="20"/>
          <w:szCs w:val="20"/>
          <w:color w:val="auto"/>
        </w:rPr>
        <w:tab/>
      </w:r>
      <w:r>
        <w:rPr>
          <w:rFonts w:ascii="Courier New" w:cs="Courier New" w:eastAsia="Courier New" w:hAnsi="Courier New"/>
          <w:sz w:val="14"/>
          <w:szCs w:val="14"/>
          <w:color w:val="auto"/>
        </w:rPr>
        <w:t>CITIBANK, N.A.</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$82,000,000</w:t>
      </w:r>
      <w:r>
        <w:rPr>
          <w:sz w:val="20"/>
          <w:szCs w:val="20"/>
          <w:color w:val="auto"/>
        </w:rPr>
        <w:tab/>
      </w:r>
      <w:r>
        <w:rPr>
          <w:rFonts w:ascii="Courier New" w:cs="Courier New" w:eastAsia="Courier New" w:hAnsi="Courier New"/>
          <w:sz w:val="14"/>
          <w:szCs w:val="14"/>
          <w:color w:val="auto"/>
        </w:rPr>
        <w:t>DEUTSCHE BANK AG, NEW YORK AND/OR</w:t>
      </w:r>
    </w:p>
    <w:p>
      <w:pPr>
        <w:ind w:left="1140"/>
        <w:spacing w:after="0" w:line="237" w:lineRule="auto"/>
        <w:rPr>
          <w:sz w:val="20"/>
          <w:szCs w:val="20"/>
          <w:color w:val="auto"/>
        </w:rPr>
      </w:pPr>
      <w:r>
        <w:rPr>
          <w:rFonts w:ascii="Courier New" w:cs="Courier New" w:eastAsia="Courier New" w:hAnsi="Courier New"/>
          <w:sz w:val="15"/>
          <w:szCs w:val="15"/>
          <w:color w:val="auto"/>
        </w:rPr>
        <w:t>CAYMAN ISLANDS BRANCHES</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$62,500,000</w:t>
      </w:r>
      <w:r>
        <w:rPr>
          <w:sz w:val="20"/>
          <w:szCs w:val="20"/>
          <w:color w:val="auto"/>
        </w:rPr>
        <w:tab/>
      </w:r>
      <w:r>
        <w:rPr>
          <w:rFonts w:ascii="Courier New" w:cs="Courier New" w:eastAsia="Courier New" w:hAnsi="Courier New"/>
          <w:sz w:val="14"/>
          <w:szCs w:val="14"/>
          <w:color w:val="auto"/>
        </w:rPr>
        <w:t>CHEMICAL BANK</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$62,500,000</w:t>
      </w:r>
      <w:r>
        <w:rPr>
          <w:sz w:val="20"/>
          <w:szCs w:val="20"/>
          <w:color w:val="auto"/>
        </w:rPr>
        <w:tab/>
      </w:r>
      <w:r>
        <w:rPr>
          <w:rFonts w:ascii="Courier New" w:cs="Courier New" w:eastAsia="Courier New" w:hAnsi="Courier New"/>
          <w:sz w:val="14"/>
          <w:szCs w:val="14"/>
          <w:color w:val="auto"/>
        </w:rPr>
        <w:t>THE FIRST NATIONAL BANK OF CHICAGO</w:t>
      </w:r>
    </w:p>
    <w:p>
      <w:pPr>
        <w:spacing w:after="0" w:line="335" w:lineRule="exact"/>
        <w:rPr>
          <w:sz w:val="20"/>
          <w:szCs w:val="20"/>
          <w:color w:val="auto"/>
        </w:rPr>
      </w:pPr>
    </w:p>
    <w:p>
      <w:pPr>
        <w:ind w:left="1140"/>
        <w:spacing w:after="0"/>
        <w:tabs>
          <w:tab w:leader="none" w:pos="1820" w:val="left"/>
          <w:tab w:leader="none" w:pos="22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Tara W. Clark</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ind w:left="1140"/>
        <w:spacing w:after="0" w:line="238" w:lineRule="auto"/>
        <w:tabs>
          <w:tab w:leader="none" w:pos="1820" w:val="left"/>
        </w:tabs>
        <w:rPr>
          <w:sz w:val="20"/>
          <w:szCs w:val="20"/>
          <w:color w:val="auto"/>
        </w:rPr>
      </w:pPr>
      <w:r>
        <w:rPr>
          <w:rFonts w:ascii="Courier New" w:cs="Courier New" w:eastAsia="Courier New" w:hAnsi="Courier New"/>
          <w:sz w:val="15"/>
          <w:szCs w:val="15"/>
          <w:color w:val="auto"/>
        </w:rPr>
        <w:t>Title:</w:t>
        <w:tab/>
        <w:t>Vice President</w:t>
      </w:r>
    </w:p>
    <w:p>
      <w:pPr>
        <w:sectPr>
          <w:pgSz w:w="11900" w:h="16838" w:orient="portrait"/>
          <w:cols w:equalWidth="0" w:num="1">
            <w:col w:w="10239"/>
          </w:cols>
          <w:pgMar w:left="220" w:top="617" w:right="1440" w:bottom="1440" w:gutter="0" w:footer="0" w:header="0"/>
        </w:sectPr>
      </w:pPr>
    </w:p>
    <w:bookmarkStart w:id="90" w:name="page91"/>
    <w:bookmarkEnd w:id="90"/>
    <w:p>
      <w:pPr>
        <w:jc w:val="right"/>
        <w:ind w:right="3499"/>
        <w:spacing w:after="0"/>
        <w:rPr>
          <w:sz w:val="20"/>
          <w:szCs w:val="20"/>
          <w:color w:val="auto"/>
        </w:rPr>
      </w:pPr>
      <w:r>
        <w:rPr>
          <w:rFonts w:ascii="Courier New" w:cs="Courier New" w:eastAsia="Courier New" w:hAnsi="Courier New"/>
          <w:sz w:val="15"/>
          <w:szCs w:val="15"/>
          <w:color w:val="auto"/>
        </w:rPr>
        <w:t>61</w:t>
      </w:r>
    </w:p>
    <w:p>
      <w:pPr>
        <w:spacing w:after="0" w:line="166"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$62,500,000</w:t>
      </w:r>
      <w:r>
        <w:rPr>
          <w:sz w:val="20"/>
          <w:szCs w:val="20"/>
          <w:color w:val="auto"/>
        </w:rPr>
        <w:tab/>
      </w:r>
      <w:r>
        <w:rPr>
          <w:rFonts w:ascii="Courier New" w:cs="Courier New" w:eastAsia="Courier New" w:hAnsi="Courier New"/>
          <w:sz w:val="14"/>
          <w:szCs w:val="14"/>
          <w:color w:val="auto"/>
        </w:rPr>
        <w:t>THE HONG KONG &amp; SHANGHAI BANKING</w:t>
      </w:r>
    </w:p>
    <w:p>
      <w:pPr>
        <w:ind w:left="1140"/>
        <w:spacing w:after="0" w:line="237" w:lineRule="auto"/>
        <w:rPr>
          <w:sz w:val="20"/>
          <w:szCs w:val="20"/>
          <w:color w:val="auto"/>
        </w:rPr>
      </w:pPr>
      <w:r>
        <w:rPr>
          <w:rFonts w:ascii="Courier New" w:cs="Courier New" w:eastAsia="Courier New" w:hAnsi="Courier New"/>
          <w:sz w:val="15"/>
          <w:szCs w:val="15"/>
          <w:color w:val="auto"/>
        </w:rPr>
        <w:t>CORPORATION LTD.</w:t>
      </w:r>
    </w:p>
    <w:p>
      <w:pPr>
        <w:spacing w:after="0" w:line="335" w:lineRule="exact"/>
        <w:rPr>
          <w:sz w:val="20"/>
          <w:szCs w:val="20"/>
          <w:color w:val="auto"/>
        </w:rPr>
      </w:pPr>
    </w:p>
    <w:p>
      <w:pPr>
        <w:ind w:left="1140"/>
        <w:spacing w:after="0"/>
        <w:tabs>
          <w:tab w:leader="none" w:pos="1820" w:val="left"/>
          <w:tab w:leader="none" w:pos="22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Douglas Stolberg</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ind w:left="1140"/>
        <w:spacing w:after="0" w:line="238" w:lineRule="auto"/>
        <w:tabs>
          <w:tab w:leader="none" w:pos="1820" w:val="left"/>
        </w:tabs>
        <w:rPr>
          <w:sz w:val="20"/>
          <w:szCs w:val="20"/>
          <w:color w:val="auto"/>
        </w:rPr>
      </w:pPr>
      <w:r>
        <w:rPr>
          <w:rFonts w:ascii="Courier New" w:cs="Courier New" w:eastAsia="Courier New" w:hAnsi="Courier New"/>
          <w:sz w:val="15"/>
          <w:szCs w:val="15"/>
          <w:color w:val="auto"/>
        </w:rPr>
        <w:t>Title:</w:t>
        <w:tab/>
        <w:t>Senior Vice President</w:t>
      </w:r>
    </w:p>
    <w:p>
      <w:pPr>
        <w:ind w:left="1840"/>
        <w:spacing w:after="0" w:line="237" w:lineRule="auto"/>
        <w:rPr>
          <w:sz w:val="20"/>
          <w:szCs w:val="20"/>
          <w:color w:val="auto"/>
        </w:rPr>
      </w:pPr>
      <w:r>
        <w:rPr>
          <w:rFonts w:ascii="Courier New" w:cs="Courier New" w:eastAsia="Courier New" w:hAnsi="Courier New"/>
          <w:sz w:val="15"/>
          <w:szCs w:val="15"/>
          <w:color w:val="auto"/>
        </w:rPr>
        <w:t>and Manager</w:t>
      </w:r>
    </w:p>
    <w:p>
      <w:pPr>
        <w:spacing w:after="0" w:line="33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$62,500,000</w:t>
      </w:r>
      <w:r>
        <w:rPr>
          <w:sz w:val="20"/>
          <w:szCs w:val="20"/>
          <w:color w:val="auto"/>
        </w:rPr>
        <w:tab/>
      </w:r>
      <w:r>
        <w:rPr>
          <w:rFonts w:ascii="Courier New" w:cs="Courier New" w:eastAsia="Courier New" w:hAnsi="Courier New"/>
          <w:sz w:val="14"/>
          <w:szCs w:val="14"/>
          <w:color w:val="auto"/>
        </w:rPr>
        <w:t>NATIONSBANK, N.A.</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$50,000,000</w:t>
      </w:r>
      <w:r>
        <w:rPr>
          <w:sz w:val="20"/>
          <w:szCs w:val="20"/>
          <w:color w:val="auto"/>
        </w:rPr>
        <w:tab/>
      </w:r>
      <w:r>
        <w:rPr>
          <w:rFonts w:ascii="Courier New" w:cs="Courier New" w:eastAsia="Courier New" w:hAnsi="Courier New"/>
          <w:sz w:val="14"/>
          <w:szCs w:val="14"/>
          <w:color w:val="auto"/>
        </w:rPr>
        <w:t>THE BANK OF NEW YORK</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$42,000,000</w:t>
      </w:r>
      <w:r>
        <w:rPr>
          <w:sz w:val="20"/>
          <w:szCs w:val="20"/>
          <w:color w:val="auto"/>
        </w:rPr>
        <w:tab/>
      </w:r>
      <w:r>
        <w:rPr>
          <w:rFonts w:ascii="Courier New" w:cs="Courier New" w:eastAsia="Courier New" w:hAnsi="Courier New"/>
          <w:sz w:val="14"/>
          <w:szCs w:val="14"/>
          <w:color w:val="auto"/>
        </w:rPr>
        <w:t>BANK OF AMERICA NATIONAL TRUST AND SAVINGS ASSOCIATION</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$42,000,000</w:t>
      </w:r>
      <w:r>
        <w:rPr>
          <w:sz w:val="20"/>
          <w:szCs w:val="20"/>
          <w:color w:val="auto"/>
        </w:rPr>
        <w:tab/>
      </w:r>
      <w:r>
        <w:rPr>
          <w:rFonts w:ascii="Courier New" w:cs="Courier New" w:eastAsia="Courier New" w:hAnsi="Courier New"/>
          <w:sz w:val="14"/>
          <w:szCs w:val="14"/>
          <w:color w:val="auto"/>
        </w:rPr>
        <w:t>MELLON BANK, N.A.</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$42,000,000</w:t>
      </w:r>
      <w:r>
        <w:rPr>
          <w:sz w:val="20"/>
          <w:szCs w:val="20"/>
          <w:color w:val="auto"/>
        </w:rPr>
        <w:tab/>
      </w:r>
      <w:r>
        <w:rPr>
          <w:rFonts w:ascii="Courier New" w:cs="Courier New" w:eastAsia="Courier New" w:hAnsi="Courier New"/>
          <w:sz w:val="14"/>
          <w:szCs w:val="14"/>
          <w:color w:val="auto"/>
        </w:rPr>
        <w:t>UNION BANK OF SWITZERLAND, CHICAGO BRANCH</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39"/>
          </w:cols>
          <w:pgMar w:left="220" w:top="617" w:right="1440" w:bottom="1440" w:gutter="0" w:footer="0" w:header="0"/>
        </w:sectPr>
      </w:pPr>
    </w:p>
    <w:bookmarkStart w:id="91" w:name="page92"/>
    <w:bookmarkEnd w:id="91"/>
    <w:p>
      <w:pPr>
        <w:jc w:val="right"/>
        <w:ind w:right="3499"/>
        <w:spacing w:after="0"/>
        <w:rPr>
          <w:sz w:val="20"/>
          <w:szCs w:val="20"/>
          <w:color w:val="auto"/>
        </w:rPr>
      </w:pPr>
      <w:r>
        <w:rPr>
          <w:rFonts w:ascii="Courier New" w:cs="Courier New" w:eastAsia="Courier New" w:hAnsi="Courier New"/>
          <w:sz w:val="15"/>
          <w:szCs w:val="15"/>
          <w:color w:val="auto"/>
        </w:rPr>
        <w:t>61</w:t>
      </w:r>
    </w:p>
    <w:p>
      <w:pPr>
        <w:spacing w:after="0" w:line="166"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$62,500,000</w:t>
      </w:r>
      <w:r>
        <w:rPr>
          <w:sz w:val="20"/>
          <w:szCs w:val="20"/>
          <w:color w:val="auto"/>
        </w:rPr>
        <w:tab/>
      </w:r>
      <w:r>
        <w:rPr>
          <w:rFonts w:ascii="Courier New" w:cs="Courier New" w:eastAsia="Courier New" w:hAnsi="Courier New"/>
          <w:sz w:val="14"/>
          <w:szCs w:val="14"/>
          <w:color w:val="auto"/>
        </w:rPr>
        <w:t>THE HONG KONG &amp; SHANGHAI BANKING</w:t>
      </w:r>
    </w:p>
    <w:p>
      <w:pPr>
        <w:ind w:left="1140"/>
        <w:spacing w:after="0" w:line="237" w:lineRule="auto"/>
        <w:rPr>
          <w:sz w:val="20"/>
          <w:szCs w:val="20"/>
          <w:color w:val="auto"/>
        </w:rPr>
      </w:pPr>
      <w:r>
        <w:rPr>
          <w:rFonts w:ascii="Courier New" w:cs="Courier New" w:eastAsia="Courier New" w:hAnsi="Courier New"/>
          <w:sz w:val="15"/>
          <w:szCs w:val="15"/>
          <w:color w:val="auto"/>
        </w:rPr>
        <w:t>CORPORATION LTD.</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303"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$62,500,000</w:t>
      </w:r>
      <w:r>
        <w:rPr>
          <w:sz w:val="20"/>
          <w:szCs w:val="20"/>
          <w:color w:val="auto"/>
        </w:rPr>
        <w:tab/>
      </w:r>
      <w:r>
        <w:rPr>
          <w:rFonts w:ascii="Courier New" w:cs="Courier New" w:eastAsia="Courier New" w:hAnsi="Courier New"/>
          <w:sz w:val="14"/>
          <w:szCs w:val="14"/>
          <w:color w:val="auto"/>
        </w:rPr>
        <w:t>NATIONSBANK, N.A.</w:t>
      </w:r>
    </w:p>
    <w:p>
      <w:pPr>
        <w:spacing w:after="0" w:line="335" w:lineRule="exact"/>
        <w:rPr>
          <w:sz w:val="20"/>
          <w:szCs w:val="20"/>
          <w:color w:val="auto"/>
        </w:rPr>
      </w:pPr>
    </w:p>
    <w:p>
      <w:pPr>
        <w:ind w:left="1140"/>
        <w:spacing w:after="0"/>
        <w:tabs>
          <w:tab w:leader="none" w:pos="182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Michael A. Monte</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ind w:left="1140"/>
        <w:spacing w:after="0" w:line="238" w:lineRule="auto"/>
        <w:tabs>
          <w:tab w:leader="none" w:pos="1820" w:val="left"/>
        </w:tabs>
        <w:rPr>
          <w:sz w:val="20"/>
          <w:szCs w:val="20"/>
          <w:color w:val="auto"/>
        </w:rPr>
      </w:pPr>
      <w:r>
        <w:rPr>
          <w:rFonts w:ascii="Courier New" w:cs="Courier New" w:eastAsia="Courier New" w:hAnsi="Courier New"/>
          <w:sz w:val="15"/>
          <w:szCs w:val="15"/>
          <w:color w:val="auto"/>
        </w:rPr>
        <w:t>Title:</w:t>
        <w:tab/>
        <w:t>Senior Vice President</w:t>
      </w:r>
    </w:p>
    <w:p>
      <w:pPr>
        <w:spacing w:after="0" w:line="33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$50,000,000</w:t>
      </w:r>
      <w:r>
        <w:rPr>
          <w:sz w:val="20"/>
          <w:szCs w:val="20"/>
          <w:color w:val="auto"/>
        </w:rPr>
        <w:tab/>
      </w:r>
      <w:r>
        <w:rPr>
          <w:rFonts w:ascii="Courier New" w:cs="Courier New" w:eastAsia="Courier New" w:hAnsi="Courier New"/>
          <w:sz w:val="14"/>
          <w:szCs w:val="14"/>
          <w:color w:val="auto"/>
        </w:rPr>
        <w:t>THE BANK OF NEW YORK</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$42,000,000</w:t>
      </w:r>
      <w:r>
        <w:rPr>
          <w:sz w:val="20"/>
          <w:szCs w:val="20"/>
          <w:color w:val="auto"/>
        </w:rPr>
        <w:tab/>
      </w:r>
      <w:r>
        <w:rPr>
          <w:rFonts w:ascii="Courier New" w:cs="Courier New" w:eastAsia="Courier New" w:hAnsi="Courier New"/>
          <w:sz w:val="14"/>
          <w:szCs w:val="14"/>
          <w:color w:val="auto"/>
        </w:rPr>
        <w:t>BANK OF AMERICA NATIONAL TRUST AND SAVINGS ASSOCIATION</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$42,000,000</w:t>
      </w:r>
      <w:r>
        <w:rPr>
          <w:sz w:val="20"/>
          <w:szCs w:val="20"/>
          <w:color w:val="auto"/>
        </w:rPr>
        <w:tab/>
      </w:r>
      <w:r>
        <w:rPr>
          <w:rFonts w:ascii="Courier New" w:cs="Courier New" w:eastAsia="Courier New" w:hAnsi="Courier New"/>
          <w:sz w:val="14"/>
          <w:szCs w:val="14"/>
          <w:color w:val="auto"/>
        </w:rPr>
        <w:t>MELLON BANK, N.A.</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$42,000,000</w:t>
      </w:r>
      <w:r>
        <w:rPr>
          <w:sz w:val="20"/>
          <w:szCs w:val="20"/>
          <w:color w:val="auto"/>
        </w:rPr>
        <w:tab/>
      </w:r>
      <w:r>
        <w:rPr>
          <w:rFonts w:ascii="Courier New" w:cs="Courier New" w:eastAsia="Courier New" w:hAnsi="Courier New"/>
          <w:sz w:val="14"/>
          <w:szCs w:val="14"/>
          <w:color w:val="auto"/>
        </w:rPr>
        <w:t>UNION BANK OF SWITZERLAND, CHICAGO BRANCH</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39"/>
          </w:cols>
          <w:pgMar w:left="220" w:top="617" w:right="1440" w:bottom="1440" w:gutter="0" w:footer="0" w:header="0"/>
        </w:sectPr>
      </w:pPr>
    </w:p>
    <w:bookmarkStart w:id="92" w:name="page93"/>
    <w:bookmarkEnd w:id="92"/>
    <w:p>
      <w:pPr>
        <w:jc w:val="right"/>
        <w:ind w:right="3499"/>
        <w:spacing w:after="0"/>
        <w:rPr>
          <w:sz w:val="20"/>
          <w:szCs w:val="20"/>
          <w:color w:val="auto"/>
        </w:rPr>
      </w:pPr>
      <w:r>
        <w:rPr>
          <w:rFonts w:ascii="Courier New" w:cs="Courier New" w:eastAsia="Courier New" w:hAnsi="Courier New"/>
          <w:sz w:val="15"/>
          <w:szCs w:val="15"/>
          <w:color w:val="auto"/>
        </w:rPr>
        <w:t>61</w:t>
      </w:r>
    </w:p>
    <w:p>
      <w:pPr>
        <w:spacing w:after="0" w:line="166"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$62,500,000</w:t>
      </w:r>
      <w:r>
        <w:rPr>
          <w:sz w:val="20"/>
          <w:szCs w:val="20"/>
          <w:color w:val="auto"/>
        </w:rPr>
        <w:tab/>
      </w:r>
      <w:r>
        <w:rPr>
          <w:rFonts w:ascii="Courier New" w:cs="Courier New" w:eastAsia="Courier New" w:hAnsi="Courier New"/>
          <w:sz w:val="14"/>
          <w:szCs w:val="14"/>
          <w:color w:val="auto"/>
        </w:rPr>
        <w:t>THE HONG KONG &amp; SHANGHAI BANKING</w:t>
      </w:r>
    </w:p>
    <w:p>
      <w:pPr>
        <w:ind w:left="1140"/>
        <w:spacing w:after="0" w:line="237" w:lineRule="auto"/>
        <w:rPr>
          <w:sz w:val="20"/>
          <w:szCs w:val="20"/>
          <w:color w:val="auto"/>
        </w:rPr>
      </w:pPr>
      <w:r>
        <w:rPr>
          <w:rFonts w:ascii="Courier New" w:cs="Courier New" w:eastAsia="Courier New" w:hAnsi="Courier New"/>
          <w:sz w:val="15"/>
          <w:szCs w:val="15"/>
          <w:color w:val="auto"/>
        </w:rPr>
        <w:t>CORPORATION LTD.</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303"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$62,500,000</w:t>
      </w:r>
      <w:r>
        <w:rPr>
          <w:sz w:val="20"/>
          <w:szCs w:val="20"/>
          <w:color w:val="auto"/>
        </w:rPr>
        <w:tab/>
      </w:r>
      <w:r>
        <w:rPr>
          <w:rFonts w:ascii="Courier New" w:cs="Courier New" w:eastAsia="Courier New" w:hAnsi="Courier New"/>
          <w:sz w:val="14"/>
          <w:szCs w:val="14"/>
          <w:color w:val="auto"/>
        </w:rPr>
        <w:t>NATIONSBANK, N.A.</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$50,000,000</w:t>
      </w:r>
      <w:r>
        <w:rPr>
          <w:sz w:val="20"/>
          <w:szCs w:val="20"/>
          <w:color w:val="auto"/>
        </w:rPr>
        <w:tab/>
      </w:r>
      <w:r>
        <w:rPr>
          <w:rFonts w:ascii="Courier New" w:cs="Courier New" w:eastAsia="Courier New" w:hAnsi="Courier New"/>
          <w:sz w:val="14"/>
          <w:szCs w:val="14"/>
          <w:color w:val="auto"/>
        </w:rPr>
        <w:t>THE BANK OF NEW YORK</w:t>
      </w:r>
    </w:p>
    <w:p>
      <w:pPr>
        <w:spacing w:after="0" w:line="335" w:lineRule="exact"/>
        <w:rPr>
          <w:sz w:val="20"/>
          <w:szCs w:val="20"/>
          <w:color w:val="auto"/>
        </w:rPr>
      </w:pPr>
    </w:p>
    <w:p>
      <w:pPr>
        <w:ind w:left="1140"/>
        <w:spacing w:after="0"/>
        <w:tabs>
          <w:tab w:leader="none" w:pos="182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Paula M. DiPonzio</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ind w:left="1140"/>
        <w:spacing w:after="0" w:line="238" w:lineRule="auto"/>
        <w:tabs>
          <w:tab w:leader="none" w:pos="1820" w:val="left"/>
        </w:tabs>
        <w:rPr>
          <w:sz w:val="20"/>
          <w:szCs w:val="20"/>
          <w:color w:val="auto"/>
        </w:rPr>
      </w:pPr>
      <w:r>
        <w:rPr>
          <w:rFonts w:ascii="Courier New" w:cs="Courier New" w:eastAsia="Courier New" w:hAnsi="Courier New"/>
          <w:sz w:val="15"/>
          <w:szCs w:val="15"/>
          <w:color w:val="auto"/>
        </w:rPr>
        <w:t>Title:</w:t>
        <w:tab/>
        <w:t>Vice President</w:t>
      </w:r>
    </w:p>
    <w:p>
      <w:pPr>
        <w:spacing w:after="0" w:line="33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$42,000,000</w:t>
      </w:r>
      <w:r>
        <w:rPr>
          <w:sz w:val="20"/>
          <w:szCs w:val="20"/>
          <w:color w:val="auto"/>
        </w:rPr>
        <w:tab/>
      </w:r>
      <w:r>
        <w:rPr>
          <w:rFonts w:ascii="Courier New" w:cs="Courier New" w:eastAsia="Courier New" w:hAnsi="Courier New"/>
          <w:sz w:val="14"/>
          <w:szCs w:val="14"/>
          <w:color w:val="auto"/>
        </w:rPr>
        <w:t>BANK OF AMERICA NATIONAL TRUST AND SAVINGS ASSOCIATION</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$42,000,000</w:t>
      </w:r>
      <w:r>
        <w:rPr>
          <w:sz w:val="20"/>
          <w:szCs w:val="20"/>
          <w:color w:val="auto"/>
        </w:rPr>
        <w:tab/>
      </w:r>
      <w:r>
        <w:rPr>
          <w:rFonts w:ascii="Courier New" w:cs="Courier New" w:eastAsia="Courier New" w:hAnsi="Courier New"/>
          <w:sz w:val="14"/>
          <w:szCs w:val="14"/>
          <w:color w:val="auto"/>
        </w:rPr>
        <w:t>MELLON BANK, N.A.</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$42,000,000</w:t>
      </w:r>
      <w:r>
        <w:rPr>
          <w:sz w:val="20"/>
          <w:szCs w:val="20"/>
          <w:color w:val="auto"/>
        </w:rPr>
        <w:tab/>
      </w:r>
      <w:r>
        <w:rPr>
          <w:rFonts w:ascii="Courier New" w:cs="Courier New" w:eastAsia="Courier New" w:hAnsi="Courier New"/>
          <w:sz w:val="14"/>
          <w:szCs w:val="14"/>
          <w:color w:val="auto"/>
        </w:rPr>
        <w:t>UNION BANK OF SWITZERLAND, CHICAGO BRANCH</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39"/>
          </w:cols>
          <w:pgMar w:left="220" w:top="617" w:right="1440" w:bottom="1440" w:gutter="0" w:footer="0" w:header="0"/>
        </w:sectPr>
      </w:pPr>
    </w:p>
    <w:bookmarkStart w:id="93" w:name="page94"/>
    <w:bookmarkEnd w:id="93"/>
    <w:p>
      <w:pPr>
        <w:jc w:val="right"/>
        <w:ind w:right="3499"/>
        <w:spacing w:after="0"/>
        <w:rPr>
          <w:sz w:val="20"/>
          <w:szCs w:val="20"/>
          <w:color w:val="auto"/>
        </w:rPr>
      </w:pPr>
      <w:r>
        <w:rPr>
          <w:rFonts w:ascii="Courier New" w:cs="Courier New" w:eastAsia="Courier New" w:hAnsi="Courier New"/>
          <w:sz w:val="15"/>
          <w:szCs w:val="15"/>
          <w:color w:val="auto"/>
        </w:rPr>
        <w:t>61</w:t>
      </w:r>
    </w:p>
    <w:p>
      <w:pPr>
        <w:spacing w:after="0" w:line="166"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$62,500,000</w:t>
      </w:r>
      <w:r>
        <w:rPr>
          <w:sz w:val="20"/>
          <w:szCs w:val="20"/>
          <w:color w:val="auto"/>
        </w:rPr>
        <w:tab/>
      </w:r>
      <w:r>
        <w:rPr>
          <w:rFonts w:ascii="Courier New" w:cs="Courier New" w:eastAsia="Courier New" w:hAnsi="Courier New"/>
          <w:sz w:val="14"/>
          <w:szCs w:val="14"/>
          <w:color w:val="auto"/>
        </w:rPr>
        <w:t>THE HONG KONG &amp; SHANGHAI BANKING</w:t>
      </w:r>
    </w:p>
    <w:p>
      <w:pPr>
        <w:ind w:left="1140"/>
        <w:spacing w:after="0" w:line="237" w:lineRule="auto"/>
        <w:rPr>
          <w:sz w:val="20"/>
          <w:szCs w:val="20"/>
          <w:color w:val="auto"/>
        </w:rPr>
      </w:pPr>
      <w:r>
        <w:rPr>
          <w:rFonts w:ascii="Courier New" w:cs="Courier New" w:eastAsia="Courier New" w:hAnsi="Courier New"/>
          <w:sz w:val="15"/>
          <w:szCs w:val="15"/>
          <w:color w:val="auto"/>
        </w:rPr>
        <w:t>CORPORATION LTD.</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303"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$62,500,000</w:t>
      </w:r>
      <w:r>
        <w:rPr>
          <w:sz w:val="20"/>
          <w:szCs w:val="20"/>
          <w:color w:val="auto"/>
        </w:rPr>
        <w:tab/>
      </w:r>
      <w:r>
        <w:rPr>
          <w:rFonts w:ascii="Courier New" w:cs="Courier New" w:eastAsia="Courier New" w:hAnsi="Courier New"/>
          <w:sz w:val="14"/>
          <w:szCs w:val="14"/>
          <w:color w:val="auto"/>
        </w:rPr>
        <w:t>NATIONSBANK, N.A.</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$50,000,000</w:t>
      </w:r>
      <w:r>
        <w:rPr>
          <w:sz w:val="20"/>
          <w:szCs w:val="20"/>
          <w:color w:val="auto"/>
        </w:rPr>
        <w:tab/>
      </w:r>
      <w:r>
        <w:rPr>
          <w:rFonts w:ascii="Courier New" w:cs="Courier New" w:eastAsia="Courier New" w:hAnsi="Courier New"/>
          <w:sz w:val="14"/>
          <w:szCs w:val="14"/>
          <w:color w:val="auto"/>
        </w:rPr>
        <w:t>THE BANK OF NEW YORK</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$42,000,000</w:t>
      </w:r>
      <w:r>
        <w:rPr>
          <w:sz w:val="20"/>
          <w:szCs w:val="20"/>
          <w:color w:val="auto"/>
        </w:rPr>
        <w:tab/>
      </w:r>
      <w:r>
        <w:rPr>
          <w:rFonts w:ascii="Courier New" w:cs="Courier New" w:eastAsia="Courier New" w:hAnsi="Courier New"/>
          <w:sz w:val="14"/>
          <w:szCs w:val="14"/>
          <w:color w:val="auto"/>
        </w:rPr>
        <w:t>BANK OF AMERICA NATIONAL TRUST AND SAVINGS ASSOCIATION</w:t>
      </w:r>
    </w:p>
    <w:p>
      <w:pPr>
        <w:spacing w:after="0" w:line="335" w:lineRule="exact"/>
        <w:rPr>
          <w:sz w:val="20"/>
          <w:szCs w:val="20"/>
          <w:color w:val="auto"/>
        </w:rPr>
      </w:pPr>
    </w:p>
    <w:p>
      <w:pPr>
        <w:ind w:left="1140"/>
        <w:spacing w:after="0"/>
        <w:tabs>
          <w:tab w:leader="none" w:pos="182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Kathleen McVay</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ind w:left="1140"/>
        <w:spacing w:after="0" w:line="238" w:lineRule="auto"/>
        <w:tabs>
          <w:tab w:leader="none" w:pos="1820" w:val="left"/>
        </w:tabs>
        <w:rPr>
          <w:sz w:val="20"/>
          <w:szCs w:val="20"/>
          <w:color w:val="auto"/>
        </w:rPr>
      </w:pPr>
      <w:r>
        <w:rPr>
          <w:rFonts w:ascii="Courier New" w:cs="Courier New" w:eastAsia="Courier New" w:hAnsi="Courier New"/>
          <w:sz w:val="15"/>
          <w:szCs w:val="15"/>
          <w:color w:val="auto"/>
        </w:rPr>
        <w:t>Title:</w:t>
        <w:tab/>
        <w:t>Authorized Officer</w:t>
      </w:r>
    </w:p>
    <w:p>
      <w:pPr>
        <w:spacing w:after="0" w:line="33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$42,000,000</w:t>
      </w:r>
      <w:r>
        <w:rPr>
          <w:sz w:val="20"/>
          <w:szCs w:val="20"/>
          <w:color w:val="auto"/>
        </w:rPr>
        <w:tab/>
      </w:r>
      <w:r>
        <w:rPr>
          <w:rFonts w:ascii="Courier New" w:cs="Courier New" w:eastAsia="Courier New" w:hAnsi="Courier New"/>
          <w:sz w:val="14"/>
          <w:szCs w:val="14"/>
          <w:color w:val="auto"/>
        </w:rPr>
        <w:t>MELLON BANK, N.A.</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$42,000,000</w:t>
      </w:r>
      <w:r>
        <w:rPr>
          <w:sz w:val="20"/>
          <w:szCs w:val="20"/>
          <w:color w:val="auto"/>
        </w:rPr>
        <w:tab/>
      </w:r>
      <w:r>
        <w:rPr>
          <w:rFonts w:ascii="Courier New" w:cs="Courier New" w:eastAsia="Courier New" w:hAnsi="Courier New"/>
          <w:sz w:val="14"/>
          <w:szCs w:val="14"/>
          <w:color w:val="auto"/>
        </w:rPr>
        <w:t>UNION BANK OF SWITZERLAND, CHICAGO BRANCH</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39"/>
          </w:cols>
          <w:pgMar w:left="220" w:top="617" w:right="1440" w:bottom="1440" w:gutter="0" w:footer="0" w:header="0"/>
        </w:sectPr>
      </w:pPr>
    </w:p>
    <w:bookmarkStart w:id="94" w:name="page95"/>
    <w:bookmarkEnd w:id="94"/>
    <w:p>
      <w:pPr>
        <w:jc w:val="right"/>
        <w:ind w:right="3499"/>
        <w:spacing w:after="0"/>
        <w:rPr>
          <w:sz w:val="20"/>
          <w:szCs w:val="20"/>
          <w:color w:val="auto"/>
        </w:rPr>
      </w:pPr>
      <w:r>
        <w:rPr>
          <w:rFonts w:ascii="Courier New" w:cs="Courier New" w:eastAsia="Courier New" w:hAnsi="Courier New"/>
          <w:sz w:val="15"/>
          <w:szCs w:val="15"/>
          <w:color w:val="auto"/>
        </w:rPr>
        <w:t>61</w:t>
      </w:r>
    </w:p>
    <w:p>
      <w:pPr>
        <w:spacing w:after="0" w:line="166"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$62,500,000</w:t>
      </w:r>
      <w:r>
        <w:rPr>
          <w:sz w:val="20"/>
          <w:szCs w:val="20"/>
          <w:color w:val="auto"/>
        </w:rPr>
        <w:tab/>
      </w:r>
      <w:r>
        <w:rPr>
          <w:rFonts w:ascii="Courier New" w:cs="Courier New" w:eastAsia="Courier New" w:hAnsi="Courier New"/>
          <w:sz w:val="14"/>
          <w:szCs w:val="14"/>
          <w:color w:val="auto"/>
        </w:rPr>
        <w:t>THE HONG KONG &amp; SHANGHAI BANKING</w:t>
      </w:r>
    </w:p>
    <w:p>
      <w:pPr>
        <w:ind w:left="1140"/>
        <w:spacing w:after="0" w:line="237" w:lineRule="auto"/>
        <w:rPr>
          <w:sz w:val="20"/>
          <w:szCs w:val="20"/>
          <w:color w:val="auto"/>
        </w:rPr>
      </w:pPr>
      <w:r>
        <w:rPr>
          <w:rFonts w:ascii="Courier New" w:cs="Courier New" w:eastAsia="Courier New" w:hAnsi="Courier New"/>
          <w:sz w:val="15"/>
          <w:szCs w:val="15"/>
          <w:color w:val="auto"/>
        </w:rPr>
        <w:t>CORPORATION LTD.</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303"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$62,500,000</w:t>
      </w:r>
      <w:r>
        <w:rPr>
          <w:sz w:val="20"/>
          <w:szCs w:val="20"/>
          <w:color w:val="auto"/>
        </w:rPr>
        <w:tab/>
      </w:r>
      <w:r>
        <w:rPr>
          <w:rFonts w:ascii="Courier New" w:cs="Courier New" w:eastAsia="Courier New" w:hAnsi="Courier New"/>
          <w:sz w:val="14"/>
          <w:szCs w:val="14"/>
          <w:color w:val="auto"/>
        </w:rPr>
        <w:t>NATIONSBANK, N.A.</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$50,000,000</w:t>
      </w:r>
      <w:r>
        <w:rPr>
          <w:sz w:val="20"/>
          <w:szCs w:val="20"/>
          <w:color w:val="auto"/>
        </w:rPr>
        <w:tab/>
      </w:r>
      <w:r>
        <w:rPr>
          <w:rFonts w:ascii="Courier New" w:cs="Courier New" w:eastAsia="Courier New" w:hAnsi="Courier New"/>
          <w:sz w:val="14"/>
          <w:szCs w:val="14"/>
          <w:color w:val="auto"/>
        </w:rPr>
        <w:t>THE BANK OF NEW YORK</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$42,000,000</w:t>
      </w:r>
      <w:r>
        <w:rPr>
          <w:sz w:val="20"/>
          <w:szCs w:val="20"/>
          <w:color w:val="auto"/>
        </w:rPr>
        <w:tab/>
      </w:r>
      <w:r>
        <w:rPr>
          <w:rFonts w:ascii="Courier New" w:cs="Courier New" w:eastAsia="Courier New" w:hAnsi="Courier New"/>
          <w:sz w:val="14"/>
          <w:szCs w:val="14"/>
          <w:color w:val="auto"/>
        </w:rPr>
        <w:t>BANK OF AMERICA NATIONAL TRUST AND SAVINGS ASSOCIATION</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$42,000,000</w:t>
      </w:r>
      <w:r>
        <w:rPr>
          <w:sz w:val="20"/>
          <w:szCs w:val="20"/>
          <w:color w:val="auto"/>
        </w:rPr>
        <w:tab/>
      </w:r>
      <w:r>
        <w:rPr>
          <w:rFonts w:ascii="Courier New" w:cs="Courier New" w:eastAsia="Courier New" w:hAnsi="Courier New"/>
          <w:sz w:val="14"/>
          <w:szCs w:val="14"/>
          <w:color w:val="auto"/>
        </w:rPr>
        <w:t>MELLON BANK, N.A.</w:t>
      </w:r>
    </w:p>
    <w:p>
      <w:pPr>
        <w:spacing w:after="0" w:line="335" w:lineRule="exact"/>
        <w:rPr>
          <w:sz w:val="20"/>
          <w:szCs w:val="20"/>
          <w:color w:val="auto"/>
        </w:rPr>
      </w:pPr>
    </w:p>
    <w:p>
      <w:pPr>
        <w:ind w:left="1140"/>
        <w:spacing w:after="0"/>
        <w:tabs>
          <w:tab w:leader="none" w:pos="182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Marc T. Kennedy</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ind w:left="1140"/>
        <w:spacing w:after="0" w:line="238" w:lineRule="auto"/>
        <w:tabs>
          <w:tab w:leader="none" w:pos="1820" w:val="left"/>
        </w:tabs>
        <w:rPr>
          <w:sz w:val="20"/>
          <w:szCs w:val="20"/>
          <w:color w:val="auto"/>
        </w:rPr>
      </w:pPr>
      <w:r>
        <w:rPr>
          <w:rFonts w:ascii="Courier New" w:cs="Courier New" w:eastAsia="Courier New" w:hAnsi="Courier New"/>
          <w:sz w:val="15"/>
          <w:szCs w:val="15"/>
          <w:color w:val="auto"/>
        </w:rPr>
        <w:t>Title:</w:t>
        <w:tab/>
        <w:t>AJP</w:t>
      </w:r>
    </w:p>
    <w:p>
      <w:pPr>
        <w:spacing w:after="0" w:line="33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$42,000,000</w:t>
      </w:r>
      <w:r>
        <w:rPr>
          <w:sz w:val="20"/>
          <w:szCs w:val="20"/>
          <w:color w:val="auto"/>
        </w:rPr>
        <w:tab/>
      </w:r>
      <w:r>
        <w:rPr>
          <w:rFonts w:ascii="Courier New" w:cs="Courier New" w:eastAsia="Courier New" w:hAnsi="Courier New"/>
          <w:sz w:val="14"/>
          <w:szCs w:val="14"/>
          <w:color w:val="auto"/>
        </w:rPr>
        <w:t>UNION BANK OF SWITZERLAND, CHICAGO BRANCH</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39"/>
          </w:cols>
          <w:pgMar w:left="220" w:top="617" w:right="1440" w:bottom="1440" w:gutter="0" w:footer="0" w:header="0"/>
        </w:sectPr>
      </w:pPr>
    </w:p>
    <w:bookmarkStart w:id="95" w:name="page96"/>
    <w:bookmarkEnd w:id="95"/>
    <w:p>
      <w:pPr>
        <w:jc w:val="right"/>
        <w:ind w:right="3499"/>
        <w:spacing w:after="0"/>
        <w:rPr>
          <w:sz w:val="20"/>
          <w:szCs w:val="20"/>
          <w:color w:val="auto"/>
        </w:rPr>
      </w:pPr>
      <w:r>
        <w:rPr>
          <w:rFonts w:ascii="Courier New" w:cs="Courier New" w:eastAsia="Courier New" w:hAnsi="Courier New"/>
          <w:sz w:val="15"/>
          <w:szCs w:val="15"/>
          <w:color w:val="auto"/>
        </w:rPr>
        <w:t>61</w:t>
      </w:r>
    </w:p>
    <w:p>
      <w:pPr>
        <w:spacing w:after="0" w:line="166"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$62,500,000</w:t>
      </w:r>
      <w:r>
        <w:rPr>
          <w:sz w:val="20"/>
          <w:szCs w:val="20"/>
          <w:color w:val="auto"/>
        </w:rPr>
        <w:tab/>
      </w:r>
      <w:r>
        <w:rPr>
          <w:rFonts w:ascii="Courier New" w:cs="Courier New" w:eastAsia="Courier New" w:hAnsi="Courier New"/>
          <w:sz w:val="14"/>
          <w:szCs w:val="14"/>
          <w:color w:val="auto"/>
        </w:rPr>
        <w:t>THE HONG KONG &amp; SHANGHAI BANKING</w:t>
      </w:r>
    </w:p>
    <w:p>
      <w:pPr>
        <w:ind w:left="1140"/>
        <w:spacing w:after="0" w:line="237" w:lineRule="auto"/>
        <w:rPr>
          <w:sz w:val="20"/>
          <w:szCs w:val="20"/>
          <w:color w:val="auto"/>
        </w:rPr>
      </w:pPr>
      <w:r>
        <w:rPr>
          <w:rFonts w:ascii="Courier New" w:cs="Courier New" w:eastAsia="Courier New" w:hAnsi="Courier New"/>
          <w:sz w:val="15"/>
          <w:szCs w:val="15"/>
          <w:color w:val="auto"/>
        </w:rPr>
        <w:t>CORPORATION LTD.</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303"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$62,500,000</w:t>
      </w:r>
      <w:r>
        <w:rPr>
          <w:sz w:val="20"/>
          <w:szCs w:val="20"/>
          <w:color w:val="auto"/>
        </w:rPr>
        <w:tab/>
      </w:r>
      <w:r>
        <w:rPr>
          <w:rFonts w:ascii="Courier New" w:cs="Courier New" w:eastAsia="Courier New" w:hAnsi="Courier New"/>
          <w:sz w:val="14"/>
          <w:szCs w:val="14"/>
          <w:color w:val="auto"/>
        </w:rPr>
        <w:t>NATIONSBANK, N.A.</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$50,000,000</w:t>
      </w:r>
      <w:r>
        <w:rPr>
          <w:sz w:val="20"/>
          <w:szCs w:val="20"/>
          <w:color w:val="auto"/>
        </w:rPr>
        <w:tab/>
      </w:r>
      <w:r>
        <w:rPr>
          <w:rFonts w:ascii="Courier New" w:cs="Courier New" w:eastAsia="Courier New" w:hAnsi="Courier New"/>
          <w:sz w:val="14"/>
          <w:szCs w:val="14"/>
          <w:color w:val="auto"/>
        </w:rPr>
        <w:t>THE BANK OF NEW YORK</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$42,000,000</w:t>
      </w:r>
      <w:r>
        <w:rPr>
          <w:sz w:val="20"/>
          <w:szCs w:val="20"/>
          <w:color w:val="auto"/>
        </w:rPr>
        <w:tab/>
      </w:r>
      <w:r>
        <w:rPr>
          <w:rFonts w:ascii="Courier New" w:cs="Courier New" w:eastAsia="Courier New" w:hAnsi="Courier New"/>
          <w:sz w:val="14"/>
          <w:szCs w:val="14"/>
          <w:color w:val="auto"/>
        </w:rPr>
        <w:t>BANK OF AMERICA NATIONAL TRUST AND SAVINGS ASSOCIATION</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$42,000,000</w:t>
      </w:r>
      <w:r>
        <w:rPr>
          <w:sz w:val="20"/>
          <w:szCs w:val="20"/>
          <w:color w:val="auto"/>
        </w:rPr>
        <w:tab/>
      </w:r>
      <w:r>
        <w:rPr>
          <w:rFonts w:ascii="Courier New" w:cs="Courier New" w:eastAsia="Courier New" w:hAnsi="Courier New"/>
          <w:sz w:val="14"/>
          <w:szCs w:val="14"/>
          <w:color w:val="auto"/>
        </w:rPr>
        <w:t>MELLON BANK, N.A.</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$42,000,000</w:t>
      </w:r>
      <w:r>
        <w:rPr>
          <w:sz w:val="20"/>
          <w:szCs w:val="20"/>
          <w:color w:val="auto"/>
        </w:rPr>
        <w:tab/>
      </w:r>
      <w:r>
        <w:rPr>
          <w:rFonts w:ascii="Courier New" w:cs="Courier New" w:eastAsia="Courier New" w:hAnsi="Courier New"/>
          <w:sz w:val="14"/>
          <w:szCs w:val="14"/>
          <w:color w:val="auto"/>
        </w:rPr>
        <w:t>UNION BANK OF SWITZERLAND, CHICAGO BRANCH</w:t>
      </w:r>
    </w:p>
    <w:p>
      <w:pPr>
        <w:spacing w:after="0" w:line="335" w:lineRule="exact"/>
        <w:rPr>
          <w:sz w:val="20"/>
          <w:szCs w:val="20"/>
          <w:color w:val="auto"/>
        </w:rPr>
      </w:pPr>
    </w:p>
    <w:p>
      <w:pPr>
        <w:ind w:left="1140"/>
        <w:spacing w:after="0"/>
        <w:tabs>
          <w:tab w:leader="none" w:pos="182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David Danhauer</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ind w:left="1140"/>
        <w:spacing w:after="0" w:line="238" w:lineRule="auto"/>
        <w:tabs>
          <w:tab w:leader="none" w:pos="1820" w:val="left"/>
        </w:tabs>
        <w:rPr>
          <w:sz w:val="20"/>
          <w:szCs w:val="20"/>
          <w:color w:val="auto"/>
        </w:rPr>
      </w:pPr>
      <w:r>
        <w:rPr>
          <w:rFonts w:ascii="Courier New" w:cs="Courier New" w:eastAsia="Courier New" w:hAnsi="Courier New"/>
          <w:sz w:val="15"/>
          <w:szCs w:val="15"/>
          <w:color w:val="auto"/>
        </w:rPr>
        <w:t>Title:</w:t>
        <w:tab/>
        <w:t>Vice President</w:t>
      </w:r>
    </w:p>
    <w:p>
      <w:pPr>
        <w:sectPr>
          <w:pgSz w:w="11900" w:h="16838" w:orient="portrait"/>
          <w:cols w:equalWidth="0" w:num="1">
            <w:col w:w="10239"/>
          </w:cols>
          <w:pgMar w:left="220" w:top="617" w:right="1440" w:bottom="1440" w:gutter="0" w:footer="0" w:header="0"/>
        </w:sectPr>
      </w:pPr>
    </w:p>
    <w:bookmarkStart w:id="96" w:name="page97"/>
    <w:bookmarkEnd w:id="96"/>
    <w:p>
      <w:pPr>
        <w:ind w:left="100"/>
        <w:spacing w:after="0"/>
        <w:tabs>
          <w:tab w:leader="none" w:pos="1220" w:val="left"/>
        </w:tabs>
        <w:rPr>
          <w:sz w:val="20"/>
          <w:szCs w:val="20"/>
          <w:color w:val="auto"/>
        </w:rPr>
      </w:pPr>
      <w:r>
        <w:rPr>
          <w:rFonts w:ascii="Courier New" w:cs="Courier New" w:eastAsia="Courier New" w:hAnsi="Courier New"/>
          <w:sz w:val="15"/>
          <w:szCs w:val="15"/>
          <w:color w:val="auto"/>
        </w:rPr>
        <w:t>$40,000,000</w:t>
      </w:r>
      <w:r>
        <w:rPr>
          <w:sz w:val="20"/>
          <w:szCs w:val="20"/>
          <w:color w:val="auto"/>
        </w:rPr>
        <w:tab/>
      </w:r>
      <w:r>
        <w:rPr>
          <w:rFonts w:ascii="Courier New" w:cs="Courier New" w:eastAsia="Courier New" w:hAnsi="Courier New"/>
          <w:sz w:val="14"/>
          <w:szCs w:val="14"/>
          <w:color w:val="auto"/>
        </w:rPr>
        <w:t>CREDIT SUISSE</w:t>
      </w:r>
    </w:p>
    <w:p>
      <w:pPr>
        <w:spacing w:after="0" w:line="335" w:lineRule="exact"/>
        <w:rPr>
          <w:sz w:val="20"/>
          <w:szCs w:val="20"/>
          <w:color w:val="auto"/>
        </w:rPr>
      </w:pPr>
    </w:p>
    <w:tbl>
      <w:tblPr>
        <w:tblLayout w:type="fixed"/>
        <w:tblInd w:w="1140" w:type="dxa"/>
        <w:tblCellMar>
          <w:top w:w="0" w:type="dxa"/>
          <w:left w:w="0" w:type="dxa"/>
          <w:bottom w:w="0" w:type="dxa"/>
          <w:right w:w="0" w:type="dxa"/>
        </w:tblCellMar>
      </w:tblPr>
      <w:tr>
        <w:trPr>
          <w:trHeight w:val="170"/>
        </w:trPr>
        <w:tc>
          <w:tcPr>
            <w:tcW w:w="62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/s/</w:t>
            </w:r>
          </w:p>
        </w:tc>
        <w:tc>
          <w:tcPr>
            <w:tcW w:w="1740" w:type="dxa"/>
            <w:vAlign w:val="bottom"/>
          </w:tcPr>
          <w:p>
            <w:pPr>
              <w:ind w:left="80"/>
              <w:spacing w:after="0"/>
              <w:rPr>
                <w:sz w:val="20"/>
                <w:szCs w:val="20"/>
                <w:color w:val="auto"/>
              </w:rPr>
            </w:pPr>
            <w:r>
              <w:rPr>
                <w:rFonts w:ascii="Courier New" w:cs="Courier New" w:eastAsia="Courier New" w:hAnsi="Courier New"/>
                <w:sz w:val="15"/>
                <w:szCs w:val="15"/>
                <w:color w:val="auto"/>
              </w:rPr>
              <w:t>Thomas G. Muoio</w:t>
            </w:r>
          </w:p>
        </w:tc>
      </w:tr>
      <w:tr>
        <w:trPr>
          <w:trHeight w:val="168"/>
        </w:trPr>
        <w:tc>
          <w:tcPr>
            <w:tcW w:w="620" w:type="dxa"/>
            <w:vAlign w:val="bottom"/>
          </w:tcPr>
          <w:p>
            <w:pPr>
              <w:spacing w:after="0"/>
              <w:rPr>
                <w:sz w:val="14"/>
                <w:szCs w:val="14"/>
                <w:color w:val="auto"/>
              </w:rPr>
            </w:pPr>
          </w:p>
        </w:tc>
        <w:tc>
          <w:tcPr>
            <w:tcW w:w="21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Title:</w:t>
            </w:r>
          </w:p>
        </w:tc>
        <w:tc>
          <w:tcPr>
            <w:tcW w:w="21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Associate</w:t>
            </w:r>
          </w:p>
        </w:tc>
      </w:tr>
      <w:tr>
        <w:trPr>
          <w:trHeight w:val="336"/>
        </w:trPr>
        <w:tc>
          <w:tcPr>
            <w:tcW w:w="62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/s/</w:t>
            </w:r>
          </w:p>
        </w:tc>
        <w:tc>
          <w:tcPr>
            <w:tcW w:w="1740" w:type="dxa"/>
            <w:vAlign w:val="bottom"/>
          </w:tcPr>
          <w:p>
            <w:pPr>
              <w:ind w:left="80"/>
              <w:spacing w:after="0"/>
              <w:rPr>
                <w:sz w:val="20"/>
                <w:szCs w:val="20"/>
                <w:color w:val="auto"/>
              </w:rPr>
            </w:pPr>
            <w:r>
              <w:rPr>
                <w:rFonts w:ascii="Courier New" w:cs="Courier New" w:eastAsia="Courier New" w:hAnsi="Courier New"/>
                <w:sz w:val="15"/>
                <w:szCs w:val="15"/>
                <w:color w:val="auto"/>
              </w:rPr>
              <w:t>Dawn E. Rubinstein</w:t>
            </w:r>
          </w:p>
        </w:tc>
      </w:tr>
      <w:tr>
        <w:trPr>
          <w:trHeight w:val="168"/>
        </w:trPr>
        <w:tc>
          <w:tcPr>
            <w:tcW w:w="620" w:type="dxa"/>
            <w:vAlign w:val="bottom"/>
          </w:tcPr>
          <w:p>
            <w:pPr>
              <w:spacing w:after="0"/>
              <w:rPr>
                <w:sz w:val="14"/>
                <w:szCs w:val="14"/>
                <w:color w:val="auto"/>
              </w:rPr>
            </w:pPr>
          </w:p>
        </w:tc>
        <w:tc>
          <w:tcPr>
            <w:tcW w:w="21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Title:</w:t>
            </w:r>
          </w:p>
        </w:tc>
        <w:tc>
          <w:tcPr>
            <w:tcW w:w="21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Associate</w:t>
            </w:r>
          </w:p>
        </w:tc>
      </w:tr>
    </w:tbl>
    <w:p>
      <w:pPr>
        <w:spacing w:after="0" w:line="200" w:lineRule="exact"/>
        <w:rPr>
          <w:sz w:val="20"/>
          <w:szCs w:val="20"/>
          <w:color w:val="auto"/>
        </w:rPr>
      </w:pPr>
    </w:p>
    <w:p>
      <w:pPr>
        <w:spacing w:after="0" w:line="303"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$35,000,000</w:t>
      </w:r>
      <w:r>
        <w:rPr>
          <w:sz w:val="20"/>
          <w:szCs w:val="20"/>
          <w:color w:val="auto"/>
        </w:rPr>
        <w:tab/>
      </w:r>
      <w:r>
        <w:rPr>
          <w:rFonts w:ascii="Courier New" w:cs="Courier New" w:eastAsia="Courier New" w:hAnsi="Courier New"/>
          <w:sz w:val="14"/>
          <w:szCs w:val="14"/>
          <w:color w:val="auto"/>
        </w:rPr>
        <w:t>THE BANK OF NOVA SCOTIA</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$35,000,000</w:t>
      </w:r>
      <w:r>
        <w:rPr>
          <w:sz w:val="20"/>
          <w:szCs w:val="20"/>
          <w:color w:val="auto"/>
        </w:rPr>
        <w:tab/>
      </w:r>
      <w:r>
        <w:rPr>
          <w:rFonts w:ascii="Courier New" w:cs="Courier New" w:eastAsia="Courier New" w:hAnsi="Courier New"/>
          <w:sz w:val="14"/>
          <w:szCs w:val="14"/>
          <w:color w:val="auto"/>
        </w:rPr>
        <w:t>HUNTINGTON NATIONAL BANK</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$35,000,000</w:t>
      </w:r>
      <w:r>
        <w:rPr>
          <w:sz w:val="20"/>
          <w:szCs w:val="20"/>
          <w:color w:val="auto"/>
        </w:rPr>
        <w:tab/>
      </w:r>
      <w:r>
        <w:rPr>
          <w:rFonts w:ascii="Courier New" w:cs="Courier New" w:eastAsia="Courier New" w:hAnsi="Courier New"/>
          <w:sz w:val="14"/>
          <w:szCs w:val="14"/>
          <w:color w:val="auto"/>
        </w:rPr>
        <w:t>NATIONAL CITY BANK, COLUMBUS</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$30,000,000</w:t>
      </w:r>
      <w:r>
        <w:rPr>
          <w:sz w:val="20"/>
          <w:szCs w:val="20"/>
          <w:color w:val="auto"/>
        </w:rPr>
        <w:tab/>
      </w:r>
      <w:r>
        <w:rPr>
          <w:rFonts w:ascii="Courier New" w:cs="Courier New" w:eastAsia="Courier New" w:hAnsi="Courier New"/>
          <w:sz w:val="14"/>
          <w:szCs w:val="14"/>
          <w:color w:val="auto"/>
        </w:rPr>
        <w:t>ABN AMRO BANK, N.V.</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$30,000,000</w:t>
      </w:r>
      <w:r>
        <w:rPr>
          <w:sz w:val="20"/>
          <w:szCs w:val="20"/>
          <w:color w:val="auto"/>
        </w:rPr>
        <w:tab/>
      </w:r>
      <w:r>
        <w:rPr>
          <w:rFonts w:ascii="Courier New" w:cs="Courier New" w:eastAsia="Courier New" w:hAnsi="Courier New"/>
          <w:sz w:val="14"/>
          <w:szCs w:val="14"/>
          <w:color w:val="auto"/>
        </w:rPr>
        <w:t>THE FIRST NATIONAL BANK OF BOSTON</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39"/>
          </w:cols>
          <w:pgMar w:left="220" w:top="617" w:right="1440" w:bottom="1440" w:gutter="0" w:footer="0" w:header="0"/>
        </w:sectPr>
      </w:pPr>
    </w:p>
    <w:bookmarkStart w:id="97" w:name="page98"/>
    <w:bookmarkEnd w:id="97"/>
    <w:p>
      <w:pPr>
        <w:spacing w:after="0"/>
        <w:tabs>
          <w:tab w:leader="none" w:pos="1120" w:val="left"/>
        </w:tabs>
        <w:rPr>
          <w:sz w:val="20"/>
          <w:szCs w:val="20"/>
          <w:color w:val="auto"/>
        </w:rPr>
      </w:pPr>
      <w:r>
        <w:rPr>
          <w:rFonts w:ascii="Courier New" w:cs="Courier New" w:eastAsia="Courier New" w:hAnsi="Courier New"/>
          <w:sz w:val="15"/>
          <w:szCs w:val="15"/>
          <w:color w:val="auto"/>
        </w:rPr>
        <w:t>$40,000,000</w:t>
      </w:r>
      <w:r>
        <w:rPr>
          <w:sz w:val="20"/>
          <w:szCs w:val="20"/>
          <w:color w:val="auto"/>
        </w:rPr>
        <w:tab/>
      </w:r>
      <w:r>
        <w:rPr>
          <w:rFonts w:ascii="Courier New" w:cs="Courier New" w:eastAsia="Courier New" w:hAnsi="Courier New"/>
          <w:sz w:val="14"/>
          <w:szCs w:val="14"/>
          <w:color w:val="auto"/>
        </w:rPr>
        <w:t>CREDIT SUISSE</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303"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$35,000,000</w:t>
      </w:r>
      <w:r>
        <w:rPr>
          <w:sz w:val="20"/>
          <w:szCs w:val="20"/>
          <w:color w:val="auto"/>
        </w:rPr>
        <w:tab/>
      </w:r>
      <w:r>
        <w:rPr>
          <w:rFonts w:ascii="Courier New" w:cs="Courier New" w:eastAsia="Courier New" w:hAnsi="Courier New"/>
          <w:sz w:val="14"/>
          <w:szCs w:val="14"/>
          <w:color w:val="auto"/>
        </w:rPr>
        <w:t>THE BANK OF NOVA SCOTIA</w:t>
      </w:r>
    </w:p>
    <w:p>
      <w:pPr>
        <w:spacing w:after="0" w:line="335" w:lineRule="exact"/>
        <w:rPr>
          <w:sz w:val="20"/>
          <w:szCs w:val="20"/>
          <w:color w:val="auto"/>
        </w:rPr>
      </w:pPr>
    </w:p>
    <w:p>
      <w:pPr>
        <w:ind w:left="1140"/>
        <w:spacing w:after="0"/>
        <w:tabs>
          <w:tab w:leader="none" w:pos="1820" w:val="left"/>
          <w:tab w:leader="none" w:pos="22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F. C. H. Ashby</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ind w:left="1140"/>
        <w:spacing w:after="0" w:line="238" w:lineRule="auto"/>
        <w:tabs>
          <w:tab w:leader="none" w:pos="1820" w:val="left"/>
        </w:tabs>
        <w:rPr>
          <w:sz w:val="20"/>
          <w:szCs w:val="20"/>
          <w:color w:val="auto"/>
        </w:rPr>
      </w:pPr>
      <w:r>
        <w:rPr>
          <w:rFonts w:ascii="Courier New" w:cs="Courier New" w:eastAsia="Courier New" w:hAnsi="Courier New"/>
          <w:sz w:val="15"/>
          <w:szCs w:val="15"/>
          <w:color w:val="auto"/>
        </w:rPr>
        <w:t>Title:</w:t>
        <w:tab/>
        <w:t>Senior Manager Loan</w:t>
      </w:r>
    </w:p>
    <w:p>
      <w:pPr>
        <w:ind w:left="1940"/>
        <w:spacing w:after="0" w:line="237" w:lineRule="auto"/>
        <w:rPr>
          <w:sz w:val="20"/>
          <w:szCs w:val="20"/>
          <w:color w:val="auto"/>
        </w:rPr>
      </w:pPr>
      <w:r>
        <w:rPr>
          <w:rFonts w:ascii="Courier New" w:cs="Courier New" w:eastAsia="Courier New" w:hAnsi="Courier New"/>
          <w:sz w:val="15"/>
          <w:szCs w:val="15"/>
          <w:color w:val="auto"/>
        </w:rPr>
        <w:t>Operations</w:t>
      </w:r>
    </w:p>
    <w:p>
      <w:pPr>
        <w:spacing w:after="0" w:line="33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$35,000,000</w:t>
      </w:r>
      <w:r>
        <w:rPr>
          <w:sz w:val="20"/>
          <w:szCs w:val="20"/>
          <w:color w:val="auto"/>
        </w:rPr>
        <w:tab/>
      </w:r>
      <w:r>
        <w:rPr>
          <w:rFonts w:ascii="Courier New" w:cs="Courier New" w:eastAsia="Courier New" w:hAnsi="Courier New"/>
          <w:sz w:val="14"/>
          <w:szCs w:val="14"/>
          <w:color w:val="auto"/>
        </w:rPr>
        <w:t>HUNTINGTON NATIONAL BANK</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$35,000,000</w:t>
      </w:r>
      <w:r>
        <w:rPr>
          <w:sz w:val="20"/>
          <w:szCs w:val="20"/>
          <w:color w:val="auto"/>
        </w:rPr>
        <w:tab/>
      </w:r>
      <w:r>
        <w:rPr>
          <w:rFonts w:ascii="Courier New" w:cs="Courier New" w:eastAsia="Courier New" w:hAnsi="Courier New"/>
          <w:sz w:val="14"/>
          <w:szCs w:val="14"/>
          <w:color w:val="auto"/>
        </w:rPr>
        <w:t>NATIONAL CITY BANK, COLUMBUS</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jc w:val="center"/>
        <w:ind w:right="7439"/>
        <w:spacing w:after="0" w:line="237"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$30,000,000</w:t>
      </w:r>
      <w:r>
        <w:rPr>
          <w:sz w:val="20"/>
          <w:szCs w:val="20"/>
          <w:color w:val="auto"/>
        </w:rPr>
        <w:tab/>
      </w:r>
      <w:r>
        <w:rPr>
          <w:rFonts w:ascii="Courier New" w:cs="Courier New" w:eastAsia="Courier New" w:hAnsi="Courier New"/>
          <w:sz w:val="14"/>
          <w:szCs w:val="14"/>
          <w:color w:val="auto"/>
        </w:rPr>
        <w:t>ABN AMRO BANK, N.V.</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$30,000,000</w:t>
      </w:r>
      <w:r>
        <w:rPr>
          <w:sz w:val="20"/>
          <w:szCs w:val="20"/>
          <w:color w:val="auto"/>
        </w:rPr>
        <w:tab/>
      </w:r>
      <w:r>
        <w:rPr>
          <w:rFonts w:ascii="Courier New" w:cs="Courier New" w:eastAsia="Courier New" w:hAnsi="Courier New"/>
          <w:sz w:val="14"/>
          <w:szCs w:val="14"/>
          <w:color w:val="auto"/>
        </w:rPr>
        <w:t>THE FIRST NATIONAL BANK OF BOSTON</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39"/>
          </w:cols>
          <w:pgMar w:left="220" w:top="617" w:right="1440" w:bottom="1440" w:gutter="0" w:footer="0" w:header="0"/>
        </w:sectPr>
      </w:pPr>
    </w:p>
    <w:bookmarkStart w:id="98" w:name="page99"/>
    <w:bookmarkEnd w:id="98"/>
    <w:p>
      <w:pPr>
        <w:spacing w:after="0"/>
        <w:tabs>
          <w:tab w:leader="none" w:pos="1120" w:val="left"/>
        </w:tabs>
        <w:rPr>
          <w:sz w:val="20"/>
          <w:szCs w:val="20"/>
          <w:color w:val="auto"/>
        </w:rPr>
      </w:pPr>
      <w:r>
        <w:rPr>
          <w:rFonts w:ascii="Courier New" w:cs="Courier New" w:eastAsia="Courier New" w:hAnsi="Courier New"/>
          <w:sz w:val="15"/>
          <w:szCs w:val="15"/>
          <w:color w:val="auto"/>
        </w:rPr>
        <w:t>$40,000,000</w:t>
      </w:r>
      <w:r>
        <w:rPr>
          <w:sz w:val="20"/>
          <w:szCs w:val="20"/>
          <w:color w:val="auto"/>
        </w:rPr>
        <w:tab/>
      </w:r>
      <w:r>
        <w:rPr>
          <w:rFonts w:ascii="Courier New" w:cs="Courier New" w:eastAsia="Courier New" w:hAnsi="Courier New"/>
          <w:sz w:val="14"/>
          <w:szCs w:val="14"/>
          <w:color w:val="auto"/>
        </w:rPr>
        <w:t>CREDIT SUISSE</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$35,000,000</w:t>
      </w:r>
      <w:r>
        <w:rPr>
          <w:sz w:val="20"/>
          <w:szCs w:val="20"/>
          <w:color w:val="auto"/>
        </w:rPr>
        <w:tab/>
      </w:r>
      <w:r>
        <w:rPr>
          <w:rFonts w:ascii="Courier New" w:cs="Courier New" w:eastAsia="Courier New" w:hAnsi="Courier New"/>
          <w:sz w:val="14"/>
          <w:szCs w:val="14"/>
          <w:color w:val="auto"/>
        </w:rPr>
        <w:t>THE BANK OF NOVA SCOTIA</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$35,000,000</w:t>
      </w:r>
      <w:r>
        <w:rPr>
          <w:sz w:val="20"/>
          <w:szCs w:val="20"/>
          <w:color w:val="auto"/>
        </w:rPr>
        <w:tab/>
      </w:r>
      <w:r>
        <w:rPr>
          <w:rFonts w:ascii="Courier New" w:cs="Courier New" w:eastAsia="Courier New" w:hAnsi="Courier New"/>
          <w:sz w:val="14"/>
          <w:szCs w:val="14"/>
          <w:color w:val="auto"/>
        </w:rPr>
        <w:t>HUNTINGTON NATIONAL BANK</w:t>
      </w:r>
    </w:p>
    <w:p>
      <w:pPr>
        <w:spacing w:after="0" w:line="335" w:lineRule="exact"/>
        <w:rPr>
          <w:sz w:val="20"/>
          <w:szCs w:val="20"/>
          <w:color w:val="auto"/>
        </w:rPr>
      </w:pPr>
    </w:p>
    <w:p>
      <w:pPr>
        <w:ind w:left="1140"/>
        <w:spacing w:after="0"/>
        <w:tabs>
          <w:tab w:leader="none" w:pos="1820" w:val="left"/>
          <w:tab w:leader="none" w:pos="22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Lynn Karr</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ind w:left="1140"/>
        <w:spacing w:after="0" w:line="238" w:lineRule="auto"/>
        <w:tabs>
          <w:tab w:leader="none" w:pos="1820" w:val="left"/>
        </w:tabs>
        <w:rPr>
          <w:sz w:val="20"/>
          <w:szCs w:val="20"/>
          <w:color w:val="auto"/>
        </w:rPr>
      </w:pPr>
      <w:r>
        <w:rPr>
          <w:rFonts w:ascii="Courier New" w:cs="Courier New" w:eastAsia="Courier New" w:hAnsi="Courier New"/>
          <w:sz w:val="15"/>
          <w:szCs w:val="15"/>
          <w:color w:val="auto"/>
        </w:rPr>
        <w:t>Title:</w:t>
        <w:tab/>
        <w:t>Vice President</w:t>
      </w:r>
    </w:p>
    <w:p>
      <w:pPr>
        <w:spacing w:after="0" w:line="33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$35,000,000</w:t>
      </w:r>
      <w:r>
        <w:rPr>
          <w:sz w:val="20"/>
          <w:szCs w:val="20"/>
          <w:color w:val="auto"/>
        </w:rPr>
        <w:tab/>
      </w:r>
      <w:r>
        <w:rPr>
          <w:rFonts w:ascii="Courier New" w:cs="Courier New" w:eastAsia="Courier New" w:hAnsi="Courier New"/>
          <w:sz w:val="14"/>
          <w:szCs w:val="14"/>
          <w:color w:val="auto"/>
        </w:rPr>
        <w:t>NATIONAL CITY BANK, COLUMBUS</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$30,000,000</w:t>
      </w:r>
      <w:r>
        <w:rPr>
          <w:sz w:val="20"/>
          <w:szCs w:val="20"/>
          <w:color w:val="auto"/>
        </w:rPr>
        <w:tab/>
      </w:r>
      <w:r>
        <w:rPr>
          <w:rFonts w:ascii="Courier New" w:cs="Courier New" w:eastAsia="Courier New" w:hAnsi="Courier New"/>
          <w:sz w:val="14"/>
          <w:szCs w:val="14"/>
          <w:color w:val="auto"/>
        </w:rPr>
        <w:t>ABN AMRO BANK, N.V.</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$30,000,000</w:t>
      </w:r>
      <w:r>
        <w:rPr>
          <w:sz w:val="20"/>
          <w:szCs w:val="20"/>
          <w:color w:val="auto"/>
        </w:rPr>
        <w:tab/>
      </w:r>
      <w:r>
        <w:rPr>
          <w:rFonts w:ascii="Courier New" w:cs="Courier New" w:eastAsia="Courier New" w:hAnsi="Courier New"/>
          <w:sz w:val="14"/>
          <w:szCs w:val="14"/>
          <w:color w:val="auto"/>
        </w:rPr>
        <w:t>THE FIRST NATIONAL BANK OF BOSTON</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39"/>
          </w:cols>
          <w:pgMar w:left="220" w:top="617" w:right="1440" w:bottom="1440" w:gutter="0" w:footer="0" w:header="0"/>
        </w:sectPr>
      </w:pPr>
    </w:p>
    <w:bookmarkStart w:id="99" w:name="page100"/>
    <w:bookmarkEnd w:id="99"/>
    <w:p>
      <w:pPr>
        <w:spacing w:after="0"/>
        <w:tabs>
          <w:tab w:leader="none" w:pos="1120" w:val="left"/>
        </w:tabs>
        <w:rPr>
          <w:sz w:val="20"/>
          <w:szCs w:val="20"/>
          <w:color w:val="auto"/>
        </w:rPr>
      </w:pPr>
      <w:r>
        <w:rPr>
          <w:rFonts w:ascii="Courier New" w:cs="Courier New" w:eastAsia="Courier New" w:hAnsi="Courier New"/>
          <w:sz w:val="15"/>
          <w:szCs w:val="15"/>
          <w:color w:val="auto"/>
        </w:rPr>
        <w:t>$40,000,000</w:t>
      </w:r>
      <w:r>
        <w:rPr>
          <w:sz w:val="20"/>
          <w:szCs w:val="20"/>
          <w:color w:val="auto"/>
        </w:rPr>
        <w:tab/>
      </w:r>
      <w:r>
        <w:rPr>
          <w:rFonts w:ascii="Courier New" w:cs="Courier New" w:eastAsia="Courier New" w:hAnsi="Courier New"/>
          <w:sz w:val="14"/>
          <w:szCs w:val="14"/>
          <w:color w:val="auto"/>
        </w:rPr>
        <w:t>CREDIT SUISSE</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$35,000,000</w:t>
      </w:r>
      <w:r>
        <w:rPr>
          <w:sz w:val="20"/>
          <w:szCs w:val="20"/>
          <w:color w:val="auto"/>
        </w:rPr>
        <w:tab/>
      </w:r>
      <w:r>
        <w:rPr>
          <w:rFonts w:ascii="Courier New" w:cs="Courier New" w:eastAsia="Courier New" w:hAnsi="Courier New"/>
          <w:sz w:val="14"/>
          <w:szCs w:val="14"/>
          <w:color w:val="auto"/>
        </w:rPr>
        <w:t>THE BANK OF NOVA SCOTIA</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$35,000,000</w:t>
      </w:r>
      <w:r>
        <w:rPr>
          <w:sz w:val="20"/>
          <w:szCs w:val="20"/>
          <w:color w:val="auto"/>
        </w:rPr>
        <w:tab/>
      </w:r>
      <w:r>
        <w:rPr>
          <w:rFonts w:ascii="Courier New" w:cs="Courier New" w:eastAsia="Courier New" w:hAnsi="Courier New"/>
          <w:sz w:val="14"/>
          <w:szCs w:val="14"/>
          <w:color w:val="auto"/>
        </w:rPr>
        <w:t>HUNTINGTON NATIONAL BANK</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$35,000,000</w:t>
      </w:r>
      <w:r>
        <w:rPr>
          <w:sz w:val="20"/>
          <w:szCs w:val="20"/>
          <w:color w:val="auto"/>
        </w:rPr>
        <w:tab/>
      </w:r>
      <w:r>
        <w:rPr>
          <w:rFonts w:ascii="Courier New" w:cs="Courier New" w:eastAsia="Courier New" w:hAnsi="Courier New"/>
          <w:sz w:val="14"/>
          <w:szCs w:val="14"/>
          <w:color w:val="auto"/>
        </w:rPr>
        <w:t>NATIONAL CITY BANK, COLUMBUS</w:t>
      </w:r>
    </w:p>
    <w:p>
      <w:pPr>
        <w:spacing w:after="0" w:line="335" w:lineRule="exact"/>
        <w:rPr>
          <w:sz w:val="20"/>
          <w:szCs w:val="20"/>
          <w:color w:val="auto"/>
        </w:rPr>
      </w:pPr>
    </w:p>
    <w:p>
      <w:pPr>
        <w:ind w:left="1140"/>
        <w:spacing w:after="0"/>
        <w:tabs>
          <w:tab w:leader="none" w:pos="1820" w:val="left"/>
          <w:tab w:leader="none" w:pos="22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William J. Whitley</w:t>
      </w:r>
    </w:p>
    <w:p>
      <w:pPr>
        <w:spacing w:after="0" w:line="5"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140"/>
        <w:spacing w:after="0"/>
        <w:tabs>
          <w:tab w:leader="none" w:pos="1820" w:val="left"/>
        </w:tabs>
        <w:rPr>
          <w:sz w:val="20"/>
          <w:szCs w:val="20"/>
          <w:color w:val="auto"/>
        </w:rPr>
      </w:pPr>
      <w:r>
        <w:rPr>
          <w:rFonts w:ascii="Courier New" w:cs="Courier New" w:eastAsia="Courier New" w:hAnsi="Courier New"/>
          <w:sz w:val="15"/>
          <w:szCs w:val="15"/>
          <w:color w:val="auto"/>
        </w:rPr>
        <w:t>Title:</w:t>
        <w:tab/>
        <w:t>Vice President</w:t>
      </w:r>
    </w:p>
    <w:p>
      <w:pPr>
        <w:spacing w:after="0" w:line="33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$30,000,000</w:t>
      </w:r>
      <w:r>
        <w:rPr>
          <w:sz w:val="20"/>
          <w:szCs w:val="20"/>
          <w:color w:val="auto"/>
        </w:rPr>
        <w:tab/>
      </w:r>
      <w:r>
        <w:rPr>
          <w:rFonts w:ascii="Courier New" w:cs="Courier New" w:eastAsia="Courier New" w:hAnsi="Courier New"/>
          <w:sz w:val="14"/>
          <w:szCs w:val="14"/>
          <w:color w:val="auto"/>
        </w:rPr>
        <w:t>ABN AMRO BANK, N.V.</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$30,000,000</w:t>
      </w:r>
      <w:r>
        <w:rPr>
          <w:sz w:val="20"/>
          <w:szCs w:val="20"/>
          <w:color w:val="auto"/>
        </w:rPr>
        <w:tab/>
      </w:r>
      <w:r>
        <w:rPr>
          <w:rFonts w:ascii="Courier New" w:cs="Courier New" w:eastAsia="Courier New" w:hAnsi="Courier New"/>
          <w:sz w:val="14"/>
          <w:szCs w:val="14"/>
          <w:color w:val="auto"/>
        </w:rPr>
        <w:t>THE FIRST NATIONAL BANK OF BOSTON</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39"/>
          </w:cols>
          <w:pgMar w:left="220" w:top="617" w:right="1440" w:bottom="1440" w:gutter="0" w:footer="0" w:header="0"/>
        </w:sectPr>
      </w:pPr>
    </w:p>
    <w:bookmarkStart w:id="100" w:name="page101"/>
    <w:bookmarkEnd w:id="100"/>
    <w:p>
      <w:pPr>
        <w:spacing w:after="0"/>
        <w:tabs>
          <w:tab w:leader="none" w:pos="1120" w:val="left"/>
        </w:tabs>
        <w:rPr>
          <w:sz w:val="20"/>
          <w:szCs w:val="20"/>
          <w:color w:val="auto"/>
        </w:rPr>
      </w:pPr>
      <w:r>
        <w:rPr>
          <w:rFonts w:ascii="Courier New" w:cs="Courier New" w:eastAsia="Courier New" w:hAnsi="Courier New"/>
          <w:sz w:val="15"/>
          <w:szCs w:val="15"/>
          <w:color w:val="auto"/>
        </w:rPr>
        <w:t>$40,000,000</w:t>
      </w:r>
      <w:r>
        <w:rPr>
          <w:sz w:val="20"/>
          <w:szCs w:val="20"/>
          <w:color w:val="auto"/>
        </w:rPr>
        <w:tab/>
      </w:r>
      <w:r>
        <w:rPr>
          <w:rFonts w:ascii="Courier New" w:cs="Courier New" w:eastAsia="Courier New" w:hAnsi="Courier New"/>
          <w:sz w:val="14"/>
          <w:szCs w:val="14"/>
          <w:color w:val="auto"/>
        </w:rPr>
        <w:t>CREDIT SUISSE</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$35,000,000</w:t>
      </w:r>
      <w:r>
        <w:rPr>
          <w:sz w:val="20"/>
          <w:szCs w:val="20"/>
          <w:color w:val="auto"/>
        </w:rPr>
        <w:tab/>
      </w:r>
      <w:r>
        <w:rPr>
          <w:rFonts w:ascii="Courier New" w:cs="Courier New" w:eastAsia="Courier New" w:hAnsi="Courier New"/>
          <w:sz w:val="14"/>
          <w:szCs w:val="14"/>
          <w:color w:val="auto"/>
        </w:rPr>
        <w:t>THE BANK OF NOVA SCOTIA</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$35,000,000</w:t>
      </w:r>
      <w:r>
        <w:rPr>
          <w:sz w:val="20"/>
          <w:szCs w:val="20"/>
          <w:color w:val="auto"/>
        </w:rPr>
        <w:tab/>
      </w:r>
      <w:r>
        <w:rPr>
          <w:rFonts w:ascii="Courier New" w:cs="Courier New" w:eastAsia="Courier New" w:hAnsi="Courier New"/>
          <w:sz w:val="14"/>
          <w:szCs w:val="14"/>
          <w:color w:val="auto"/>
        </w:rPr>
        <w:t>HUNTINGTON NATIONAL BANK</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$35,000,000</w:t>
      </w:r>
      <w:r>
        <w:rPr>
          <w:sz w:val="20"/>
          <w:szCs w:val="20"/>
          <w:color w:val="auto"/>
        </w:rPr>
        <w:tab/>
      </w:r>
      <w:r>
        <w:rPr>
          <w:rFonts w:ascii="Courier New" w:cs="Courier New" w:eastAsia="Courier New" w:hAnsi="Courier New"/>
          <w:sz w:val="14"/>
          <w:szCs w:val="14"/>
          <w:color w:val="auto"/>
        </w:rPr>
        <w:t>NATIONAL CITY BANK, COLUMBUS</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$30,000,000</w:t>
      </w:r>
      <w:r>
        <w:rPr>
          <w:sz w:val="20"/>
          <w:szCs w:val="20"/>
          <w:color w:val="auto"/>
        </w:rPr>
        <w:tab/>
      </w:r>
      <w:r>
        <w:rPr>
          <w:rFonts w:ascii="Courier New" w:cs="Courier New" w:eastAsia="Courier New" w:hAnsi="Courier New"/>
          <w:sz w:val="14"/>
          <w:szCs w:val="14"/>
          <w:color w:val="auto"/>
        </w:rPr>
        <w:t>ABN AMRO BANK, N.V.</w:t>
      </w:r>
    </w:p>
    <w:p>
      <w:pPr>
        <w:spacing w:after="0" w:line="335" w:lineRule="exact"/>
        <w:rPr>
          <w:sz w:val="20"/>
          <w:szCs w:val="20"/>
          <w:color w:val="auto"/>
        </w:rPr>
      </w:pPr>
    </w:p>
    <w:tbl>
      <w:tblPr>
        <w:tblLayout w:type="fixed"/>
        <w:tblInd w:w="1140" w:type="dxa"/>
        <w:tblCellMar>
          <w:top w:w="0" w:type="dxa"/>
          <w:left w:w="0" w:type="dxa"/>
          <w:bottom w:w="0" w:type="dxa"/>
          <w:right w:w="0" w:type="dxa"/>
        </w:tblCellMar>
      </w:tblPr>
      <w:tr>
        <w:trPr>
          <w:trHeight w:val="170"/>
        </w:trPr>
        <w:tc>
          <w:tcPr>
            <w:tcW w:w="62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/s/</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Jim Janovsky</w:t>
            </w:r>
          </w:p>
        </w:tc>
      </w:tr>
      <w:tr>
        <w:trPr>
          <w:trHeight w:val="168"/>
        </w:trPr>
        <w:tc>
          <w:tcPr>
            <w:tcW w:w="620" w:type="dxa"/>
            <w:vAlign w:val="bottom"/>
          </w:tcPr>
          <w:p>
            <w:pPr>
              <w:spacing w:after="0"/>
              <w:rPr>
                <w:sz w:val="14"/>
                <w:szCs w:val="14"/>
                <w:color w:val="auto"/>
              </w:rPr>
            </w:pPr>
          </w:p>
        </w:tc>
        <w:tc>
          <w:tcPr>
            <w:tcW w:w="21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Title:</w:t>
            </w:r>
          </w:p>
        </w:tc>
        <w:tc>
          <w:tcPr>
            <w:tcW w:w="21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Group Vice President</w:t>
            </w:r>
          </w:p>
        </w:tc>
      </w:tr>
      <w:tr>
        <w:trPr>
          <w:trHeight w:val="336"/>
        </w:trPr>
        <w:tc>
          <w:tcPr>
            <w:tcW w:w="62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/s/</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Kathryn C. Toth</w:t>
            </w:r>
          </w:p>
        </w:tc>
      </w:tr>
      <w:tr>
        <w:trPr>
          <w:trHeight w:val="168"/>
        </w:trPr>
        <w:tc>
          <w:tcPr>
            <w:tcW w:w="620" w:type="dxa"/>
            <w:vAlign w:val="bottom"/>
          </w:tcPr>
          <w:p>
            <w:pPr>
              <w:spacing w:after="0"/>
              <w:rPr>
                <w:sz w:val="14"/>
                <w:szCs w:val="14"/>
                <w:color w:val="auto"/>
              </w:rPr>
            </w:pPr>
          </w:p>
        </w:tc>
        <w:tc>
          <w:tcPr>
            <w:tcW w:w="21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Title:</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Vice</w:t>
            </w: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President</w:t>
            </w:r>
          </w:p>
        </w:tc>
      </w:tr>
    </w:tbl>
    <w:p>
      <w:pPr>
        <w:spacing w:after="0" w:line="166"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$30,000,000</w:t>
      </w:r>
      <w:r>
        <w:rPr>
          <w:sz w:val="20"/>
          <w:szCs w:val="20"/>
          <w:color w:val="auto"/>
        </w:rPr>
        <w:tab/>
      </w:r>
      <w:r>
        <w:rPr>
          <w:rFonts w:ascii="Courier New" w:cs="Courier New" w:eastAsia="Courier New" w:hAnsi="Courier New"/>
          <w:sz w:val="14"/>
          <w:szCs w:val="14"/>
          <w:color w:val="auto"/>
        </w:rPr>
        <w:t>THE FIRST NATIONAL BANK OF BOSTON</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39"/>
          </w:cols>
          <w:pgMar w:left="220" w:top="617" w:right="1440" w:bottom="1440" w:gutter="0" w:footer="0" w:header="0"/>
        </w:sectPr>
      </w:pPr>
    </w:p>
    <w:bookmarkStart w:id="101" w:name="page102"/>
    <w:bookmarkEnd w:id="101"/>
    <w:p>
      <w:pPr>
        <w:spacing w:after="0"/>
        <w:tabs>
          <w:tab w:leader="none" w:pos="1120" w:val="left"/>
        </w:tabs>
        <w:rPr>
          <w:sz w:val="20"/>
          <w:szCs w:val="20"/>
          <w:color w:val="auto"/>
        </w:rPr>
      </w:pPr>
      <w:r>
        <w:rPr>
          <w:rFonts w:ascii="Courier New" w:cs="Courier New" w:eastAsia="Courier New" w:hAnsi="Courier New"/>
          <w:sz w:val="15"/>
          <w:szCs w:val="15"/>
          <w:color w:val="auto"/>
        </w:rPr>
        <w:t>$40,000,000</w:t>
      </w:r>
      <w:r>
        <w:rPr>
          <w:sz w:val="20"/>
          <w:szCs w:val="20"/>
          <w:color w:val="auto"/>
        </w:rPr>
        <w:tab/>
      </w:r>
      <w:r>
        <w:rPr>
          <w:rFonts w:ascii="Courier New" w:cs="Courier New" w:eastAsia="Courier New" w:hAnsi="Courier New"/>
          <w:sz w:val="14"/>
          <w:szCs w:val="14"/>
          <w:color w:val="auto"/>
        </w:rPr>
        <w:t>CREDIT SUISSE</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303"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$35,000,000</w:t>
      </w:r>
      <w:r>
        <w:rPr>
          <w:sz w:val="20"/>
          <w:szCs w:val="20"/>
          <w:color w:val="auto"/>
        </w:rPr>
        <w:tab/>
      </w:r>
      <w:r>
        <w:rPr>
          <w:rFonts w:ascii="Courier New" w:cs="Courier New" w:eastAsia="Courier New" w:hAnsi="Courier New"/>
          <w:sz w:val="14"/>
          <w:szCs w:val="14"/>
          <w:color w:val="auto"/>
        </w:rPr>
        <w:t>THE BANK OF NOVA SCOTIA</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$35,000,000</w:t>
      </w:r>
      <w:r>
        <w:rPr>
          <w:sz w:val="20"/>
          <w:szCs w:val="20"/>
          <w:color w:val="auto"/>
        </w:rPr>
        <w:tab/>
      </w:r>
      <w:r>
        <w:rPr>
          <w:rFonts w:ascii="Courier New" w:cs="Courier New" w:eastAsia="Courier New" w:hAnsi="Courier New"/>
          <w:sz w:val="14"/>
          <w:szCs w:val="14"/>
          <w:color w:val="auto"/>
        </w:rPr>
        <w:t>HUNTINGTON NATIONAL BANK</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$35,000,000</w:t>
      </w:r>
      <w:r>
        <w:rPr>
          <w:sz w:val="20"/>
          <w:szCs w:val="20"/>
          <w:color w:val="auto"/>
        </w:rPr>
        <w:tab/>
      </w:r>
      <w:r>
        <w:rPr>
          <w:rFonts w:ascii="Courier New" w:cs="Courier New" w:eastAsia="Courier New" w:hAnsi="Courier New"/>
          <w:sz w:val="14"/>
          <w:szCs w:val="14"/>
          <w:color w:val="auto"/>
        </w:rPr>
        <w:t>NATIONAL CITY BANK, COLUMBUS</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$30,000,000</w:t>
      </w:r>
      <w:r>
        <w:rPr>
          <w:sz w:val="20"/>
          <w:szCs w:val="20"/>
          <w:color w:val="auto"/>
        </w:rPr>
        <w:tab/>
      </w:r>
      <w:r>
        <w:rPr>
          <w:rFonts w:ascii="Courier New" w:cs="Courier New" w:eastAsia="Courier New" w:hAnsi="Courier New"/>
          <w:sz w:val="14"/>
          <w:szCs w:val="14"/>
          <w:color w:val="auto"/>
        </w:rPr>
        <w:t>ABN AMRO BANK, N.V.</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By:</w:t>
      </w:r>
    </w:p>
    <w:p>
      <w:pPr>
        <w:ind w:left="114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$30,000,000</w:t>
      </w:r>
      <w:r>
        <w:rPr>
          <w:sz w:val="20"/>
          <w:szCs w:val="20"/>
          <w:color w:val="auto"/>
        </w:rPr>
        <w:tab/>
      </w:r>
      <w:r>
        <w:rPr>
          <w:rFonts w:ascii="Courier New" w:cs="Courier New" w:eastAsia="Courier New" w:hAnsi="Courier New"/>
          <w:sz w:val="14"/>
          <w:szCs w:val="14"/>
          <w:color w:val="auto"/>
        </w:rPr>
        <w:t>THE FIRST NATIONAL BANK OF BOSTON</w:t>
      </w:r>
    </w:p>
    <w:p>
      <w:pPr>
        <w:spacing w:after="0" w:line="335" w:lineRule="exact"/>
        <w:rPr>
          <w:sz w:val="20"/>
          <w:szCs w:val="20"/>
          <w:color w:val="auto"/>
        </w:rPr>
      </w:pPr>
    </w:p>
    <w:p>
      <w:pPr>
        <w:ind w:left="1140"/>
        <w:spacing w:after="0"/>
        <w:tabs>
          <w:tab w:leader="none" w:pos="1820" w:val="left"/>
          <w:tab w:leader="none" w:pos="22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Beth Ann Halligan</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ind w:left="1140"/>
        <w:spacing w:after="0" w:line="238" w:lineRule="auto"/>
        <w:tabs>
          <w:tab w:leader="none" w:pos="1820" w:val="left"/>
        </w:tabs>
        <w:rPr>
          <w:sz w:val="20"/>
          <w:szCs w:val="20"/>
          <w:color w:val="auto"/>
        </w:rPr>
      </w:pPr>
      <w:r>
        <w:rPr>
          <w:rFonts w:ascii="Courier New" w:cs="Courier New" w:eastAsia="Courier New" w:hAnsi="Courier New"/>
          <w:sz w:val="15"/>
          <w:szCs w:val="15"/>
          <w:color w:val="auto"/>
        </w:rPr>
        <w:t>Title:</w:t>
        <w:tab/>
        <w:t>Managing Director</w:t>
      </w:r>
    </w:p>
    <w:p>
      <w:pPr>
        <w:sectPr>
          <w:pgSz w:w="11900" w:h="16838" w:orient="portrait"/>
          <w:cols w:equalWidth="0" w:num="1">
            <w:col w:w="10239"/>
          </w:cols>
          <w:pgMar w:left="220" w:top="617" w:right="1440" w:bottom="1440" w:gutter="0" w:footer="0" w:header="0"/>
        </w:sectPr>
      </w:pPr>
    </w:p>
    <w:bookmarkStart w:id="102" w:name="page103"/>
    <w:bookmarkEnd w:id="102"/>
    <w:p>
      <w:pPr>
        <w:spacing w:after="0"/>
        <w:tabs>
          <w:tab w:leader="none" w:pos="1300" w:val="left"/>
        </w:tabs>
        <w:rPr>
          <w:sz w:val="20"/>
          <w:szCs w:val="20"/>
          <w:color w:val="auto"/>
        </w:rPr>
      </w:pPr>
      <w:r>
        <w:rPr>
          <w:rFonts w:ascii="Courier New" w:cs="Courier New" w:eastAsia="Courier New" w:hAnsi="Courier New"/>
          <w:sz w:val="15"/>
          <w:szCs w:val="15"/>
          <w:color w:val="auto"/>
        </w:rPr>
        <w:t>$30,000,000</w:t>
      </w:r>
      <w:r>
        <w:rPr>
          <w:sz w:val="20"/>
          <w:szCs w:val="20"/>
          <w:color w:val="auto"/>
        </w:rPr>
        <w:tab/>
      </w:r>
      <w:r>
        <w:rPr>
          <w:rFonts w:ascii="Courier New" w:cs="Courier New" w:eastAsia="Courier New" w:hAnsi="Courier New"/>
          <w:sz w:val="14"/>
          <w:szCs w:val="14"/>
          <w:color w:val="auto"/>
        </w:rPr>
        <w:t>BANK ONE, COLUMBUS, NA</w:t>
      </w:r>
    </w:p>
    <w:p>
      <w:pPr>
        <w:spacing w:after="0" w:line="335" w:lineRule="exact"/>
        <w:rPr>
          <w:sz w:val="20"/>
          <w:szCs w:val="20"/>
          <w:color w:val="auto"/>
        </w:rPr>
      </w:pPr>
    </w:p>
    <w:p>
      <w:pPr>
        <w:ind w:left="1400"/>
        <w:spacing w:after="0"/>
        <w:tabs>
          <w:tab w:leader="none" w:pos="2080" w:val="left"/>
          <w:tab w:leader="none" w:pos="252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Jean R. Pore</w:t>
      </w:r>
    </w:p>
    <w:p>
      <w:pPr>
        <w:ind w:left="2100"/>
        <w:spacing w:after="0" w:line="237" w:lineRule="auto"/>
        <w:rPr>
          <w:sz w:val="20"/>
          <w:szCs w:val="20"/>
          <w:color w:val="auto"/>
        </w:rPr>
      </w:pPr>
      <w:r>
        <w:rPr>
          <w:rFonts w:ascii="Courier New" w:cs="Courier New" w:eastAsia="Courier New" w:hAnsi="Courier New"/>
          <w:sz w:val="15"/>
          <w:szCs w:val="15"/>
          <w:color w:val="auto"/>
        </w:rPr>
        <w:t>---------------------</w:t>
      </w:r>
    </w:p>
    <w:p>
      <w:pPr>
        <w:ind w:left="1400"/>
        <w:spacing w:after="0" w:line="238" w:lineRule="auto"/>
        <w:tabs>
          <w:tab w:leader="none" w:pos="2080" w:val="left"/>
        </w:tabs>
        <w:rPr>
          <w:sz w:val="20"/>
          <w:szCs w:val="20"/>
          <w:color w:val="auto"/>
        </w:rPr>
      </w:pPr>
      <w:r>
        <w:rPr>
          <w:rFonts w:ascii="Courier New" w:cs="Courier New" w:eastAsia="Courier New" w:hAnsi="Courier New"/>
          <w:sz w:val="15"/>
          <w:szCs w:val="15"/>
          <w:color w:val="auto"/>
        </w:rPr>
        <w:t>Title:</w:t>
        <w:tab/>
        <w:t>Vice President</w:t>
      </w:r>
    </w:p>
    <w:p>
      <w:pPr>
        <w:spacing w:after="0" w:line="335"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$30,000,000</w:t>
      </w:r>
      <w:r>
        <w:rPr>
          <w:sz w:val="20"/>
          <w:szCs w:val="20"/>
          <w:color w:val="auto"/>
        </w:rPr>
        <w:tab/>
      </w:r>
      <w:r>
        <w:rPr>
          <w:rFonts w:ascii="Courier New" w:cs="Courier New" w:eastAsia="Courier New" w:hAnsi="Courier New"/>
          <w:sz w:val="14"/>
          <w:szCs w:val="14"/>
          <w:color w:val="auto"/>
        </w:rPr>
        <w:t>FLEET NATIONAL BANK OF MASSACHUSETTS</w:t>
      </w:r>
    </w:p>
    <w:p>
      <w:pPr>
        <w:spacing w:after="0" w:line="335"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By:</w:t>
      </w:r>
    </w:p>
    <w:p>
      <w:pPr>
        <w:ind w:left="140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$20,000,000</w:t>
      </w:r>
      <w:r>
        <w:rPr>
          <w:sz w:val="20"/>
          <w:szCs w:val="20"/>
          <w:color w:val="auto"/>
        </w:rPr>
        <w:tab/>
      </w:r>
      <w:r>
        <w:rPr>
          <w:rFonts w:ascii="Courier New" w:cs="Courier New" w:eastAsia="Courier New" w:hAnsi="Courier New"/>
          <w:sz w:val="14"/>
          <w:szCs w:val="14"/>
          <w:color w:val="auto"/>
        </w:rPr>
        <w:t>THE FIFTH THIRD BANK OF COLUMBUS</w:t>
      </w:r>
    </w:p>
    <w:p>
      <w:pPr>
        <w:spacing w:after="0" w:line="335"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By:</w:t>
      </w:r>
    </w:p>
    <w:p>
      <w:pPr>
        <w:ind w:left="140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80" w:hanging="170"/>
        <w:spacing w:after="0"/>
        <w:tabs>
          <w:tab w:leader="none" w:pos="18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Total Commitments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$1,000,000,000</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4"/>
          <w:szCs w:val="14"/>
          <w:color w:val="auto"/>
        </w:rPr>
        <w:t>MORGAN GUARANTY TRUST COMPANY</w:t>
      </w:r>
    </w:p>
    <w:p>
      <w:pPr>
        <w:spacing w:after="0" w:line="3"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5"/>
          <w:szCs w:val="15"/>
          <w:color w:val="auto"/>
        </w:rPr>
        <w:t>OF NEW YORK, as Agent</w:t>
      </w:r>
    </w:p>
    <w:p>
      <w:pPr>
        <w:spacing w:after="0" w:line="33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By:</w:t>
      </w:r>
    </w:p>
    <w:p>
      <w:pPr>
        <w:ind w:left="3680"/>
        <w:spacing w:after="0" w:line="237" w:lineRule="auto"/>
        <w:rPr>
          <w:sz w:val="20"/>
          <w:szCs w:val="20"/>
          <w:color w:val="auto"/>
        </w:rPr>
      </w:pPr>
      <w:r>
        <w:rPr>
          <w:rFonts w:ascii="Courier New" w:cs="Courier New" w:eastAsia="Courier New" w:hAnsi="Courier New"/>
          <w:sz w:val="15"/>
          <w:szCs w:val="15"/>
          <w:color w:val="auto"/>
        </w:rPr>
        <w:t>Title:</w:t>
      </w:r>
    </w:p>
    <w:p>
      <w:pPr>
        <w:spacing w:after="0" w:line="342"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Morgan Guaranty Trust Company</w:t>
      </w:r>
    </w:p>
    <w:p>
      <w:pPr>
        <w:spacing w:after="0" w:line="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of New York</w:t>
      </w:r>
    </w:p>
    <w:p>
      <w:pPr>
        <w:ind w:left="3860"/>
        <w:spacing w:after="0" w:line="237" w:lineRule="auto"/>
        <w:rPr>
          <w:sz w:val="20"/>
          <w:szCs w:val="20"/>
          <w:color w:val="auto"/>
        </w:rPr>
      </w:pPr>
      <w:r>
        <w:rPr>
          <w:rFonts w:ascii="Courier New" w:cs="Courier New" w:eastAsia="Courier New" w:hAnsi="Courier New"/>
          <w:sz w:val="15"/>
          <w:szCs w:val="15"/>
          <w:color w:val="auto"/>
        </w:rPr>
        <w:t>60 Wall Street</w:t>
      </w:r>
    </w:p>
    <w:p>
      <w:pPr>
        <w:ind w:left="3860"/>
        <w:spacing w:after="0" w:line="238" w:lineRule="auto"/>
        <w:rPr>
          <w:sz w:val="20"/>
          <w:szCs w:val="20"/>
          <w:color w:val="auto"/>
        </w:rPr>
      </w:pPr>
      <w:r>
        <w:rPr>
          <w:rFonts w:ascii="Courier New" w:cs="Courier New" w:eastAsia="Courier New" w:hAnsi="Courier New"/>
          <w:sz w:val="15"/>
          <w:szCs w:val="15"/>
          <w:color w:val="auto"/>
        </w:rPr>
        <w:t>New York, New York 10260</w:t>
      </w:r>
    </w:p>
    <w:p>
      <w:pPr>
        <w:ind w:left="3860"/>
        <w:spacing w:after="0" w:line="237" w:lineRule="auto"/>
        <w:rPr>
          <w:sz w:val="20"/>
          <w:szCs w:val="20"/>
          <w:color w:val="auto"/>
        </w:rPr>
      </w:pPr>
      <w:r>
        <w:rPr>
          <w:rFonts w:ascii="Courier New" w:cs="Courier New" w:eastAsia="Courier New" w:hAnsi="Courier New"/>
          <w:sz w:val="15"/>
          <w:szCs w:val="15"/>
          <w:color w:val="auto"/>
        </w:rPr>
        <w:t>Telex Number/Answerback:</w:t>
      </w:r>
    </w:p>
    <w:p>
      <w:pPr>
        <w:ind w:left="3860"/>
        <w:spacing w:after="0" w:line="238" w:lineRule="auto"/>
        <w:rPr>
          <w:sz w:val="20"/>
          <w:szCs w:val="20"/>
          <w:color w:val="auto"/>
        </w:rPr>
      </w:pPr>
      <w:r>
        <w:rPr>
          <w:rFonts w:ascii="Courier New" w:cs="Courier New" w:eastAsia="Courier New" w:hAnsi="Courier New"/>
          <w:sz w:val="15"/>
          <w:szCs w:val="15"/>
          <w:color w:val="auto"/>
        </w:rPr>
        <w:t>177615/MGTUI</w:t>
      </w:r>
    </w:p>
    <w:p>
      <w:pPr>
        <w:sectPr>
          <w:pgSz w:w="11900" w:h="16838" w:orient="portrait"/>
          <w:cols w:equalWidth="0" w:num="1">
            <w:col w:w="10239"/>
          </w:cols>
          <w:pgMar w:left="220" w:top="617" w:right="1440" w:bottom="1440" w:gutter="0" w:footer="0" w:header="0"/>
        </w:sectPr>
      </w:pPr>
    </w:p>
    <w:bookmarkStart w:id="103" w:name="page104"/>
    <w:bookmarkEnd w:id="103"/>
    <w:p>
      <w:pPr>
        <w:spacing w:after="0"/>
        <w:tabs>
          <w:tab w:leader="none" w:pos="1300" w:val="left"/>
        </w:tabs>
        <w:rPr>
          <w:sz w:val="20"/>
          <w:szCs w:val="20"/>
          <w:color w:val="auto"/>
        </w:rPr>
      </w:pPr>
      <w:r>
        <w:rPr>
          <w:rFonts w:ascii="Courier New" w:cs="Courier New" w:eastAsia="Courier New" w:hAnsi="Courier New"/>
          <w:sz w:val="15"/>
          <w:szCs w:val="15"/>
          <w:color w:val="auto"/>
        </w:rPr>
        <w:t>$30,000,000</w:t>
      </w:r>
      <w:r>
        <w:rPr>
          <w:sz w:val="20"/>
          <w:szCs w:val="20"/>
          <w:color w:val="auto"/>
        </w:rPr>
        <w:tab/>
      </w:r>
      <w:r>
        <w:rPr>
          <w:rFonts w:ascii="Courier New" w:cs="Courier New" w:eastAsia="Courier New" w:hAnsi="Courier New"/>
          <w:sz w:val="14"/>
          <w:szCs w:val="14"/>
          <w:color w:val="auto"/>
        </w:rPr>
        <w:t>BANK ONE, COLUMBUS, NA</w:t>
      </w:r>
    </w:p>
    <w:p>
      <w:pPr>
        <w:spacing w:after="0" w:line="335"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By:</w:t>
      </w:r>
    </w:p>
    <w:p>
      <w:pPr>
        <w:ind w:left="140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$30,000,000</w:t>
      </w:r>
      <w:r>
        <w:rPr>
          <w:sz w:val="20"/>
          <w:szCs w:val="20"/>
          <w:color w:val="auto"/>
        </w:rPr>
        <w:tab/>
      </w:r>
      <w:r>
        <w:rPr>
          <w:rFonts w:ascii="Courier New" w:cs="Courier New" w:eastAsia="Courier New" w:hAnsi="Courier New"/>
          <w:sz w:val="14"/>
          <w:szCs w:val="14"/>
          <w:color w:val="auto"/>
        </w:rPr>
        <w:t>FLEET NATIONAL BANK OF MASSACHUSETTS</w:t>
      </w:r>
    </w:p>
    <w:p>
      <w:pPr>
        <w:spacing w:after="0" w:line="335" w:lineRule="exact"/>
        <w:rPr>
          <w:sz w:val="20"/>
          <w:szCs w:val="20"/>
          <w:color w:val="auto"/>
        </w:rPr>
      </w:pPr>
    </w:p>
    <w:p>
      <w:pPr>
        <w:ind w:left="1400"/>
        <w:spacing w:after="0"/>
        <w:tabs>
          <w:tab w:leader="none" w:pos="2080" w:val="left"/>
          <w:tab w:leader="none" w:pos="252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Thomas J. Bullard</w:t>
      </w:r>
    </w:p>
    <w:p>
      <w:pPr>
        <w:ind w:left="2100"/>
        <w:spacing w:after="0" w:line="237" w:lineRule="auto"/>
        <w:rPr>
          <w:sz w:val="20"/>
          <w:szCs w:val="20"/>
          <w:color w:val="auto"/>
        </w:rPr>
      </w:pPr>
      <w:r>
        <w:rPr>
          <w:rFonts w:ascii="Courier New" w:cs="Courier New" w:eastAsia="Courier New" w:hAnsi="Courier New"/>
          <w:sz w:val="15"/>
          <w:szCs w:val="15"/>
          <w:color w:val="auto"/>
        </w:rPr>
        <w:t>---------------------</w:t>
      </w:r>
    </w:p>
    <w:p>
      <w:pPr>
        <w:ind w:left="1400"/>
        <w:spacing w:after="0" w:line="238" w:lineRule="auto"/>
        <w:tabs>
          <w:tab w:leader="none" w:pos="2080" w:val="left"/>
        </w:tabs>
        <w:rPr>
          <w:sz w:val="20"/>
          <w:szCs w:val="20"/>
          <w:color w:val="auto"/>
        </w:rPr>
      </w:pPr>
      <w:r>
        <w:rPr>
          <w:rFonts w:ascii="Courier New" w:cs="Courier New" w:eastAsia="Courier New" w:hAnsi="Courier New"/>
          <w:sz w:val="15"/>
          <w:szCs w:val="15"/>
          <w:color w:val="auto"/>
        </w:rPr>
        <w:t>Title:</w:t>
        <w:tab/>
        <w:t>Vice President</w:t>
      </w:r>
    </w:p>
    <w:p>
      <w:pPr>
        <w:spacing w:after="0" w:line="335"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$20,000,000</w:t>
      </w:r>
      <w:r>
        <w:rPr>
          <w:sz w:val="20"/>
          <w:szCs w:val="20"/>
          <w:color w:val="auto"/>
        </w:rPr>
        <w:tab/>
      </w:r>
      <w:r>
        <w:rPr>
          <w:rFonts w:ascii="Courier New" w:cs="Courier New" w:eastAsia="Courier New" w:hAnsi="Courier New"/>
          <w:sz w:val="14"/>
          <w:szCs w:val="14"/>
          <w:color w:val="auto"/>
        </w:rPr>
        <w:t>THE FIFTH THIRD BANK OF COLUMBUS</w:t>
      </w:r>
    </w:p>
    <w:p>
      <w:pPr>
        <w:spacing w:after="0" w:line="335"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By:</w:t>
      </w:r>
    </w:p>
    <w:p>
      <w:pPr>
        <w:ind w:left="140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80" w:hanging="170"/>
        <w:spacing w:after="0"/>
        <w:tabs>
          <w:tab w:leader="none" w:pos="18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Total Commitments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$1,000,000,000</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4"/>
          <w:szCs w:val="14"/>
          <w:color w:val="auto"/>
        </w:rPr>
        <w:t>MORGAN GUARANTY TRUST COMPANY</w:t>
      </w:r>
    </w:p>
    <w:p>
      <w:pPr>
        <w:spacing w:after="0" w:line="3"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5"/>
          <w:szCs w:val="15"/>
          <w:color w:val="auto"/>
        </w:rPr>
        <w:t>OF NEW YORK, as Agent</w:t>
      </w:r>
    </w:p>
    <w:p>
      <w:pPr>
        <w:spacing w:after="0" w:line="33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By:</w:t>
      </w:r>
    </w:p>
    <w:p>
      <w:pPr>
        <w:ind w:left="3680"/>
        <w:spacing w:after="0" w:line="237" w:lineRule="auto"/>
        <w:rPr>
          <w:sz w:val="20"/>
          <w:szCs w:val="20"/>
          <w:color w:val="auto"/>
        </w:rPr>
      </w:pPr>
      <w:r>
        <w:rPr>
          <w:rFonts w:ascii="Courier New" w:cs="Courier New" w:eastAsia="Courier New" w:hAnsi="Courier New"/>
          <w:sz w:val="15"/>
          <w:szCs w:val="15"/>
          <w:color w:val="auto"/>
        </w:rPr>
        <w:t>Title:</w:t>
      </w:r>
    </w:p>
    <w:p>
      <w:pPr>
        <w:spacing w:after="0" w:line="342"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Morgan Guaranty Trust Company</w:t>
      </w:r>
    </w:p>
    <w:p>
      <w:pPr>
        <w:spacing w:after="0" w:line="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of New York</w:t>
      </w:r>
    </w:p>
    <w:p>
      <w:pPr>
        <w:ind w:left="3860"/>
        <w:spacing w:after="0" w:line="237" w:lineRule="auto"/>
        <w:rPr>
          <w:sz w:val="20"/>
          <w:szCs w:val="20"/>
          <w:color w:val="auto"/>
        </w:rPr>
      </w:pPr>
      <w:r>
        <w:rPr>
          <w:rFonts w:ascii="Courier New" w:cs="Courier New" w:eastAsia="Courier New" w:hAnsi="Courier New"/>
          <w:sz w:val="15"/>
          <w:szCs w:val="15"/>
          <w:color w:val="auto"/>
        </w:rPr>
        <w:t>60 Wall Street</w:t>
      </w:r>
    </w:p>
    <w:p>
      <w:pPr>
        <w:ind w:left="3860"/>
        <w:spacing w:after="0" w:line="238" w:lineRule="auto"/>
        <w:rPr>
          <w:sz w:val="20"/>
          <w:szCs w:val="20"/>
          <w:color w:val="auto"/>
        </w:rPr>
      </w:pPr>
      <w:r>
        <w:rPr>
          <w:rFonts w:ascii="Courier New" w:cs="Courier New" w:eastAsia="Courier New" w:hAnsi="Courier New"/>
          <w:sz w:val="15"/>
          <w:szCs w:val="15"/>
          <w:color w:val="auto"/>
        </w:rPr>
        <w:t>New York, New York 10260</w:t>
      </w:r>
    </w:p>
    <w:p>
      <w:pPr>
        <w:ind w:left="3860"/>
        <w:spacing w:after="0" w:line="237" w:lineRule="auto"/>
        <w:rPr>
          <w:sz w:val="20"/>
          <w:szCs w:val="20"/>
          <w:color w:val="auto"/>
        </w:rPr>
      </w:pPr>
      <w:r>
        <w:rPr>
          <w:rFonts w:ascii="Courier New" w:cs="Courier New" w:eastAsia="Courier New" w:hAnsi="Courier New"/>
          <w:sz w:val="15"/>
          <w:szCs w:val="15"/>
          <w:color w:val="auto"/>
        </w:rPr>
        <w:t>Telex Number/Answerback:</w:t>
      </w:r>
    </w:p>
    <w:p>
      <w:pPr>
        <w:ind w:left="3860"/>
        <w:spacing w:after="0" w:line="238" w:lineRule="auto"/>
        <w:rPr>
          <w:sz w:val="20"/>
          <w:szCs w:val="20"/>
          <w:color w:val="auto"/>
        </w:rPr>
      </w:pPr>
      <w:r>
        <w:rPr>
          <w:rFonts w:ascii="Courier New" w:cs="Courier New" w:eastAsia="Courier New" w:hAnsi="Courier New"/>
          <w:sz w:val="15"/>
          <w:szCs w:val="15"/>
          <w:color w:val="auto"/>
        </w:rPr>
        <w:t>177615/MGTUI</w:t>
      </w:r>
    </w:p>
    <w:p>
      <w:pPr>
        <w:sectPr>
          <w:pgSz w:w="11900" w:h="16838" w:orient="portrait"/>
          <w:cols w:equalWidth="0" w:num="1">
            <w:col w:w="10239"/>
          </w:cols>
          <w:pgMar w:left="220" w:top="617" w:right="1440" w:bottom="1440" w:gutter="0" w:footer="0" w:header="0"/>
        </w:sectPr>
      </w:pPr>
    </w:p>
    <w:bookmarkStart w:id="104" w:name="page105"/>
    <w:bookmarkEnd w:id="104"/>
    <w:p>
      <w:pPr>
        <w:spacing w:after="0"/>
        <w:tabs>
          <w:tab w:leader="none" w:pos="1380" w:val="left"/>
        </w:tabs>
        <w:rPr>
          <w:sz w:val="20"/>
          <w:szCs w:val="20"/>
          <w:color w:val="auto"/>
        </w:rPr>
      </w:pPr>
      <w:r>
        <w:rPr>
          <w:rFonts w:ascii="Courier New" w:cs="Courier New" w:eastAsia="Courier New" w:hAnsi="Courier New"/>
          <w:sz w:val="15"/>
          <w:szCs w:val="15"/>
          <w:color w:val="auto"/>
        </w:rPr>
        <w:t>$30,000,000</w:t>
      </w:r>
      <w:r>
        <w:rPr>
          <w:sz w:val="20"/>
          <w:szCs w:val="20"/>
          <w:color w:val="auto"/>
        </w:rPr>
        <w:tab/>
      </w:r>
      <w:r>
        <w:rPr>
          <w:rFonts w:ascii="Courier New" w:cs="Courier New" w:eastAsia="Courier New" w:hAnsi="Courier New"/>
          <w:sz w:val="14"/>
          <w:szCs w:val="14"/>
          <w:color w:val="auto"/>
        </w:rPr>
        <w:t>BANK ONE, COLUMBUS, NA</w:t>
      </w:r>
    </w:p>
    <w:p>
      <w:pPr>
        <w:spacing w:after="0" w:line="335"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By:</w:t>
      </w:r>
    </w:p>
    <w:p>
      <w:pPr>
        <w:ind w:left="140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$30,000,000</w:t>
      </w:r>
      <w:r>
        <w:rPr>
          <w:sz w:val="20"/>
          <w:szCs w:val="20"/>
          <w:color w:val="auto"/>
        </w:rPr>
        <w:tab/>
      </w:r>
      <w:r>
        <w:rPr>
          <w:rFonts w:ascii="Courier New" w:cs="Courier New" w:eastAsia="Courier New" w:hAnsi="Courier New"/>
          <w:sz w:val="14"/>
          <w:szCs w:val="14"/>
          <w:color w:val="auto"/>
        </w:rPr>
        <w:t>FLEET NATIONAL BANK OF MASSACHUSETTS</w:t>
      </w:r>
    </w:p>
    <w:p>
      <w:pPr>
        <w:spacing w:after="0" w:line="335"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By:</w:t>
      </w:r>
    </w:p>
    <w:p>
      <w:pPr>
        <w:ind w:left="140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$20,000,000</w:t>
      </w:r>
      <w:r>
        <w:rPr>
          <w:sz w:val="20"/>
          <w:szCs w:val="20"/>
          <w:color w:val="auto"/>
        </w:rPr>
        <w:tab/>
      </w:r>
      <w:r>
        <w:rPr>
          <w:rFonts w:ascii="Courier New" w:cs="Courier New" w:eastAsia="Courier New" w:hAnsi="Courier New"/>
          <w:sz w:val="14"/>
          <w:szCs w:val="14"/>
          <w:color w:val="auto"/>
        </w:rPr>
        <w:t>THE FIFTH THIRD BANK OF COLUMBUS</w:t>
      </w:r>
    </w:p>
    <w:p>
      <w:pPr>
        <w:spacing w:after="0" w:line="335" w:lineRule="exact"/>
        <w:rPr>
          <w:sz w:val="20"/>
          <w:szCs w:val="20"/>
          <w:color w:val="auto"/>
        </w:rPr>
      </w:pPr>
    </w:p>
    <w:p>
      <w:pPr>
        <w:ind w:left="1400"/>
        <w:spacing w:after="0"/>
        <w:tabs>
          <w:tab w:leader="none" w:pos="2080" w:val="left"/>
          <w:tab w:leader="none" w:pos="252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Charles Hale</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ind w:left="1400"/>
        <w:spacing w:after="0" w:line="238" w:lineRule="auto"/>
        <w:tabs>
          <w:tab w:leader="none" w:pos="2080" w:val="left"/>
        </w:tabs>
        <w:rPr>
          <w:sz w:val="20"/>
          <w:szCs w:val="20"/>
          <w:color w:val="auto"/>
        </w:rPr>
      </w:pPr>
      <w:r>
        <w:rPr>
          <w:rFonts w:ascii="Courier New" w:cs="Courier New" w:eastAsia="Courier New" w:hAnsi="Courier New"/>
          <w:sz w:val="15"/>
          <w:szCs w:val="15"/>
          <w:color w:val="auto"/>
        </w:rPr>
        <w:t>Title:</w:t>
        <w:tab/>
        <w:t>Vice President</w:t>
      </w:r>
    </w:p>
    <w:p>
      <w:pPr>
        <w:spacing w:after="0" w:line="335" w:lineRule="exact"/>
        <w:rPr>
          <w:sz w:val="20"/>
          <w:szCs w:val="20"/>
          <w:color w:val="auto"/>
        </w:rPr>
      </w:pPr>
    </w:p>
    <w:p>
      <w:pPr>
        <w:ind w:left="180" w:hanging="170"/>
        <w:spacing w:after="0"/>
        <w:tabs>
          <w:tab w:leader="none" w:pos="18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Total Commitments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$1,000,000,000</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4"/>
          <w:szCs w:val="14"/>
          <w:color w:val="auto"/>
        </w:rPr>
        <w:t>MORGAN GUARANTY TRUST COMPANY</w:t>
      </w:r>
    </w:p>
    <w:p>
      <w:pPr>
        <w:spacing w:after="0" w:line="3"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5"/>
          <w:szCs w:val="15"/>
          <w:color w:val="auto"/>
        </w:rPr>
        <w:t>OF NEW YORK, as Agent</w:t>
      </w:r>
    </w:p>
    <w:p>
      <w:pPr>
        <w:spacing w:after="0" w:line="33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By:</w:t>
      </w:r>
    </w:p>
    <w:p>
      <w:pPr>
        <w:ind w:left="3680"/>
        <w:spacing w:after="0" w:line="237" w:lineRule="auto"/>
        <w:rPr>
          <w:sz w:val="20"/>
          <w:szCs w:val="20"/>
          <w:color w:val="auto"/>
        </w:rPr>
      </w:pPr>
      <w:r>
        <w:rPr>
          <w:rFonts w:ascii="Courier New" w:cs="Courier New" w:eastAsia="Courier New" w:hAnsi="Courier New"/>
          <w:sz w:val="15"/>
          <w:szCs w:val="15"/>
          <w:color w:val="auto"/>
        </w:rPr>
        <w:t>Title:</w:t>
      </w:r>
    </w:p>
    <w:p>
      <w:pPr>
        <w:spacing w:after="0" w:line="342"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Morgan Guaranty Trust Company</w:t>
      </w:r>
    </w:p>
    <w:p>
      <w:pPr>
        <w:spacing w:after="0" w:line="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of New York</w:t>
      </w:r>
    </w:p>
    <w:p>
      <w:pPr>
        <w:ind w:left="3860"/>
        <w:spacing w:after="0" w:line="237" w:lineRule="auto"/>
        <w:rPr>
          <w:sz w:val="20"/>
          <w:szCs w:val="20"/>
          <w:color w:val="auto"/>
        </w:rPr>
      </w:pPr>
      <w:r>
        <w:rPr>
          <w:rFonts w:ascii="Courier New" w:cs="Courier New" w:eastAsia="Courier New" w:hAnsi="Courier New"/>
          <w:sz w:val="15"/>
          <w:szCs w:val="15"/>
          <w:color w:val="auto"/>
        </w:rPr>
        <w:t>60 Wall Street</w:t>
      </w:r>
    </w:p>
    <w:p>
      <w:pPr>
        <w:ind w:left="3860"/>
        <w:spacing w:after="0" w:line="238" w:lineRule="auto"/>
        <w:rPr>
          <w:sz w:val="20"/>
          <w:szCs w:val="20"/>
          <w:color w:val="auto"/>
        </w:rPr>
      </w:pPr>
      <w:r>
        <w:rPr>
          <w:rFonts w:ascii="Courier New" w:cs="Courier New" w:eastAsia="Courier New" w:hAnsi="Courier New"/>
          <w:sz w:val="15"/>
          <w:szCs w:val="15"/>
          <w:color w:val="auto"/>
        </w:rPr>
        <w:t>New York, New York 10260</w:t>
      </w:r>
    </w:p>
    <w:p>
      <w:pPr>
        <w:ind w:left="3860"/>
        <w:spacing w:after="0" w:line="237" w:lineRule="auto"/>
        <w:rPr>
          <w:sz w:val="20"/>
          <w:szCs w:val="20"/>
          <w:color w:val="auto"/>
        </w:rPr>
      </w:pPr>
      <w:r>
        <w:rPr>
          <w:rFonts w:ascii="Courier New" w:cs="Courier New" w:eastAsia="Courier New" w:hAnsi="Courier New"/>
          <w:sz w:val="15"/>
          <w:szCs w:val="15"/>
          <w:color w:val="auto"/>
        </w:rPr>
        <w:t>Telex Number/Answerback:</w:t>
      </w:r>
    </w:p>
    <w:p>
      <w:pPr>
        <w:ind w:left="3860"/>
        <w:spacing w:after="0" w:line="238" w:lineRule="auto"/>
        <w:rPr>
          <w:sz w:val="20"/>
          <w:szCs w:val="20"/>
          <w:color w:val="auto"/>
        </w:rPr>
      </w:pPr>
      <w:r>
        <w:rPr>
          <w:rFonts w:ascii="Courier New" w:cs="Courier New" w:eastAsia="Courier New" w:hAnsi="Courier New"/>
          <w:sz w:val="15"/>
          <w:szCs w:val="15"/>
          <w:color w:val="auto"/>
        </w:rPr>
        <w:t>177615/MGTUI</w:t>
      </w:r>
    </w:p>
    <w:p>
      <w:pPr>
        <w:sectPr>
          <w:pgSz w:w="11900" w:h="16838" w:orient="portrait"/>
          <w:cols w:equalWidth="0" w:num="1">
            <w:col w:w="10239"/>
          </w:cols>
          <w:pgMar w:left="220" w:top="617" w:right="1440" w:bottom="1440" w:gutter="0" w:footer="0" w:header="0"/>
        </w:sectPr>
      </w:pPr>
    </w:p>
    <w:bookmarkStart w:id="105" w:name="page106"/>
    <w:bookmarkEnd w:id="105"/>
    <w:p>
      <w:pPr>
        <w:spacing w:after="0"/>
        <w:tabs>
          <w:tab w:leader="none" w:pos="1380" w:val="left"/>
        </w:tabs>
        <w:rPr>
          <w:sz w:val="20"/>
          <w:szCs w:val="20"/>
          <w:color w:val="auto"/>
        </w:rPr>
      </w:pPr>
      <w:r>
        <w:rPr>
          <w:rFonts w:ascii="Courier New" w:cs="Courier New" w:eastAsia="Courier New" w:hAnsi="Courier New"/>
          <w:sz w:val="15"/>
          <w:szCs w:val="15"/>
          <w:color w:val="auto"/>
        </w:rPr>
        <w:t>$30,000,000</w:t>
      </w:r>
      <w:r>
        <w:rPr>
          <w:sz w:val="20"/>
          <w:szCs w:val="20"/>
          <w:color w:val="auto"/>
        </w:rPr>
        <w:tab/>
      </w:r>
      <w:r>
        <w:rPr>
          <w:rFonts w:ascii="Courier New" w:cs="Courier New" w:eastAsia="Courier New" w:hAnsi="Courier New"/>
          <w:sz w:val="14"/>
          <w:szCs w:val="14"/>
          <w:color w:val="auto"/>
        </w:rPr>
        <w:t>BANK ONE, COLUMBUS, NA</w:t>
      </w:r>
    </w:p>
    <w:p>
      <w:pPr>
        <w:spacing w:after="0" w:line="335"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By:</w:t>
      </w:r>
    </w:p>
    <w:p>
      <w:pPr>
        <w:ind w:left="140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$30,000,000</w:t>
      </w:r>
      <w:r>
        <w:rPr>
          <w:sz w:val="20"/>
          <w:szCs w:val="20"/>
          <w:color w:val="auto"/>
        </w:rPr>
        <w:tab/>
      </w:r>
      <w:r>
        <w:rPr>
          <w:rFonts w:ascii="Courier New" w:cs="Courier New" w:eastAsia="Courier New" w:hAnsi="Courier New"/>
          <w:sz w:val="14"/>
          <w:szCs w:val="14"/>
          <w:color w:val="auto"/>
        </w:rPr>
        <w:t>FLEET NATIONAL BANK OF MASSACHUSETTS</w:t>
      </w:r>
    </w:p>
    <w:p>
      <w:pPr>
        <w:spacing w:after="0" w:line="335"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By:</w:t>
      </w:r>
    </w:p>
    <w:p>
      <w:pPr>
        <w:ind w:left="140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$20,000,000</w:t>
      </w:r>
      <w:r>
        <w:rPr>
          <w:sz w:val="20"/>
          <w:szCs w:val="20"/>
          <w:color w:val="auto"/>
        </w:rPr>
        <w:tab/>
      </w:r>
      <w:r>
        <w:rPr>
          <w:rFonts w:ascii="Courier New" w:cs="Courier New" w:eastAsia="Courier New" w:hAnsi="Courier New"/>
          <w:sz w:val="14"/>
          <w:szCs w:val="14"/>
          <w:color w:val="auto"/>
        </w:rPr>
        <w:t>THE FIFTH THIRD BANK OF COLUMBUS</w:t>
      </w:r>
    </w:p>
    <w:p>
      <w:pPr>
        <w:spacing w:after="0" w:line="335"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By:</w:t>
      </w:r>
    </w:p>
    <w:p>
      <w:pPr>
        <w:ind w:left="1400"/>
        <w:spacing w:after="0" w:line="237" w:lineRule="auto"/>
        <w:rPr>
          <w:sz w:val="20"/>
          <w:szCs w:val="20"/>
          <w:color w:val="auto"/>
        </w:rPr>
      </w:pPr>
      <w:r>
        <w:rPr>
          <w:rFonts w:ascii="Courier New" w:cs="Courier New" w:eastAsia="Courier New" w:hAnsi="Courier New"/>
          <w:sz w:val="15"/>
          <w:szCs w:val="15"/>
          <w:color w:val="auto"/>
        </w:rPr>
        <w:t>Title:</w:t>
      </w:r>
    </w:p>
    <w:p>
      <w:pPr>
        <w:spacing w:after="0" w:line="335" w:lineRule="exact"/>
        <w:rPr>
          <w:sz w:val="20"/>
          <w:szCs w:val="20"/>
          <w:color w:val="auto"/>
        </w:rPr>
      </w:pPr>
    </w:p>
    <w:p>
      <w:pPr>
        <w:ind w:left="180" w:hanging="170"/>
        <w:spacing w:after="0"/>
        <w:tabs>
          <w:tab w:leader="none" w:pos="18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Total Commitments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$1,000,000,000</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5"/>
          <w:szCs w:val="15"/>
          <w:color w:val="auto"/>
        </w:rPr>
        <w:t>MORGAN GUARANTY TRUST COMPANY</w:t>
      </w:r>
    </w:p>
    <w:p>
      <w:pPr>
        <w:jc w:val="center"/>
        <w:ind w:right="-20"/>
        <w:spacing w:after="0" w:line="237" w:lineRule="auto"/>
        <w:rPr>
          <w:sz w:val="20"/>
          <w:szCs w:val="20"/>
          <w:color w:val="auto"/>
        </w:rPr>
      </w:pPr>
      <w:r>
        <w:rPr>
          <w:rFonts w:ascii="Courier New" w:cs="Courier New" w:eastAsia="Courier New" w:hAnsi="Courier New"/>
          <w:sz w:val="15"/>
          <w:szCs w:val="15"/>
          <w:color w:val="auto"/>
        </w:rPr>
        <w:t>OF NEW YORK, as Agent</w:t>
      </w:r>
    </w:p>
    <w:p>
      <w:pPr>
        <w:spacing w:after="0" w:line="335" w:lineRule="exact"/>
        <w:rPr>
          <w:sz w:val="20"/>
          <w:szCs w:val="20"/>
          <w:color w:val="auto"/>
        </w:rPr>
      </w:pPr>
    </w:p>
    <w:p>
      <w:pPr>
        <w:jc w:val="both"/>
        <w:ind w:left="3680"/>
        <w:spacing w:after="0"/>
        <w:tabs>
          <w:tab w:leader="none" w:pos="4360" w:val="left"/>
          <w:tab w:leader="none" w:pos="48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R. Blake Witherington</w:t>
      </w:r>
    </w:p>
    <w:p>
      <w:pPr>
        <w:spacing w:after="0" w:line="5" w:lineRule="exact"/>
        <w:rPr>
          <w:sz w:val="20"/>
          <w:szCs w:val="20"/>
          <w:color w:val="auto"/>
        </w:rPr>
      </w:pPr>
    </w:p>
    <w:p>
      <w:pPr>
        <w:ind w:left="43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center"/>
        <w:ind w:right="-100"/>
        <w:spacing w:after="0"/>
        <w:tabs>
          <w:tab w:leader="none" w:pos="160" w:val="left"/>
        </w:tabs>
        <w:rPr>
          <w:sz w:val="20"/>
          <w:szCs w:val="20"/>
          <w:color w:val="auto"/>
        </w:rPr>
      </w:pPr>
      <w:r>
        <w:rPr>
          <w:rFonts w:ascii="Courier New" w:cs="Courier New" w:eastAsia="Courier New" w:hAnsi="Courier New"/>
          <w:sz w:val="15"/>
          <w:szCs w:val="15"/>
          <w:color w:val="auto"/>
        </w:rPr>
        <w:t>Title:</w:t>
        <w:tab/>
        <w:t>Senior Vice President</w:t>
      </w:r>
    </w:p>
    <w:p>
      <w:pPr>
        <w:spacing w:after="0" w:line="33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Morgan Guaranty Trust Company</w:t>
      </w:r>
    </w:p>
    <w:p>
      <w:pPr>
        <w:ind w:left="4040"/>
        <w:spacing w:after="0" w:line="237" w:lineRule="auto"/>
        <w:rPr>
          <w:sz w:val="20"/>
          <w:szCs w:val="20"/>
          <w:color w:val="auto"/>
        </w:rPr>
      </w:pPr>
      <w:r>
        <w:rPr>
          <w:rFonts w:ascii="Courier New" w:cs="Courier New" w:eastAsia="Courier New" w:hAnsi="Courier New"/>
          <w:sz w:val="15"/>
          <w:szCs w:val="15"/>
          <w:color w:val="auto"/>
        </w:rPr>
        <w:t>of New York</w:t>
      </w:r>
    </w:p>
    <w:p>
      <w:pPr>
        <w:ind w:left="3860"/>
        <w:spacing w:after="0" w:line="238" w:lineRule="auto"/>
        <w:rPr>
          <w:sz w:val="20"/>
          <w:szCs w:val="20"/>
          <w:color w:val="auto"/>
        </w:rPr>
      </w:pPr>
      <w:r>
        <w:rPr>
          <w:rFonts w:ascii="Courier New" w:cs="Courier New" w:eastAsia="Courier New" w:hAnsi="Courier New"/>
          <w:sz w:val="15"/>
          <w:szCs w:val="15"/>
          <w:color w:val="auto"/>
        </w:rPr>
        <w:t>60 Wall Street</w:t>
      </w:r>
    </w:p>
    <w:p>
      <w:pPr>
        <w:ind w:left="3860"/>
        <w:spacing w:after="0" w:line="237" w:lineRule="auto"/>
        <w:rPr>
          <w:sz w:val="20"/>
          <w:szCs w:val="20"/>
          <w:color w:val="auto"/>
        </w:rPr>
      </w:pPr>
      <w:r>
        <w:rPr>
          <w:rFonts w:ascii="Courier New" w:cs="Courier New" w:eastAsia="Courier New" w:hAnsi="Courier New"/>
          <w:sz w:val="15"/>
          <w:szCs w:val="15"/>
          <w:color w:val="auto"/>
        </w:rPr>
        <w:t>New York, New York 10260</w:t>
      </w:r>
    </w:p>
    <w:p>
      <w:pPr>
        <w:ind w:left="3860"/>
        <w:spacing w:after="0" w:line="238" w:lineRule="auto"/>
        <w:rPr>
          <w:sz w:val="20"/>
          <w:szCs w:val="20"/>
          <w:color w:val="auto"/>
        </w:rPr>
      </w:pPr>
      <w:r>
        <w:rPr>
          <w:rFonts w:ascii="Courier New" w:cs="Courier New" w:eastAsia="Courier New" w:hAnsi="Courier New"/>
          <w:sz w:val="15"/>
          <w:szCs w:val="15"/>
          <w:color w:val="auto"/>
        </w:rPr>
        <w:t>Telex Number/Answerback:</w:t>
      </w:r>
    </w:p>
    <w:p>
      <w:pPr>
        <w:ind w:left="3860"/>
        <w:spacing w:after="0" w:line="237" w:lineRule="auto"/>
        <w:rPr>
          <w:sz w:val="20"/>
          <w:szCs w:val="20"/>
          <w:color w:val="auto"/>
        </w:rPr>
      </w:pPr>
      <w:r>
        <w:rPr>
          <w:rFonts w:ascii="Courier New" w:cs="Courier New" w:eastAsia="Courier New" w:hAnsi="Courier New"/>
          <w:sz w:val="15"/>
          <w:szCs w:val="15"/>
          <w:color w:val="auto"/>
        </w:rPr>
        <w:t>177615/MGTUI</w:t>
      </w:r>
    </w:p>
    <w:p>
      <w:pPr>
        <w:sectPr>
          <w:pgSz w:w="11900" w:h="16838" w:orient="portrait"/>
          <w:cols w:equalWidth="0" w:num="1">
            <w:col w:w="10239"/>
          </w:cols>
          <w:pgMar w:left="220" w:top="617" w:right="1440" w:bottom="1440" w:gutter="0" w:footer="0" w:header="0"/>
        </w:sectPr>
      </w:pPr>
    </w:p>
    <w:bookmarkStart w:id="106" w:name="page107"/>
    <w:bookmarkEnd w:id="106"/>
    <w:p>
      <w:pPr>
        <w:ind w:left="5960"/>
        <w:spacing w:after="0"/>
        <w:rPr>
          <w:sz w:val="20"/>
          <w:szCs w:val="20"/>
          <w:color w:val="auto"/>
        </w:rPr>
      </w:pPr>
      <w:r>
        <w:rPr>
          <w:rFonts w:ascii="Courier New" w:cs="Courier New" w:eastAsia="Courier New" w:hAnsi="Courier New"/>
          <w:sz w:val="15"/>
          <w:szCs w:val="15"/>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NOTE</w:t>
      </w:r>
    </w:p>
    <w:p>
      <w:pPr>
        <w:spacing w:after="0" w:line="200" w:lineRule="exact"/>
        <w:rPr>
          <w:sz w:val="20"/>
          <w:szCs w:val="20"/>
          <w:color w:val="auto"/>
        </w:rPr>
      </w:pPr>
    </w:p>
    <w:p>
      <w:pPr>
        <w:spacing w:after="0" w:line="303" w:lineRule="exact"/>
        <w:rPr>
          <w:sz w:val="20"/>
          <w:szCs w:val="20"/>
          <w:color w:val="auto"/>
        </w:rPr>
      </w:pPr>
    </w:p>
    <w:p>
      <w:pPr>
        <w:ind w:left="5180"/>
        <w:spacing w:after="0"/>
        <w:rPr>
          <w:sz w:val="20"/>
          <w:szCs w:val="20"/>
          <w:color w:val="auto"/>
        </w:rPr>
      </w:pPr>
      <w:r>
        <w:rPr>
          <w:rFonts w:ascii="Courier New" w:cs="Courier New" w:eastAsia="Courier New" w:hAnsi="Courier New"/>
          <w:sz w:val="15"/>
          <w:szCs w:val="15"/>
          <w:color w:val="auto"/>
        </w:rPr>
        <w:t>New York, New York</w:t>
      </w:r>
    </w:p>
    <w:p>
      <w:pPr>
        <w:ind w:left="6220"/>
        <w:spacing w:after="0" w:line="237" w:lineRule="auto"/>
        <w:rPr>
          <w:sz w:val="20"/>
          <w:szCs w:val="20"/>
          <w:color w:val="auto"/>
        </w:rPr>
      </w:pPr>
      <w:r>
        <w:rPr>
          <w:rFonts w:ascii="Courier New" w:cs="Courier New" w:eastAsia="Courier New" w:hAnsi="Courier New"/>
          <w:sz w:val="15"/>
          <w:szCs w:val="15"/>
          <w:color w:val="auto"/>
        </w:rPr>
        <w:t>, 19</w:t>
      </w: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For value received, The Limited, Inc., a Delaware corporation (the</w:t>
      </w:r>
    </w:p>
    <w:p>
      <w:pPr>
        <w:spacing w:after="0"/>
        <w:tabs>
          <w:tab w:leader="none" w:pos="5760" w:val="left"/>
        </w:tabs>
        <w:rPr>
          <w:sz w:val="20"/>
          <w:szCs w:val="20"/>
          <w:color w:val="auto"/>
        </w:rPr>
      </w:pPr>
      <w:r>
        <w:rPr>
          <w:rFonts w:ascii="Courier New" w:cs="Courier New" w:eastAsia="Courier New" w:hAnsi="Courier New"/>
          <w:sz w:val="15"/>
          <w:szCs w:val="15"/>
          <w:color w:val="auto"/>
        </w:rPr>
        <w:t>"Company"), promises to pay to the order of</w:t>
      </w:r>
      <w:r>
        <w:rPr>
          <w:sz w:val="20"/>
          <w:szCs w:val="20"/>
          <w:color w:val="auto"/>
        </w:rPr>
        <w:tab/>
      </w:r>
      <w:r>
        <w:rPr>
          <w:rFonts w:ascii="Courier New" w:cs="Courier New" w:eastAsia="Courier New" w:hAnsi="Courier New"/>
          <w:sz w:val="14"/>
          <w:szCs w:val="14"/>
          <w:color w:val="auto"/>
        </w:rPr>
        <w:t>(the "Bank"),</w:t>
      </w:r>
    </w:p>
    <w:p>
      <w:pPr>
        <w:ind w:left="3860"/>
        <w:spacing w:after="0" w:line="238"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for the account of its Lending Office, the unpaid principal amount of each Loan made by the Bank to the company pursuant to the Credit Agreement referred to below on the last date of the Interest Period relating to such Loan. The Company promises to pay interest on the unpaid principal amount of each such Loan on the dates and at the rate or rates provided for in the Credit Agreement. All such payments of principal and interest shall be made in lawful money of the United States in federal or other immediately available funds at the office of Morgan Guaranty Trust Company of New York, 60 Wall Street, New York, New York.</w:t>
      </w:r>
    </w:p>
    <w:p>
      <w:pPr>
        <w:spacing w:after="0" w:line="178" w:lineRule="exact"/>
        <w:rPr>
          <w:sz w:val="20"/>
          <w:szCs w:val="20"/>
          <w:color w:val="auto"/>
        </w:rPr>
      </w:pPr>
    </w:p>
    <w:p>
      <w:pPr>
        <w:ind w:right="3319" w:firstLine="350"/>
        <w:spacing w:after="0" w:line="254" w:lineRule="auto"/>
        <w:rPr>
          <w:sz w:val="20"/>
          <w:szCs w:val="20"/>
          <w:color w:val="auto"/>
        </w:rPr>
      </w:pPr>
      <w:r>
        <w:rPr>
          <w:rFonts w:ascii="Courier New" w:cs="Courier New" w:eastAsia="Courier New" w:hAnsi="Courier New"/>
          <w:sz w:val="14"/>
          <w:szCs w:val="14"/>
          <w:color w:val="auto"/>
        </w:rPr>
        <w:t>All Loans made by the Bank, the respective types and maturities thereof and all repayments of the principal thereof shall be recorded by the Bank and, prior to any transfer thereof, endorsed by the Bank on the schedule attached hereto, or on a continuation of such schedule attached to and made a part hereof; provided that the failure of the Bank to make any such recordation or</w:t>
      </w:r>
    </w:p>
    <w:p>
      <w:pPr>
        <w:ind w:left="700"/>
        <w:spacing w:after="0" w:line="233"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endorsement shall not affect the obligations of the Company under the first paragraph of this Note or under the Credit Agreement.</w:t>
      </w:r>
    </w:p>
    <w:p>
      <w:pPr>
        <w:sectPr>
          <w:pgSz w:w="11900" w:h="16838" w:orient="portrait"/>
          <w:cols w:equalWidth="0" w:num="1">
            <w:col w:w="10239"/>
          </w:cols>
          <w:pgMar w:left="220" w:top="617" w:right="1440" w:bottom="1440" w:gutter="0" w:footer="0" w:header="0"/>
        </w:sect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right="3399" w:hanging="1836"/>
        <w:spacing w:after="0" w:line="254" w:lineRule="auto"/>
        <w:rPr>
          <w:sz w:val="20"/>
          <w:szCs w:val="20"/>
          <w:color w:val="auto"/>
        </w:rPr>
      </w:pPr>
      <w:r>
        <w:rPr>
          <w:rFonts w:ascii="Courier New" w:cs="Courier New" w:eastAsia="Courier New" w:hAnsi="Courier New"/>
          <w:sz w:val="14"/>
          <w:szCs w:val="14"/>
          <w:color w:val="auto"/>
        </w:rPr>
        <w:t>This Note is one of the Notes referred to in the Credit Agreement dated as among the Company, the Banks listed on the signature</w:t>
      </w:r>
    </w:p>
    <w:p>
      <w:pPr>
        <w:spacing w:after="0" w:line="1" w:lineRule="exact"/>
        <w:rPr>
          <w:sz w:val="20"/>
          <w:szCs w:val="20"/>
          <w:color w:val="auto"/>
        </w:rPr>
      </w:pPr>
    </w:p>
    <w:p>
      <w:pPr>
        <w:sectPr>
          <w:pgSz w:w="11900" w:h="16838" w:orient="portrait"/>
          <w:cols w:equalWidth="0" w:num="2">
            <w:col w:w="1480" w:space="720"/>
            <w:col w:w="8039"/>
          </w:cols>
          <w:pgMar w:left="220" w:top="617" w:right="1440" w:bottom="1440" w:gutter="0" w:footer="0" w:header="0"/>
          <w:type w:val="continuous"/>
        </w:sectPr>
      </w:pPr>
    </w:p>
    <w:p>
      <w:pPr>
        <w:ind w:left="280"/>
        <w:spacing w:after="0" w:line="231"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pages thereof and Morgan Guaranty Trust Company of New York, as Agent (as the same may be amended from time to time, the "Credit Agreeement"). Terms defined in the Credit Agreement are used herein with the same meanings.</w:t>
      </w:r>
    </w:p>
    <w:p>
      <w:pPr>
        <w:sectPr>
          <w:pgSz w:w="11900" w:h="16838" w:orient="portrait"/>
          <w:cols w:equalWidth="0" w:num="1">
            <w:col w:w="10239"/>
          </w:cols>
          <w:pgMar w:left="220" w:top="617" w:right="1440" w:bottom="1440" w:gutter="0" w:footer="0" w:header="0"/>
          <w:type w:val="continuous"/>
        </w:sectPr>
      </w:pPr>
    </w:p>
    <w:bookmarkStart w:id="107" w:name="page108"/>
    <w:bookmarkEnd w:id="107"/>
    <w:p>
      <w:pPr>
        <w:ind w:right="3679"/>
        <w:spacing w:after="0" w:line="234" w:lineRule="auto"/>
        <w:rPr>
          <w:sz w:val="20"/>
          <w:szCs w:val="20"/>
          <w:color w:val="auto"/>
        </w:rPr>
      </w:pPr>
      <w:r>
        <w:rPr>
          <w:rFonts w:ascii="Courier New" w:cs="Courier New" w:eastAsia="Courier New" w:hAnsi="Courier New"/>
          <w:sz w:val="15"/>
          <w:szCs w:val="15"/>
          <w:color w:val="auto"/>
        </w:rPr>
        <w:t>Reference is made to the Credit Agreement for provisions for the prepayment hereof and the acceleration of the maturity hereof.</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THE LIMITED, INC.</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Title:</w:t>
      </w:r>
    </w:p>
    <w:p>
      <w:pPr>
        <w:ind w:left="4300"/>
        <w:spacing w:after="0" w:line="237" w:lineRule="auto"/>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623" w:right="1440" w:bottom="1440" w:gutter="0" w:footer="0" w:header="0"/>
        </w:sectPr>
      </w:pPr>
    </w:p>
    <w:bookmarkStart w:id="108" w:name="page109"/>
    <w:bookmarkEnd w:id="108"/>
    <w:p>
      <w:pPr>
        <w:jc w:val="center"/>
        <w:ind w:right="3479"/>
        <w:spacing w:after="0"/>
        <w:rPr>
          <w:sz w:val="20"/>
          <w:szCs w:val="20"/>
          <w:color w:val="auto"/>
        </w:rPr>
      </w:pPr>
      <w:r>
        <w:rPr>
          <w:rFonts w:ascii="Courier New" w:cs="Courier New" w:eastAsia="Courier New" w:hAnsi="Courier New"/>
          <w:sz w:val="15"/>
          <w:szCs w:val="15"/>
          <w:color w:val="auto"/>
        </w:rPr>
        <w:t>Note (cont'd)</w:t>
      </w:r>
    </w:p>
    <w:p>
      <w:pPr>
        <w:spacing w:after="0" w:line="16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LOANS AND PAYMENTS OF PRINCIPAL</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4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9"/>
              </w:rPr>
              <w:t>Amount</w:t>
            </w:r>
          </w:p>
        </w:tc>
        <w:tc>
          <w:tcPr>
            <w:tcW w:w="1320" w:type="dxa"/>
            <w:vAlign w:val="bottom"/>
          </w:tcPr>
          <w:p>
            <w:pPr>
              <w:ind w:left="220"/>
              <w:spacing w:after="0"/>
              <w:rPr>
                <w:sz w:val="20"/>
                <w:szCs w:val="20"/>
                <w:color w:val="auto"/>
              </w:rPr>
            </w:pPr>
            <w:r>
              <w:rPr>
                <w:rFonts w:ascii="Courier New" w:cs="Courier New" w:eastAsia="Courier New" w:hAnsi="Courier New"/>
                <w:sz w:val="15"/>
                <w:szCs w:val="15"/>
                <w:color w:val="auto"/>
              </w:rPr>
              <w:t>Amount of</w:t>
            </w:r>
          </w:p>
        </w:tc>
        <w:tc>
          <w:tcPr>
            <w:tcW w:w="1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840" w:type="dxa"/>
            <w:vAlign w:val="bottom"/>
          </w:tcPr>
          <w:p>
            <w:pPr>
              <w:spacing w:after="0"/>
              <w:rPr>
                <w:sz w:val="14"/>
                <w:szCs w:val="14"/>
                <w:color w:val="auto"/>
              </w:rPr>
            </w:pPr>
          </w:p>
        </w:tc>
        <w:tc>
          <w:tcPr>
            <w:tcW w:w="14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Type</w:t>
            </w:r>
          </w:p>
        </w:tc>
        <w:tc>
          <w:tcPr>
            <w:tcW w:w="10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of</w:t>
            </w:r>
          </w:p>
        </w:tc>
        <w:tc>
          <w:tcPr>
            <w:tcW w:w="13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Principal</w:t>
            </w:r>
          </w:p>
        </w:tc>
        <w:tc>
          <w:tcPr>
            <w:tcW w:w="122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Maturity</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Notation</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Date</w:t>
            </w:r>
          </w:p>
        </w:tc>
        <w:tc>
          <w:tcPr>
            <w:tcW w:w="14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of Loan</w:t>
            </w:r>
          </w:p>
        </w:tc>
        <w:tc>
          <w:tcPr>
            <w:tcW w:w="10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4"/>
              </w:rPr>
              <w:t>Loan</w:t>
            </w:r>
          </w:p>
        </w:tc>
        <w:tc>
          <w:tcPr>
            <w:tcW w:w="13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Repaid</w:t>
            </w:r>
          </w:p>
        </w:tc>
        <w:tc>
          <w:tcPr>
            <w:tcW w:w="122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Date</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Made By</w:t>
            </w:r>
          </w:p>
        </w:tc>
      </w:tr>
    </w:tbl>
    <w:p>
      <w:pPr>
        <w:spacing w:after="0" w:line="5" w:lineRule="exact"/>
        <w:rPr>
          <w:sz w:val="20"/>
          <w:szCs w:val="20"/>
          <w:color w:val="auto"/>
        </w:rPr>
      </w:pPr>
    </w:p>
    <w:p>
      <w:pPr>
        <w:ind w:left="180" w:hanging="170"/>
        <w:spacing w:after="0"/>
        <w:tabs>
          <w:tab w:leader="none" w:pos="18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5"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7" w:right="1440" w:bottom="1440" w:gutter="0" w:footer="0" w:header="0"/>
        </w:sectPr>
      </w:pPr>
    </w:p>
    <w:bookmarkStart w:id="109" w:name="page110"/>
    <w:bookmarkEnd w:id="109"/>
    <w:p>
      <w:pPr>
        <w:jc w:val="right"/>
        <w:ind w:right="3499"/>
        <w:spacing w:after="0"/>
        <w:rPr>
          <w:sz w:val="20"/>
          <w:szCs w:val="20"/>
          <w:color w:val="auto"/>
        </w:rPr>
      </w:pPr>
      <w:r>
        <w:rPr>
          <w:rFonts w:ascii="Courier New" w:cs="Courier New" w:eastAsia="Courier New" w:hAnsi="Courier New"/>
          <w:sz w:val="15"/>
          <w:szCs w:val="15"/>
          <w:color w:val="auto"/>
        </w:rPr>
        <w:t>EXHIBIT B</w:t>
      </w:r>
    </w:p>
    <w:p>
      <w:pPr>
        <w:spacing w:after="0" w:line="33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Form of Quote Request</w:t>
      </w:r>
    </w:p>
    <w:p>
      <w:pPr>
        <w:spacing w:after="0" w:line="166" w:lineRule="exact"/>
        <w:rPr>
          <w:sz w:val="20"/>
          <w:szCs w:val="20"/>
          <w:color w:val="auto"/>
        </w:rPr>
      </w:pPr>
    </w:p>
    <w:p>
      <w:pPr>
        <w:jc w:val="right"/>
        <w:ind w:right="3499"/>
        <w:spacing w:after="0"/>
        <w:rPr>
          <w:sz w:val="20"/>
          <w:szCs w:val="20"/>
          <w:color w:val="auto"/>
        </w:rPr>
      </w:pPr>
      <w:r>
        <w:rPr>
          <w:rFonts w:ascii="Courier New" w:cs="Courier New" w:eastAsia="Courier New" w:hAnsi="Courier New"/>
          <w:sz w:val="15"/>
          <w:szCs w:val="15"/>
          <w:color w:val="auto"/>
        </w:rPr>
        <w:t>[Date]</w:t>
      </w:r>
    </w:p>
    <w:p>
      <w:pPr>
        <w:sectPr>
          <w:pgSz w:w="11900" w:h="16838" w:orient="portrait"/>
          <w:cols w:equalWidth="0" w:num="1">
            <w:col w:w="10239"/>
          </w:cols>
          <w:pgMar w:left="220" w:top="617" w:right="1440" w:bottom="1440" w:gutter="0" w:footer="0" w:header="0"/>
        </w:sect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Morgan Guaranty Trust Company of New York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"Agent")</w:t>
      </w:r>
    </w:p>
    <w:p>
      <w:pPr>
        <w:spacing w:after="0" w:line="173" w:lineRule="exact"/>
        <w:rPr>
          <w:sz w:val="20"/>
          <w:szCs w:val="20"/>
          <w:color w:val="auto"/>
        </w:rPr>
      </w:pPr>
    </w:p>
    <w:p>
      <w:pPr>
        <w:sectPr>
          <w:pgSz w:w="11900" w:h="16838" w:orient="portrait"/>
          <w:cols w:equalWidth="0" w:num="2">
            <w:col w:w="280" w:space="520"/>
            <w:col w:w="943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The Limited, Inc.</w:t>
      </w:r>
    </w:p>
    <w:p>
      <w:pPr>
        <w:spacing w:after="0" w:line="171" w:lineRule="exact"/>
        <w:rPr>
          <w:sz w:val="20"/>
          <w:szCs w:val="20"/>
          <w:color w:val="auto"/>
        </w:rPr>
      </w:pPr>
    </w:p>
    <w:p>
      <w:pPr>
        <w:sectPr>
          <w:pgSz w:w="11900" w:h="16838" w:orient="portrait"/>
          <w:cols w:equalWidth="0" w:num="2">
            <w:col w:w="440" w:space="360"/>
            <w:col w:w="943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Credit Agreement (the "Credit Agreement")</w:t>
      </w:r>
    </w:p>
    <w:p>
      <w:pPr>
        <w:spacing w:after="0" w:line="3" w:lineRule="exact"/>
        <w:rPr>
          <w:sz w:val="20"/>
          <w:szCs w:val="20"/>
          <w:color w:val="auto"/>
        </w:rPr>
      </w:pPr>
    </w:p>
    <w:p>
      <w:pPr>
        <w:spacing w:after="0"/>
        <w:tabs>
          <w:tab w:leader="none" w:pos="2080" w:val="left"/>
        </w:tabs>
        <w:rPr>
          <w:sz w:val="20"/>
          <w:szCs w:val="20"/>
          <w:color w:val="auto"/>
        </w:rPr>
      </w:pPr>
      <w:r>
        <w:rPr>
          <w:rFonts w:ascii="Courier New" w:cs="Courier New" w:eastAsia="Courier New" w:hAnsi="Courier New"/>
          <w:sz w:val="15"/>
          <w:szCs w:val="15"/>
          <w:color w:val="auto"/>
        </w:rPr>
        <w:t>dated as of</w:t>
      </w:r>
      <w:r>
        <w:rPr>
          <w:sz w:val="20"/>
          <w:szCs w:val="20"/>
          <w:color w:val="auto"/>
        </w:rPr>
        <w:tab/>
      </w:r>
      <w:r>
        <w:rPr>
          <w:rFonts w:ascii="Courier New" w:cs="Courier New" w:eastAsia="Courier New" w:hAnsi="Courier New"/>
          <w:sz w:val="14"/>
          <w:szCs w:val="14"/>
          <w:color w:val="auto"/>
        </w:rPr>
        <w:t>among the Company,</w:t>
      </w:r>
    </w:p>
    <w:p>
      <w:pPr>
        <w:spacing w:after="0" w:line="1" w:lineRule="exact"/>
        <w:rPr>
          <w:sz w:val="20"/>
          <w:szCs w:val="20"/>
          <w:color w:val="auto"/>
        </w:rPr>
      </w:pPr>
    </w:p>
    <w:p>
      <w:pPr>
        <w:sectPr>
          <w:pgSz w:w="11900" w:h="16838" w:orient="portrait"/>
          <w:cols w:equalWidth="0" w:num="2">
            <w:col w:w="280" w:space="520"/>
            <w:col w:w="9439"/>
          </w:cols>
          <w:pgMar w:left="220" w:top="617" w:right="1440" w:bottom="1440" w:gutter="0" w:footer="0" w:header="0"/>
          <w:type w:val="continuous"/>
        </w:sectPr>
      </w:pPr>
    </w:p>
    <w:p>
      <w:pPr>
        <w:ind w:left="1840"/>
        <w:spacing w:after="0" w:line="237" w:lineRule="auto"/>
        <w:rPr>
          <w:sz w:val="20"/>
          <w:szCs w:val="20"/>
          <w:color w:val="auto"/>
        </w:rPr>
      </w:pPr>
      <w:r>
        <w:rPr>
          <w:rFonts w:ascii="Courier New" w:cs="Courier New" w:eastAsia="Courier New" w:hAnsi="Courier New"/>
          <w:sz w:val="15"/>
          <w:szCs w:val="15"/>
          <w:color w:val="auto"/>
        </w:rPr>
        <w:t>-----------</w:t>
      </w:r>
    </w:p>
    <w:p>
      <w:pPr>
        <w:ind w:left="800"/>
        <w:spacing w:after="0" w:line="238" w:lineRule="auto"/>
        <w:rPr>
          <w:sz w:val="20"/>
          <w:szCs w:val="20"/>
          <w:color w:val="auto"/>
        </w:rPr>
      </w:pPr>
      <w:r>
        <w:rPr>
          <w:rFonts w:ascii="Courier New" w:cs="Courier New" w:eastAsia="Courier New" w:hAnsi="Courier New"/>
          <w:sz w:val="15"/>
          <w:szCs w:val="15"/>
          <w:color w:val="auto"/>
        </w:rPr>
        <w:t>the Banks listed on the signature pages</w:t>
      </w:r>
    </w:p>
    <w:p>
      <w:pPr>
        <w:ind w:left="800"/>
        <w:spacing w:after="0" w:line="237" w:lineRule="auto"/>
        <w:rPr>
          <w:sz w:val="20"/>
          <w:szCs w:val="20"/>
          <w:color w:val="auto"/>
        </w:rPr>
      </w:pPr>
      <w:r>
        <w:rPr>
          <w:rFonts w:ascii="Courier New" w:cs="Courier New" w:eastAsia="Courier New" w:hAnsi="Courier New"/>
          <w:sz w:val="15"/>
          <w:szCs w:val="15"/>
          <w:color w:val="auto"/>
        </w:rPr>
        <w:t>thereof and the Agent</w:t>
      </w:r>
    </w:p>
    <w:p>
      <w:pPr>
        <w:spacing w:after="0" w:line="173" w:lineRule="exact"/>
        <w:rPr>
          <w:sz w:val="20"/>
          <w:szCs w:val="20"/>
          <w:color w:val="auto"/>
        </w:rPr>
      </w:pPr>
    </w:p>
    <w:p>
      <w:pPr>
        <w:ind w:right="4899" w:firstLine="787"/>
        <w:spacing w:after="0" w:line="235" w:lineRule="auto"/>
        <w:rPr>
          <w:sz w:val="20"/>
          <w:szCs w:val="20"/>
          <w:color w:val="auto"/>
        </w:rPr>
      </w:pPr>
      <w:r>
        <w:rPr>
          <w:rFonts w:ascii="Courier New" w:cs="Courier New" w:eastAsia="Courier New" w:hAnsi="Courier New"/>
          <w:sz w:val="15"/>
          <w:szCs w:val="15"/>
          <w:color w:val="auto"/>
        </w:rPr>
        <w:t>We hereby give notice pursuant to Section 2.3 of the Credit Agreement that we request Quotes for the following proposed Money Market Borrowing(s):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of Borrowing:</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617"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Amount /1/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Period</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0"/>
          <w:szCs w:val="20"/>
          <w:color w:val="auto"/>
        </w:rPr>
      </w:pPr>
    </w:p>
    <w:p>
      <w:pPr>
        <w:sectPr>
          <w:pgSz w:w="11900" w:h="16838" w:orient="portrait"/>
          <w:cols w:equalWidth="0" w:num="2">
            <w:col w:w="3760" w:space="720"/>
            <w:col w:w="575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Such Quotes should offer (check one):</w:t>
      </w:r>
    </w:p>
    <w:p>
      <w:pPr>
        <w:sectPr>
          <w:pgSz w:w="11900" w:h="16838" w:orient="portrait"/>
          <w:cols w:equalWidth="0" w:num="1">
            <w:col w:w="10239"/>
          </w:cols>
          <w:pgMar w:left="220" w:top="617" w:right="1440" w:bottom="1440" w:gutter="0" w:footer="0" w:header="0"/>
          <w:type w:val="continuous"/>
        </w:sectPr>
      </w:pPr>
    </w:p>
    <w:p>
      <w:pPr>
        <w:spacing w:after="0" w:line="178" w:lineRule="exact"/>
        <w:rPr>
          <w:sz w:val="20"/>
          <w:szCs w:val="20"/>
          <w:color w:val="auto"/>
        </w:rPr>
      </w:pPr>
    </w:p>
    <w:p>
      <w:pPr>
        <w:jc w:val="center"/>
        <w:ind w:left="740"/>
        <w:spacing w:after="0"/>
        <w:rPr>
          <w:sz w:val="20"/>
          <w:szCs w:val="20"/>
          <w:color w:val="auto"/>
        </w:rPr>
      </w:pPr>
      <w:r>
        <w:rPr>
          <w:rFonts w:ascii="Courier New" w:cs="Courier New" w:eastAsia="Courier New" w:hAnsi="Courier New"/>
          <w:sz w:val="14"/>
          <w:szCs w:val="14"/>
          <w:color w:val="auto"/>
        </w:rPr>
        <w:t>Money Market Absolute Rate</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3480" w:space="720"/>
            <w:col w:w="6039"/>
          </w:cols>
          <w:pgMar w:left="220" w:top="617" w:right="1440" w:bottom="1440" w:gutter="0" w:footer="0" w:header="0"/>
          <w:type w:val="continuous"/>
        </w:sectPr>
      </w:pPr>
    </w:p>
    <w:p>
      <w:pPr>
        <w:ind w:left="980"/>
        <w:spacing w:after="0"/>
        <w:rPr>
          <w:sz w:val="20"/>
          <w:szCs w:val="20"/>
          <w:color w:val="auto"/>
        </w:rPr>
      </w:pPr>
      <w:r>
        <w:rPr>
          <w:rFonts w:ascii="Courier New" w:cs="Courier New" w:eastAsia="Courier New" w:hAnsi="Courier New"/>
          <w:sz w:val="14"/>
          <w:szCs w:val="14"/>
          <w:color w:val="auto"/>
        </w:rPr>
        <w:t>Money Market Margin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3480" w:space="720"/>
            <w:col w:w="6039"/>
          </w:cols>
          <w:pgMar w:left="220" w:top="617" w:right="1440" w:bottom="1440" w:gutter="0" w:footer="0" w:header="0"/>
          <w:type w:val="continuous"/>
        </w:sectPr>
      </w:pPr>
    </w:p>
    <w:p>
      <w:pPr>
        <w:ind w:left="980"/>
        <w:spacing w:after="0"/>
        <w:rPr>
          <w:sz w:val="20"/>
          <w:szCs w:val="20"/>
          <w:color w:val="auto"/>
        </w:rPr>
      </w:pPr>
      <w:r>
        <w:rPr>
          <w:rFonts w:ascii="Courier New" w:cs="Courier New" w:eastAsia="Courier New" w:hAnsi="Courier New"/>
          <w:sz w:val="15"/>
          <w:szCs w:val="15"/>
          <w:color w:val="auto"/>
        </w:rPr>
        <w:t>Terms defined in the Credit</w:t>
      </w:r>
    </w:p>
    <w:p>
      <w:pPr>
        <w:ind w:left="980"/>
        <w:spacing w:after="0" w:line="237" w:lineRule="auto"/>
        <w:rPr>
          <w:sz w:val="20"/>
          <w:szCs w:val="20"/>
          <w:color w:val="auto"/>
        </w:rPr>
      </w:pPr>
      <w:r>
        <w:rPr>
          <w:rFonts w:ascii="Courier New" w:cs="Courier New" w:eastAsia="Courier New" w:hAnsi="Courier New"/>
          <w:sz w:val="15"/>
          <w:szCs w:val="15"/>
          <w:color w:val="auto"/>
        </w:rPr>
        <w:t>Agreement are used herein with</w:t>
      </w:r>
    </w:p>
    <w:p>
      <w:pPr>
        <w:ind w:left="980"/>
        <w:spacing w:after="0" w:line="238" w:lineRule="auto"/>
        <w:rPr>
          <w:sz w:val="20"/>
          <w:szCs w:val="20"/>
          <w:color w:val="auto"/>
        </w:rPr>
      </w:pPr>
      <w:r>
        <w:rPr>
          <w:rFonts w:ascii="Courier New" w:cs="Courier New" w:eastAsia="Courier New" w:hAnsi="Courier New"/>
          <w:sz w:val="15"/>
          <w:szCs w:val="15"/>
          <w:color w:val="auto"/>
        </w:rPr>
        <w:t>the same meanings.</w:t>
      </w:r>
    </w:p>
    <w:p>
      <w:pPr>
        <w:spacing w:after="0" w:line="1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THE LIMITED, INC.</w:t>
      </w:r>
    </w:p>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39"/>
          </w:cols>
          <w:pgMar w:left="220" w:top="617" w:right="1440" w:bottom="1440" w:gutter="0" w:footer="0" w:header="0"/>
          <w:type w:val="continuous"/>
        </w:sect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5059" w:firstLine="437"/>
        <w:spacing w:after="0" w:line="234" w:lineRule="auto"/>
        <w:rPr>
          <w:sz w:val="20"/>
          <w:szCs w:val="20"/>
          <w:color w:val="auto"/>
        </w:rPr>
      </w:pPr>
      <w:r>
        <w:rPr>
          <w:rFonts w:ascii="Courier New" w:cs="Courier New" w:eastAsia="Courier New" w:hAnsi="Courier New"/>
          <w:sz w:val="15"/>
          <w:szCs w:val="15"/>
          <w:color w:val="auto"/>
        </w:rPr>
        <w:t>/1/ Amount must be $20,000,000 or a larger multiple of $1,000,000.</w:t>
      </w: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/2/ The applicable base rate is the London Interbank</w:t>
      </w:r>
    </w:p>
    <w:p>
      <w:pPr>
        <w:spacing w:after="0" w:line="237" w:lineRule="auto"/>
        <w:rPr>
          <w:sz w:val="20"/>
          <w:szCs w:val="20"/>
          <w:color w:val="auto"/>
        </w:rPr>
      </w:pPr>
      <w:r>
        <w:rPr>
          <w:rFonts w:ascii="Courier New" w:cs="Courier New" w:eastAsia="Courier New" w:hAnsi="Courier New"/>
          <w:sz w:val="15"/>
          <w:szCs w:val="15"/>
          <w:color w:val="auto"/>
        </w:rPr>
        <w:t>Offered Rate.</w:t>
      </w:r>
    </w:p>
    <w:p>
      <w:pPr>
        <w:sectPr>
          <w:pgSz w:w="11900" w:h="16838" w:orient="portrait"/>
          <w:cols w:equalWidth="0" w:num="1">
            <w:col w:w="10239"/>
          </w:cols>
          <w:pgMar w:left="220" w:top="617" w:right="1440" w:bottom="1440" w:gutter="0" w:footer="0" w:header="0"/>
          <w:type w:val="continuous"/>
        </w:sectPr>
      </w:pPr>
    </w:p>
    <w:bookmarkStart w:id="110" w:name="page111"/>
    <w:bookmarkEnd w:id="110"/>
    <w:p>
      <w:pPr>
        <w:ind w:left="6220"/>
        <w:spacing w:after="0"/>
        <w:rPr>
          <w:sz w:val="20"/>
          <w:szCs w:val="20"/>
          <w:color w:val="auto"/>
        </w:rPr>
      </w:pPr>
      <w:r>
        <w:rPr>
          <w:rFonts w:ascii="Courier New" w:cs="Courier New" w:eastAsia="Courier New" w:hAnsi="Courier New"/>
          <w:sz w:val="14"/>
          <w:szCs w:val="14"/>
          <w:color w:val="auto"/>
        </w:rPr>
        <w:t>EXHIBIT C</w:t>
      </w:r>
    </w:p>
    <w:p>
      <w:pPr>
        <w:spacing w:after="0" w:line="340"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Form of Invitation for Quotes</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455" w:right="1440" w:bottom="1440" w:gutter="0" w:footer="0" w:header="0"/>
        </w:sect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of Bank]</w:t>
      </w:r>
    </w:p>
    <w:p>
      <w:pPr>
        <w:spacing w:after="0" w:line="170" w:lineRule="exact"/>
        <w:rPr>
          <w:sz w:val="20"/>
          <w:szCs w:val="20"/>
          <w:color w:val="auto"/>
        </w:rPr>
      </w:pPr>
    </w:p>
    <w:p>
      <w:pPr>
        <w:sectPr>
          <w:pgSz w:w="11900" w:h="16838" w:orient="portrait"/>
          <w:cols w:equalWidth="0" w:num="2">
            <w:col w:w="280" w:space="520"/>
            <w:col w:w="9439"/>
          </w:cols>
          <w:pgMar w:left="220" w:top="455"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Invitation for Quotes to The Limited,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w:t>
      </w:r>
    </w:p>
    <w:p>
      <w:pPr>
        <w:spacing w:after="0" w:line="173" w:lineRule="exact"/>
        <w:rPr>
          <w:sz w:val="20"/>
          <w:szCs w:val="20"/>
          <w:color w:val="auto"/>
        </w:rPr>
      </w:pPr>
    </w:p>
    <w:p>
      <w:pPr>
        <w:sectPr>
          <w:pgSz w:w="11900" w:h="16838" w:orient="portrait"/>
          <w:cols w:equalWidth="0" w:num="2">
            <w:col w:w="280" w:space="520"/>
            <w:col w:w="9439"/>
          </w:cols>
          <w:pgMar w:left="220" w:top="455" w:right="1440" w:bottom="1440" w:gutter="0" w:footer="0" w:header="0"/>
          <w:type w:val="continuous"/>
        </w:sectPr>
      </w:pPr>
    </w:p>
    <w:p>
      <w:pPr>
        <w:ind w:left="800"/>
        <w:spacing w:after="0"/>
        <w:rPr>
          <w:sz w:val="20"/>
          <w:szCs w:val="20"/>
          <w:color w:val="auto"/>
        </w:rPr>
      </w:pPr>
      <w:r>
        <w:rPr>
          <w:rFonts w:ascii="Courier New" w:cs="Courier New" w:eastAsia="Courier New" w:hAnsi="Courier New"/>
          <w:sz w:val="14"/>
          <w:szCs w:val="14"/>
          <w:color w:val="auto"/>
        </w:rPr>
        <w:t>Pursuant to Section 2.3 of the Credit Agreement (the "Credit</w:t>
      </w:r>
    </w:p>
    <w:p>
      <w:pPr>
        <w:sectPr>
          <w:pgSz w:w="11900" w:h="16838" w:orient="portrait"/>
          <w:cols w:equalWidth="0" w:num="1">
            <w:col w:w="10239"/>
          </w:cols>
          <w:pgMar w:left="220" w:top="455" w:right="1440" w:bottom="1440" w:gutter="0" w:footer="0" w:header="0"/>
          <w:type w:val="continuous"/>
        </w:sectPr>
      </w:pPr>
    </w:p>
    <w:p>
      <w:pPr>
        <w:spacing w:after="0" w:line="3" w:lineRule="exact"/>
        <w:rPr>
          <w:sz w:val="20"/>
          <w:szCs w:val="20"/>
          <w:color w:val="auto"/>
        </w:rPr>
      </w:pPr>
    </w:p>
    <w:p>
      <w:pPr>
        <w:spacing w:after="0"/>
        <w:tabs>
          <w:tab w:leader="none" w:pos="3760" w:val="left"/>
        </w:tabs>
        <w:rPr>
          <w:sz w:val="20"/>
          <w:szCs w:val="20"/>
          <w:color w:val="auto"/>
        </w:rPr>
      </w:pPr>
      <w:r>
        <w:rPr>
          <w:rFonts w:ascii="Courier New" w:cs="Courier New" w:eastAsia="Courier New" w:hAnsi="Courier New"/>
          <w:sz w:val="15"/>
          <w:szCs w:val="15"/>
          <w:color w:val="auto"/>
        </w:rPr>
        <w:t>Agreement") dated as of</w:t>
      </w:r>
      <w:r>
        <w:rPr>
          <w:sz w:val="20"/>
          <w:szCs w:val="20"/>
          <w:color w:val="auto"/>
        </w:rPr>
        <w:tab/>
      </w:r>
      <w:r>
        <w:rPr>
          <w:rFonts w:ascii="Courier New" w:cs="Courier New" w:eastAsia="Courier New" w:hAnsi="Courier New"/>
          <w:sz w:val="14"/>
          <w:szCs w:val="14"/>
          <w:color w:val="auto"/>
        </w:rPr>
        <w:t>among the Company, the Banks listed</w:t>
      </w:r>
    </w:p>
    <w:p>
      <w:pPr>
        <w:ind w:left="21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on the signature pages thereof and the undersigned, as Agent, we are pleased on behalf of the Company to invite you to submit Quotes to the Company for the following proposed Money Market Borrowing(s):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of Borrowing:</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455" w:right="1440" w:bottom="1440" w:gutter="0" w:footer="0" w:header="0"/>
          <w:type w:val="continuous"/>
        </w:sect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Amount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Period</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339" w:lineRule="exact"/>
        <w:rPr>
          <w:sz w:val="20"/>
          <w:szCs w:val="20"/>
          <w:color w:val="auto"/>
        </w:rPr>
      </w:pPr>
    </w:p>
    <w:p>
      <w:pPr>
        <w:sectPr>
          <w:pgSz w:w="11900" w:h="16838" w:orient="portrait"/>
          <w:cols w:equalWidth="0" w:num="2">
            <w:col w:w="3760" w:space="720"/>
            <w:col w:w="5759"/>
          </w:cols>
          <w:pgMar w:left="220" w:top="455" w:right="1440" w:bottom="1440" w:gutter="0" w:footer="0" w:header="0"/>
          <w:type w:val="continuous"/>
        </w:sectPr>
      </w:pPr>
    </w:p>
    <w:p>
      <w:pPr>
        <w:ind w:left="540"/>
        <w:spacing w:after="0"/>
        <w:rPr>
          <w:sz w:val="20"/>
          <w:szCs w:val="20"/>
          <w:color w:val="auto"/>
        </w:rPr>
      </w:pPr>
      <w:r>
        <w:rPr>
          <w:rFonts w:ascii="Courier New" w:cs="Courier New" w:eastAsia="Courier New" w:hAnsi="Courier New"/>
          <w:sz w:val="15"/>
          <w:szCs w:val="15"/>
          <w:color w:val="auto"/>
        </w:rPr>
        <w:t>Such Quotes should offer (check one):</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Money Market Absolute Rate</w:t>
      </w:r>
    </w:p>
    <w:p>
      <w:pPr>
        <w:spacing w:after="0" w:line="5" w:lineRule="exact"/>
        <w:rPr>
          <w:sz w:val="20"/>
          <w:szCs w:val="20"/>
          <w:color w:val="auto"/>
        </w:rPr>
      </w:pPr>
    </w:p>
    <w:p>
      <w:pPr>
        <w:ind w:left="420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Money Market Margin /1/</w:t>
      </w:r>
    </w:p>
    <w:p>
      <w:pPr>
        <w:spacing w:after="0" w:line="5" w:lineRule="exact"/>
        <w:rPr>
          <w:sz w:val="20"/>
          <w:szCs w:val="20"/>
          <w:color w:val="auto"/>
        </w:rPr>
      </w:pPr>
    </w:p>
    <w:p>
      <w:pPr>
        <w:ind w:left="42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455" w:right="1440" w:bottom="1440" w:gutter="0" w:footer="0" w:header="0"/>
          <w:type w:val="continuous"/>
        </w:sectPr>
      </w:pPr>
    </w:p>
    <w:p>
      <w:pPr>
        <w:spacing w:after="0" w:line="346"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Please respond to this invitation by no later than [2:00 P.M.] [9:00 A.M.] (New York City time) on [date]. Terms defined in the Credit Agreement are used herein with the same meanings.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MORGAN GUARANTY TRUST COMPANY OF</w:t>
      </w:r>
    </w:p>
    <w:p>
      <w:pPr>
        <w:ind w:left="3420"/>
        <w:spacing w:after="0" w:line="237" w:lineRule="auto"/>
        <w:rPr>
          <w:sz w:val="20"/>
          <w:szCs w:val="20"/>
          <w:color w:val="auto"/>
        </w:rPr>
      </w:pPr>
      <w:r>
        <w:rPr>
          <w:rFonts w:ascii="Courier New" w:cs="Courier New" w:eastAsia="Courier New" w:hAnsi="Courier New"/>
          <w:sz w:val="15"/>
          <w:szCs w:val="15"/>
          <w:color w:val="auto"/>
        </w:rPr>
        <w:t>NEW YORK</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Authorized Officer</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left="800"/>
        <w:spacing w:after="0" w:line="237" w:lineRule="auto"/>
        <w:rPr>
          <w:sz w:val="20"/>
          <w:szCs w:val="20"/>
          <w:color w:val="auto"/>
        </w:rPr>
      </w:pPr>
      <w:r>
        <w:rPr>
          <w:rFonts w:ascii="Courier New" w:cs="Courier New" w:eastAsia="Courier New" w:hAnsi="Courier New"/>
          <w:sz w:val="15"/>
          <w:szCs w:val="15"/>
          <w:color w:val="auto"/>
        </w:rPr>
        <w:t>/1/ The applicable base rate is the London Interbank Offered Rate.</w:t>
      </w:r>
    </w:p>
    <w:p>
      <w:pPr>
        <w:sectPr>
          <w:pgSz w:w="11900" w:h="16838" w:orient="portrait"/>
          <w:cols w:equalWidth="0" w:num="1">
            <w:col w:w="10239"/>
          </w:cols>
          <w:pgMar w:left="220" w:top="455" w:right="1440" w:bottom="1440" w:gutter="0" w:footer="0" w:header="0"/>
          <w:type w:val="continuous"/>
        </w:sectPr>
      </w:pPr>
    </w:p>
    <w:bookmarkStart w:id="111" w:name="page112"/>
    <w:bookmarkEnd w:id="111"/>
    <w:p>
      <w:pPr>
        <w:jc w:val="right"/>
        <w:ind w:right="3239"/>
        <w:spacing w:after="0"/>
        <w:rPr>
          <w:sz w:val="20"/>
          <w:szCs w:val="20"/>
          <w:color w:val="auto"/>
        </w:rPr>
      </w:pPr>
      <w:r>
        <w:rPr>
          <w:rFonts w:ascii="Courier New" w:cs="Courier New" w:eastAsia="Courier New" w:hAnsi="Courier New"/>
          <w:sz w:val="15"/>
          <w:szCs w:val="15"/>
          <w:color w:val="auto"/>
        </w:rPr>
        <w:t>EXHIBIT D</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Form of Quote</w:t>
      </w:r>
    </w:p>
    <w:p>
      <w:pPr>
        <w:ind w:left="290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MORGAN GUARANTY TRUST COMPANY</w:t>
      </w:r>
    </w:p>
    <w:p>
      <w:pPr>
        <w:ind w:left="180"/>
        <w:spacing w:after="0" w:line="237" w:lineRule="auto"/>
        <w:rPr>
          <w:sz w:val="20"/>
          <w:szCs w:val="20"/>
          <w:color w:val="auto"/>
        </w:rPr>
      </w:pPr>
      <w:r>
        <w:rPr>
          <w:rFonts w:ascii="Courier New" w:cs="Courier New" w:eastAsia="Courier New" w:hAnsi="Courier New"/>
          <w:sz w:val="15"/>
          <w:szCs w:val="15"/>
          <w:color w:val="auto"/>
        </w:rPr>
        <w:t>OF NEW YORK, as Agent</w:t>
      </w:r>
    </w:p>
    <w:p>
      <w:pPr>
        <w:spacing w:after="0" w:line="238" w:lineRule="auto"/>
        <w:rPr>
          <w:sz w:val="20"/>
          <w:szCs w:val="20"/>
          <w:color w:val="auto"/>
        </w:rPr>
      </w:pPr>
      <w:r>
        <w:rPr>
          <w:rFonts w:ascii="Courier New" w:cs="Courier New" w:eastAsia="Courier New" w:hAnsi="Courier New"/>
          <w:sz w:val="15"/>
          <w:szCs w:val="15"/>
          <w:color w:val="auto"/>
        </w:rPr>
        <w:t>60 Wall Street</w:t>
      </w:r>
    </w:p>
    <w:p>
      <w:pPr>
        <w:spacing w:after="0" w:line="237" w:lineRule="auto"/>
        <w:rPr>
          <w:sz w:val="20"/>
          <w:szCs w:val="20"/>
          <w:color w:val="auto"/>
        </w:rPr>
      </w:pPr>
      <w:r>
        <w:rPr>
          <w:rFonts w:ascii="Courier New" w:cs="Courier New" w:eastAsia="Courier New" w:hAnsi="Courier New"/>
          <w:sz w:val="15"/>
          <w:szCs w:val="15"/>
          <w:color w:val="auto"/>
        </w:rPr>
        <w:t>New York, New York 10260</w:t>
      </w:r>
    </w:p>
    <w:p>
      <w:pPr>
        <w:sectPr>
          <w:pgSz w:w="11900" w:h="16838" w:orient="portrait"/>
          <w:cols w:equalWidth="0" w:num="1">
            <w:col w:w="10239"/>
          </w:cols>
          <w:pgMar w:left="220" w:top="449"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Loan Department</w:t>
      </w:r>
    </w:p>
    <w:p>
      <w:pPr>
        <w:spacing w:after="0" w:line="178" w:lineRule="exact"/>
        <w:rPr>
          <w:sz w:val="20"/>
          <w:szCs w:val="20"/>
          <w:color w:val="auto"/>
        </w:rPr>
      </w:pPr>
    </w:p>
    <w:p>
      <w:pPr>
        <w:sectPr>
          <w:pgSz w:w="11900" w:h="16838" w:orient="portrait"/>
          <w:cols w:equalWidth="0" w:num="2">
            <w:col w:w="880" w:space="180"/>
            <w:col w:w="9179"/>
          </w:cols>
          <w:pgMar w:left="220" w:top="449" w:right="1440" w:bottom="1440" w:gutter="0" w:footer="0" w:header="0"/>
          <w:type w:val="continuous"/>
        </w:sectPr>
      </w:pPr>
    </w:p>
    <w:p>
      <w:pPr>
        <w:ind w:left="800"/>
        <w:spacing w:after="0"/>
        <w:rPr>
          <w:sz w:val="20"/>
          <w:szCs w:val="20"/>
          <w:color w:val="auto"/>
        </w:rPr>
      </w:pPr>
      <w:r>
        <w:rPr>
          <w:rFonts w:ascii="Courier New" w:cs="Courier New" w:eastAsia="Courier New" w:hAnsi="Courier New"/>
          <w:sz w:val="14"/>
          <w:szCs w:val="14"/>
          <w:color w:val="auto"/>
        </w:rPr>
        <w:t>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Quote to The Limited, Inc. (the "Company")</w:t>
      </w:r>
    </w:p>
    <w:p>
      <w:pPr>
        <w:spacing w:after="0" w:line="178" w:lineRule="exact"/>
        <w:rPr>
          <w:sz w:val="20"/>
          <w:szCs w:val="20"/>
          <w:color w:val="auto"/>
        </w:rPr>
      </w:pPr>
    </w:p>
    <w:p>
      <w:pPr>
        <w:sectPr>
          <w:pgSz w:w="11900" w:h="16838" w:orient="portrait"/>
          <w:cols w:equalWidth="0" w:num="2">
            <w:col w:w="1060" w:space="180"/>
            <w:col w:w="8999"/>
          </w:cols>
          <w:pgMar w:left="220" w:top="449" w:right="1440" w:bottom="1440" w:gutter="0" w:footer="0" w:header="0"/>
          <w:type w:val="continuous"/>
        </w:sectPr>
      </w:pPr>
    </w:p>
    <w:p>
      <w:pPr>
        <w:jc w:val="center"/>
        <w:ind w:left="740"/>
        <w:spacing w:after="0"/>
        <w:rPr>
          <w:sz w:val="20"/>
          <w:szCs w:val="20"/>
          <w:color w:val="auto"/>
        </w:rPr>
      </w:pPr>
      <w:r>
        <w:rPr>
          <w:rFonts w:ascii="Courier New" w:cs="Courier New" w:eastAsia="Courier New" w:hAnsi="Courier New"/>
          <w:sz w:val="14"/>
          <w:szCs w:val="14"/>
          <w:color w:val="auto"/>
        </w:rPr>
        <w:t>In response to your invitation on behalf of the Company 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32" w:lineRule="exact"/>
        <w:rPr>
          <w:sz w:val="20"/>
          <w:szCs w:val="20"/>
          <w:color w:val="auto"/>
        </w:rPr>
      </w:pPr>
    </w:p>
    <w:p>
      <w:pPr>
        <w:sectPr>
          <w:pgSz w:w="11900" w:h="16838" w:orient="portrait"/>
          <w:cols w:equalWidth="0" w:num="2">
            <w:col w:w="6200" w:space="720"/>
            <w:col w:w="3319"/>
          </w:cols>
          <w:pgMar w:left="220" w:top="449" w:right="1440" w:bottom="1440" w:gutter="0" w:footer="0" w:header="0"/>
          <w:type w:val="continuous"/>
        </w:sectPr>
      </w:pPr>
    </w:p>
    <w:p>
      <w:pPr>
        <w:ind w:left="61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449" w:right="1440" w:bottom="1440" w:gutter="0" w:footer="0" w:header="0"/>
          <w:type w:val="continuous"/>
        </w:sectPr>
      </w:pPr>
    </w:p>
    <w:p>
      <w:pPr>
        <w:spacing w:after="0" w:line="3" w:lineRule="exact"/>
        <w:rPr>
          <w:sz w:val="20"/>
          <w:szCs w:val="20"/>
          <w:color w:val="auto"/>
        </w:rPr>
      </w:pPr>
    </w:p>
    <w:p>
      <w:pPr>
        <w:ind w:left="800" w:hanging="178"/>
        <w:spacing w:after="0"/>
        <w:tabs>
          <w:tab w:leader="none" w:pos="800"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hereby make the following Quote on the following terms:</w:t>
      </w:r>
    </w:p>
    <w:p>
      <w:pPr>
        <w:ind w:left="180" w:hanging="170"/>
        <w:spacing w:after="0" w:line="237" w:lineRule="auto"/>
        <w:tabs>
          <w:tab w:leader="none" w:pos="18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88"/>
              </w:rPr>
              <w:t>1.</w:t>
            </w:r>
          </w:p>
        </w:tc>
        <w:tc>
          <w:tcPr>
            <w:tcW w:w="4940" w:type="dxa"/>
            <w:vAlign w:val="bottom"/>
          </w:tcPr>
          <w:p>
            <w:pPr>
              <w:ind w:left="120"/>
              <w:spacing w:after="0"/>
              <w:rPr>
                <w:sz w:val="20"/>
                <w:szCs w:val="20"/>
                <w:color w:val="auto"/>
              </w:rPr>
            </w:pPr>
            <w:r>
              <w:rPr>
                <w:rFonts w:ascii="Courier New" w:cs="Courier New" w:eastAsia="Courier New" w:hAnsi="Courier New"/>
                <w:sz w:val="15"/>
                <w:szCs w:val="15"/>
                <w:color w:val="auto"/>
              </w:rPr>
              <w:t>Quoting Bank:</w:t>
            </w:r>
          </w:p>
        </w:tc>
        <w:tc>
          <w:tcPr>
            <w:tcW w:w="140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49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r>
      <w:tr>
        <w:trPr>
          <w:trHeight w:val="336"/>
        </w:trPr>
        <w:tc>
          <w:tcPr>
            <w:tcW w:w="3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88"/>
              </w:rPr>
              <w:t>2.</w:t>
            </w:r>
          </w:p>
        </w:tc>
        <w:tc>
          <w:tcPr>
            <w:tcW w:w="4940" w:type="dxa"/>
            <w:vAlign w:val="bottom"/>
          </w:tcPr>
          <w:p>
            <w:pPr>
              <w:ind w:left="120"/>
              <w:spacing w:after="0"/>
              <w:rPr>
                <w:sz w:val="20"/>
                <w:szCs w:val="20"/>
                <w:color w:val="auto"/>
              </w:rPr>
            </w:pPr>
            <w:r>
              <w:rPr>
                <w:rFonts w:ascii="Courier New" w:cs="Courier New" w:eastAsia="Courier New" w:hAnsi="Courier New"/>
                <w:sz w:val="15"/>
                <w:szCs w:val="15"/>
                <w:color w:val="auto"/>
              </w:rPr>
              <w:t>Person to contact at Quoting Bank:</w:t>
            </w:r>
          </w:p>
        </w:tc>
        <w:tc>
          <w:tcPr>
            <w:tcW w:w="1400" w:type="dxa"/>
            <w:vAlign w:val="bottom"/>
          </w:tcPr>
          <w:p>
            <w:pPr>
              <w:spacing w:after="0"/>
              <w:rPr>
                <w:sz w:val="24"/>
                <w:szCs w:val="24"/>
                <w:color w:val="auto"/>
              </w:rPr>
            </w:pPr>
          </w:p>
        </w:tc>
      </w:tr>
      <w:tr>
        <w:trPr>
          <w:trHeight w:val="168"/>
        </w:trPr>
        <w:tc>
          <w:tcPr>
            <w:tcW w:w="320" w:type="dxa"/>
            <w:vAlign w:val="bottom"/>
          </w:tcPr>
          <w:p>
            <w:pPr>
              <w:spacing w:after="0"/>
              <w:rPr>
                <w:sz w:val="14"/>
                <w:szCs w:val="14"/>
                <w:color w:val="auto"/>
              </w:rPr>
            </w:pPr>
          </w:p>
        </w:tc>
        <w:tc>
          <w:tcPr>
            <w:tcW w:w="63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88"/>
              </w:rPr>
              <w:t>3.</w:t>
            </w:r>
          </w:p>
        </w:tc>
        <w:tc>
          <w:tcPr>
            <w:tcW w:w="4940" w:type="dxa"/>
            <w:vAlign w:val="bottom"/>
          </w:tcPr>
          <w:p>
            <w:pPr>
              <w:ind w:left="120"/>
              <w:spacing w:after="0"/>
              <w:rPr>
                <w:sz w:val="20"/>
                <w:szCs w:val="20"/>
                <w:color w:val="auto"/>
              </w:rPr>
            </w:pPr>
            <w:r>
              <w:rPr>
                <w:rFonts w:ascii="Courier New" w:cs="Courier New" w:eastAsia="Courier New" w:hAnsi="Courier New"/>
                <w:sz w:val="15"/>
                <w:szCs w:val="15"/>
                <w:color w:val="auto"/>
              </w:rPr>
              <w:t>Date of Borrowing:</w:t>
            </w:r>
          </w:p>
        </w:tc>
        <w:tc>
          <w:tcPr>
            <w:tcW w:w="1400" w:type="dxa"/>
            <w:vAlign w:val="bottom"/>
          </w:tcPr>
          <w:p>
            <w:pPr>
              <w:jc w:val="right"/>
              <w:ind w:right="1067"/>
              <w:spacing w:after="0"/>
              <w:rPr>
                <w:sz w:val="20"/>
                <w:szCs w:val="20"/>
                <w:color w:val="auto"/>
              </w:rPr>
            </w:pPr>
            <w:r>
              <w:rPr>
                <w:rFonts w:ascii="Courier New" w:cs="Courier New" w:eastAsia="Courier New" w:hAnsi="Courier New"/>
                <w:sz w:val="15"/>
                <w:szCs w:val="15"/>
                <w:color w:val="auto"/>
                <w:w w:val="88"/>
              </w:rPr>
              <w:t>/1/</w:t>
            </w:r>
          </w:p>
        </w:tc>
      </w:tr>
      <w:tr>
        <w:trPr>
          <w:trHeight w:val="168"/>
        </w:trPr>
        <w:tc>
          <w:tcPr>
            <w:tcW w:w="320" w:type="dxa"/>
            <w:vAlign w:val="bottom"/>
          </w:tcPr>
          <w:p>
            <w:pPr>
              <w:spacing w:after="0"/>
              <w:rPr>
                <w:sz w:val="14"/>
                <w:szCs w:val="14"/>
                <w:color w:val="auto"/>
              </w:rPr>
            </w:pPr>
          </w:p>
        </w:tc>
        <w:tc>
          <w:tcPr>
            <w:tcW w:w="4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r>
    </w:tbl>
    <w:p>
      <w:pPr>
        <w:spacing w:after="0" w:line="173" w:lineRule="exact"/>
        <w:rPr>
          <w:sz w:val="20"/>
          <w:szCs w:val="20"/>
          <w:color w:val="auto"/>
        </w:rPr>
      </w:pPr>
    </w:p>
    <w:p>
      <w:pPr>
        <w:ind w:right="3579" w:firstLine="10"/>
        <w:spacing w:after="0" w:line="261" w:lineRule="auto"/>
        <w:tabs>
          <w:tab w:leader="none" w:pos="437"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hereby offer to make Money Market Loan(s) in the following principal amounts, for the following Interest Periods and at the following rates: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left="800"/>
        <w:spacing w:after="0" w:line="237" w:lineRule="auto"/>
        <w:rPr>
          <w:sz w:val="20"/>
          <w:szCs w:val="20"/>
          <w:color w:val="auto"/>
        </w:rPr>
      </w:pPr>
      <w:r>
        <w:rPr>
          <w:rFonts w:ascii="Courier New" w:cs="Courier New" w:eastAsia="Courier New" w:hAnsi="Courier New"/>
          <w:sz w:val="15"/>
          <w:szCs w:val="15"/>
          <w:color w:val="auto"/>
        </w:rPr>
        <w:t>/1/ As specified in the related Invitation.</w:t>
      </w:r>
    </w:p>
    <w:p>
      <w:pPr>
        <w:sectPr>
          <w:pgSz w:w="11900" w:h="16838" w:orient="portrait"/>
          <w:cols w:equalWidth="0" w:num="1">
            <w:col w:w="10239"/>
          </w:cols>
          <w:pgMar w:left="220" w:top="449" w:right="1440" w:bottom="1440" w:gutter="0" w:footer="0" w:header="0"/>
          <w:type w:val="continuous"/>
        </w:sectPr>
      </w:pPr>
    </w:p>
    <w:bookmarkStart w:id="112" w:name="page113"/>
    <w:bookmarkEnd w:id="112"/>
    <w:p>
      <w:pPr>
        <w:spacing w:after="0" w:line="6" w:lineRule="exact"/>
        <w:rPr>
          <w:sz w:val="20"/>
          <w:szCs w:val="20"/>
          <w:color w:val="auto"/>
        </w:rPr>
      </w:pPr>
    </w:p>
    <w:p>
      <w:pPr>
        <w:spacing w:after="0" w:line="258" w:lineRule="auto"/>
        <w:rPr>
          <w:sz w:val="20"/>
          <w:szCs w:val="20"/>
          <w:color w:val="auto"/>
        </w:rPr>
      </w:pPr>
      <w:r>
        <w:rPr>
          <w:rFonts w:ascii="Courier New" w:cs="Courier New" w:eastAsia="Courier New" w:hAnsi="Courier New"/>
          <w:sz w:val="14"/>
          <w:szCs w:val="14"/>
          <w:color w:val="auto"/>
        </w:rPr>
        <w:t>Principal Amount /2/ - ---------</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5"/>
          <w:szCs w:val="15"/>
          <w:color w:val="auto"/>
        </w:rPr>
        <w:t>Interest</w:t>
      </w:r>
    </w:p>
    <w:p>
      <w:pPr>
        <w:spacing w:after="0" w:line="237" w:lineRule="auto"/>
        <w:rPr>
          <w:sz w:val="20"/>
          <w:szCs w:val="20"/>
          <w:color w:val="auto"/>
        </w:rPr>
      </w:pPr>
      <w:r>
        <w:rPr>
          <w:rFonts w:ascii="Courier New" w:cs="Courier New" w:eastAsia="Courier New" w:hAnsi="Courier New"/>
          <w:sz w:val="15"/>
          <w:szCs w:val="15"/>
          <w:color w:val="auto"/>
        </w:rPr>
        <w:t>Period /3/</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Money Market</w:t>
      </w:r>
    </w:p>
    <w:p>
      <w:pPr>
        <w:spacing w:after="0" w:line="237" w:lineRule="auto"/>
        <w:rPr>
          <w:sz w:val="20"/>
          <w:szCs w:val="20"/>
          <w:color w:val="auto"/>
        </w:rPr>
      </w:pPr>
      <w:r>
        <w:rPr>
          <w:rFonts w:ascii="Courier New" w:cs="Courier New" w:eastAsia="Courier New" w:hAnsi="Courier New"/>
          <w:sz w:val="15"/>
          <w:szCs w:val="15"/>
          <w:color w:val="auto"/>
        </w:rPr>
        <w:t>[Margin /4/]</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[Absolute Rate /5/]</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4">
            <w:col w:w="980" w:space="520"/>
            <w:col w:w="1040" w:space="620"/>
            <w:col w:w="1220" w:space="520"/>
            <w:col w:w="5339"/>
          </w:cols>
          <w:pgMar w:left="220" w:top="449" w:right="1440" w:bottom="1440" w:gutter="0" w:footer="0" w:header="0"/>
        </w:sectPr>
      </w:pPr>
    </w:p>
    <w:p>
      <w:pPr>
        <w:spacing w:after="0"/>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449" w:right="1440" w:bottom="1440" w:gutter="0" w:footer="0" w:header="0"/>
          <w:type w:val="continuous"/>
        </w:sectPr>
      </w:pPr>
    </w:p>
    <w:p>
      <w:pPr>
        <w:spacing w:after="0" w:line="173"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We understand and agree that the offer(s) set forth above, subject to the satisfaction of the applicable conditions set forth in the Credit Agreement</w:t>
      </w:r>
    </w:p>
    <w:p>
      <w:pPr>
        <w:spacing w:after="0"/>
        <w:tabs>
          <w:tab w:leader="none" w:pos="2520" w:val="left"/>
        </w:tabs>
        <w:rPr>
          <w:sz w:val="20"/>
          <w:szCs w:val="20"/>
          <w:color w:val="auto"/>
        </w:rPr>
      </w:pPr>
      <w:r>
        <w:rPr>
          <w:rFonts w:ascii="Courier New" w:cs="Courier New" w:eastAsia="Courier New" w:hAnsi="Courier New"/>
          <w:sz w:val="15"/>
          <w:szCs w:val="15"/>
          <w:color w:val="auto"/>
        </w:rPr>
        <w:t>dated as of</w:t>
      </w:r>
      <w:r>
        <w:rPr>
          <w:sz w:val="20"/>
          <w:szCs w:val="20"/>
          <w:color w:val="auto"/>
        </w:rPr>
        <w:tab/>
      </w:r>
      <w:r>
        <w:rPr>
          <w:rFonts w:ascii="Courier New" w:cs="Courier New" w:eastAsia="Courier New" w:hAnsi="Courier New"/>
          <w:sz w:val="14"/>
          <w:szCs w:val="14"/>
          <w:color w:val="auto"/>
        </w:rPr>
        <w:t>among the Company, the Banks listed on the</w:t>
      </w:r>
    </w:p>
    <w:p>
      <w:pPr>
        <w:ind w:left="980"/>
        <w:spacing w:after="0" w:line="238"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signature pages thereof and yourselves, as Agent, irrevocably obligates us to make the Money Market Loan(s) for which any offer(s) are accepted, in whole or in part. Terms defined in said Credit Agreement are used herein with the same meaning.</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Very truly yours,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[NAME OF BANK]</w:t>
      </w:r>
    </w:p>
    <w:p>
      <w:pPr>
        <w:spacing w:after="0" w:line="166" w:lineRule="exact"/>
        <w:rPr>
          <w:sz w:val="20"/>
          <w:szCs w:val="20"/>
          <w:color w:val="auto"/>
        </w:rPr>
      </w:pPr>
    </w:p>
    <w:p>
      <w:pPr>
        <w:spacing w:after="0"/>
        <w:tabs>
          <w:tab w:leader="none" w:pos="3400" w:val="left"/>
        </w:tabs>
        <w:rPr>
          <w:sz w:val="20"/>
          <w:szCs w:val="20"/>
          <w:color w:val="auto"/>
        </w:rPr>
      </w:pPr>
      <w:r>
        <w:rPr>
          <w:rFonts w:ascii="Courier New" w:cs="Courier New" w:eastAsia="Courier New" w:hAnsi="Courier New"/>
          <w:sz w:val="15"/>
          <w:szCs w:val="15"/>
          <w:color w:val="auto"/>
        </w:rPr>
        <w:t>Dated:</w:t>
      </w:r>
      <w:r>
        <w:rPr>
          <w:sz w:val="20"/>
          <w:szCs w:val="20"/>
          <w:color w:val="auto"/>
        </w:rPr>
        <w:tab/>
      </w:r>
      <w:r>
        <w:rPr>
          <w:rFonts w:ascii="Courier New" w:cs="Courier New" w:eastAsia="Courier New" w:hAnsi="Courier New"/>
          <w:sz w:val="15"/>
          <w:szCs w:val="15"/>
          <w:color w:val="auto"/>
        </w:rPr>
        <w:t>By:</w:t>
      </w:r>
    </w:p>
    <w:p>
      <w:pPr>
        <w:ind w:left="540"/>
        <w:spacing w:after="0" w:line="237" w:lineRule="auto"/>
        <w:tabs>
          <w:tab w:leader="none" w:pos="36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3680"/>
        <w:spacing w:after="0" w:line="238" w:lineRule="auto"/>
        <w:rPr>
          <w:sz w:val="20"/>
          <w:szCs w:val="20"/>
          <w:color w:val="auto"/>
        </w:rPr>
      </w:pPr>
      <w:r>
        <w:rPr>
          <w:rFonts w:ascii="Courier New" w:cs="Courier New" w:eastAsia="Courier New" w:hAnsi="Courier New"/>
          <w:sz w:val="15"/>
          <w:szCs w:val="15"/>
          <w:color w:val="auto"/>
        </w:rPr>
        <w:t>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679" w:firstLine="787"/>
        <w:spacing w:after="0" w:line="235" w:lineRule="auto"/>
        <w:rPr>
          <w:sz w:val="20"/>
          <w:szCs w:val="20"/>
          <w:color w:val="auto"/>
        </w:rPr>
      </w:pPr>
      <w:r>
        <w:rPr>
          <w:rFonts w:ascii="Courier New" w:cs="Courier New" w:eastAsia="Courier New" w:hAnsi="Courier New"/>
          <w:sz w:val="15"/>
          <w:szCs w:val="15"/>
          <w:color w:val="auto"/>
        </w:rPr>
        <w:t>/2/ Principal amount bid for each Interest Period may not exceed principal amount requested. Specify aggregate limitation if the sum of the individual offers exceeds the amount the Bank is willing to lend. Bids must be made for $1,000,000 or a larger multiple thereof.</w:t>
      </w:r>
    </w:p>
    <w:p>
      <w:pPr>
        <w:spacing w:after="0" w:line="175"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/3/ As specified in the related Invitation. No more than five bids are permitted for each Interest Period.</w:t>
      </w:r>
    </w:p>
    <w:p>
      <w:pPr>
        <w:spacing w:after="0" w:line="173" w:lineRule="exact"/>
        <w:rPr>
          <w:sz w:val="20"/>
          <w:szCs w:val="20"/>
          <w:color w:val="auto"/>
        </w:rPr>
      </w:pPr>
    </w:p>
    <w:p>
      <w:pPr>
        <w:jc w:val="both"/>
        <w:ind w:right="3399" w:firstLine="787"/>
        <w:spacing w:after="0" w:line="235" w:lineRule="auto"/>
        <w:rPr>
          <w:sz w:val="20"/>
          <w:szCs w:val="20"/>
          <w:color w:val="auto"/>
        </w:rPr>
      </w:pPr>
      <w:r>
        <w:rPr>
          <w:rFonts w:ascii="Courier New" w:cs="Courier New" w:eastAsia="Courier New" w:hAnsi="Courier New"/>
          <w:sz w:val="15"/>
          <w:szCs w:val="15"/>
          <w:color w:val="auto"/>
        </w:rPr>
        <w:t>/4/ Margin over or under the London Interbank Offered Rate determined for the applicable Interest Period. Specify percentage (rounded to the nearest 1/10,000th of 1%) and specify whether "PLUS" or "MINUS".</w:t>
      </w:r>
    </w:p>
    <w:p>
      <w:pPr>
        <w:spacing w:after="0" w:line="174" w:lineRule="exact"/>
        <w:rPr>
          <w:sz w:val="20"/>
          <w:szCs w:val="20"/>
          <w:color w:val="auto"/>
        </w:rPr>
      </w:pPr>
    </w:p>
    <w:p>
      <w:pPr>
        <w:ind w:right="4019" w:firstLine="787"/>
        <w:spacing w:after="0" w:line="234" w:lineRule="auto"/>
        <w:rPr>
          <w:sz w:val="20"/>
          <w:szCs w:val="20"/>
          <w:color w:val="auto"/>
        </w:rPr>
      </w:pPr>
      <w:r>
        <w:rPr>
          <w:rFonts w:ascii="Courier New" w:cs="Courier New" w:eastAsia="Courier New" w:hAnsi="Courier New"/>
          <w:sz w:val="15"/>
          <w:szCs w:val="15"/>
          <w:color w:val="auto"/>
        </w:rPr>
        <w:t>/5/ Specify rate of interest per annum (rounded to the nearest 1/10,000th of 1%).</w:t>
      </w:r>
    </w:p>
    <w:p>
      <w:pPr>
        <w:sectPr>
          <w:pgSz w:w="11900" w:h="16838" w:orient="portrait"/>
          <w:cols w:equalWidth="0" w:num="1">
            <w:col w:w="10239"/>
          </w:cols>
          <w:pgMar w:left="220" w:top="449" w:right="1440" w:bottom="1440" w:gutter="0" w:footer="0" w:header="0"/>
          <w:type w:val="continuous"/>
        </w:sectPr>
      </w:pPr>
    </w:p>
    <w:bookmarkStart w:id="113" w:name="page114"/>
    <w:bookmarkEnd w:id="113"/>
    <w:p>
      <w:pPr>
        <w:spacing w:after="0"/>
        <w:rPr>
          <w:sz w:val="20"/>
          <w:szCs w:val="20"/>
          <w:color w:val="auto"/>
        </w:rPr>
      </w:pPr>
      <w:r>
        <w:rPr>
          <w:rFonts w:ascii="Courier New" w:cs="Courier New" w:eastAsia="Courier New" w:hAnsi="Courier New"/>
          <w:sz w:val="15"/>
          <w:szCs w:val="15"/>
          <w:color w:val="auto"/>
        </w:rPr>
        <w:t>THE LIMITED,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EXHIBIT E-1</w:t>
      </w:r>
    </w:p>
    <w:p>
      <w:pPr>
        <w:spacing w:after="0" w:line="339" w:lineRule="exact"/>
        <w:rPr>
          <w:sz w:val="20"/>
          <w:szCs w:val="20"/>
          <w:color w:val="auto"/>
        </w:rPr>
      </w:pPr>
    </w:p>
    <w:p>
      <w:pPr>
        <w:sectPr>
          <w:pgSz w:w="11900" w:h="16838" w:orient="portrait"/>
          <w:cols w:equalWidth="0" w:num="2">
            <w:col w:w="5320" w:space="720"/>
            <w:col w:w="4199"/>
          </w:cols>
          <w:pgMar w:left="220" w:top="449" w:right="1440" w:bottom="1440" w:gutter="0" w:footer="0" w:header="0"/>
        </w:sectPr>
      </w:pPr>
    </w:p>
    <w:p>
      <w:pPr>
        <w:spacing w:after="0"/>
        <w:rPr>
          <w:sz w:val="20"/>
          <w:szCs w:val="20"/>
          <w:color w:val="auto"/>
        </w:rPr>
      </w:pPr>
      <w:r>
        <w:rPr>
          <w:rFonts w:ascii="Courier New" w:cs="Courier New" w:eastAsia="Courier New" w:hAnsi="Courier New"/>
          <w:sz w:val="15"/>
          <w:szCs w:val="15"/>
          <w:color w:val="auto"/>
        </w:rPr>
        <w:t>THREE LIMITED PARKWAY</w:t>
      </w:r>
    </w:p>
    <w:p>
      <w:pPr>
        <w:spacing w:after="0" w:line="237" w:lineRule="auto"/>
        <w:rPr>
          <w:sz w:val="20"/>
          <w:szCs w:val="20"/>
          <w:color w:val="auto"/>
        </w:rPr>
      </w:pPr>
      <w:r>
        <w:rPr>
          <w:rFonts w:ascii="Courier New" w:cs="Courier New" w:eastAsia="Courier New" w:hAnsi="Courier New"/>
          <w:sz w:val="15"/>
          <w:szCs w:val="15"/>
          <w:color w:val="auto"/>
        </w:rPr>
        <w:t>COLUMBUS, OHIO 43230</w:t>
      </w:r>
    </w:p>
    <w:p>
      <w:pPr>
        <w:spacing w:after="0" w:line="238" w:lineRule="auto"/>
        <w:rPr>
          <w:sz w:val="20"/>
          <w:szCs w:val="20"/>
          <w:color w:val="auto"/>
        </w:rPr>
      </w:pPr>
      <w:r>
        <w:rPr>
          <w:rFonts w:ascii="Courier New" w:cs="Courier New" w:eastAsia="Courier New" w:hAnsi="Courier New"/>
          <w:sz w:val="15"/>
          <w:szCs w:val="15"/>
          <w:color w:val="auto"/>
        </w:rPr>
        <w:t>TEL 614 479 7000</w:t>
      </w: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SAMUEL P. FRIED</w:t>
      </w:r>
    </w:p>
    <w:p>
      <w:pPr>
        <w:ind w:left="360"/>
        <w:spacing w:after="0" w:line="237" w:lineRule="auto"/>
        <w:rPr>
          <w:sz w:val="20"/>
          <w:szCs w:val="20"/>
          <w:color w:val="auto"/>
        </w:rPr>
      </w:pPr>
      <w:r>
        <w:rPr>
          <w:rFonts w:ascii="Courier New" w:cs="Courier New" w:eastAsia="Courier New" w:hAnsi="Courier New"/>
          <w:sz w:val="15"/>
          <w:szCs w:val="15"/>
          <w:color w:val="auto"/>
        </w:rPr>
        <w:t>Vice President</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and General Counsel</w:t>
      </w:r>
    </w:p>
    <w:p>
      <w:pPr>
        <w:sectPr>
          <w:pgSz w:w="11900" w:h="16838" w:orient="portrait"/>
          <w:cols w:equalWidth="0" w:num="1">
            <w:col w:w="10239"/>
          </w:cols>
          <w:pgMar w:left="220" w:top="449" w:right="1440" w:bottom="1440" w:gutter="0" w:footer="0" w:header="0"/>
          <w:type w:val="continuous"/>
        </w:sectPr>
      </w:pPr>
    </w:p>
    <w:p>
      <w:pPr>
        <w:spacing w:after="0" w:line="200" w:lineRule="exact"/>
        <w:rPr>
          <w:sz w:val="20"/>
          <w:szCs w:val="20"/>
          <w:color w:val="auto"/>
        </w:rPr>
      </w:pPr>
    </w:p>
    <w:p>
      <w:pPr>
        <w:spacing w:after="0" w:line="30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December 15, 1995</w:t>
      </w:r>
    </w:p>
    <w:p>
      <w:pPr>
        <w:spacing w:after="0" w:line="16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To the Banks and the Agent</w:t>
      </w:r>
    </w:p>
    <w:p>
      <w:pPr>
        <w:ind w:left="360"/>
        <w:spacing w:after="0" w:line="237" w:lineRule="auto"/>
        <w:rPr>
          <w:sz w:val="20"/>
          <w:szCs w:val="20"/>
          <w:color w:val="auto"/>
        </w:rPr>
      </w:pPr>
      <w:r>
        <w:rPr>
          <w:rFonts w:ascii="Courier New" w:cs="Courier New" w:eastAsia="Courier New" w:hAnsi="Courier New"/>
          <w:sz w:val="15"/>
          <w:szCs w:val="15"/>
          <w:color w:val="auto"/>
        </w:rPr>
        <w:t>c/o Morgan Guaranty Trust Company</w:t>
      </w:r>
    </w:p>
    <w:p>
      <w:pPr>
        <w:ind w:left="540"/>
        <w:spacing w:after="0" w:line="238" w:lineRule="auto"/>
        <w:rPr>
          <w:sz w:val="20"/>
          <w:szCs w:val="20"/>
          <w:color w:val="auto"/>
        </w:rPr>
      </w:pPr>
      <w:r>
        <w:rPr>
          <w:rFonts w:ascii="Courier New" w:cs="Courier New" w:eastAsia="Courier New" w:hAnsi="Courier New"/>
          <w:sz w:val="15"/>
          <w:szCs w:val="15"/>
          <w:color w:val="auto"/>
        </w:rPr>
        <w:t>of New York, as Agent</w:t>
      </w:r>
    </w:p>
    <w:p>
      <w:pPr>
        <w:ind w:left="360"/>
        <w:spacing w:after="0" w:line="237" w:lineRule="auto"/>
        <w:rPr>
          <w:sz w:val="20"/>
          <w:szCs w:val="20"/>
          <w:color w:val="auto"/>
        </w:rPr>
      </w:pPr>
      <w:r>
        <w:rPr>
          <w:rFonts w:ascii="Courier New" w:cs="Courier New" w:eastAsia="Courier New" w:hAnsi="Courier New"/>
          <w:sz w:val="15"/>
          <w:szCs w:val="15"/>
          <w:color w:val="auto"/>
        </w:rPr>
        <w:t>60 Wall Street</w:t>
      </w:r>
    </w:p>
    <w:p>
      <w:pPr>
        <w:ind w:left="360"/>
        <w:spacing w:after="0" w:line="238" w:lineRule="auto"/>
        <w:rPr>
          <w:sz w:val="20"/>
          <w:szCs w:val="20"/>
          <w:color w:val="auto"/>
        </w:rPr>
      </w:pPr>
      <w:r>
        <w:rPr>
          <w:rFonts w:ascii="Courier New" w:cs="Courier New" w:eastAsia="Courier New" w:hAnsi="Courier New"/>
          <w:sz w:val="15"/>
          <w:szCs w:val="15"/>
          <w:color w:val="auto"/>
        </w:rPr>
        <w:t>New York, New York 10260</w:t>
      </w: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Ladies and Gentlemen:</w:t>
      </w:r>
    </w:p>
    <w:p>
      <w:pPr>
        <w:spacing w:after="0" w:line="341" w:lineRule="exact"/>
        <w:rPr>
          <w:sz w:val="20"/>
          <w:szCs w:val="20"/>
          <w:color w:val="auto"/>
        </w:rPr>
      </w:pPr>
    </w:p>
    <w:p>
      <w:pPr>
        <w:ind w:left="360" w:right="3319" w:firstLine="437"/>
        <w:spacing w:after="0" w:line="236" w:lineRule="auto"/>
        <w:rPr>
          <w:sz w:val="20"/>
          <w:szCs w:val="20"/>
          <w:color w:val="auto"/>
        </w:rPr>
      </w:pPr>
      <w:r>
        <w:rPr>
          <w:rFonts w:ascii="Courier New" w:cs="Courier New" w:eastAsia="Courier New" w:hAnsi="Courier New"/>
          <w:sz w:val="15"/>
          <w:szCs w:val="15"/>
          <w:color w:val="auto"/>
        </w:rPr>
        <w:t>I am the General Counsel of The Limited, Inc., a Delaware corporation (the "Company"), and have acted on behalf of the Company in connection with the Credit Agreement dated as of December 15, 1995 (the "Credit Agreement") among the Company, the banks listed on the signature pages thereof (the "Banks") and Morgan Guaranty Trust Company of New York, as Agent (the "Agent"). Terms defined in the Credit Agreement are used herein as therein defined.</w:t>
      </w:r>
    </w:p>
    <w:p>
      <w:pPr>
        <w:spacing w:after="0" w:line="176" w:lineRule="exact"/>
        <w:rPr>
          <w:sz w:val="20"/>
          <w:szCs w:val="20"/>
          <w:color w:val="auto"/>
        </w:rPr>
      </w:pPr>
    </w:p>
    <w:p>
      <w:pPr>
        <w:ind w:left="360" w:right="3319" w:firstLine="437"/>
        <w:spacing w:after="0" w:line="236" w:lineRule="auto"/>
        <w:rPr>
          <w:sz w:val="20"/>
          <w:szCs w:val="20"/>
          <w:color w:val="auto"/>
        </w:rPr>
      </w:pPr>
      <w:r>
        <w:rPr>
          <w:rFonts w:ascii="Courier New" w:cs="Courier New" w:eastAsia="Courier New" w:hAnsi="Courier New"/>
          <w:sz w:val="15"/>
          <w:szCs w:val="15"/>
          <w:color w:val="auto"/>
        </w:rPr>
        <w:t>I, or individuals under my direction, have examined originals or copies, certified or otherwise identified to my satisfaction, of such documents, corporate records, certificates of public officials and other instruments and have conducted such other investigations of fact and law as I have deemed necessary or advisable for purposes of this opinion.</w:t>
      </w:r>
    </w:p>
    <w:p>
      <w:pPr>
        <w:spacing w:after="0" w:line="174" w:lineRule="exact"/>
        <w:rPr>
          <w:sz w:val="20"/>
          <w:szCs w:val="20"/>
          <w:color w:val="auto"/>
        </w:rPr>
      </w:pPr>
    </w:p>
    <w:p>
      <w:pPr>
        <w:ind w:left="360" w:right="3399" w:firstLine="437"/>
        <w:spacing w:after="0" w:line="234" w:lineRule="auto"/>
        <w:rPr>
          <w:sz w:val="20"/>
          <w:szCs w:val="20"/>
          <w:color w:val="auto"/>
        </w:rPr>
      </w:pPr>
      <w:r>
        <w:rPr>
          <w:rFonts w:ascii="Courier New" w:cs="Courier New" w:eastAsia="Courier New" w:hAnsi="Courier New"/>
          <w:sz w:val="15"/>
          <w:szCs w:val="15"/>
          <w:color w:val="auto"/>
        </w:rPr>
        <w:t>Based upon the foregoing, and subject to the qualifications set forth below, I am of the opinion that:</w:t>
      </w:r>
    </w:p>
    <w:p>
      <w:pPr>
        <w:spacing w:after="0" w:line="173" w:lineRule="exact"/>
        <w:rPr>
          <w:sz w:val="20"/>
          <w:szCs w:val="20"/>
          <w:color w:val="auto"/>
        </w:rPr>
      </w:pPr>
    </w:p>
    <w:p>
      <w:pPr>
        <w:ind w:left="360" w:right="3239" w:firstLine="437"/>
        <w:spacing w:after="0" w:line="236" w:lineRule="auto"/>
        <w:tabs>
          <w:tab w:leader="none" w:pos="1147"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a corporation duly organized, validly existing and in good standing under the laws of its jurisdiction of organization and has all corporate powers and all material governmental licenses, authorizations, consents and approvals required to carry on its business as now conducted or proposed to be conducted, except any such powers or governmental licenses, authorizations, consents or approvals the absence of which would not reasonably be expected to have a material adverse effect on the business, financial condition or results of operations of the Company and the Consolidated Subsidiaries considered as a whole.</w:t>
      </w:r>
    </w:p>
    <w:p>
      <w:pPr>
        <w:sectPr>
          <w:pgSz w:w="11900" w:h="16838" w:orient="portrait"/>
          <w:cols w:equalWidth="0" w:num="1">
            <w:col w:w="10239"/>
          </w:cols>
          <w:pgMar w:left="220" w:top="449" w:right="1440" w:bottom="1440" w:gutter="0" w:footer="0" w:header="0"/>
          <w:type w:val="continuous"/>
        </w:sectPr>
      </w:pPr>
    </w:p>
    <w:bookmarkStart w:id="114" w:name="page115"/>
    <w:bookmarkEnd w:id="114"/>
    <w:p>
      <w:pPr>
        <w:spacing w:after="0"/>
        <w:rPr>
          <w:sz w:val="20"/>
          <w:szCs w:val="20"/>
          <w:color w:val="auto"/>
        </w:rPr>
      </w:pPr>
      <w:r>
        <w:rPr>
          <w:rFonts w:ascii="Courier New" w:cs="Courier New" w:eastAsia="Courier New" w:hAnsi="Courier New"/>
          <w:sz w:val="15"/>
          <w:szCs w:val="15"/>
          <w:color w:val="auto"/>
        </w:rPr>
        <w:t>To the Banks and the Agent</w:t>
      </w:r>
    </w:p>
    <w:p>
      <w:pPr>
        <w:spacing w:after="0" w:line="173" w:lineRule="exact"/>
        <w:rPr>
          <w:sz w:val="20"/>
          <w:szCs w:val="20"/>
          <w:color w:val="auto"/>
        </w:rPr>
      </w:pPr>
    </w:p>
    <w:p>
      <w:pPr>
        <w:ind w:left="360" w:right="3239" w:firstLine="437"/>
        <w:spacing w:after="0" w:line="255" w:lineRule="auto"/>
        <w:tabs>
          <w:tab w:leader="none" w:pos="1147"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by the Company of the Credit Agreement and the Notes are within the Company's corporate powers, have been duly authorized by all necessary corporate action, require no action by or in respect of, or filing with, any Governmental Authority (other than such as have been duly taken or made) and do not contravene, or constitute a default under, any provision of applicable law or regulation of the State of Ohio or the United States of America or of the certificate of incorporation or by-laws of the Company or, to the best of my knowledge, of any judgment, injunction, order or decree or any material agreement or other material instrument binding upon the Company or result in the creation or imposition of any Lien on any asset of the Company.</w:t>
      </w:r>
    </w:p>
    <w:p>
      <w:pPr>
        <w:spacing w:after="0" w:line="164" w:lineRule="exact"/>
        <w:rPr>
          <w:rFonts w:ascii="Courier New" w:cs="Courier New" w:eastAsia="Courier New" w:hAnsi="Courier New"/>
          <w:sz w:val="14"/>
          <w:szCs w:val="14"/>
          <w:color w:val="auto"/>
        </w:rPr>
      </w:pPr>
    </w:p>
    <w:p>
      <w:pPr>
        <w:ind w:left="360" w:right="3319" w:firstLine="437"/>
        <w:spacing w:after="0" w:line="255" w:lineRule="auto"/>
        <w:tabs>
          <w:tab w:leader="none" w:pos="1147"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best of my knowledge, there is not injunction, stay, decree or order of any Governmental Authority or any action, suit or proceeding pending against, threatened against or affecting the Company before any court or arbitrator or any governmental body, agency or official in which there is a reasonable possibility of an adverse decision that would reasonably be expected to have a material adverse effect on the business, financial condition or results of operations of the Company and the Consolidated Subsidiaries considered as a whole or which expressly contests the validity of the Credit Agreement or the Notes.</w:t>
      </w:r>
    </w:p>
    <w:p>
      <w:pPr>
        <w:spacing w:after="0" w:line="165" w:lineRule="exact"/>
        <w:rPr>
          <w:sz w:val="20"/>
          <w:szCs w:val="20"/>
          <w:color w:val="auto"/>
        </w:rPr>
      </w:pPr>
    </w:p>
    <w:p>
      <w:pPr>
        <w:jc w:val="both"/>
        <w:ind w:left="360" w:right="3239" w:firstLine="437"/>
        <w:spacing w:after="0" w:line="258" w:lineRule="auto"/>
        <w:rPr>
          <w:sz w:val="20"/>
          <w:szCs w:val="20"/>
          <w:color w:val="auto"/>
        </w:rPr>
      </w:pPr>
      <w:r>
        <w:rPr>
          <w:rFonts w:ascii="Courier New" w:cs="Courier New" w:eastAsia="Courier New" w:hAnsi="Courier New"/>
          <w:sz w:val="14"/>
          <w:szCs w:val="14"/>
          <w:color w:val="auto"/>
        </w:rPr>
        <w:t>I am a member of the bar of the State of Ohio and the foregoing opinion is limited to the laws of the State of Ohio, the Federal laws of the United States of America and the General Corporation Law of the State of Delaware.</w:t>
      </w:r>
    </w:p>
    <w:p>
      <w:pPr>
        <w:spacing w:after="0" w:line="161" w:lineRule="exact"/>
        <w:rPr>
          <w:sz w:val="20"/>
          <w:szCs w:val="20"/>
          <w:color w:val="auto"/>
        </w:rPr>
      </w:pPr>
    </w:p>
    <w:p>
      <w:pPr>
        <w:ind w:left="360" w:right="3319" w:firstLine="437"/>
        <w:spacing w:after="0" w:line="235" w:lineRule="auto"/>
        <w:rPr>
          <w:sz w:val="20"/>
          <w:szCs w:val="20"/>
          <w:color w:val="auto"/>
        </w:rPr>
      </w:pPr>
      <w:r>
        <w:rPr>
          <w:rFonts w:ascii="Courier New" w:cs="Courier New" w:eastAsia="Courier New" w:hAnsi="Courier New"/>
          <w:sz w:val="15"/>
          <w:szCs w:val="15"/>
          <w:color w:val="auto"/>
        </w:rPr>
        <w:t>This opinion is rendered solely to you in connection with the above matter. This opinion may not be relied upon by you for any other purpose or relied upon by any other person without my prior written consent.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Very truly yours,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 Samuel P. Fried</w:t>
      </w:r>
    </w:p>
    <w:p>
      <w:pPr>
        <w:sectPr>
          <w:pgSz w:w="11900" w:h="16838" w:orient="portrait"/>
          <w:cols w:equalWidth="0" w:num="1">
            <w:col w:w="10239"/>
          </w:cols>
          <w:pgMar w:left="220" w:top="449" w:right="1440"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170"/>
        </w:trPr>
        <w:tc>
          <w:tcPr>
            <w:tcW w:w="2280" w:type="dxa"/>
            <w:vAlign w:val="bottom"/>
          </w:tcPr>
          <w:p>
            <w:pPr>
              <w:spacing w:after="0"/>
              <w:rPr>
                <w:sz w:val="14"/>
                <w:szCs w:val="14"/>
                <w:color w:val="auto"/>
              </w:rPr>
            </w:pPr>
          </w:p>
        </w:tc>
        <w:tc>
          <w:tcPr>
            <w:tcW w:w="2400" w:type="dxa"/>
            <w:vAlign w:val="bottom"/>
          </w:tcPr>
          <w:p>
            <w:pPr>
              <w:ind w:left="260"/>
              <w:spacing w:after="0"/>
              <w:rPr>
                <w:sz w:val="20"/>
                <w:szCs w:val="20"/>
                <w:color w:val="auto"/>
              </w:rPr>
            </w:pPr>
            <w:r>
              <w:rPr>
                <w:rFonts w:ascii="Courier New" w:cs="Courier New" w:eastAsia="Courier New" w:hAnsi="Courier New"/>
                <w:sz w:val="15"/>
                <w:szCs w:val="15"/>
                <w:color w:val="auto"/>
              </w:rPr>
              <w:t>DAVIS POLK &amp; WARDWELL</w:t>
            </w:r>
          </w:p>
        </w:tc>
        <w:tc>
          <w:tcPr>
            <w:tcW w:w="2320" w:type="dxa"/>
            <w:vAlign w:val="bottom"/>
          </w:tcPr>
          <w:p>
            <w:pPr>
              <w:jc w:val="right"/>
              <w:spacing w:after="0"/>
              <w:rPr>
                <w:sz w:val="20"/>
                <w:szCs w:val="20"/>
                <w:color w:val="auto"/>
              </w:rPr>
            </w:pPr>
            <w:r>
              <w:rPr>
                <w:rFonts w:ascii="Courier New" w:cs="Courier New" w:eastAsia="Courier New" w:hAnsi="Courier New"/>
                <w:sz w:val="15"/>
                <w:szCs w:val="15"/>
                <w:color w:val="auto"/>
              </w:rPr>
              <w:t>EXHIBIT E-2</w:t>
            </w:r>
          </w:p>
        </w:tc>
      </w:tr>
      <w:tr>
        <w:trPr>
          <w:trHeight w:val="336"/>
        </w:trPr>
        <w:tc>
          <w:tcPr>
            <w:tcW w:w="2280" w:type="dxa"/>
            <w:vAlign w:val="bottom"/>
          </w:tcPr>
          <w:p>
            <w:pPr>
              <w:spacing w:after="0"/>
              <w:rPr>
                <w:sz w:val="24"/>
                <w:szCs w:val="24"/>
                <w:color w:val="auto"/>
              </w:rPr>
            </w:pPr>
          </w:p>
        </w:tc>
        <w:tc>
          <w:tcPr>
            <w:tcW w:w="2400" w:type="dxa"/>
            <w:vAlign w:val="bottom"/>
          </w:tcPr>
          <w:p>
            <w:pPr>
              <w:ind w:left="260"/>
              <w:spacing w:after="0"/>
              <w:rPr>
                <w:sz w:val="20"/>
                <w:szCs w:val="20"/>
                <w:color w:val="auto"/>
              </w:rPr>
            </w:pPr>
            <w:r>
              <w:rPr>
                <w:rFonts w:ascii="Courier New" w:cs="Courier New" w:eastAsia="Courier New" w:hAnsi="Courier New"/>
                <w:sz w:val="15"/>
                <w:szCs w:val="15"/>
                <w:color w:val="auto"/>
              </w:rPr>
              <w:t>450 LEXINGTON AVENUE</w:t>
            </w:r>
          </w:p>
        </w:tc>
        <w:tc>
          <w:tcPr>
            <w:tcW w:w="2320" w:type="dxa"/>
            <w:vAlign w:val="bottom"/>
          </w:tcPr>
          <w:p>
            <w:pPr>
              <w:spacing w:after="0"/>
              <w:rPr>
                <w:sz w:val="24"/>
                <w:szCs w:val="2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1300 I STREET, N.W.</w:t>
            </w:r>
          </w:p>
        </w:tc>
        <w:tc>
          <w:tcPr>
            <w:tcW w:w="2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NEW YORK, N.Y. 10017</w:t>
            </w:r>
          </w:p>
        </w:tc>
        <w:tc>
          <w:tcPr>
            <w:tcW w:w="2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 MARUNOUCHI I-CHOME</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WASHINGTON, D.C. 20005</w:t>
            </w:r>
          </w:p>
        </w:tc>
        <w:tc>
          <w:tcPr>
            <w:tcW w:w="24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212-450-4000</w:t>
            </w:r>
          </w:p>
        </w:tc>
        <w:tc>
          <w:tcPr>
            <w:tcW w:w="2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CHIYODA-KU, TOKYO 100</w:t>
            </w:r>
          </w:p>
        </w:tc>
      </w:tr>
      <w:tr>
        <w:trPr>
          <w:trHeight w:val="168"/>
        </w:trPr>
        <w:tc>
          <w:tcPr>
            <w:tcW w:w="2280" w:type="dxa"/>
            <w:vAlign w:val="bottom"/>
          </w:tcPr>
          <w:p>
            <w:pPr>
              <w:jc w:val="right"/>
              <w:ind w:right="1227"/>
              <w:spacing w:after="0" w:line="168" w:lineRule="exact"/>
              <w:rPr>
                <w:sz w:val="20"/>
                <w:szCs w:val="20"/>
                <w:color w:val="auto"/>
              </w:rPr>
            </w:pPr>
            <w:r>
              <w:rPr>
                <w:rFonts w:ascii="Courier New" w:cs="Courier New" w:eastAsia="Courier New" w:hAnsi="Courier New"/>
                <w:sz w:val="15"/>
                <w:szCs w:val="15"/>
                <w:color w:val="auto"/>
              </w:rPr>
              <w:t>--</w:t>
            </w:r>
          </w:p>
        </w:tc>
        <w:tc>
          <w:tcPr>
            <w:tcW w:w="24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FAX: 212-450-4800</w:t>
            </w:r>
          </w:p>
        </w:tc>
        <w:tc>
          <w:tcPr>
            <w:tcW w:w="232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4. PLACE DE LA CONCORDE</w:t>
            </w:r>
          </w:p>
        </w:tc>
        <w:tc>
          <w:tcPr>
            <w:tcW w:w="2400" w:type="dxa"/>
            <w:vAlign w:val="bottom"/>
          </w:tcPr>
          <w:p>
            <w:pPr>
              <w:spacing w:after="0"/>
              <w:rPr>
                <w:sz w:val="14"/>
                <w:szCs w:val="14"/>
                <w:color w:val="auto"/>
              </w:rPr>
            </w:pPr>
          </w:p>
        </w:tc>
        <w:tc>
          <w:tcPr>
            <w:tcW w:w="2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MESSETURM</w:t>
            </w:r>
          </w:p>
        </w:tc>
      </w:tr>
      <w:tr>
        <w:trPr>
          <w:trHeight w:val="168"/>
        </w:trPr>
        <w:tc>
          <w:tcPr>
            <w:tcW w:w="228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6"/>
              </w:rPr>
              <w:t>75008 PARIS</w:t>
            </w:r>
          </w:p>
        </w:tc>
        <w:tc>
          <w:tcPr>
            <w:tcW w:w="2400" w:type="dxa"/>
            <w:vAlign w:val="bottom"/>
          </w:tcPr>
          <w:p>
            <w:pPr>
              <w:spacing w:after="0"/>
              <w:rPr>
                <w:sz w:val="14"/>
                <w:szCs w:val="14"/>
                <w:color w:val="auto"/>
              </w:rPr>
            </w:pPr>
          </w:p>
        </w:tc>
        <w:tc>
          <w:tcPr>
            <w:tcW w:w="2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40308 FRANKFURT AU MAIN</w:t>
            </w:r>
          </w:p>
        </w:tc>
      </w:tr>
      <w:tr>
        <w:trPr>
          <w:trHeight w:val="168"/>
        </w:trPr>
        <w:tc>
          <w:tcPr>
            <w:tcW w:w="2280" w:type="dxa"/>
            <w:vAlign w:val="bottom"/>
          </w:tcPr>
          <w:p>
            <w:pPr>
              <w:jc w:val="right"/>
              <w:ind w:right="1227"/>
              <w:spacing w:after="0" w:line="168" w:lineRule="exact"/>
              <w:rPr>
                <w:sz w:val="20"/>
                <w:szCs w:val="20"/>
                <w:color w:val="auto"/>
              </w:rPr>
            </w:pPr>
            <w:r>
              <w:rPr>
                <w:rFonts w:ascii="Courier New" w:cs="Courier New" w:eastAsia="Courier New" w:hAnsi="Courier New"/>
                <w:sz w:val="15"/>
                <w:szCs w:val="15"/>
                <w:color w:val="auto"/>
              </w:rPr>
              <w:t>--</w:t>
            </w:r>
          </w:p>
        </w:tc>
        <w:tc>
          <w:tcPr>
            <w:tcW w:w="2400" w:type="dxa"/>
            <w:vAlign w:val="bottom"/>
          </w:tcPr>
          <w:p>
            <w:pPr>
              <w:spacing w:after="0"/>
              <w:rPr>
                <w:sz w:val="14"/>
                <w:szCs w:val="14"/>
                <w:color w:val="auto"/>
              </w:rPr>
            </w:pPr>
          </w:p>
        </w:tc>
        <w:tc>
          <w:tcPr>
            <w:tcW w:w="232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80" w:type="dxa"/>
            <w:vAlign w:val="bottom"/>
          </w:tcPr>
          <w:p>
            <w:pPr>
              <w:jc w:val="center"/>
              <w:ind w:right="347"/>
              <w:spacing w:after="0" w:line="168" w:lineRule="exact"/>
              <w:rPr>
                <w:sz w:val="20"/>
                <w:szCs w:val="20"/>
                <w:color w:val="auto"/>
              </w:rPr>
            </w:pPr>
            <w:r>
              <w:rPr>
                <w:rFonts w:ascii="Courier New" w:cs="Courier New" w:eastAsia="Courier New" w:hAnsi="Courier New"/>
                <w:sz w:val="15"/>
                <w:szCs w:val="15"/>
                <w:color w:val="auto"/>
                <w:w w:val="97"/>
              </w:rPr>
              <w:t>1 FREDERICK'S PLACE</w:t>
            </w:r>
          </w:p>
        </w:tc>
        <w:tc>
          <w:tcPr>
            <w:tcW w:w="2400" w:type="dxa"/>
            <w:vAlign w:val="bottom"/>
          </w:tcPr>
          <w:p>
            <w:pPr>
              <w:spacing w:after="0"/>
              <w:rPr>
                <w:sz w:val="14"/>
                <w:szCs w:val="14"/>
                <w:color w:val="auto"/>
              </w:rPr>
            </w:pPr>
          </w:p>
        </w:tc>
        <w:tc>
          <w:tcPr>
            <w:tcW w:w="2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34 CHATER ROAD</w:t>
            </w:r>
          </w:p>
        </w:tc>
      </w:tr>
      <w:tr>
        <w:trPr>
          <w:trHeight w:val="168"/>
        </w:trPr>
        <w:tc>
          <w:tcPr>
            <w:tcW w:w="2280" w:type="dxa"/>
            <w:vAlign w:val="bottom"/>
          </w:tcPr>
          <w:p>
            <w:pPr>
              <w:jc w:val="center"/>
              <w:ind w:right="347"/>
              <w:spacing w:after="0" w:line="168" w:lineRule="exact"/>
              <w:rPr>
                <w:sz w:val="20"/>
                <w:szCs w:val="20"/>
                <w:color w:val="auto"/>
              </w:rPr>
            </w:pPr>
            <w:r>
              <w:rPr>
                <w:rFonts w:ascii="Courier New" w:cs="Courier New" w:eastAsia="Courier New" w:hAnsi="Courier New"/>
                <w:sz w:val="15"/>
                <w:szCs w:val="15"/>
                <w:color w:val="auto"/>
                <w:w w:val="96"/>
              </w:rPr>
              <w:t>LONDON EC2R 8A8</w:t>
            </w:r>
          </w:p>
        </w:tc>
        <w:tc>
          <w:tcPr>
            <w:tcW w:w="2400" w:type="dxa"/>
            <w:vAlign w:val="bottom"/>
          </w:tcPr>
          <w:p>
            <w:pPr>
              <w:spacing w:after="0"/>
              <w:rPr>
                <w:sz w:val="14"/>
                <w:szCs w:val="14"/>
                <w:color w:val="auto"/>
              </w:rPr>
            </w:pPr>
          </w:p>
        </w:tc>
        <w:tc>
          <w:tcPr>
            <w:tcW w:w="2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HONG KONG</w:t>
            </w:r>
          </w:p>
        </w:tc>
      </w:tr>
    </w:tbl>
    <w:p>
      <w:pPr>
        <w:spacing w:after="0" w:line="166" w:lineRule="exact"/>
        <w:rPr>
          <w:sz w:val="20"/>
          <w:szCs w:val="20"/>
          <w:color w:val="auto"/>
        </w:rPr>
      </w:pPr>
    </w:p>
    <w:p>
      <w:pPr>
        <w:ind w:left="5000"/>
        <w:spacing w:after="0"/>
        <w:rPr>
          <w:sz w:val="20"/>
          <w:szCs w:val="20"/>
          <w:color w:val="auto"/>
        </w:rPr>
      </w:pPr>
      <w:r>
        <w:rPr>
          <w:rFonts w:ascii="Courier New" w:cs="Courier New" w:eastAsia="Courier New" w:hAnsi="Courier New"/>
          <w:sz w:val="15"/>
          <w:szCs w:val="15"/>
          <w:color w:val="auto"/>
        </w:rPr>
        <w:t>December 15, 1995</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Banks and the Agent</w:t>
      </w:r>
    </w:p>
    <w:p>
      <w:pPr>
        <w:spacing w:after="0" w:line="237" w:lineRule="auto"/>
        <w:rPr>
          <w:sz w:val="20"/>
          <w:szCs w:val="20"/>
          <w:color w:val="auto"/>
        </w:rPr>
      </w:pPr>
      <w:r>
        <w:rPr>
          <w:rFonts w:ascii="Courier New" w:cs="Courier New" w:eastAsia="Courier New" w:hAnsi="Courier New"/>
          <w:sz w:val="15"/>
          <w:szCs w:val="15"/>
          <w:color w:val="auto"/>
        </w:rPr>
        <w:t>c/o Morgan Guaranty Trust Company</w:t>
      </w:r>
    </w:p>
    <w:p>
      <w:pPr>
        <w:ind w:left="180"/>
        <w:spacing w:after="0" w:line="238" w:lineRule="auto"/>
        <w:rPr>
          <w:sz w:val="20"/>
          <w:szCs w:val="20"/>
          <w:color w:val="auto"/>
        </w:rPr>
      </w:pPr>
      <w:r>
        <w:rPr>
          <w:rFonts w:ascii="Courier New" w:cs="Courier New" w:eastAsia="Courier New" w:hAnsi="Courier New"/>
          <w:sz w:val="15"/>
          <w:szCs w:val="15"/>
          <w:color w:val="auto"/>
        </w:rPr>
        <w:t>of New York, as Agent</w:t>
      </w:r>
    </w:p>
    <w:p>
      <w:pPr>
        <w:spacing w:after="0" w:line="237" w:lineRule="auto"/>
        <w:rPr>
          <w:sz w:val="20"/>
          <w:szCs w:val="20"/>
          <w:color w:val="auto"/>
        </w:rPr>
      </w:pPr>
      <w:r>
        <w:rPr>
          <w:rFonts w:ascii="Courier New" w:cs="Courier New" w:eastAsia="Courier New" w:hAnsi="Courier New"/>
          <w:sz w:val="15"/>
          <w:szCs w:val="15"/>
          <w:color w:val="auto"/>
        </w:rPr>
        <w:t>60 Wall Street</w:t>
      </w:r>
    </w:p>
    <w:p>
      <w:pPr>
        <w:spacing w:after="0" w:line="238" w:lineRule="auto"/>
        <w:rPr>
          <w:sz w:val="20"/>
          <w:szCs w:val="20"/>
          <w:color w:val="auto"/>
        </w:rPr>
      </w:pPr>
      <w:r>
        <w:rPr>
          <w:rFonts w:ascii="Courier New" w:cs="Courier New" w:eastAsia="Courier New" w:hAnsi="Courier New"/>
          <w:sz w:val="15"/>
          <w:szCs w:val="15"/>
          <w:color w:val="auto"/>
        </w:rPr>
        <w:t>New York, New York 10260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3" w:lineRule="exact"/>
        <w:rPr>
          <w:sz w:val="20"/>
          <w:szCs w:val="20"/>
          <w:color w:val="auto"/>
        </w:rPr>
      </w:pPr>
    </w:p>
    <w:p>
      <w:pPr>
        <w:ind w:right="3499" w:firstLine="350"/>
        <w:spacing w:after="0" w:line="236" w:lineRule="auto"/>
        <w:rPr>
          <w:sz w:val="20"/>
          <w:szCs w:val="20"/>
          <w:color w:val="auto"/>
        </w:rPr>
      </w:pPr>
      <w:r>
        <w:rPr>
          <w:rFonts w:ascii="Courier New" w:cs="Courier New" w:eastAsia="Courier New" w:hAnsi="Courier New"/>
          <w:sz w:val="15"/>
          <w:szCs w:val="15"/>
          <w:color w:val="auto"/>
        </w:rPr>
        <w:t>We have acted as special counsel for The Limited, Inc., a Delaware corporation (the "Company"), in connection with the Credit Agreement dated as of December 15, 1995 (the "Credit Agreement") among the Company, the banks listed on the signature pages thereof (the "Banks") and Morgan Guaranty Trust Company of New York, as Agent (the "Agent"). Terms defined in the Credit Agreement are used herein as therein defined.</w:t>
      </w:r>
    </w:p>
    <w:p>
      <w:pPr>
        <w:spacing w:after="0" w:line="175"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We have examined originals or copies, certified or otherwise identified to our satisfaction, of such documents, corporate records, certificates of public officials and other instruments and have conducted such other investigations of fact and law as we have deemed necessary or advisable for purposes of this opinion.</w:t>
      </w:r>
    </w:p>
    <w:p>
      <w:pPr>
        <w:spacing w:after="0" w:line="174" w:lineRule="exact"/>
        <w:rPr>
          <w:sz w:val="20"/>
          <w:szCs w:val="20"/>
          <w:color w:val="auto"/>
        </w:rPr>
      </w:pPr>
    </w:p>
    <w:p>
      <w:pPr>
        <w:ind w:right="3239" w:firstLine="350"/>
        <w:spacing w:after="0" w:line="234" w:lineRule="auto"/>
        <w:rPr>
          <w:sz w:val="20"/>
          <w:szCs w:val="20"/>
          <w:color w:val="auto"/>
        </w:rPr>
      </w:pPr>
      <w:r>
        <w:rPr>
          <w:rFonts w:ascii="Courier New" w:cs="Courier New" w:eastAsia="Courier New" w:hAnsi="Courier New"/>
          <w:sz w:val="15"/>
          <w:szCs w:val="15"/>
          <w:color w:val="auto"/>
        </w:rPr>
        <w:t>Based upon the foregoing, and subject to the qualifications set forth below, we are of the opinion that:</w:t>
      </w:r>
    </w:p>
    <w:p>
      <w:pPr>
        <w:spacing w:after="0" w:line="173" w:lineRule="exact"/>
        <w:rPr>
          <w:sz w:val="20"/>
          <w:szCs w:val="20"/>
          <w:color w:val="auto"/>
        </w:rPr>
      </w:pPr>
    </w:p>
    <w:p>
      <w:pPr>
        <w:ind w:right="3239" w:firstLine="360"/>
        <w:spacing w:after="0" w:line="236" w:lineRule="auto"/>
        <w:tabs>
          <w:tab w:leader="none" w:pos="70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Credit Agreement constitutes a valid and binding agreement of the Company, and each of the Notes constitutes a valid and binding obligation of the Company, in each case enforceable in accordance with its terms, subject to applicable bankruptcy, insolvency and similar laws affecting creditors' rights generally and equitable principles of general applicability.</w:t>
      </w:r>
    </w:p>
    <w:p>
      <w:pPr>
        <w:spacing w:after="0" w:line="173" w:lineRule="exact"/>
        <w:rPr>
          <w:rFonts w:ascii="Courier New" w:cs="Courier New" w:eastAsia="Courier New" w:hAnsi="Courier New"/>
          <w:sz w:val="15"/>
          <w:szCs w:val="15"/>
          <w:color w:val="auto"/>
        </w:rPr>
      </w:pPr>
    </w:p>
    <w:p>
      <w:pPr>
        <w:ind w:right="3239" w:firstLine="360"/>
        <w:spacing w:after="0" w:line="236" w:lineRule="auto"/>
        <w:tabs>
          <w:tab w:leader="none" w:pos="70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delivery and performance by the Company of the Credit Agreement and the Notes do not contravene any provision of New York State law or regulation that in our experience is normally applicable to general business corporations in relation to transactions of the type contemplated by the Credit Agreement.</w:t>
      </w:r>
    </w:p>
    <w:p>
      <w:pPr>
        <w:sectPr>
          <w:pgSz w:w="11900" w:h="16838" w:orient="portrait"/>
          <w:cols w:equalWidth="0" w:num="1">
            <w:col w:w="10239"/>
          </w:cols>
          <w:pgMar w:left="220" w:top="449" w:right="1440" w:bottom="1440" w:gutter="0" w:footer="0" w:header="0"/>
        </w:sectPr>
      </w:pPr>
    </w:p>
    <w:bookmarkStart w:id="116" w:name="page117"/>
    <w:bookmarkEnd w:id="116"/>
    <w:p>
      <w:pPr>
        <w:spacing w:after="0"/>
        <w:tabs>
          <w:tab w:leader="none" w:pos="3320" w:val="left"/>
          <w:tab w:leader="none" w:pos="5420" w:val="left"/>
        </w:tabs>
        <w:rPr>
          <w:sz w:val="20"/>
          <w:szCs w:val="20"/>
          <w:color w:val="auto"/>
        </w:rPr>
      </w:pPr>
      <w:r>
        <w:rPr>
          <w:rFonts w:ascii="Courier New" w:cs="Courier New" w:eastAsia="Courier New" w:hAnsi="Courier New"/>
          <w:sz w:val="15"/>
          <w:szCs w:val="15"/>
          <w:color w:val="auto"/>
        </w:rPr>
        <w:t>The Banks and the Agent</w:t>
      </w:r>
      <w:r>
        <w:rPr>
          <w:sz w:val="20"/>
          <w:szCs w:val="20"/>
          <w:color w:val="auto"/>
        </w:rPr>
        <w:tab/>
      </w:r>
      <w:r>
        <w:rPr>
          <w:rFonts w:ascii="Courier New" w:cs="Courier New" w:eastAsia="Courier New" w:hAnsi="Courier New"/>
          <w:sz w:val="15"/>
          <w:szCs w:val="15"/>
          <w:color w:val="auto"/>
        </w:rPr>
        <w:t>-2-</w:t>
      </w:r>
      <w:r>
        <w:rPr>
          <w:sz w:val="20"/>
          <w:szCs w:val="20"/>
          <w:color w:val="auto"/>
        </w:rPr>
        <w:tab/>
      </w:r>
      <w:r>
        <w:rPr>
          <w:rFonts w:ascii="Courier New" w:cs="Courier New" w:eastAsia="Courier New" w:hAnsi="Courier New"/>
          <w:sz w:val="14"/>
          <w:szCs w:val="14"/>
          <w:color w:val="auto"/>
        </w:rPr>
        <w:t>December 15, 1995</w:t>
      </w:r>
    </w:p>
    <w:p>
      <w:pPr>
        <w:spacing w:after="0" w:line="341" w:lineRule="exact"/>
        <w:rPr>
          <w:sz w:val="20"/>
          <w:szCs w:val="20"/>
          <w:color w:val="auto"/>
        </w:rPr>
      </w:pPr>
    </w:p>
    <w:p>
      <w:pPr>
        <w:ind w:right="3579" w:firstLine="360"/>
        <w:spacing w:after="0" w:line="234" w:lineRule="auto"/>
        <w:tabs>
          <w:tab w:leader="none" w:pos="70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not an "investment company" within the meaning of the Investment Company Act of 1940, as amended.</w:t>
      </w:r>
    </w:p>
    <w:p>
      <w:pPr>
        <w:spacing w:after="0" w:line="173" w:lineRule="exact"/>
        <w:rPr>
          <w:rFonts w:ascii="Courier New" w:cs="Courier New" w:eastAsia="Courier New" w:hAnsi="Courier New"/>
          <w:sz w:val="15"/>
          <w:szCs w:val="15"/>
          <w:color w:val="auto"/>
        </w:rPr>
      </w:pPr>
    </w:p>
    <w:p>
      <w:pPr>
        <w:ind w:right="3239" w:firstLine="360"/>
        <w:spacing w:after="0" w:line="236" w:lineRule="auto"/>
        <w:tabs>
          <w:tab w:leader="none" w:pos="612"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making of Loans by the Banks and the use of the proceeds thereof by the Company, in each case in accordance with the Credit Agreement, do not violate Regulation G, U or X of the Board of Governors of the Federal Reserve System. For purposes of determining whether, within the meaning of such regulations, the Loans are "secured directly or indirectly by margin stock", the Class B Common Stock of Intimate Brands, Inc. held by the Company does not, as of the date hereof, constitute margin stock.</w:t>
      </w:r>
    </w:p>
    <w:p>
      <w:pPr>
        <w:spacing w:after="0" w:line="176"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We are members of the bar of the State of New York and the foregoing opinion is limited to the laws of the State of New York and the Federal laws of the United States of America. In giving the foregoing opinion, (a) we express no opinion as to the effect (if any) of any law of any jurisdiction (except the State of New York) in which any Bank is located that may limit the rate of interest that such Bank may charge or collect and (b) we have assumed that (i) the Company is duly organized, validly existing and in good standing under the laws of its jurisdiction of incorporation and (ii) the execution, delivery and performance by the Company of the Credit Agreement and the Notes (A) are within its corporate powers, (B) have been duly authorized by all necessary corporate action, (C) require no action by or in respect of, or filing with, any Governmental Authority (other than such as have been duly taken or made), (D) except for the laws expressly addressed in paragraphs 2, 3 and 4 above, do not contravene any provision of applicable law or regulation and (E) do not contravene, or constitute a default under, any provision of the certificate of incorporation or by-laws of the Company or of any judgment, injunction, order or decree or any material agreement or other material instrument binding upon the Company.</w:t>
      </w:r>
    </w:p>
    <w:p>
      <w:pPr>
        <w:spacing w:after="0" w:line="175" w:lineRule="exact"/>
        <w:rPr>
          <w:sz w:val="20"/>
          <w:szCs w:val="20"/>
          <w:color w:val="auto"/>
        </w:rPr>
      </w:pPr>
    </w:p>
    <w:p>
      <w:pPr>
        <w:jc w:val="both"/>
        <w:ind w:right="3319" w:firstLine="350"/>
        <w:spacing w:after="0" w:line="235" w:lineRule="auto"/>
        <w:rPr>
          <w:sz w:val="20"/>
          <w:szCs w:val="20"/>
          <w:color w:val="auto"/>
        </w:rPr>
      </w:pPr>
      <w:r>
        <w:rPr>
          <w:rFonts w:ascii="Courier New" w:cs="Courier New" w:eastAsia="Courier New" w:hAnsi="Courier New"/>
          <w:sz w:val="15"/>
          <w:szCs w:val="15"/>
          <w:color w:val="auto"/>
        </w:rPr>
        <w:t>This opinion is rendered solely to you in connection with the above matter. This opinion may not be relied upon by you for any other purpose or relied upon by any other person without our prior written consent.</w:t>
      </w:r>
    </w:p>
    <w:p>
      <w:pPr>
        <w:spacing w:after="0" w:line="167"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Very truly yours,</w:t>
      </w:r>
    </w:p>
    <w:p>
      <w:pPr>
        <w:spacing w:after="0" w:line="335"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5"/>
          <w:szCs w:val="15"/>
          <w:color w:val="auto"/>
        </w:rPr>
        <w:t>/s/ Davis Polk &amp; Wardwell</w:t>
      </w:r>
    </w:p>
    <w:p>
      <w:pPr>
        <w:sectPr>
          <w:pgSz w:w="11900" w:h="16838" w:orient="portrait"/>
          <w:cols w:equalWidth="0" w:num="1">
            <w:col w:w="10239"/>
          </w:cols>
          <w:pgMar w:left="220" w:top="449" w:right="1440" w:bottom="1440" w:gutter="0" w:footer="0" w:header="0"/>
        </w:sectPr>
      </w:pPr>
    </w:p>
    <w:bookmarkStart w:id="117" w:name="page118"/>
    <w:bookmarkEnd w:id="117"/>
    <w:p>
      <w:pPr>
        <w:jc w:val="right"/>
        <w:ind w:right="3239"/>
        <w:spacing w:after="0"/>
        <w:rPr>
          <w:sz w:val="20"/>
          <w:szCs w:val="20"/>
          <w:color w:val="auto"/>
        </w:rPr>
      </w:pPr>
      <w:r>
        <w:rPr>
          <w:rFonts w:ascii="Courier New" w:cs="Courier New" w:eastAsia="Courier New" w:hAnsi="Courier New"/>
          <w:sz w:val="15"/>
          <w:szCs w:val="15"/>
          <w:color w:val="auto"/>
        </w:rPr>
        <w:t>EXHIBIT F</w:t>
      </w:r>
    </w:p>
    <w:p>
      <w:pPr>
        <w:spacing w:after="0" w:line="335"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Opinion of</w:t>
      </w:r>
    </w:p>
    <w:p>
      <w:pPr>
        <w:jc w:val="center"/>
        <w:ind w:right="3399"/>
        <w:spacing w:after="0" w:line="237" w:lineRule="auto"/>
        <w:rPr>
          <w:sz w:val="20"/>
          <w:szCs w:val="20"/>
          <w:color w:val="auto"/>
        </w:rPr>
      </w:pPr>
      <w:r>
        <w:rPr>
          <w:rFonts w:ascii="Courier New" w:cs="Courier New" w:eastAsia="Courier New" w:hAnsi="Courier New"/>
          <w:sz w:val="15"/>
          <w:szCs w:val="15"/>
          <w:color w:val="auto"/>
        </w:rPr>
        <w:t>Cravath, Swaine &amp; Moore, Special Counsel</w:t>
      </w:r>
    </w:p>
    <w:p>
      <w:pPr>
        <w:jc w:val="center"/>
        <w:ind w:right="3319"/>
        <w:spacing w:after="0" w:line="238" w:lineRule="auto"/>
        <w:rPr>
          <w:sz w:val="20"/>
          <w:szCs w:val="20"/>
          <w:color w:val="auto"/>
        </w:rPr>
      </w:pPr>
      <w:r>
        <w:rPr>
          <w:rFonts w:ascii="Courier New" w:cs="Courier New" w:eastAsia="Courier New" w:hAnsi="Courier New"/>
          <w:sz w:val="15"/>
          <w:szCs w:val="15"/>
          <w:color w:val="auto"/>
        </w:rPr>
        <w:t>For The Agent</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[Effective Date]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Sirs: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We have participated in the preparation of the Credit Agreement dated as of</w:t>
      </w:r>
    </w:p>
    <w:p>
      <w:pPr>
        <w:spacing w:after="0" w:line="10" w:lineRule="exact"/>
        <w:rPr>
          <w:sz w:val="20"/>
          <w:szCs w:val="20"/>
          <w:color w:val="auto"/>
        </w:rPr>
      </w:pPr>
    </w:p>
    <w:p>
      <w:pPr>
        <w:ind w:left="1060" w:hanging="176"/>
        <w:spacing w:after="0"/>
        <w:tabs>
          <w:tab w:leader="none" w:pos="1060" w:val="left"/>
        </w:tabs>
        <w:numPr>
          <w:ilvl w:val="1"/>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1995 (the "Credit Agreement"), among The Limited, Inc., a Delaware</w:t>
      </w:r>
    </w:p>
    <w:p>
      <w:pPr>
        <w:spacing w:after="0" w:line="4" w:lineRule="exact"/>
        <w:rPr>
          <w:rFonts w:ascii="Courier New" w:cs="Courier New" w:eastAsia="Courier New" w:hAnsi="Courier New"/>
          <w:sz w:val="14"/>
          <w:szCs w:val="14"/>
          <w:color w:val="auto"/>
        </w:rPr>
      </w:pPr>
    </w:p>
    <w:p>
      <w:pPr>
        <w:ind w:left="180" w:hanging="170"/>
        <w:spacing w:after="0" w:line="237" w:lineRule="auto"/>
        <w:tabs>
          <w:tab w:leader="none" w:pos="18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579"/>
        <w:spacing w:after="0" w:line="256" w:lineRule="auto"/>
        <w:rPr>
          <w:sz w:val="20"/>
          <w:szCs w:val="20"/>
          <w:color w:val="auto"/>
        </w:rPr>
      </w:pPr>
      <w:r>
        <w:rPr>
          <w:rFonts w:ascii="Courier New" w:cs="Courier New" w:eastAsia="Courier New" w:hAnsi="Courier New"/>
          <w:sz w:val="14"/>
          <w:szCs w:val="14"/>
          <w:color w:val="auto"/>
        </w:rPr>
        <w:t>corporation (the "Company"), the banks listed on the signature pages thereof (the "Banks") and Morgan Guaranty Trust Company of New York, as Agent (the "Agent"), and have acted as special counsel for the Agent for the purpose of rendering this opinion pursuant to Section 9 of the Credit Agreement. Terms defined in the Credit Agreement are used herein as therein defined.</w:t>
      </w:r>
    </w:p>
    <w:p>
      <w:pPr>
        <w:spacing w:after="0" w:line="16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We have examined originals or copies, certified or otherwise identified to our satisfaction, of such documents, corporate records, certificates of public officials and other instruments and have conducted such other investigations of fact and law as we have deemed necessary or advisable for purposes of this opinion.</w:t>
      </w: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Upon the basis of the foregoing, we are of the opinion that:</w:t>
      </w:r>
    </w:p>
    <w:p>
      <w:pPr>
        <w:spacing w:after="0" w:line="173" w:lineRule="exact"/>
        <w:rPr>
          <w:sz w:val="20"/>
          <w:szCs w:val="20"/>
          <w:color w:val="auto"/>
        </w:rPr>
      </w:pPr>
    </w:p>
    <w:p>
      <w:pPr>
        <w:ind w:right="3399" w:firstLine="360"/>
        <w:spacing w:after="0" w:line="235" w:lineRule="auto"/>
        <w:tabs>
          <w:tab w:leader="none" w:pos="70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delivery and performance by the Company of the Credit Agreement and the Notes are within the Company's corporate power and have been duly authorized by all necessary corporate action.</w:t>
      </w:r>
    </w:p>
    <w:p>
      <w:pPr>
        <w:spacing w:after="0" w:line="173" w:lineRule="exact"/>
        <w:rPr>
          <w:rFonts w:ascii="Courier New" w:cs="Courier New" w:eastAsia="Courier New" w:hAnsi="Courier New"/>
          <w:sz w:val="15"/>
          <w:szCs w:val="15"/>
          <w:color w:val="auto"/>
        </w:rPr>
      </w:pPr>
    </w:p>
    <w:p>
      <w:pPr>
        <w:ind w:right="3399" w:firstLine="360"/>
        <w:spacing w:after="0" w:line="261" w:lineRule="auto"/>
        <w:tabs>
          <w:tab w:leader="none" w:pos="70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Credit Agreement constitutes a valid and binding agreement of the Company and the Notes constitute valid and binding obligations of the Company.</w:t>
      </w:r>
    </w:p>
    <w:p>
      <w:pPr>
        <w:spacing w:after="0" w:line="160" w:lineRule="exact"/>
        <w:rPr>
          <w:sz w:val="20"/>
          <w:szCs w:val="20"/>
          <w:color w:val="auto"/>
        </w:rPr>
      </w:pPr>
    </w:p>
    <w:p>
      <w:pPr>
        <w:jc w:val="both"/>
        <w:ind w:right="3239" w:firstLine="350"/>
        <w:spacing w:after="0" w:line="235" w:lineRule="auto"/>
        <w:rPr>
          <w:sz w:val="20"/>
          <w:szCs w:val="20"/>
          <w:color w:val="auto"/>
        </w:rPr>
      </w:pPr>
      <w:r>
        <w:rPr>
          <w:rFonts w:ascii="Courier New" w:cs="Courier New" w:eastAsia="Courier New" w:hAnsi="Courier New"/>
          <w:sz w:val="15"/>
          <w:szCs w:val="15"/>
          <w:color w:val="auto"/>
        </w:rPr>
        <w:t>We are members of the Bar of the State of New York and the foregoing opinion is limited to the laws of the State of New York, the federal laws of the United States of America and the</w:t>
      </w:r>
    </w:p>
    <w:p>
      <w:pPr>
        <w:sectPr>
          <w:pgSz w:w="11900" w:h="16838" w:orient="portrait"/>
          <w:cols w:equalWidth="0" w:num="1">
            <w:col w:w="10239"/>
          </w:cols>
          <w:pgMar w:left="220" w:top="449" w:right="1440" w:bottom="1440" w:gutter="0" w:footer="0" w:header="0"/>
        </w:sectPr>
      </w:pPr>
    </w:p>
    <w:bookmarkStart w:id="118" w:name="page119"/>
    <w:bookmarkEnd w:id="118"/>
    <w:p>
      <w:pPr>
        <w:jc w:val="right"/>
        <w:ind w:right="3239"/>
        <w:spacing w:after="0"/>
        <w:rPr>
          <w:sz w:val="20"/>
          <w:szCs w:val="20"/>
          <w:color w:val="auto"/>
        </w:rPr>
      </w:pPr>
      <w:r>
        <w:rPr>
          <w:rFonts w:ascii="Courier New" w:cs="Courier New" w:eastAsia="Courier New" w:hAnsi="Courier New"/>
          <w:sz w:val="15"/>
          <w:szCs w:val="15"/>
          <w:color w:val="auto"/>
        </w:rPr>
        <w:t>2</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General Corporation Law of the State of Delaware. In giving the foregoing opinion, we express no opinion as to the effect (if any) of any law of any jurisdiction (except the State of New York) in which any Bank is located which limits the rate of interest that such Bank may charge or collect.</w:t>
      </w:r>
    </w:p>
    <w:p>
      <w:pPr>
        <w:spacing w:after="0" w:line="175" w:lineRule="exact"/>
        <w:rPr>
          <w:sz w:val="20"/>
          <w:szCs w:val="20"/>
          <w:color w:val="auto"/>
        </w:rPr>
      </w:pPr>
    </w:p>
    <w:p>
      <w:pPr>
        <w:jc w:val="both"/>
        <w:ind w:right="3319" w:firstLine="350"/>
        <w:spacing w:after="0" w:line="235" w:lineRule="auto"/>
        <w:rPr>
          <w:sz w:val="20"/>
          <w:szCs w:val="20"/>
          <w:color w:val="auto"/>
        </w:rPr>
      </w:pPr>
      <w:r>
        <w:rPr>
          <w:rFonts w:ascii="Courier New" w:cs="Courier New" w:eastAsia="Courier New" w:hAnsi="Courier New"/>
          <w:sz w:val="15"/>
          <w:szCs w:val="15"/>
          <w:color w:val="auto"/>
        </w:rPr>
        <w:t>This opinion is rendered solely to you in connection with the above matter. This opinion may not be relied upon by you for any other purpose or relied upon by any other person without our prior written consent.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Banks and the Agent</w:t>
      </w:r>
    </w:p>
    <w:p>
      <w:pPr>
        <w:ind w:left="280"/>
        <w:spacing w:after="0" w:line="237" w:lineRule="auto"/>
        <w:rPr>
          <w:sz w:val="20"/>
          <w:szCs w:val="20"/>
          <w:color w:val="auto"/>
        </w:rPr>
      </w:pPr>
      <w:r>
        <w:rPr>
          <w:rFonts w:ascii="Courier New" w:cs="Courier New" w:eastAsia="Courier New" w:hAnsi="Courier New"/>
          <w:sz w:val="15"/>
          <w:szCs w:val="15"/>
          <w:color w:val="auto"/>
        </w:rPr>
        <w:t>c/o Morgan Guaranty Trust Company</w:t>
      </w:r>
    </w:p>
    <w:p>
      <w:pPr>
        <w:ind w:left="280"/>
        <w:spacing w:after="0" w:line="238" w:lineRule="auto"/>
        <w:rPr>
          <w:sz w:val="20"/>
          <w:szCs w:val="20"/>
          <w:color w:val="auto"/>
        </w:rPr>
      </w:pPr>
      <w:r>
        <w:rPr>
          <w:rFonts w:ascii="Courier New" w:cs="Courier New" w:eastAsia="Courier New" w:hAnsi="Courier New"/>
          <w:sz w:val="15"/>
          <w:szCs w:val="15"/>
          <w:color w:val="auto"/>
        </w:rPr>
        <w:t>of New York, as Agent</w:t>
      </w:r>
    </w:p>
    <w:p>
      <w:pPr>
        <w:ind w:left="540"/>
        <w:spacing w:after="0" w:line="237" w:lineRule="auto"/>
        <w:rPr>
          <w:sz w:val="20"/>
          <w:szCs w:val="20"/>
          <w:color w:val="auto"/>
        </w:rPr>
      </w:pPr>
      <w:r>
        <w:rPr>
          <w:rFonts w:ascii="Courier New" w:cs="Courier New" w:eastAsia="Courier New" w:hAnsi="Courier New"/>
          <w:sz w:val="15"/>
          <w:szCs w:val="15"/>
          <w:color w:val="auto"/>
        </w:rPr>
        <w:t>60 Wall Street</w:t>
      </w:r>
    </w:p>
    <w:p>
      <w:pPr>
        <w:ind w:left="800"/>
        <w:spacing w:after="0" w:line="238" w:lineRule="auto"/>
        <w:rPr>
          <w:sz w:val="20"/>
          <w:szCs w:val="20"/>
          <w:color w:val="auto"/>
        </w:rPr>
      </w:pPr>
      <w:r>
        <w:rPr>
          <w:rFonts w:ascii="Courier New" w:cs="Courier New" w:eastAsia="Courier New" w:hAnsi="Courier New"/>
          <w:sz w:val="15"/>
          <w:szCs w:val="15"/>
          <w:color w:val="auto"/>
        </w:rPr>
        <w:t>New York, New York 10015</w:t>
      </w:r>
    </w:p>
    <w:p>
      <w:pPr>
        <w:sectPr>
          <w:pgSz w:w="11900" w:h="16838" w:orient="portrait"/>
          <w:cols w:equalWidth="0" w:num="1">
            <w:col w:w="10239"/>
          </w:cols>
          <w:pgMar w:left="220" w:top="449" w:right="1440" w:bottom="1440" w:gutter="0" w:footer="0" w:header="0"/>
        </w:sectPr>
      </w:pPr>
    </w:p>
    <w:bookmarkStart w:id="119" w:name="page120"/>
    <w:bookmarkEnd w:id="119"/>
    <w:p>
      <w:pPr>
        <w:ind w:left="6220"/>
        <w:spacing w:after="0"/>
        <w:rPr>
          <w:sz w:val="20"/>
          <w:szCs w:val="20"/>
          <w:color w:val="auto"/>
        </w:rPr>
      </w:pPr>
      <w:r>
        <w:rPr>
          <w:rFonts w:ascii="Courier New" w:cs="Courier New" w:eastAsia="Courier New" w:hAnsi="Courier New"/>
          <w:sz w:val="14"/>
          <w:szCs w:val="14"/>
          <w:color w:val="auto"/>
        </w:rPr>
        <w:t>EXHIBIT G</w:t>
      </w:r>
    </w:p>
    <w:p>
      <w:pPr>
        <w:spacing w:after="0" w:line="200" w:lineRule="exact"/>
        <w:rPr>
          <w:sz w:val="20"/>
          <w:szCs w:val="20"/>
          <w:color w:val="auto"/>
        </w:rPr>
      </w:pPr>
    </w:p>
    <w:p>
      <w:pPr>
        <w:spacing w:after="0" w:line="308"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ASSIGNMENT AND ASSUMPTION AGREEMENT</w:t>
      </w:r>
    </w:p>
    <w:p>
      <w:pPr>
        <w:sectPr>
          <w:pgSz w:w="11900" w:h="16838" w:orient="portrait"/>
          <w:cols w:equalWidth="0" w:num="1">
            <w:col w:w="10239"/>
          </w:cols>
          <w:pgMar w:left="220" w:top="455" w:right="1440" w:bottom="1440" w:gutter="0" w:footer="0" w:header="0"/>
        </w:sectPr>
      </w:pPr>
    </w:p>
    <w:p>
      <w:pPr>
        <w:spacing w:after="0" w:line="341"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AGREEMENT dated as of</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among [ASSIGNOR] (the "Assignor"),</w:t>
      </w:r>
    </w:p>
    <w:p>
      <w:pPr>
        <w:spacing w:after="0" w:line="9" w:lineRule="exact"/>
        <w:rPr>
          <w:sz w:val="20"/>
          <w:szCs w:val="20"/>
          <w:color w:val="auto"/>
        </w:rPr>
      </w:pPr>
    </w:p>
    <w:p>
      <w:pPr>
        <w:sectPr>
          <w:pgSz w:w="11900" w:h="16838" w:orient="portrait"/>
          <w:cols w:equalWidth="0" w:num="3">
            <w:col w:w="2520" w:space="720"/>
            <w:col w:w="100" w:space="520"/>
            <w:col w:w="6379"/>
          </w:cols>
          <w:pgMar w:left="220" w:top="455" w:right="1440" w:bottom="1440" w:gutter="0" w:footer="0" w:header="0"/>
          <w:type w:val="continuous"/>
        </w:sectPr>
      </w:pPr>
    </w:p>
    <w:p>
      <w:pPr>
        <w:ind w:left="2280"/>
        <w:spacing w:after="0"/>
        <w:tabs>
          <w:tab w:leader="none" w:pos="3400" w:val="left"/>
        </w:tabs>
        <w:rPr>
          <w:sz w:val="20"/>
          <w:szCs w:val="20"/>
          <w:color w:val="auto"/>
        </w:rPr>
      </w:pPr>
      <w:r>
        <w:rPr>
          <w:rFonts w:ascii="Courier New" w:cs="Courier New" w:eastAsia="Courier New" w:hAnsi="Courier New"/>
          <w:sz w:val="14"/>
          <w:szCs w:val="14"/>
          <w:color w:val="auto"/>
        </w:rPr>
        <w:t>-----------</w:t>
        <w:tab/>
        <w:t>----</w:t>
      </w:r>
    </w:p>
    <w:p>
      <w:pPr>
        <w:sectPr>
          <w:pgSz w:w="11900" w:h="16838" w:orient="portrait"/>
          <w:cols w:equalWidth="0" w:num="1">
            <w:col w:w="10239"/>
          </w:cols>
          <w:pgMar w:left="220" w:top="455" w:right="1440" w:bottom="1440" w:gutter="0" w:footer="0" w:header="0"/>
          <w:type w:val="continuous"/>
        </w:sectPr>
      </w:pPr>
    </w:p>
    <w:p>
      <w:pPr>
        <w:spacing w:after="0" w:line="10"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[ASSIGNEE] (the "Assignee"), [THE LIMITED, INC., a Delaware corporation (the "Company") and MORGAN GUARANTY TRUST COMPANY OF NEW YORK, as Agent (the "Agent")].</w:t>
      </w:r>
    </w:p>
    <w:p>
      <w:pPr>
        <w:spacing w:after="0" w:line="33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 I T N E S S E T H:</w:t>
      </w:r>
    </w:p>
    <w:p>
      <w:pPr>
        <w:ind w:left="2540"/>
        <w:spacing w:after="0" w:line="237" w:lineRule="auto"/>
        <w:rPr>
          <w:sz w:val="20"/>
          <w:szCs w:val="20"/>
          <w:color w:val="auto"/>
        </w:rPr>
      </w:pPr>
      <w:r>
        <w:rPr>
          <w:rFonts w:ascii="Courier New" w:cs="Courier New" w:eastAsia="Courier New" w:hAnsi="Courier New"/>
          <w:sz w:val="15"/>
          <w:szCs w:val="15"/>
          <w:color w:val="auto"/>
        </w:rPr>
        <w:t>- - - - - - - - - -</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WHEREAS, this Assignment and Assumption Agreement (the "Agreement") relates</w:t>
      </w:r>
    </w:p>
    <w:p>
      <w:pPr>
        <w:spacing w:after="0" w:line="3" w:lineRule="exact"/>
        <w:rPr>
          <w:sz w:val="20"/>
          <w:szCs w:val="20"/>
          <w:color w:val="auto"/>
        </w:rPr>
      </w:pPr>
    </w:p>
    <w:p>
      <w:pPr>
        <w:spacing w:after="0"/>
        <w:tabs>
          <w:tab w:leader="none" w:pos="4280" w:val="left"/>
        </w:tabs>
        <w:rPr>
          <w:sz w:val="20"/>
          <w:szCs w:val="20"/>
          <w:color w:val="auto"/>
        </w:rPr>
      </w:pPr>
      <w:r>
        <w:rPr>
          <w:rFonts w:ascii="Courier New" w:cs="Courier New" w:eastAsia="Courier New" w:hAnsi="Courier New"/>
          <w:sz w:val="15"/>
          <w:szCs w:val="15"/>
          <w:color w:val="auto"/>
        </w:rPr>
        <w:t>to the Credit Agreement dated as of</w:t>
      </w:r>
      <w:r>
        <w:rPr>
          <w:sz w:val="20"/>
          <w:szCs w:val="20"/>
          <w:color w:val="auto"/>
        </w:rPr>
        <w:tab/>
      </w:r>
      <w:r>
        <w:rPr>
          <w:rFonts w:ascii="Courier New" w:cs="Courier New" w:eastAsia="Courier New" w:hAnsi="Courier New"/>
          <w:sz w:val="14"/>
          <w:szCs w:val="14"/>
          <w:color w:val="auto"/>
        </w:rPr>
        <w:t>, 1995 among the Company, the</w:t>
      </w:r>
    </w:p>
    <w:p>
      <w:pPr>
        <w:ind w:left="31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Assignor and the other Banks party thereto, as Banks, and the Agent (the "Credit Agreement");</w:t>
      </w:r>
    </w:p>
    <w:p>
      <w:pPr>
        <w:spacing w:after="0" w:line="173" w:lineRule="exact"/>
        <w:rPr>
          <w:sz w:val="20"/>
          <w:szCs w:val="20"/>
          <w:color w:val="auto"/>
        </w:rPr>
      </w:pPr>
    </w:p>
    <w:p>
      <w:pPr>
        <w:ind w:right="3579" w:firstLine="350"/>
        <w:spacing w:after="0" w:line="254" w:lineRule="auto"/>
        <w:rPr>
          <w:sz w:val="20"/>
          <w:szCs w:val="20"/>
          <w:color w:val="auto"/>
        </w:rPr>
      </w:pPr>
      <w:r>
        <w:rPr>
          <w:rFonts w:ascii="Courier New" w:cs="Courier New" w:eastAsia="Courier New" w:hAnsi="Courier New"/>
          <w:sz w:val="14"/>
          <w:szCs w:val="14"/>
          <w:color w:val="auto"/>
        </w:rPr>
        <w:t>WHEREAS, as provided under the Credit Agreement, the Assignor has a Commitment to make Syndicated Loans to the Company in an aggregate principal</w:t>
      </w:r>
    </w:p>
    <w:p>
      <w:pPr>
        <w:spacing w:after="0"/>
        <w:tabs>
          <w:tab w:leader="none" w:pos="4800" w:val="left"/>
        </w:tabs>
        <w:rPr>
          <w:sz w:val="20"/>
          <w:szCs w:val="20"/>
          <w:color w:val="auto"/>
        </w:rPr>
      </w:pPr>
      <w:r>
        <w:rPr>
          <w:rFonts w:ascii="Courier New" w:cs="Courier New" w:eastAsia="Courier New" w:hAnsi="Courier New"/>
          <w:sz w:val="15"/>
          <w:szCs w:val="15"/>
          <w:color w:val="auto"/>
        </w:rPr>
        <w:t>amount at any time outstanding not to exceed $</w:t>
      </w:r>
      <w:r>
        <w:rPr>
          <w:sz w:val="20"/>
          <w:szCs w:val="20"/>
          <w:color w:val="auto"/>
        </w:rPr>
        <w:tab/>
      </w:r>
      <w:r>
        <w:rPr>
          <w:rFonts w:ascii="Courier New" w:cs="Courier New" w:eastAsia="Courier New" w:hAnsi="Courier New"/>
          <w:sz w:val="12"/>
          <w:szCs w:val="12"/>
          <w:color w:val="auto"/>
        </w:rPr>
        <w:t>;</w:t>
      </w:r>
    </w:p>
    <w:p>
      <w:pPr>
        <w:ind w:left="404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WHEREAS, Syndicated Loans made to the Company by the Assignor under the</w:t>
      </w:r>
    </w:p>
    <w:p>
      <w:pPr>
        <w:jc w:val="center"/>
        <w:ind w:right="3319"/>
        <w:spacing w:after="0"/>
        <w:tabs>
          <w:tab w:leader="none" w:pos="760" w:val="left"/>
        </w:tabs>
        <w:rPr>
          <w:sz w:val="20"/>
          <w:szCs w:val="20"/>
          <w:color w:val="auto"/>
        </w:rPr>
      </w:pPr>
      <w:r>
        <w:rPr>
          <w:rFonts w:ascii="Courier New" w:cs="Courier New" w:eastAsia="Courier New" w:hAnsi="Courier New"/>
          <w:sz w:val="15"/>
          <w:szCs w:val="15"/>
          <w:color w:val="auto"/>
        </w:rPr>
        <w:t>Credit Agreement in the aggregate principal amount of $</w:t>
      </w:r>
      <w:r>
        <w:rPr>
          <w:sz w:val="20"/>
          <w:szCs w:val="20"/>
          <w:color w:val="auto"/>
        </w:rPr>
        <w:tab/>
      </w:r>
      <w:r>
        <w:rPr>
          <w:rFonts w:ascii="Courier New" w:cs="Courier New" w:eastAsia="Courier New" w:hAnsi="Courier New"/>
          <w:sz w:val="14"/>
          <w:szCs w:val="14"/>
          <w:color w:val="auto"/>
        </w:rPr>
        <w:t>are outstanding</w:t>
      </w:r>
    </w:p>
    <w:p>
      <w:pPr>
        <w:ind w:left="4820"/>
        <w:spacing w:after="0" w:line="238" w:lineRule="auto"/>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at the date hereof; /1/ and</w:t>
      </w:r>
    </w:p>
    <w:p>
      <w:pPr>
        <w:spacing w:after="0" w:line="173" w:lineRule="exact"/>
        <w:rPr>
          <w:sz w:val="20"/>
          <w:szCs w:val="20"/>
          <w:color w:val="auto"/>
        </w:rPr>
      </w:pPr>
    </w:p>
    <w:p>
      <w:pPr>
        <w:ind w:right="3399" w:firstLine="350"/>
        <w:spacing w:after="0" w:line="254" w:lineRule="auto"/>
        <w:rPr>
          <w:sz w:val="20"/>
          <w:szCs w:val="20"/>
          <w:color w:val="auto"/>
        </w:rPr>
      </w:pPr>
      <w:r>
        <w:rPr>
          <w:rFonts w:ascii="Courier New" w:cs="Courier New" w:eastAsia="Courier New" w:hAnsi="Courier New"/>
          <w:sz w:val="14"/>
          <w:szCs w:val="14"/>
          <w:color w:val="auto"/>
        </w:rPr>
        <w:t>WHEREAS, the Assignor proposes to assign to the Assignee all of the rights of the Assignor under the Credit Agreement in respect of a portion of its</w:t>
      </w:r>
    </w:p>
    <w:p>
      <w:pPr>
        <w:spacing w:after="0"/>
        <w:tabs>
          <w:tab w:leader="none" w:pos="4720" w:val="left"/>
        </w:tabs>
        <w:rPr>
          <w:sz w:val="20"/>
          <w:szCs w:val="20"/>
          <w:color w:val="auto"/>
        </w:rPr>
      </w:pPr>
      <w:r>
        <w:rPr>
          <w:rFonts w:ascii="Courier New" w:cs="Courier New" w:eastAsia="Courier New" w:hAnsi="Courier New"/>
          <w:sz w:val="15"/>
          <w:szCs w:val="15"/>
          <w:color w:val="auto"/>
        </w:rPr>
        <w:t>Commitment thereunder in an amount equal to $</w:t>
      </w:r>
      <w:r>
        <w:rPr>
          <w:sz w:val="20"/>
          <w:szCs w:val="20"/>
          <w:color w:val="auto"/>
        </w:rPr>
        <w:tab/>
      </w:r>
      <w:r>
        <w:rPr>
          <w:rFonts w:ascii="Courier New" w:cs="Courier New" w:eastAsia="Courier New" w:hAnsi="Courier New"/>
          <w:sz w:val="14"/>
          <w:szCs w:val="14"/>
          <w:color w:val="auto"/>
        </w:rPr>
        <w:t>(the "Assigned Amount"),</w:t>
      </w:r>
    </w:p>
    <w:p>
      <w:pPr>
        <w:ind w:left="3940"/>
        <w:spacing w:after="0" w:line="238"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together with a corresponding portion of its outstanding Syndicated Loans, and the Assignee proposes to accept assignment of such rights and assume the corresponding obligations from the Assignor on such terms;</w:t>
      </w:r>
    </w:p>
    <w:p>
      <w:pPr>
        <w:spacing w:after="0" w:line="174" w:lineRule="exact"/>
        <w:rPr>
          <w:sz w:val="20"/>
          <w:szCs w:val="20"/>
          <w:color w:val="auto"/>
        </w:rPr>
      </w:pPr>
    </w:p>
    <w:p>
      <w:pPr>
        <w:ind w:right="3319" w:firstLine="350"/>
        <w:spacing w:after="0" w:line="234" w:lineRule="auto"/>
        <w:rPr>
          <w:sz w:val="20"/>
          <w:szCs w:val="20"/>
          <w:color w:val="auto"/>
        </w:rPr>
      </w:pPr>
      <w:r>
        <w:rPr>
          <w:rFonts w:ascii="Courier New" w:cs="Courier New" w:eastAsia="Courier New" w:hAnsi="Courier New"/>
          <w:sz w:val="15"/>
          <w:szCs w:val="15"/>
          <w:color w:val="auto"/>
        </w:rPr>
        <w:t>NOW, THEREFORE, in consideration of the foregoing and the mutual agreements contained herein, the parties hereto agree as follows: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679" w:firstLine="350"/>
        <w:spacing w:after="0" w:line="234" w:lineRule="auto"/>
        <w:rPr>
          <w:sz w:val="20"/>
          <w:szCs w:val="20"/>
          <w:color w:val="auto"/>
        </w:rPr>
      </w:pPr>
      <w:r>
        <w:rPr>
          <w:rFonts w:ascii="Courier New" w:cs="Courier New" w:eastAsia="Courier New" w:hAnsi="Courier New"/>
          <w:sz w:val="15"/>
          <w:szCs w:val="15"/>
          <w:color w:val="auto"/>
        </w:rPr>
        <w:t>/1/ If Money Market Loans are to be assigned, appropriate modifications should be made.</w:t>
      </w:r>
    </w:p>
    <w:p>
      <w:pPr>
        <w:sectPr>
          <w:pgSz w:w="11900" w:h="16838" w:orient="portrait"/>
          <w:cols w:equalWidth="0" w:num="1">
            <w:col w:w="10239"/>
          </w:cols>
          <w:pgMar w:left="220" w:top="455" w:right="1440" w:bottom="1440" w:gutter="0" w:footer="0" w:header="0"/>
          <w:type w:val="continuous"/>
        </w:sectPr>
      </w:pPr>
    </w:p>
    <w:bookmarkStart w:id="120" w:name="page121"/>
    <w:bookmarkEnd w:id="120"/>
    <w:p>
      <w:pPr>
        <w:ind w:left="360"/>
        <w:spacing w:after="0"/>
        <w:tabs>
          <w:tab w:leader="none" w:pos="1380" w:val="left"/>
          <w:tab w:leader="none" w:pos="2620" w:val="left"/>
        </w:tabs>
        <w:rPr>
          <w:sz w:val="20"/>
          <w:szCs w:val="20"/>
          <w:color w:val="auto"/>
        </w:rPr>
      </w:pPr>
      <w:r>
        <w:rPr>
          <w:rFonts w:ascii="Courier New" w:cs="Courier New" w:eastAsia="Courier New" w:hAnsi="Courier New"/>
          <w:sz w:val="15"/>
          <w:szCs w:val="15"/>
          <w:color w:val="auto"/>
        </w:rPr>
        <w:t>SECTION 1.</w:t>
        <w:tab/>
        <w:t>Definitions.</w:t>
      </w:r>
      <w:r>
        <w:rPr>
          <w:sz w:val="20"/>
          <w:szCs w:val="20"/>
          <w:color w:val="auto"/>
        </w:rPr>
        <w:tab/>
      </w:r>
      <w:r>
        <w:rPr>
          <w:rFonts w:ascii="Courier New" w:cs="Courier New" w:eastAsia="Courier New" w:hAnsi="Courier New"/>
          <w:sz w:val="14"/>
          <w:szCs w:val="14"/>
          <w:color w:val="auto"/>
        </w:rPr>
        <w:t>All capitalized terms not otherwise defined herein</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shall have the respective meanings set forth in the Credit Agreement.</w:t>
      </w:r>
    </w:p>
    <w:p>
      <w:pPr>
        <w:spacing w:after="0" w:line="167" w:lineRule="exact"/>
        <w:rPr>
          <w:sz w:val="20"/>
          <w:szCs w:val="20"/>
          <w:color w:val="auto"/>
        </w:rPr>
      </w:pPr>
    </w:p>
    <w:p>
      <w:pPr>
        <w:ind w:left="360"/>
        <w:spacing w:after="0"/>
        <w:tabs>
          <w:tab w:leader="none" w:pos="2440" w:val="left"/>
        </w:tabs>
        <w:rPr>
          <w:sz w:val="20"/>
          <w:szCs w:val="20"/>
          <w:color w:val="auto"/>
        </w:rPr>
      </w:pPr>
      <w:r>
        <w:rPr>
          <w:rFonts w:ascii="Courier New" w:cs="Courier New" w:eastAsia="Courier New" w:hAnsi="Courier New"/>
          <w:sz w:val="15"/>
          <w:szCs w:val="15"/>
          <w:color w:val="auto"/>
        </w:rPr>
        <w:t>SECTION 2. Assignment.</w:t>
      </w:r>
      <w:r>
        <w:rPr>
          <w:sz w:val="20"/>
          <w:szCs w:val="20"/>
          <w:color w:val="auto"/>
        </w:rPr>
        <w:tab/>
      </w:r>
      <w:r>
        <w:rPr>
          <w:rFonts w:ascii="Courier New" w:cs="Courier New" w:eastAsia="Courier New" w:hAnsi="Courier New"/>
          <w:sz w:val="14"/>
          <w:szCs w:val="14"/>
          <w:color w:val="auto"/>
        </w:rPr>
        <w:t>The Assignor hereby assigns and sells to the</w:t>
      </w:r>
    </w:p>
    <w:p>
      <w:pPr>
        <w:ind w:left="132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Assignee all of the rights of the Assignor under the Credit Agreement to the extent of the Assigned Amount, and the Assignee hereby accepts such assignment from the Assignor and assumes all of the obligations of the Assignor under the Credit Agreement to the extent of the Assigned Amount, including the purchase from the Assignor of the corresponding portion of the principal amount of the Syndicated Loans made by the Assignor outstanding at the date hereof. Upon the execution and delivery hereof by the Assignor and the Assignee, and if required by the Company and the Agent, and the payment of the amounts specified in Section 3 hereof required to be paid on the date hereof (i) the Assignee shall, as of the date hereof, succeed to the rights and be obligated to perform the obligations of a Bank under the Credit Agreement with a Commitment in an amount equal to the Assigned Amount, and (ii) the Commitment of the Assignor shall, as of the date hereof, be reduced by a like amount and the Assignor released from its obligations under the Credit Agreement to the extent such obligations have been assumed by the Assignee. The assignment provided for herein shall be without recourse to the Assignor.</w:t>
      </w:r>
    </w:p>
    <w:p>
      <w:pPr>
        <w:spacing w:after="0" w:line="157" w:lineRule="exact"/>
        <w:rPr>
          <w:sz w:val="20"/>
          <w:szCs w:val="20"/>
          <w:color w:val="auto"/>
        </w:rPr>
      </w:pPr>
    </w:p>
    <w:p>
      <w:pPr>
        <w:ind w:left="360"/>
        <w:spacing w:after="0"/>
        <w:tabs>
          <w:tab w:leader="none" w:pos="1380" w:val="left"/>
          <w:tab w:leader="none" w:pos="2360" w:val="left"/>
        </w:tabs>
        <w:rPr>
          <w:sz w:val="20"/>
          <w:szCs w:val="20"/>
          <w:color w:val="auto"/>
        </w:rPr>
      </w:pPr>
      <w:r>
        <w:rPr>
          <w:rFonts w:ascii="Courier New" w:cs="Courier New" w:eastAsia="Courier New" w:hAnsi="Courier New"/>
          <w:sz w:val="15"/>
          <w:szCs w:val="15"/>
          <w:color w:val="auto"/>
        </w:rPr>
        <w:t>SECTION 3.</w:t>
        <w:tab/>
        <w:t>Payments.</w:t>
      </w:r>
      <w:r>
        <w:rPr>
          <w:sz w:val="20"/>
          <w:szCs w:val="20"/>
          <w:color w:val="auto"/>
        </w:rPr>
        <w:tab/>
      </w:r>
      <w:r>
        <w:rPr>
          <w:rFonts w:ascii="Courier New" w:cs="Courier New" w:eastAsia="Courier New" w:hAnsi="Courier New"/>
          <w:sz w:val="14"/>
          <w:szCs w:val="14"/>
          <w:color w:val="auto"/>
        </w:rPr>
        <w:t>As consideration for the assignment and sale</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contemplated in Section 2 hereof, the Assignee shall pay to the Assignor on the</w:t>
      </w:r>
    </w:p>
    <w:p>
      <w:pPr>
        <w:spacing w:after="0" w:line="3" w:lineRule="exact"/>
        <w:rPr>
          <w:sz w:val="20"/>
          <w:szCs w:val="20"/>
          <w:color w:val="auto"/>
        </w:rPr>
      </w:pPr>
    </w:p>
    <w:p>
      <w:pPr>
        <w:spacing w:after="0"/>
        <w:tabs>
          <w:tab w:leader="none" w:pos="4880" w:val="left"/>
        </w:tabs>
        <w:rPr>
          <w:sz w:val="20"/>
          <w:szCs w:val="20"/>
          <w:color w:val="auto"/>
        </w:rPr>
      </w:pPr>
      <w:r>
        <w:rPr>
          <w:rFonts w:ascii="Courier New" w:cs="Courier New" w:eastAsia="Courier New" w:hAnsi="Courier New"/>
          <w:sz w:val="15"/>
          <w:szCs w:val="15"/>
          <w:color w:val="auto"/>
        </w:rPr>
        <w:t>date hereof in Federal funds an amount equal to $</w:t>
      </w:r>
      <w:r>
        <w:rPr>
          <w:sz w:val="20"/>
          <w:szCs w:val="20"/>
          <w:color w:val="auto"/>
        </w:rPr>
        <w:tab/>
      </w:r>
      <w:r>
        <w:rPr>
          <w:rFonts w:ascii="Courier New" w:cs="Courier New" w:eastAsia="Courier New" w:hAnsi="Courier New"/>
          <w:sz w:val="14"/>
          <w:szCs w:val="14"/>
          <w:color w:val="auto"/>
        </w:rPr>
        <w:t>*. It is understood that</w:t>
      </w:r>
    </w:p>
    <w:p>
      <w:pPr>
        <w:ind w:left="43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facility fees accrued to the date hereof are for the account of the Assignor and such fees accruing from and including the date hereof with respect to the Assigned Amount are for the account of the Assignee. Each of the Assignor and the Assignee hereby agrees that if it receives any amount under the Credit Agreement which is for the account of the other party thereto, it shall receive the same for the account of such other party to the extent of such other party's interest therein and shall promptly pay the same to such other party.</w:t>
      </w:r>
    </w:p>
    <w:p>
      <w:pPr>
        <w:spacing w:after="0" w:line="200" w:lineRule="exact"/>
        <w:rPr>
          <w:sz w:val="20"/>
          <w:szCs w:val="20"/>
          <w:color w:val="auto"/>
        </w:rPr>
      </w:pPr>
    </w:p>
    <w:p>
      <w:pPr>
        <w:spacing w:after="0" w:line="296" w:lineRule="exact"/>
        <w:rPr>
          <w:sz w:val="20"/>
          <w:szCs w:val="20"/>
          <w:color w:val="auto"/>
        </w:rPr>
      </w:pPr>
    </w:p>
    <w:p>
      <w:pPr>
        <w:ind w:left="180" w:hanging="170"/>
        <w:spacing w:after="0"/>
        <w:tabs>
          <w:tab w:leader="none" w:pos="18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right="3239" w:firstLine="350"/>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Amount should combine principal together with accrued interest and breakage compensation, if any, to be paid by the Assignee, net of any portion of any upfront fee to be paid by the Assignor to the Assignee. It may be preferable in an appropriate case to specify these amounts generically or by formula rather than as a fixed sum.</w:t>
      </w:r>
    </w:p>
    <w:p>
      <w:pPr>
        <w:sectPr>
          <w:pgSz w:w="11900" w:h="16838" w:orient="portrait"/>
          <w:cols w:equalWidth="0" w:num="1">
            <w:col w:w="10239"/>
          </w:cols>
          <w:pgMar w:left="220" w:top="449" w:right="1440" w:bottom="1440" w:gutter="0" w:footer="0" w:header="0"/>
        </w:sectPr>
      </w:pPr>
    </w:p>
    <w:bookmarkStart w:id="121" w:name="page122"/>
    <w:bookmarkEnd w:id="121"/>
    <w:p>
      <w:pPr>
        <w:ind w:left="360"/>
        <w:spacing w:after="0"/>
        <w:tabs>
          <w:tab w:leader="none" w:pos="1480" w:val="left"/>
          <w:tab w:leader="none" w:pos="4880" w:val="left"/>
        </w:tabs>
        <w:rPr>
          <w:sz w:val="20"/>
          <w:szCs w:val="20"/>
          <w:color w:val="auto"/>
        </w:rPr>
      </w:pPr>
      <w:r>
        <w:rPr>
          <w:rFonts w:ascii="Courier New" w:cs="Courier New" w:eastAsia="Courier New" w:hAnsi="Courier New"/>
          <w:sz w:val="15"/>
          <w:szCs w:val="15"/>
          <w:color w:val="auto"/>
        </w:rPr>
        <w:t>[SECTION 4.</w:t>
        <w:tab/>
        <w:t>Consent of the Company and the Agent.</w:t>
      </w:r>
      <w:r>
        <w:rPr>
          <w:sz w:val="20"/>
          <w:szCs w:val="20"/>
          <w:color w:val="auto"/>
        </w:rPr>
        <w:tab/>
      </w:r>
      <w:r>
        <w:rPr>
          <w:rFonts w:ascii="Courier New" w:cs="Courier New" w:eastAsia="Courier New" w:hAnsi="Courier New"/>
          <w:sz w:val="14"/>
          <w:szCs w:val="14"/>
          <w:color w:val="auto"/>
        </w:rPr>
        <w:t>This Agreement is</w:t>
      </w:r>
    </w:p>
    <w:p>
      <w:pPr>
        <w:ind w:left="15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conditioned upon the consent of the Company and the Agent pursuant to Section 8.6.3 of the Credit Agreement. The execution of this Agreement by the Company and the Agent is evidence of this consent. Pursuant to Section 8.6.3 the Company agrees to execute and deliver a Note payable to the order of the Assignee to evidence the assignment and assumption provided for herein.]</w:t>
      </w:r>
    </w:p>
    <w:p>
      <w:pPr>
        <w:spacing w:after="0" w:line="167" w:lineRule="exact"/>
        <w:rPr>
          <w:sz w:val="20"/>
          <w:szCs w:val="20"/>
          <w:color w:val="auto"/>
        </w:rPr>
      </w:pPr>
    </w:p>
    <w:p>
      <w:pPr>
        <w:ind w:left="360"/>
        <w:spacing w:after="0"/>
        <w:tabs>
          <w:tab w:leader="none" w:pos="1380" w:val="left"/>
          <w:tab w:leader="none" w:pos="3760" w:val="left"/>
        </w:tabs>
        <w:rPr>
          <w:sz w:val="20"/>
          <w:szCs w:val="20"/>
          <w:color w:val="auto"/>
        </w:rPr>
      </w:pPr>
      <w:r>
        <w:rPr>
          <w:rFonts w:ascii="Courier New" w:cs="Courier New" w:eastAsia="Courier New" w:hAnsi="Courier New"/>
          <w:sz w:val="15"/>
          <w:szCs w:val="15"/>
          <w:color w:val="auto"/>
        </w:rPr>
        <w:t>SECTION 5.</w:t>
        <w:tab/>
        <w:t>Non-Reliance on Assignor.</w:t>
      </w:r>
      <w:r>
        <w:rPr>
          <w:sz w:val="20"/>
          <w:szCs w:val="20"/>
          <w:color w:val="auto"/>
        </w:rPr>
        <w:tab/>
      </w:r>
      <w:r>
        <w:rPr>
          <w:rFonts w:ascii="Courier New" w:cs="Courier New" w:eastAsia="Courier New" w:hAnsi="Courier New"/>
          <w:sz w:val="14"/>
          <w:szCs w:val="14"/>
          <w:color w:val="auto"/>
        </w:rPr>
        <w:t>The Assignor makes no representation</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or warranty in connection with, and shall have no responsibility with respect to, the solvency, financial condition, creditworthiness, or statements of the Company, or the validity and enforceability of the obligation of the Company in respect of the Credit Agreement or any Note. The Assignee acknowledges that it has, independently and without reliance on the Assignor, and based on such documents and information as it has deemed appropriate, made its own credit analysis and decision to enter into this Agreement and will continue to be responsible for making its own independent appraisal of the business, affairs and financial condition of the Company without such reliance and on such basis.</w:t>
      </w:r>
    </w:p>
    <w:p>
      <w:pPr>
        <w:spacing w:after="0" w:line="159" w:lineRule="exact"/>
        <w:rPr>
          <w:sz w:val="20"/>
          <w:szCs w:val="20"/>
          <w:color w:val="auto"/>
        </w:rPr>
      </w:pPr>
    </w:p>
    <w:p>
      <w:pPr>
        <w:ind w:left="360"/>
        <w:spacing w:after="0"/>
        <w:tabs>
          <w:tab w:leader="none" w:pos="1380" w:val="left"/>
          <w:tab w:leader="none" w:pos="2780" w:val="left"/>
        </w:tabs>
        <w:rPr>
          <w:sz w:val="20"/>
          <w:szCs w:val="20"/>
          <w:color w:val="auto"/>
        </w:rPr>
      </w:pPr>
      <w:r>
        <w:rPr>
          <w:rFonts w:ascii="Courier New" w:cs="Courier New" w:eastAsia="Courier New" w:hAnsi="Courier New"/>
          <w:sz w:val="15"/>
          <w:szCs w:val="15"/>
          <w:color w:val="auto"/>
        </w:rPr>
        <w:t>SECTION 6.</w:t>
        <w:tab/>
        <w:t>Governing Law.</w:t>
      </w:r>
      <w:r>
        <w:rPr>
          <w:sz w:val="20"/>
          <w:szCs w:val="20"/>
          <w:color w:val="auto"/>
        </w:rPr>
        <w:tab/>
      </w:r>
      <w:r>
        <w:rPr>
          <w:rFonts w:ascii="Courier New" w:cs="Courier New" w:eastAsia="Courier New" w:hAnsi="Courier New"/>
          <w:sz w:val="14"/>
          <w:szCs w:val="14"/>
          <w:color w:val="auto"/>
        </w:rPr>
        <w:t>This Agreement shall be governed by and</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construed in accordance with the laws of the State of New York.</w:t>
      </w:r>
    </w:p>
    <w:p>
      <w:pPr>
        <w:spacing w:after="0" w:line="167" w:lineRule="exact"/>
        <w:rPr>
          <w:sz w:val="20"/>
          <w:szCs w:val="20"/>
          <w:color w:val="auto"/>
        </w:rPr>
      </w:pPr>
    </w:p>
    <w:p>
      <w:pPr>
        <w:ind w:left="360"/>
        <w:spacing w:after="0"/>
        <w:tabs>
          <w:tab w:leader="none" w:pos="1380" w:val="left"/>
          <w:tab w:leader="none" w:pos="2700" w:val="left"/>
        </w:tabs>
        <w:rPr>
          <w:sz w:val="20"/>
          <w:szCs w:val="20"/>
          <w:color w:val="auto"/>
        </w:rPr>
      </w:pPr>
      <w:r>
        <w:rPr>
          <w:rFonts w:ascii="Courier New" w:cs="Courier New" w:eastAsia="Courier New" w:hAnsi="Courier New"/>
          <w:sz w:val="15"/>
          <w:szCs w:val="15"/>
          <w:color w:val="auto"/>
        </w:rPr>
        <w:t>SECTION 7.</w:t>
        <w:tab/>
        <w:t>Counterparts.</w:t>
      </w:r>
      <w:r>
        <w:rPr>
          <w:sz w:val="20"/>
          <w:szCs w:val="20"/>
          <w:color w:val="auto"/>
        </w:rPr>
        <w:tab/>
      </w:r>
      <w:r>
        <w:rPr>
          <w:rFonts w:ascii="Courier New" w:cs="Courier New" w:eastAsia="Courier New" w:hAnsi="Courier New"/>
          <w:sz w:val="14"/>
          <w:szCs w:val="14"/>
          <w:color w:val="auto"/>
        </w:rPr>
        <w:t>This Agreement may be signed in any number of</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counterparts, each of which shall be an original, with the same effect as if the signature thereto and hereto were upon the same instrument.</w:t>
      </w:r>
    </w:p>
    <w:p>
      <w:pPr>
        <w:spacing w:after="0" w:line="173" w:lineRule="exact"/>
        <w:rPr>
          <w:sz w:val="20"/>
          <w:szCs w:val="20"/>
          <w:color w:val="auto"/>
        </w:rPr>
      </w:pPr>
    </w:p>
    <w:p>
      <w:pPr>
        <w:ind w:right="3499" w:firstLine="350"/>
        <w:spacing w:after="0" w:line="235" w:lineRule="auto"/>
        <w:rPr>
          <w:sz w:val="20"/>
          <w:szCs w:val="20"/>
          <w:color w:val="auto"/>
        </w:rPr>
      </w:pPr>
      <w:r>
        <w:rPr>
          <w:rFonts w:ascii="Courier New" w:cs="Courier New" w:eastAsia="Courier New" w:hAnsi="Courier New"/>
          <w:sz w:val="15"/>
          <w:szCs w:val="15"/>
          <w:color w:val="auto"/>
        </w:rPr>
        <w:t>IN WITNESS WHEREOF, the parties have caused this Agreement to be executed and delivered by their duly authorized officers as of the date first above written.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[ASSIGNOR]</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39"/>
          </w:cols>
          <w:pgMar w:left="220" w:top="617" w:right="1440" w:bottom="1440" w:gutter="0" w:footer="0" w:header="0"/>
        </w:sectPr>
      </w:pPr>
    </w:p>
    <w:bookmarkStart w:id="122" w:name="page123"/>
    <w:bookmarkEnd w:id="122"/>
    <w:p>
      <w:pPr>
        <w:ind w:left="2200"/>
        <w:spacing w:after="0"/>
        <w:rPr>
          <w:sz w:val="20"/>
          <w:szCs w:val="20"/>
          <w:color w:val="auto"/>
        </w:rPr>
      </w:pPr>
      <w:r>
        <w:rPr>
          <w:rFonts w:ascii="Courier New" w:cs="Courier New" w:eastAsia="Courier New" w:hAnsi="Courier New"/>
          <w:sz w:val="15"/>
          <w:szCs w:val="15"/>
          <w:color w:val="auto"/>
        </w:rPr>
        <w:t>[ASSIGNEE]</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Title:</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THE LIMITED, INC.</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Title:</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MORGAN GUARANTY TRUST COMPANY</w:t>
      </w:r>
    </w:p>
    <w:p>
      <w:pPr>
        <w:ind w:left="2380"/>
        <w:spacing w:after="0" w:line="237" w:lineRule="auto"/>
        <w:rPr>
          <w:sz w:val="20"/>
          <w:szCs w:val="20"/>
          <w:color w:val="auto"/>
        </w:rPr>
      </w:pPr>
      <w:r>
        <w:rPr>
          <w:rFonts w:ascii="Courier New" w:cs="Courier New" w:eastAsia="Courier New" w:hAnsi="Courier New"/>
          <w:sz w:val="15"/>
          <w:szCs w:val="15"/>
          <w:color w:val="auto"/>
        </w:rPr>
        <w:t>OF NEW YORK, as Agent</w:t>
      </w:r>
    </w:p>
    <w:p>
      <w:pPr>
        <w:spacing w:after="0" w:line="167"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019"/>
          </w:cols>
          <w:pgMar w:left="1440" w:top="449" w:right="1440" w:bottom="1440" w:gutter="0" w:footer="0" w:header="0"/>
        </w:sectPr>
      </w:pPr>
    </w:p>
    <w:bookmarkStart w:id="123" w:name="page124"/>
    <w:bookmarkEnd w:id="123"/>
    <w:p>
      <w:pPr>
        <w:ind w:left="6220"/>
        <w:spacing w:after="0"/>
        <w:rPr>
          <w:sz w:val="20"/>
          <w:szCs w:val="20"/>
          <w:color w:val="auto"/>
        </w:rPr>
      </w:pPr>
      <w:r>
        <w:rPr>
          <w:rFonts w:ascii="Courier New" w:cs="Courier New" w:eastAsia="Courier New" w:hAnsi="Courier New"/>
          <w:sz w:val="14"/>
          <w:szCs w:val="14"/>
          <w:color w:val="auto"/>
        </w:rPr>
        <w:t>EXHIBIT H</w:t>
      </w:r>
    </w:p>
    <w:p>
      <w:pPr>
        <w:spacing w:after="0" w:line="10" w:lineRule="exact"/>
        <w:rPr>
          <w:sz w:val="20"/>
          <w:szCs w:val="20"/>
          <w:color w:val="auto"/>
        </w:rPr>
      </w:pPr>
    </w:p>
    <w:p>
      <w:pPr>
        <w:ind w:left="62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8"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Form of Notice of Request to Extend</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[Date]</w:t>
      </w:r>
    </w:p>
    <w:p>
      <w:pPr>
        <w:sectPr>
          <w:pgSz w:w="11900" w:h="16838" w:orient="portrait"/>
          <w:cols w:equalWidth="0" w:num="1">
            <w:col w:w="10239"/>
          </w:cols>
          <w:pgMar w:left="220" w:top="455" w:right="1440" w:bottom="1440" w:gutter="0" w:footer="0" w:header="0"/>
        </w:sect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of Bank]</w:t>
      </w:r>
    </w:p>
    <w:p>
      <w:pPr>
        <w:spacing w:after="0" w:line="177" w:lineRule="exact"/>
        <w:rPr>
          <w:sz w:val="20"/>
          <w:szCs w:val="20"/>
          <w:color w:val="auto"/>
        </w:rPr>
      </w:pPr>
    </w:p>
    <w:p>
      <w:pPr>
        <w:sectPr>
          <w:pgSz w:w="11900" w:h="16838" w:orient="portrait"/>
          <w:cols w:equalWidth="0" w:num="2">
            <w:col w:w="280" w:space="520"/>
            <w:col w:w="9439"/>
          </w:cols>
          <w:pgMar w:left="220" w:top="45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Morgan Guaranty Trust Company of New York (the "Agent")</w:t>
      </w:r>
    </w:p>
    <w:p>
      <w:pPr>
        <w:spacing w:after="0" w:line="171" w:lineRule="exact"/>
        <w:rPr>
          <w:sz w:val="20"/>
          <w:szCs w:val="20"/>
          <w:color w:val="auto"/>
        </w:rPr>
      </w:pPr>
    </w:p>
    <w:p>
      <w:pPr>
        <w:sectPr>
          <w:pgSz w:w="11900" w:h="16838" w:orient="portrait"/>
          <w:cols w:equalWidth="0" w:num="2">
            <w:col w:w="440" w:space="360"/>
            <w:col w:w="9439"/>
          </w:cols>
          <w:pgMar w:left="220" w:top="455"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Re:</w:t>
      </w:r>
    </w:p>
    <w:p>
      <w:pPr>
        <w:spacing w:after="0" w:line="20" w:lineRule="exact"/>
        <w:rPr>
          <w:sz w:val="20"/>
          <w:szCs w:val="20"/>
          <w:color w:val="auto"/>
        </w:rPr>
      </w:pPr>
      <w:r>
        <w:rPr>
          <w:sz w:val="20"/>
          <w:szCs w:val="20"/>
          <w:color w:val="auto"/>
        </w:rPr>
        <w:br w:type="column"/>
      </w:r>
    </w:p>
    <w:p>
      <w:pPr>
        <w:ind w:right="3239"/>
        <w:spacing w:after="0" w:line="235" w:lineRule="auto"/>
        <w:rPr>
          <w:sz w:val="20"/>
          <w:szCs w:val="20"/>
          <w:color w:val="auto"/>
        </w:rPr>
      </w:pPr>
      <w:r>
        <w:rPr>
          <w:rFonts w:ascii="Courier New" w:cs="Courier New" w:eastAsia="Courier New" w:hAnsi="Courier New"/>
          <w:sz w:val="15"/>
          <w:szCs w:val="15"/>
          <w:color w:val="auto"/>
        </w:rPr>
        <w:t>Credit Agreement dated as of December 15, 1995, as amended (the "Credit Agreement") among The Limited, Inc. (the "Borrower"), the Banks party thereto and the Agent.</w:t>
      </w:r>
    </w:p>
    <w:p>
      <w:pPr>
        <w:spacing w:after="0" w:line="174" w:lineRule="exact"/>
        <w:rPr>
          <w:sz w:val="20"/>
          <w:szCs w:val="20"/>
          <w:color w:val="auto"/>
        </w:rPr>
      </w:pPr>
    </w:p>
    <w:p>
      <w:pPr>
        <w:sectPr>
          <w:pgSz w:w="11900" w:h="16838" w:orient="portrait"/>
          <w:cols w:equalWidth="0" w:num="2">
            <w:col w:w="280" w:space="520"/>
            <w:col w:w="9439"/>
          </w:cols>
          <w:pgMar w:left="220" w:top="455" w:right="1440" w:bottom="1440" w:gutter="0" w:footer="0" w:header="0"/>
          <w:type w:val="continuous"/>
        </w:sectPr>
      </w:pPr>
    </w:p>
    <w:p>
      <w:pPr>
        <w:ind w:right="3319" w:firstLine="787"/>
        <w:spacing w:after="0" w:line="236" w:lineRule="auto"/>
        <w:rPr>
          <w:sz w:val="20"/>
          <w:szCs w:val="20"/>
          <w:color w:val="auto"/>
        </w:rPr>
      </w:pPr>
      <w:r>
        <w:rPr>
          <w:rFonts w:ascii="Courier New" w:cs="Courier New" w:eastAsia="Courier New" w:hAnsi="Courier New"/>
          <w:sz w:val="15"/>
          <w:szCs w:val="15"/>
          <w:color w:val="auto"/>
        </w:rPr>
        <w:t>Pursuant to Section 2.1.3 of the Credit Agreement, the Borrower has requested an extension of the Termination Date (as defined therein) of the Credit Agreement from [December 14, 2000] [December 14, 2002] to [December 14, 2002] [December 14, 2004]. Please notify the Agent in writing (which may be by bank, wire, telecopy or similar writing) at its address or telecopy number set forth below of your receipt of this notice no later than [the Domestic Business Day following the date of this notice].</w:t>
      </w:r>
    </w:p>
    <w:p>
      <w:pPr>
        <w:spacing w:after="0" w:line="176" w:lineRule="exact"/>
        <w:rPr>
          <w:sz w:val="20"/>
          <w:szCs w:val="20"/>
          <w:color w:val="auto"/>
        </w:rPr>
      </w:pPr>
    </w:p>
    <w:p>
      <w:pPr>
        <w:ind w:right="3499" w:firstLine="787"/>
        <w:spacing w:after="0" w:line="234" w:lineRule="auto"/>
        <w:rPr>
          <w:sz w:val="20"/>
          <w:szCs w:val="20"/>
          <w:color w:val="auto"/>
        </w:rPr>
      </w:pPr>
      <w:r>
        <w:rPr>
          <w:rFonts w:ascii="Courier New" w:cs="Courier New" w:eastAsia="Courier New" w:hAnsi="Courier New"/>
          <w:sz w:val="15"/>
          <w:szCs w:val="15"/>
          <w:color w:val="auto"/>
        </w:rPr>
        <w:t>If you elect so to extend the Termination Date, no further action on your part is required.</w:t>
      </w:r>
    </w:p>
    <w:p>
      <w:pPr>
        <w:spacing w:after="0" w:line="173"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If you elect not so to extend the Termination Date, please notify the Agent in writing (which may be by bank wire, telecopy or similar writing) at its</w:t>
      </w:r>
    </w:p>
    <w:p>
      <w:pPr>
        <w:spacing w:after="0"/>
        <w:tabs>
          <w:tab w:leader="none" w:pos="6120" w:val="left"/>
        </w:tabs>
        <w:rPr>
          <w:sz w:val="20"/>
          <w:szCs w:val="20"/>
          <w:color w:val="auto"/>
        </w:rPr>
      </w:pPr>
      <w:r>
        <w:rPr>
          <w:rFonts w:ascii="Courier New" w:cs="Courier New" w:eastAsia="Courier New" w:hAnsi="Courier New"/>
          <w:sz w:val="15"/>
          <w:szCs w:val="15"/>
          <w:color w:val="auto"/>
        </w:rPr>
        <w:t>address or telecopy number set forth below no later than</w:t>
      </w:r>
      <w:r>
        <w:rPr>
          <w:sz w:val="20"/>
          <w:szCs w:val="20"/>
          <w:color w:val="auto"/>
        </w:rPr>
        <w:tab/>
      </w:r>
      <w:r>
        <w:rPr>
          <w:rFonts w:ascii="Courier New" w:cs="Courier New" w:eastAsia="Courier New" w:hAnsi="Courier New"/>
          <w:sz w:val="14"/>
          <w:szCs w:val="14"/>
          <w:color w:val="auto"/>
        </w:rPr>
        <w:t>, [1997]</w:t>
      </w:r>
    </w:p>
    <w:p>
      <w:pPr>
        <w:ind w:left="5000"/>
        <w:spacing w:after="0" w:line="238" w:lineRule="auto"/>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[1999]:</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Morgan Guaranty Trust Company of New York</w:t>
      </w:r>
    </w:p>
    <w:p>
      <w:pPr>
        <w:ind w:left="800"/>
        <w:spacing w:after="0" w:line="237" w:lineRule="auto"/>
        <w:rPr>
          <w:sz w:val="20"/>
          <w:szCs w:val="20"/>
          <w:color w:val="auto"/>
        </w:rPr>
      </w:pPr>
      <w:r>
        <w:rPr>
          <w:rFonts w:ascii="Courier New" w:cs="Courier New" w:eastAsia="Courier New" w:hAnsi="Courier New"/>
          <w:sz w:val="15"/>
          <w:szCs w:val="15"/>
          <w:color w:val="auto"/>
        </w:rPr>
        <w:t>60 Wall Street</w:t>
      </w:r>
    </w:p>
    <w:p>
      <w:pPr>
        <w:ind w:left="800"/>
        <w:spacing w:after="0" w:line="238" w:lineRule="auto"/>
        <w:rPr>
          <w:sz w:val="20"/>
          <w:szCs w:val="20"/>
          <w:color w:val="auto"/>
        </w:rPr>
      </w:pPr>
      <w:r>
        <w:rPr>
          <w:rFonts w:ascii="Courier New" w:cs="Courier New" w:eastAsia="Courier New" w:hAnsi="Courier New"/>
          <w:sz w:val="15"/>
          <w:szCs w:val="15"/>
          <w:color w:val="auto"/>
        </w:rPr>
        <w:t>New York, New York 10260</w:t>
      </w:r>
    </w:p>
    <w:p>
      <w:pPr>
        <w:ind w:left="800"/>
        <w:spacing w:after="0" w:line="237" w:lineRule="auto"/>
        <w:rPr>
          <w:sz w:val="20"/>
          <w:szCs w:val="20"/>
          <w:color w:val="auto"/>
        </w:rPr>
      </w:pPr>
      <w:r>
        <w:rPr>
          <w:rFonts w:ascii="Courier New" w:cs="Courier New" w:eastAsia="Courier New" w:hAnsi="Courier New"/>
          <w:sz w:val="15"/>
          <w:szCs w:val="15"/>
          <w:color w:val="auto"/>
        </w:rPr>
        <w:t>Telecopy Number:</w:t>
      </w:r>
    </w:p>
    <w:p>
      <w:pPr>
        <w:ind w:left="800"/>
        <w:spacing w:after="0" w:line="238" w:lineRule="auto"/>
        <w:rPr>
          <w:sz w:val="20"/>
          <w:szCs w:val="20"/>
          <w:color w:val="auto"/>
        </w:rPr>
      </w:pPr>
      <w:r>
        <w:rPr>
          <w:rFonts w:ascii="Courier New" w:cs="Courier New" w:eastAsia="Courier New" w:hAnsi="Courier New"/>
          <w:sz w:val="15"/>
          <w:szCs w:val="15"/>
          <w:color w:val="auto"/>
        </w:rPr>
        <w:t>Attn:</w:t>
      </w:r>
    </w:p>
    <w:p>
      <w:pPr>
        <w:sectPr>
          <w:pgSz w:w="11900" w:h="16838" w:orient="portrait"/>
          <w:cols w:equalWidth="0" w:num="1">
            <w:col w:w="10239"/>
          </w:cols>
          <w:pgMar w:left="220" w:top="455" w:right="1440" w:bottom="1440" w:gutter="0" w:footer="0" w:header="0"/>
          <w:type w:val="continuous"/>
        </w:sectPr>
      </w:pPr>
    </w:p>
    <w:bookmarkStart w:id="124" w:name="page125"/>
    <w:bookmarkEnd w:id="124"/>
    <w:p>
      <w:pPr>
        <w:ind w:left="5600"/>
        <w:spacing w:after="0"/>
        <w:rPr>
          <w:sz w:val="20"/>
          <w:szCs w:val="20"/>
          <w:color w:val="auto"/>
        </w:rPr>
      </w:pPr>
      <w:r>
        <w:rPr>
          <w:rFonts w:ascii="Courier New" w:cs="Courier New" w:eastAsia="Courier New" w:hAnsi="Courier New"/>
          <w:sz w:val="14"/>
          <w:szCs w:val="14"/>
          <w:color w:val="auto"/>
        </w:rPr>
        <w:t>EXHIBIT 10.16</w:t>
      </w:r>
    </w:p>
    <w:p>
      <w:pPr>
        <w:spacing w:after="0" w:line="10"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SUPPLEMENTAL SCHEDULE OF EXECUTIVE OFFICER WHO BECAME</w:t>
      </w:r>
    </w:p>
    <w:p>
      <w:pPr>
        <w:ind w:left="1760"/>
        <w:spacing w:after="0" w:line="237" w:lineRule="auto"/>
        <w:rPr>
          <w:sz w:val="20"/>
          <w:szCs w:val="20"/>
          <w:color w:val="auto"/>
        </w:rPr>
      </w:pPr>
      <w:r>
        <w:rPr>
          <w:rFonts w:ascii="Courier New" w:cs="Courier New" w:eastAsia="Courier New" w:hAnsi="Courier New"/>
          <w:sz w:val="15"/>
          <w:szCs w:val="15"/>
          <w:color w:val="auto"/>
        </w:rPr>
        <w:t>A PARTY TO AN INDEMNIFICATION AGREEMENT</w:t>
      </w:r>
    </w:p>
    <w:p>
      <w:pPr>
        <w:ind w:left="2380"/>
        <w:spacing w:after="0" w:line="238" w:lineRule="auto"/>
        <w:rPr>
          <w:sz w:val="20"/>
          <w:szCs w:val="20"/>
          <w:color w:val="auto"/>
        </w:rPr>
      </w:pPr>
      <w:r>
        <w:rPr>
          <w:rFonts w:ascii="Courier New" w:cs="Courier New" w:eastAsia="Courier New" w:hAnsi="Courier New"/>
          <w:sz w:val="15"/>
          <w:szCs w:val="15"/>
          <w:color w:val="auto"/>
        </w:rPr>
        <w:t>EFFECTIVE MARCH 7, 1996</w:t>
      </w:r>
    </w:p>
    <w:p>
      <w:pPr>
        <w:sectPr>
          <w:pgSz w:w="11900" w:h="16838" w:orient="portrait"/>
          <w:cols w:equalWidth="0" w:num="1">
            <w:col w:w="10239"/>
          </w:cols>
          <w:pgMar w:left="220" w:top="478" w:right="1440" w:bottom="1440" w:gutter="0" w:footer="0" w:header="0"/>
        </w:sect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Signatory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Capacity</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4720" w:space="720"/>
            <w:col w:w="4799"/>
          </w:cols>
          <w:pgMar w:left="220" w:top="47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Kent A. Kleeberger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Executive Officer</w:t>
      </w:r>
    </w:p>
    <w:p>
      <w:pPr>
        <w:sectPr>
          <w:pgSz w:w="11900" w:h="16838" w:orient="portrait"/>
          <w:cols w:equalWidth="0" w:num="2">
            <w:col w:w="4720" w:space="720"/>
            <w:col w:w="4799"/>
          </w:cols>
          <w:pgMar w:left="220" w:top="478" w:right="1440" w:bottom="1440" w:gutter="0" w:footer="0" w:header="0"/>
          <w:type w:val="continuous"/>
        </w:sectPr>
      </w:pPr>
    </w:p>
    <w:bookmarkStart w:id="125" w:name="page126"/>
    <w:bookmarkEnd w:id="125"/>
    <w:p>
      <w:pPr>
        <w:ind w:left="5600"/>
        <w:spacing w:after="0"/>
        <w:rPr>
          <w:sz w:val="20"/>
          <w:szCs w:val="20"/>
          <w:color w:val="auto"/>
        </w:rPr>
      </w:pPr>
      <w:r>
        <w:rPr>
          <w:rFonts w:ascii="Courier New" w:cs="Courier New" w:eastAsia="Courier New" w:hAnsi="Courier New"/>
          <w:sz w:val="14"/>
          <w:szCs w:val="14"/>
          <w:color w:val="auto"/>
        </w:rPr>
        <w:t>EXHIBIT 10.17</w:t>
      </w:r>
    </w:p>
    <w:p>
      <w:pPr>
        <w:spacing w:after="0" w:line="10"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SUPPLEMENTAL SCHEDULE OF EXECUTIVE OFFICER WHO BECAME</w:t>
      </w:r>
    </w:p>
    <w:p>
      <w:pPr>
        <w:ind w:left="1760"/>
        <w:spacing w:after="0" w:line="237" w:lineRule="auto"/>
        <w:rPr>
          <w:sz w:val="20"/>
          <w:szCs w:val="20"/>
          <w:color w:val="auto"/>
        </w:rPr>
      </w:pPr>
      <w:r>
        <w:rPr>
          <w:rFonts w:ascii="Courier New" w:cs="Courier New" w:eastAsia="Courier New" w:hAnsi="Courier New"/>
          <w:sz w:val="15"/>
          <w:szCs w:val="15"/>
          <w:color w:val="auto"/>
        </w:rPr>
        <w:t>A PARTY TO AN INDEMNIFICATION AGREEMENT</w:t>
      </w:r>
    </w:p>
    <w:p>
      <w:pPr>
        <w:ind w:left="2380"/>
        <w:spacing w:after="0" w:line="238" w:lineRule="auto"/>
        <w:rPr>
          <w:sz w:val="20"/>
          <w:szCs w:val="20"/>
          <w:color w:val="auto"/>
        </w:rPr>
      </w:pPr>
      <w:r>
        <w:rPr>
          <w:rFonts w:ascii="Courier New" w:cs="Courier New" w:eastAsia="Courier New" w:hAnsi="Courier New"/>
          <w:sz w:val="15"/>
          <w:szCs w:val="15"/>
          <w:color w:val="auto"/>
        </w:rPr>
        <w:t>EFFECTIVE FEBRUARY 1, 1996</w:t>
      </w:r>
    </w:p>
    <w:p>
      <w:pPr>
        <w:sectPr>
          <w:pgSz w:w="11900" w:h="16838" w:orient="portrait"/>
          <w:cols w:equalWidth="0" w:num="1">
            <w:col w:w="10239"/>
          </w:cols>
          <w:pgMar w:left="220" w:top="478" w:right="1440" w:bottom="1440" w:gutter="0" w:footer="0" w:header="0"/>
        </w:sect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Signatory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Capacity</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4720" w:space="720"/>
            <w:col w:w="4799"/>
          </w:cols>
          <w:pgMar w:left="220" w:top="47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Jon Ricker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Executive Officer</w:t>
      </w:r>
    </w:p>
    <w:p>
      <w:pPr>
        <w:sectPr>
          <w:pgSz w:w="11900" w:h="16838" w:orient="portrait"/>
          <w:cols w:equalWidth="0" w:num="2">
            <w:col w:w="4720" w:space="720"/>
            <w:col w:w="4799"/>
          </w:cols>
          <w:pgMar w:left="220" w:top="478" w:right="1440" w:bottom="1440" w:gutter="0" w:footer="0" w:header="0"/>
          <w:type w:val="continuous"/>
        </w:sectPr>
      </w:pPr>
    </w:p>
    <w:bookmarkStart w:id="126" w:name="page127"/>
    <w:bookmarkEnd w:id="126"/>
    <w:p>
      <w:pPr>
        <w:jc w:val="right"/>
        <w:ind w:right="3239"/>
        <w:spacing w:after="0"/>
        <w:rPr>
          <w:sz w:val="20"/>
          <w:szCs w:val="20"/>
          <w:color w:val="auto"/>
        </w:rPr>
      </w:pPr>
      <w:r>
        <w:rPr>
          <w:rFonts w:ascii="Courier New" w:cs="Courier New" w:eastAsia="Courier New" w:hAnsi="Courier New"/>
          <w:sz w:val="15"/>
          <w:szCs w:val="15"/>
          <w:color w:val="auto"/>
        </w:rPr>
        <w:t>EXHIBIT 11</w:t>
      </w:r>
    </w:p>
    <w:p>
      <w:pPr>
        <w:ind w:left="2020"/>
        <w:spacing w:after="0" w:line="237" w:lineRule="auto"/>
        <w:rPr>
          <w:sz w:val="20"/>
          <w:szCs w:val="20"/>
          <w:color w:val="auto"/>
        </w:rPr>
      </w:pPr>
      <w:r>
        <w:rPr>
          <w:rFonts w:ascii="Courier New" w:cs="Courier New" w:eastAsia="Courier New" w:hAnsi="Courier New"/>
          <w:sz w:val="15"/>
          <w:szCs w:val="15"/>
          <w:color w:val="auto"/>
        </w:rPr>
        <w:t>THE LIMITED, INC. AND SUBSIDIARIES</w:t>
      </w:r>
    </w:p>
    <w:p>
      <w:pPr>
        <w:ind w:left="2020"/>
        <w:spacing w:after="0" w:line="238" w:lineRule="auto"/>
        <w:rPr>
          <w:sz w:val="20"/>
          <w:szCs w:val="20"/>
          <w:color w:val="auto"/>
        </w:rPr>
      </w:pPr>
      <w:r>
        <w:rPr>
          <w:rFonts w:ascii="Courier New" w:cs="Courier New" w:eastAsia="Courier New" w:hAnsi="Courier New"/>
          <w:sz w:val="15"/>
          <w:szCs w:val="15"/>
          <w:color w:val="auto"/>
        </w:rPr>
        <w:t>COMPUTATION OF PER SHARE EARNINGS</w:t>
      </w:r>
    </w:p>
    <w:tbl>
      <w:tblPr>
        <w:tblLayout w:type="fixed"/>
        <w:tblInd w:w="0" w:type="dxa"/>
        <w:tblCellMar>
          <w:top w:w="0" w:type="dxa"/>
          <w:left w:w="0" w:type="dxa"/>
          <w:bottom w:w="0" w:type="dxa"/>
          <w:right w:w="0" w:type="dxa"/>
        </w:tblCellMar>
      </w:tblPr>
      <w:tr>
        <w:trPr>
          <w:trHeight w:val="168"/>
        </w:trPr>
        <w:tc>
          <w:tcPr>
            <w:tcW w:w="526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rPr>
              <w:t>(Thousands except per share amounts)</w:t>
            </w:r>
          </w:p>
        </w:tc>
        <w:tc>
          <w:tcPr>
            <w:tcW w:w="700" w:type="dxa"/>
            <w:vAlign w:val="bottom"/>
          </w:tcPr>
          <w:p>
            <w:pPr>
              <w:spacing w:after="0"/>
              <w:rPr>
                <w:sz w:val="14"/>
                <w:szCs w:val="14"/>
                <w:color w:val="auto"/>
              </w:rPr>
            </w:pPr>
          </w:p>
        </w:tc>
      </w:tr>
      <w:tr>
        <w:trPr>
          <w:trHeight w:val="841"/>
        </w:trPr>
        <w:tc>
          <w:tcPr>
            <w:tcW w:w="3380" w:type="dxa"/>
            <w:vAlign w:val="bottom"/>
          </w:tcPr>
          <w:p>
            <w:pPr>
              <w:spacing w:after="0"/>
              <w:rPr>
                <w:sz w:val="24"/>
                <w:szCs w:val="24"/>
                <w:color w:val="auto"/>
              </w:rPr>
            </w:pPr>
          </w:p>
        </w:tc>
        <w:tc>
          <w:tcPr>
            <w:tcW w:w="188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Quarter Ended</w:t>
            </w:r>
          </w:p>
        </w:tc>
        <w:tc>
          <w:tcPr>
            <w:tcW w:w="700" w:type="dxa"/>
            <w:vAlign w:val="bottom"/>
          </w:tcPr>
          <w:p>
            <w:pPr>
              <w:spacing w:after="0"/>
              <w:rPr>
                <w:sz w:val="24"/>
                <w:szCs w:val="24"/>
                <w:color w:val="auto"/>
              </w:rPr>
            </w:pPr>
          </w:p>
        </w:tc>
      </w:tr>
      <w:tr>
        <w:trPr>
          <w:trHeight w:val="168"/>
        </w:trPr>
        <w:tc>
          <w:tcPr>
            <w:tcW w:w="3380" w:type="dxa"/>
            <w:vAlign w:val="bottom"/>
          </w:tcPr>
          <w:p>
            <w:pPr>
              <w:spacing w:after="0"/>
              <w:rPr>
                <w:sz w:val="14"/>
                <w:szCs w:val="14"/>
                <w:color w:val="auto"/>
              </w:rPr>
            </w:pPr>
          </w:p>
        </w:tc>
        <w:tc>
          <w:tcPr>
            <w:tcW w:w="258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3380" w:type="dxa"/>
            <w:vAlign w:val="bottom"/>
          </w:tcPr>
          <w:p>
            <w:pPr>
              <w:spacing w:after="0"/>
              <w:rPr>
                <w:sz w:val="14"/>
                <w:szCs w:val="14"/>
                <w:color w:val="auto"/>
              </w:rPr>
            </w:pPr>
          </w:p>
        </w:tc>
        <w:tc>
          <w:tcPr>
            <w:tcW w:w="1300" w:type="dxa"/>
            <w:vAlign w:val="bottom"/>
            <w:gridSpan w:val="2"/>
          </w:tcPr>
          <w:p>
            <w:pPr>
              <w:jc w:val="center"/>
              <w:ind w:right="7"/>
              <w:spacing w:after="0" w:line="168" w:lineRule="exact"/>
              <w:rPr>
                <w:sz w:val="20"/>
                <w:szCs w:val="20"/>
                <w:color w:val="auto"/>
              </w:rPr>
            </w:pPr>
            <w:r>
              <w:rPr>
                <w:rFonts w:ascii="Courier New" w:cs="Courier New" w:eastAsia="Courier New" w:hAnsi="Courier New"/>
                <w:sz w:val="15"/>
                <w:szCs w:val="15"/>
                <w:color w:val="auto"/>
                <w:w w:val="98"/>
              </w:rPr>
              <w:t>February 3,</w:t>
            </w:r>
          </w:p>
        </w:tc>
        <w:tc>
          <w:tcPr>
            <w:tcW w:w="12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January 28,</w:t>
            </w:r>
          </w:p>
        </w:tc>
      </w:tr>
      <w:tr>
        <w:trPr>
          <w:trHeight w:val="168"/>
        </w:trPr>
        <w:tc>
          <w:tcPr>
            <w:tcW w:w="33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1996</w:t>
            </w:r>
          </w:p>
        </w:tc>
        <w:tc>
          <w:tcPr>
            <w:tcW w:w="520" w:type="dxa"/>
            <w:vAlign w:val="bottom"/>
          </w:tcPr>
          <w:p>
            <w:pPr>
              <w:spacing w:after="0"/>
              <w:rPr>
                <w:sz w:val="14"/>
                <w:szCs w:val="14"/>
                <w:color w:val="auto"/>
              </w:rPr>
            </w:pPr>
          </w:p>
        </w:tc>
        <w:tc>
          <w:tcPr>
            <w:tcW w:w="12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338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3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$216,225</w:t>
            </w:r>
          </w:p>
        </w:tc>
        <w:tc>
          <w:tcPr>
            <w:tcW w:w="12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$256,745</w:t>
            </w:r>
          </w:p>
        </w:tc>
      </w:tr>
      <w:tr>
        <w:trPr>
          <w:trHeight w:val="168"/>
        </w:trPr>
        <w:tc>
          <w:tcPr>
            <w:tcW w:w="338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Shares outstanding:</w:t>
            </w: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380" w:type="dxa"/>
            <w:vAlign w:val="bottom"/>
          </w:tcPr>
          <w:p>
            <w:pPr>
              <w:ind w:left="360"/>
              <w:spacing w:after="0"/>
              <w:rPr>
                <w:sz w:val="20"/>
                <w:szCs w:val="20"/>
                <w:color w:val="auto"/>
              </w:rPr>
            </w:pPr>
            <w:r>
              <w:rPr>
                <w:rFonts w:ascii="Courier New" w:cs="Courier New" w:eastAsia="Courier New" w:hAnsi="Courier New"/>
                <w:sz w:val="15"/>
                <w:szCs w:val="15"/>
                <w:color w:val="auto"/>
              </w:rPr>
              <w:t>Weighted average</w:t>
            </w:r>
          </w:p>
        </w:tc>
        <w:tc>
          <w:tcPr>
            <w:tcW w:w="13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379,454</w:t>
            </w:r>
          </w:p>
        </w:tc>
        <w:tc>
          <w:tcPr>
            <w:tcW w:w="580" w:type="dxa"/>
            <w:vAlign w:val="bottom"/>
          </w:tcPr>
          <w:p>
            <w:pPr>
              <w:spacing w:after="0"/>
              <w:rPr>
                <w:sz w:val="24"/>
                <w:szCs w:val="2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1"/>
              </w:rPr>
              <w:t>379,454</w:t>
            </w:r>
          </w:p>
        </w:tc>
      </w:tr>
      <w:tr>
        <w:trPr>
          <w:trHeight w:val="336"/>
        </w:trPr>
        <w:tc>
          <w:tcPr>
            <w:tcW w:w="3380" w:type="dxa"/>
            <w:vAlign w:val="bottom"/>
          </w:tcPr>
          <w:p>
            <w:pPr>
              <w:ind w:left="360"/>
              <w:spacing w:after="0"/>
              <w:rPr>
                <w:sz w:val="20"/>
                <w:szCs w:val="20"/>
                <w:color w:val="auto"/>
              </w:rPr>
            </w:pPr>
            <w:r>
              <w:rPr>
                <w:rFonts w:ascii="Courier New" w:cs="Courier New" w:eastAsia="Courier New" w:hAnsi="Courier New"/>
                <w:sz w:val="15"/>
                <w:szCs w:val="15"/>
                <w:color w:val="auto"/>
              </w:rPr>
              <w:t>Dilutive effect of stock options</w:t>
            </w:r>
          </w:p>
        </w:tc>
        <w:tc>
          <w:tcPr>
            <w:tcW w:w="780" w:type="dxa"/>
            <w:vAlign w:val="bottom"/>
          </w:tcPr>
          <w:p>
            <w:pPr>
              <w:spacing w:after="0"/>
              <w:rPr>
                <w:sz w:val="24"/>
                <w:szCs w:val="24"/>
                <w:color w:val="auto"/>
              </w:rPr>
            </w:pPr>
          </w:p>
        </w:tc>
        <w:tc>
          <w:tcPr>
            <w:tcW w:w="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229</w:t>
            </w:r>
          </w:p>
        </w:tc>
        <w:tc>
          <w:tcPr>
            <w:tcW w:w="580" w:type="dxa"/>
            <w:vAlign w:val="bottom"/>
          </w:tcPr>
          <w:p>
            <w:pPr>
              <w:spacing w:after="0"/>
              <w:rPr>
                <w:sz w:val="24"/>
                <w:szCs w:val="2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640</w:t>
            </w:r>
          </w:p>
        </w:tc>
      </w:tr>
      <w:tr>
        <w:trPr>
          <w:trHeight w:val="336"/>
        </w:trPr>
        <w:tc>
          <w:tcPr>
            <w:tcW w:w="3380" w:type="dxa"/>
            <w:vAlign w:val="bottom"/>
          </w:tcPr>
          <w:p>
            <w:pPr>
              <w:ind w:left="360"/>
              <w:spacing w:after="0"/>
              <w:rPr>
                <w:sz w:val="20"/>
                <w:szCs w:val="20"/>
                <w:color w:val="auto"/>
              </w:rPr>
            </w:pPr>
            <w:r>
              <w:rPr>
                <w:rFonts w:ascii="Courier New" w:cs="Courier New" w:eastAsia="Courier New" w:hAnsi="Courier New"/>
                <w:sz w:val="15"/>
                <w:szCs w:val="15"/>
                <w:color w:val="auto"/>
              </w:rPr>
              <w:t>Weighted average treasury shares</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(22,057)</w:t>
            </w:r>
          </w:p>
        </w:tc>
        <w:tc>
          <w:tcPr>
            <w:tcW w:w="5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(21,769)</w:t>
            </w:r>
          </w:p>
        </w:tc>
      </w:tr>
      <w:tr>
        <w:trPr>
          <w:trHeight w:val="168"/>
        </w:trPr>
        <w:tc>
          <w:tcPr>
            <w:tcW w:w="338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Weighted average used to calculate</w:t>
            </w: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net income per share</w:t>
            </w: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357,626</w:t>
            </w:r>
          </w:p>
        </w:tc>
        <w:tc>
          <w:tcPr>
            <w:tcW w:w="5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358,325</w:t>
            </w:r>
          </w:p>
        </w:tc>
      </w:tr>
      <w:tr>
        <w:trPr>
          <w:trHeight w:val="168"/>
        </w:trPr>
        <w:tc>
          <w:tcPr>
            <w:tcW w:w="338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per share</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0.60</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0.72</w:t>
            </w:r>
          </w:p>
        </w:tc>
      </w:tr>
      <w:tr>
        <w:trPr>
          <w:trHeight w:val="168"/>
        </w:trPr>
        <w:tc>
          <w:tcPr>
            <w:tcW w:w="338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505"/>
        </w:trPr>
        <w:tc>
          <w:tcPr>
            <w:tcW w:w="3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9"/>
              </w:rPr>
              <w:t>Year Ended</w:t>
            </w:r>
          </w:p>
        </w:tc>
        <w:tc>
          <w:tcPr>
            <w:tcW w:w="700" w:type="dxa"/>
            <w:vAlign w:val="bottom"/>
          </w:tcPr>
          <w:p>
            <w:pPr>
              <w:spacing w:after="0"/>
              <w:rPr>
                <w:sz w:val="24"/>
                <w:szCs w:val="24"/>
                <w:color w:val="auto"/>
              </w:rPr>
            </w:pPr>
          </w:p>
        </w:tc>
      </w:tr>
      <w:tr>
        <w:trPr>
          <w:trHeight w:val="168"/>
        </w:trPr>
        <w:tc>
          <w:tcPr>
            <w:tcW w:w="3380" w:type="dxa"/>
            <w:vAlign w:val="bottom"/>
          </w:tcPr>
          <w:p>
            <w:pPr>
              <w:spacing w:after="0"/>
              <w:rPr>
                <w:sz w:val="14"/>
                <w:szCs w:val="14"/>
                <w:color w:val="auto"/>
              </w:rPr>
            </w:pPr>
          </w:p>
        </w:tc>
        <w:tc>
          <w:tcPr>
            <w:tcW w:w="258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3380" w:type="dxa"/>
            <w:vAlign w:val="bottom"/>
          </w:tcPr>
          <w:p>
            <w:pPr>
              <w:spacing w:after="0"/>
              <w:rPr>
                <w:sz w:val="14"/>
                <w:szCs w:val="14"/>
                <w:color w:val="auto"/>
              </w:rPr>
            </w:pPr>
          </w:p>
        </w:tc>
        <w:tc>
          <w:tcPr>
            <w:tcW w:w="1300" w:type="dxa"/>
            <w:vAlign w:val="bottom"/>
            <w:gridSpan w:val="2"/>
          </w:tcPr>
          <w:p>
            <w:pPr>
              <w:jc w:val="center"/>
              <w:ind w:right="7"/>
              <w:spacing w:after="0" w:line="168" w:lineRule="exact"/>
              <w:rPr>
                <w:sz w:val="20"/>
                <w:szCs w:val="20"/>
                <w:color w:val="auto"/>
              </w:rPr>
            </w:pPr>
            <w:r>
              <w:rPr>
                <w:rFonts w:ascii="Courier New" w:cs="Courier New" w:eastAsia="Courier New" w:hAnsi="Courier New"/>
                <w:sz w:val="15"/>
                <w:szCs w:val="15"/>
                <w:color w:val="auto"/>
                <w:w w:val="98"/>
              </w:rPr>
              <w:t>February 3,</w:t>
            </w:r>
          </w:p>
        </w:tc>
        <w:tc>
          <w:tcPr>
            <w:tcW w:w="12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January 28,</w:t>
            </w:r>
          </w:p>
        </w:tc>
      </w:tr>
      <w:tr>
        <w:trPr>
          <w:trHeight w:val="168"/>
        </w:trPr>
        <w:tc>
          <w:tcPr>
            <w:tcW w:w="33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1996</w:t>
            </w:r>
          </w:p>
        </w:tc>
        <w:tc>
          <w:tcPr>
            <w:tcW w:w="520" w:type="dxa"/>
            <w:vAlign w:val="bottom"/>
          </w:tcPr>
          <w:p>
            <w:pPr>
              <w:spacing w:after="0"/>
              <w:rPr>
                <w:sz w:val="14"/>
                <w:szCs w:val="14"/>
                <w:color w:val="auto"/>
              </w:rPr>
            </w:pPr>
          </w:p>
        </w:tc>
        <w:tc>
          <w:tcPr>
            <w:tcW w:w="12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338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3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$961,511</w:t>
            </w:r>
          </w:p>
        </w:tc>
        <w:tc>
          <w:tcPr>
            <w:tcW w:w="12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$448,343</w:t>
            </w:r>
          </w:p>
        </w:tc>
      </w:tr>
      <w:tr>
        <w:trPr>
          <w:trHeight w:val="168"/>
        </w:trPr>
        <w:tc>
          <w:tcPr>
            <w:tcW w:w="338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Shares outstanding:</w:t>
            </w: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380" w:type="dxa"/>
            <w:vAlign w:val="bottom"/>
          </w:tcPr>
          <w:p>
            <w:pPr>
              <w:ind w:left="360"/>
              <w:spacing w:after="0"/>
              <w:rPr>
                <w:sz w:val="20"/>
                <w:szCs w:val="20"/>
                <w:color w:val="auto"/>
              </w:rPr>
            </w:pPr>
            <w:r>
              <w:rPr>
                <w:rFonts w:ascii="Courier New" w:cs="Courier New" w:eastAsia="Courier New" w:hAnsi="Courier New"/>
                <w:sz w:val="15"/>
                <w:szCs w:val="15"/>
                <w:color w:val="auto"/>
              </w:rPr>
              <w:t>Weighted average</w:t>
            </w:r>
          </w:p>
        </w:tc>
        <w:tc>
          <w:tcPr>
            <w:tcW w:w="13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379,454</w:t>
            </w:r>
          </w:p>
        </w:tc>
        <w:tc>
          <w:tcPr>
            <w:tcW w:w="580" w:type="dxa"/>
            <w:vAlign w:val="bottom"/>
          </w:tcPr>
          <w:p>
            <w:pPr>
              <w:spacing w:after="0"/>
              <w:rPr>
                <w:sz w:val="24"/>
                <w:szCs w:val="2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1"/>
              </w:rPr>
              <w:t>379,454</w:t>
            </w:r>
          </w:p>
        </w:tc>
      </w:tr>
      <w:tr>
        <w:trPr>
          <w:trHeight w:val="336"/>
        </w:trPr>
        <w:tc>
          <w:tcPr>
            <w:tcW w:w="3380" w:type="dxa"/>
            <w:vAlign w:val="bottom"/>
          </w:tcPr>
          <w:p>
            <w:pPr>
              <w:ind w:left="360"/>
              <w:spacing w:after="0"/>
              <w:rPr>
                <w:sz w:val="20"/>
                <w:szCs w:val="20"/>
                <w:color w:val="auto"/>
              </w:rPr>
            </w:pPr>
            <w:r>
              <w:rPr>
                <w:rFonts w:ascii="Courier New" w:cs="Courier New" w:eastAsia="Courier New" w:hAnsi="Courier New"/>
                <w:sz w:val="15"/>
                <w:szCs w:val="15"/>
                <w:color w:val="auto"/>
              </w:rPr>
              <w:t>Dilutive effect of stock options</w:t>
            </w:r>
          </w:p>
        </w:tc>
        <w:tc>
          <w:tcPr>
            <w:tcW w:w="780" w:type="dxa"/>
            <w:vAlign w:val="bottom"/>
          </w:tcPr>
          <w:p>
            <w:pPr>
              <w:spacing w:after="0"/>
              <w:rPr>
                <w:sz w:val="24"/>
                <w:szCs w:val="24"/>
                <w:color w:val="auto"/>
              </w:rPr>
            </w:pPr>
          </w:p>
        </w:tc>
        <w:tc>
          <w:tcPr>
            <w:tcW w:w="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779</w:t>
            </w:r>
          </w:p>
        </w:tc>
        <w:tc>
          <w:tcPr>
            <w:tcW w:w="580" w:type="dxa"/>
            <w:vAlign w:val="bottom"/>
          </w:tcPr>
          <w:p>
            <w:pPr>
              <w:spacing w:after="0"/>
              <w:rPr>
                <w:sz w:val="24"/>
                <w:szCs w:val="2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649</w:t>
            </w:r>
          </w:p>
        </w:tc>
      </w:tr>
      <w:tr>
        <w:trPr>
          <w:trHeight w:val="336"/>
        </w:trPr>
        <w:tc>
          <w:tcPr>
            <w:tcW w:w="3380" w:type="dxa"/>
            <w:vAlign w:val="bottom"/>
          </w:tcPr>
          <w:p>
            <w:pPr>
              <w:ind w:left="360"/>
              <w:spacing w:after="0"/>
              <w:rPr>
                <w:sz w:val="20"/>
                <w:szCs w:val="20"/>
                <w:color w:val="auto"/>
              </w:rPr>
            </w:pPr>
            <w:r>
              <w:rPr>
                <w:rFonts w:ascii="Courier New" w:cs="Courier New" w:eastAsia="Courier New" w:hAnsi="Courier New"/>
                <w:sz w:val="15"/>
                <w:szCs w:val="15"/>
                <w:color w:val="auto"/>
              </w:rPr>
              <w:t>Weighted average treasury shares</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(21,862)</w:t>
            </w:r>
          </w:p>
        </w:tc>
        <w:tc>
          <w:tcPr>
            <w:tcW w:w="5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(21,502)</w:t>
            </w:r>
          </w:p>
        </w:tc>
      </w:tr>
      <w:tr>
        <w:trPr>
          <w:trHeight w:val="168"/>
        </w:trPr>
        <w:tc>
          <w:tcPr>
            <w:tcW w:w="338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Weighted average used to calculate</w:t>
            </w: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net income per share</w:t>
            </w: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358,371</w:t>
            </w:r>
          </w:p>
        </w:tc>
        <w:tc>
          <w:tcPr>
            <w:tcW w:w="5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358,601</w:t>
            </w:r>
          </w:p>
        </w:tc>
      </w:tr>
      <w:tr>
        <w:trPr>
          <w:trHeight w:val="168"/>
        </w:trPr>
        <w:tc>
          <w:tcPr>
            <w:tcW w:w="338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per share</w:t>
            </w:r>
          </w:p>
        </w:tc>
        <w:tc>
          <w:tcPr>
            <w:tcW w:w="780" w:type="dxa"/>
            <w:vAlign w:val="bottom"/>
          </w:tcPr>
          <w:p>
            <w:pPr>
              <w:jc w:val="center"/>
              <w:ind w:left="36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2.68</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1.25</w:t>
            </w:r>
          </w:p>
        </w:tc>
      </w:tr>
      <w:tr>
        <w:trPr>
          <w:trHeight w:val="168"/>
        </w:trPr>
        <w:tc>
          <w:tcPr>
            <w:tcW w:w="338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bl>
    <w:p>
      <w:pPr>
        <w:sectPr>
          <w:pgSz w:w="11900" w:h="16838" w:orient="portrait"/>
          <w:cols w:equalWidth="0" w:num="1">
            <w:col w:w="10239"/>
          </w:cols>
          <w:pgMar w:left="220" w:top="471" w:right="1440" w:bottom="1440" w:gutter="0" w:footer="0" w:header="0"/>
        </w:sectPr>
      </w:pPr>
    </w:p>
    <w:bookmarkStart w:id="127" w:name="page128"/>
    <w:bookmarkEnd w:id="127"/>
    <w:p>
      <w:pPr>
        <w:ind w:left="6040"/>
        <w:spacing w:after="0"/>
        <w:rPr>
          <w:sz w:val="20"/>
          <w:szCs w:val="20"/>
          <w:color w:val="auto"/>
        </w:rPr>
      </w:pPr>
      <w:r>
        <w:rPr>
          <w:rFonts w:ascii="Courier New" w:cs="Courier New" w:eastAsia="Courier New" w:hAnsi="Courier New"/>
          <w:sz w:val="15"/>
          <w:szCs w:val="15"/>
          <w:color w:val="auto"/>
        </w:rPr>
        <w:t>EXHIBIT 12</w:t>
      </w:r>
    </w:p>
    <w:p>
      <w:pPr>
        <w:spacing w:after="0" w:line="166" w:lineRule="exact"/>
        <w:rPr>
          <w:sz w:val="20"/>
          <w:szCs w:val="20"/>
          <w:color w:val="auto"/>
        </w:rPr>
      </w:pPr>
    </w:p>
    <w:p>
      <w:pPr>
        <w:jc w:val="center"/>
        <w:ind w:right="4280"/>
        <w:spacing w:after="0"/>
        <w:rPr>
          <w:sz w:val="20"/>
          <w:szCs w:val="20"/>
          <w:color w:val="auto"/>
        </w:rPr>
      </w:pPr>
      <w:r>
        <w:rPr>
          <w:rFonts w:ascii="Courier New" w:cs="Courier New" w:eastAsia="Courier New" w:hAnsi="Courier New"/>
          <w:sz w:val="15"/>
          <w:szCs w:val="15"/>
          <w:color w:val="auto"/>
        </w:rPr>
        <w:t>THE LIMITED, INC. AND SUBSIDIARIES</w:t>
      </w:r>
    </w:p>
    <w:p>
      <w:pPr>
        <w:jc w:val="center"/>
        <w:ind w:right="4280"/>
        <w:spacing w:after="0" w:line="237" w:lineRule="auto"/>
        <w:rPr>
          <w:sz w:val="20"/>
          <w:szCs w:val="20"/>
          <w:color w:val="auto"/>
        </w:rPr>
      </w:pPr>
      <w:r>
        <w:rPr>
          <w:rFonts w:ascii="Courier New" w:cs="Courier New" w:eastAsia="Courier New" w:hAnsi="Courier New"/>
          <w:sz w:val="15"/>
          <w:szCs w:val="15"/>
          <w:color w:val="auto"/>
        </w:rPr>
        <w:t>RATIO OF EARNINGS TO FIXED CHARGES</w:t>
      </w:r>
    </w:p>
    <w:p>
      <w:pPr>
        <w:jc w:val="center"/>
        <w:ind w:right="4380"/>
        <w:spacing w:after="0" w:line="238" w:lineRule="auto"/>
        <w:rPr>
          <w:sz w:val="20"/>
          <w:szCs w:val="20"/>
          <w:color w:val="auto"/>
        </w:rPr>
      </w:pPr>
      <w:r>
        <w:rPr>
          <w:rFonts w:ascii="Courier New" w:cs="Courier New" w:eastAsia="Courier New" w:hAnsi="Courier New"/>
          <w:sz w:val="15"/>
          <w:szCs w:val="15"/>
          <w:color w:val="auto"/>
        </w:rPr>
        <w:t>(Thousands)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8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Year Ended</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3900" w:type="dxa"/>
            <w:vAlign w:val="bottom"/>
          </w:tcPr>
          <w:p>
            <w:pPr>
              <w:spacing w:after="0"/>
              <w:rPr>
                <w:sz w:val="14"/>
                <w:szCs w:val="14"/>
                <w:color w:val="auto"/>
              </w:rPr>
            </w:pPr>
          </w:p>
        </w:tc>
        <w:tc>
          <w:tcPr>
            <w:tcW w:w="7400" w:type="dxa"/>
            <w:vAlign w:val="bottom"/>
            <w:gridSpan w:val="7"/>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3900" w:type="dxa"/>
            <w:vAlign w:val="bottom"/>
          </w:tcPr>
          <w:p>
            <w:pPr>
              <w:spacing w:after="0"/>
              <w:rPr>
                <w:sz w:val="14"/>
                <w:szCs w:val="14"/>
                <w:color w:val="auto"/>
              </w:rPr>
            </w:pPr>
          </w:p>
        </w:tc>
        <w:tc>
          <w:tcPr>
            <w:tcW w:w="7400" w:type="dxa"/>
            <w:vAlign w:val="bottom"/>
            <w:gridSpan w:val="7"/>
          </w:tcPr>
          <w:p>
            <w:pPr>
              <w:jc w:val="center"/>
              <w:spacing w:after="0" w:line="168" w:lineRule="exact"/>
              <w:rPr>
                <w:sz w:val="20"/>
                <w:szCs w:val="20"/>
                <w:color w:val="auto"/>
              </w:rPr>
            </w:pPr>
            <w:r>
              <w:rPr>
                <w:rFonts w:ascii="Courier New" w:cs="Courier New" w:eastAsia="Courier New" w:hAnsi="Courier New"/>
                <w:sz w:val="15"/>
                <w:szCs w:val="15"/>
                <w:color w:val="auto"/>
                <w:w w:val="97"/>
              </w:rPr>
              <w:t>February 3, 1996 January 28, 1995 January 29, 1994 January 30, 1993 February 1, 1992</w:t>
            </w:r>
          </w:p>
        </w:tc>
      </w:tr>
      <w:tr>
        <w:trPr>
          <w:trHeight w:val="168"/>
        </w:trPr>
        <w:tc>
          <w:tcPr>
            <w:tcW w:w="3900" w:type="dxa"/>
            <w:vAlign w:val="bottom"/>
          </w:tcPr>
          <w:p>
            <w:pPr>
              <w:spacing w:after="0"/>
              <w:rPr>
                <w:sz w:val="14"/>
                <w:szCs w:val="14"/>
                <w:color w:val="auto"/>
              </w:rPr>
            </w:pPr>
          </w:p>
        </w:tc>
        <w:tc>
          <w:tcPr>
            <w:tcW w:w="7400" w:type="dxa"/>
            <w:vAlign w:val="bottom"/>
            <w:gridSpan w:val="7"/>
          </w:tcPr>
          <w:p>
            <w:pPr>
              <w:jc w:val="center"/>
              <w:spacing w:after="0" w:line="168" w:lineRule="exact"/>
              <w:rPr>
                <w:sz w:val="20"/>
                <w:szCs w:val="20"/>
                <w:color w:val="auto"/>
              </w:rPr>
            </w:pPr>
            <w:r>
              <w:rPr>
                <w:rFonts w:ascii="Courier New" w:cs="Courier New" w:eastAsia="Courier New" w:hAnsi="Courier New"/>
                <w:sz w:val="15"/>
                <w:szCs w:val="15"/>
                <w:color w:val="auto"/>
                <w:w w:val="97"/>
              </w:rPr>
              <w:t>---------------- ---------------- ---------------- ---------------- ----------------</w:t>
            </w: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Adjusted Earnings</w:t>
            </w: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Pretax earnings</w:t>
            </w:r>
          </w:p>
        </w:tc>
        <w:tc>
          <w:tcPr>
            <w:tcW w:w="15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$1,184,511</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744,343</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$644,999</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$745,497</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$660,302</w:t>
            </w: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Portion of minimum rent ($669,301 in 1995,</w:t>
            </w: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$614,147 in 1994, $572,278 in 1993, $510,544</w:t>
            </w: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in 1992 and $419,025 in 1991)</w:t>
            </w: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representative of interest</w:t>
            </w:r>
          </w:p>
        </w:tc>
        <w:tc>
          <w:tcPr>
            <w:tcW w:w="520" w:type="dxa"/>
            <w:vAlign w:val="bottom"/>
          </w:tcPr>
          <w:p>
            <w:pPr>
              <w:spacing w:after="0"/>
              <w:rPr>
                <w:sz w:val="14"/>
                <w:szCs w:val="14"/>
                <w:color w:val="auto"/>
              </w:rPr>
            </w:pP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223,100</w:t>
            </w:r>
          </w:p>
        </w:tc>
        <w:tc>
          <w:tcPr>
            <w:tcW w:w="38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204,716</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190,759</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170,181</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139,675</w:t>
            </w: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Interest on indebtedness</w:t>
            </w:r>
          </w:p>
        </w:tc>
        <w:tc>
          <w:tcPr>
            <w:tcW w:w="520" w:type="dxa"/>
            <w:vAlign w:val="bottom"/>
          </w:tcPr>
          <w:p>
            <w:pPr>
              <w:spacing w:after="0"/>
              <w:rPr>
                <w:sz w:val="24"/>
                <w:szCs w:val="24"/>
                <w:color w:val="auto"/>
              </w:rPr>
            </w:pP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77,537</w:t>
            </w:r>
          </w:p>
        </w:tc>
        <w:tc>
          <w:tcPr>
            <w:tcW w:w="380" w:type="dxa"/>
            <w:vAlign w:val="bottom"/>
          </w:tcPr>
          <w:p>
            <w:pPr>
              <w:spacing w:after="0"/>
              <w:rPr>
                <w:sz w:val="24"/>
                <w:szCs w:val="2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65,381</w:t>
            </w: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63,865</w:t>
            </w:r>
          </w:p>
        </w:tc>
        <w:tc>
          <w:tcPr>
            <w:tcW w:w="14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62,398</w:t>
            </w:r>
          </w:p>
        </w:tc>
        <w:tc>
          <w:tcPr>
            <w:tcW w:w="14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63,927</w:t>
            </w: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520" w:type="dxa"/>
            <w:vAlign w:val="bottom"/>
          </w:tcPr>
          <w:p>
            <w:pPr>
              <w:spacing w:after="0"/>
              <w:rPr>
                <w:sz w:val="24"/>
                <w:szCs w:val="24"/>
                <w:color w:val="auto"/>
              </w:rPr>
            </w:pP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22,374</w:t>
            </w:r>
          </w:p>
        </w:tc>
        <w:tc>
          <w:tcPr>
            <w:tcW w:w="380" w:type="dxa"/>
            <w:vAlign w:val="bottom"/>
          </w:tcPr>
          <w:p>
            <w:pPr>
              <w:spacing w:after="0"/>
              <w:rPr>
                <w:sz w:val="24"/>
                <w:szCs w:val="2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spacing w:after="0"/>
              <w:rPr>
                <w:sz w:val="14"/>
                <w:szCs w:val="14"/>
                <w:color w:val="auto"/>
              </w:rPr>
            </w:pPr>
          </w:p>
        </w:tc>
        <w:tc>
          <w:tcPr>
            <w:tcW w:w="7400" w:type="dxa"/>
            <w:vAlign w:val="bottom"/>
            <w:gridSpan w:val="7"/>
          </w:tcPr>
          <w:p>
            <w:pPr>
              <w:jc w:val="center"/>
              <w:spacing w:after="0" w:line="168" w:lineRule="exact"/>
              <w:rPr>
                <w:sz w:val="20"/>
                <w:szCs w:val="20"/>
                <w:color w:val="auto"/>
              </w:rPr>
            </w:pPr>
            <w:r>
              <w:rPr>
                <w:rFonts w:ascii="Courier New" w:cs="Courier New" w:eastAsia="Courier New" w:hAnsi="Courier New"/>
                <w:sz w:val="15"/>
                <w:szCs w:val="15"/>
                <w:color w:val="auto"/>
                <w:w w:val="97"/>
              </w:rPr>
              <w:t>---------------- ---------------- ---------------- ---------------- ----------------</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Earnings as Adjusted</w:t>
            </w:r>
          </w:p>
        </w:tc>
        <w:tc>
          <w:tcPr>
            <w:tcW w:w="15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$1,507,522</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1,014,440</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$899,623</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$978,076</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$863,904</w:t>
            </w:r>
          </w:p>
        </w:tc>
      </w:tr>
      <w:tr>
        <w:trPr>
          <w:trHeight w:val="168"/>
        </w:trPr>
        <w:tc>
          <w:tcPr>
            <w:tcW w:w="3900" w:type="dxa"/>
            <w:vAlign w:val="bottom"/>
          </w:tcPr>
          <w:p>
            <w:pPr>
              <w:spacing w:after="0"/>
              <w:rPr>
                <w:sz w:val="14"/>
                <w:szCs w:val="14"/>
                <w:color w:val="auto"/>
              </w:rPr>
            </w:pPr>
          </w:p>
        </w:tc>
        <w:tc>
          <w:tcPr>
            <w:tcW w:w="7400" w:type="dxa"/>
            <w:vAlign w:val="bottom"/>
            <w:gridSpan w:val="7"/>
          </w:tcPr>
          <w:p>
            <w:pPr>
              <w:jc w:val="center"/>
              <w:spacing w:after="0" w:line="168" w:lineRule="exact"/>
              <w:rPr>
                <w:sz w:val="20"/>
                <w:szCs w:val="20"/>
                <w:color w:val="auto"/>
              </w:rPr>
            </w:pPr>
            <w:r>
              <w:rPr>
                <w:rFonts w:ascii="Courier New" w:cs="Courier New" w:eastAsia="Courier New" w:hAnsi="Courier New"/>
                <w:sz w:val="15"/>
                <w:szCs w:val="15"/>
                <w:color w:val="auto"/>
                <w:w w:val="97"/>
              </w:rPr>
              <w:t>================ ================ ================ ================ ================</w:t>
            </w: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Fixed Charges</w:t>
            </w: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Portion of minimum rent representative of</w:t>
            </w: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223,100</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204,716</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$190,759</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$170,181</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$139,675</w:t>
            </w: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Interest on indebtedness</w:t>
            </w:r>
          </w:p>
        </w:tc>
        <w:tc>
          <w:tcPr>
            <w:tcW w:w="520" w:type="dxa"/>
            <w:vAlign w:val="bottom"/>
          </w:tcPr>
          <w:p>
            <w:pPr>
              <w:spacing w:after="0"/>
              <w:rPr>
                <w:sz w:val="24"/>
                <w:szCs w:val="24"/>
                <w:color w:val="auto"/>
              </w:rPr>
            </w:pP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77,537</w:t>
            </w:r>
          </w:p>
        </w:tc>
        <w:tc>
          <w:tcPr>
            <w:tcW w:w="380" w:type="dxa"/>
            <w:vAlign w:val="bottom"/>
          </w:tcPr>
          <w:p>
            <w:pPr>
              <w:spacing w:after="0"/>
              <w:rPr>
                <w:sz w:val="24"/>
                <w:szCs w:val="2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65,381</w:t>
            </w: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63,865</w:t>
            </w:r>
          </w:p>
        </w:tc>
        <w:tc>
          <w:tcPr>
            <w:tcW w:w="14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62,398</w:t>
            </w:r>
          </w:p>
        </w:tc>
        <w:tc>
          <w:tcPr>
            <w:tcW w:w="14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63,927</w:t>
            </w:r>
          </w:p>
        </w:tc>
      </w:tr>
      <w:tr>
        <w:trPr>
          <w:trHeight w:val="168"/>
        </w:trPr>
        <w:tc>
          <w:tcPr>
            <w:tcW w:w="3900" w:type="dxa"/>
            <w:vAlign w:val="bottom"/>
          </w:tcPr>
          <w:p>
            <w:pPr>
              <w:spacing w:after="0"/>
              <w:rPr>
                <w:sz w:val="14"/>
                <w:szCs w:val="14"/>
                <w:color w:val="auto"/>
              </w:rPr>
            </w:pPr>
          </w:p>
        </w:tc>
        <w:tc>
          <w:tcPr>
            <w:tcW w:w="7400" w:type="dxa"/>
            <w:vAlign w:val="bottom"/>
            <w:gridSpan w:val="7"/>
          </w:tcPr>
          <w:p>
            <w:pPr>
              <w:jc w:val="center"/>
              <w:spacing w:after="0" w:line="168" w:lineRule="exact"/>
              <w:rPr>
                <w:sz w:val="20"/>
                <w:szCs w:val="20"/>
                <w:color w:val="auto"/>
              </w:rPr>
            </w:pPr>
            <w:r>
              <w:rPr>
                <w:rFonts w:ascii="Courier New" w:cs="Courier New" w:eastAsia="Courier New" w:hAnsi="Courier New"/>
                <w:sz w:val="15"/>
                <w:szCs w:val="15"/>
                <w:color w:val="auto"/>
                <w:w w:val="97"/>
              </w:rPr>
              <w:t>---------------- ---------------- ---------------- ---------------- ----------------</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Fixed Charges</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300,637</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270,097</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$254,624</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$232,579</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$203,602</w:t>
            </w:r>
          </w:p>
        </w:tc>
      </w:tr>
      <w:tr>
        <w:trPr>
          <w:trHeight w:val="168"/>
        </w:trPr>
        <w:tc>
          <w:tcPr>
            <w:tcW w:w="3900" w:type="dxa"/>
            <w:vAlign w:val="bottom"/>
          </w:tcPr>
          <w:p>
            <w:pPr>
              <w:spacing w:after="0"/>
              <w:rPr>
                <w:sz w:val="14"/>
                <w:szCs w:val="14"/>
                <w:color w:val="auto"/>
              </w:rPr>
            </w:pPr>
          </w:p>
        </w:tc>
        <w:tc>
          <w:tcPr>
            <w:tcW w:w="7400" w:type="dxa"/>
            <w:vAlign w:val="bottom"/>
            <w:gridSpan w:val="7"/>
          </w:tcPr>
          <w:p>
            <w:pPr>
              <w:jc w:val="center"/>
              <w:spacing w:after="0" w:line="168" w:lineRule="exact"/>
              <w:rPr>
                <w:sz w:val="20"/>
                <w:szCs w:val="20"/>
                <w:color w:val="auto"/>
              </w:rPr>
            </w:pPr>
            <w:r>
              <w:rPr>
                <w:rFonts w:ascii="Courier New" w:cs="Courier New" w:eastAsia="Courier New" w:hAnsi="Courier New"/>
                <w:sz w:val="15"/>
                <w:szCs w:val="15"/>
                <w:color w:val="auto"/>
                <w:w w:val="97"/>
              </w:rPr>
              <w:t>================ ================ ================ ================ ================</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Ratio of Earnings to Fixed Charges</w:t>
            </w:r>
          </w:p>
        </w:tc>
        <w:tc>
          <w:tcPr>
            <w:tcW w:w="520" w:type="dxa"/>
            <w:vAlign w:val="bottom"/>
          </w:tcPr>
          <w:p>
            <w:pPr>
              <w:spacing w:after="0"/>
              <w:rPr>
                <w:sz w:val="14"/>
                <w:szCs w:val="14"/>
                <w:color w:val="auto"/>
              </w:rPr>
            </w:pPr>
          </w:p>
        </w:tc>
        <w:tc>
          <w:tcPr>
            <w:tcW w:w="10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5.01x</w:t>
            </w:r>
          </w:p>
        </w:tc>
        <w:tc>
          <w:tcPr>
            <w:tcW w:w="380" w:type="dxa"/>
            <w:vAlign w:val="bottom"/>
          </w:tcPr>
          <w:p>
            <w:pPr>
              <w:spacing w:after="0"/>
              <w:rPr>
                <w:sz w:val="14"/>
                <w:szCs w:val="14"/>
                <w:color w:val="auto"/>
              </w:rPr>
            </w:pP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3.76x</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3.53x</w:t>
            </w: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4.21x</w:t>
            </w: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4.24x</w:t>
            </w:r>
          </w:p>
        </w:tc>
      </w:tr>
      <w:tr>
        <w:trPr>
          <w:trHeight w:val="168"/>
        </w:trPr>
        <w:tc>
          <w:tcPr>
            <w:tcW w:w="3900" w:type="dxa"/>
            <w:vAlign w:val="bottom"/>
          </w:tcPr>
          <w:p>
            <w:pPr>
              <w:spacing w:after="0"/>
              <w:rPr>
                <w:sz w:val="14"/>
                <w:szCs w:val="14"/>
                <w:color w:val="auto"/>
              </w:rPr>
            </w:pPr>
          </w:p>
        </w:tc>
        <w:tc>
          <w:tcPr>
            <w:tcW w:w="7400" w:type="dxa"/>
            <w:vAlign w:val="bottom"/>
            <w:gridSpan w:val="7"/>
          </w:tcPr>
          <w:p>
            <w:pPr>
              <w:jc w:val="center"/>
              <w:spacing w:after="0" w:line="168" w:lineRule="exact"/>
              <w:rPr>
                <w:sz w:val="20"/>
                <w:szCs w:val="20"/>
                <w:color w:val="auto"/>
              </w:rPr>
            </w:pPr>
            <w:r>
              <w:rPr>
                <w:rFonts w:ascii="Courier New" w:cs="Courier New" w:eastAsia="Courier New" w:hAnsi="Courier New"/>
                <w:sz w:val="15"/>
                <w:szCs w:val="15"/>
                <w:color w:val="auto"/>
                <w:w w:val="97"/>
              </w:rPr>
              <w:t>================ ================ ================ ================ ================</w:t>
            </w:r>
          </w:p>
        </w:tc>
      </w:tr>
    </w:tbl>
    <w:p>
      <w:pPr>
        <w:sectPr>
          <w:pgSz w:w="11900" w:h="16838" w:orient="portrait"/>
          <w:cols w:equalWidth="0" w:num="1">
            <w:col w:w="11300"/>
          </w:cols>
          <w:pgMar w:left="220" w:top="471" w:right="379" w:bottom="1440" w:gutter="0" w:footer="0" w:header="0"/>
        </w:sectPr>
      </w:pPr>
    </w:p>
    <w:bookmarkStart w:id="128" w:name="page129"/>
    <w:bookmarkEnd w:id="128"/>
    <w:p>
      <w:pPr>
        <w:spacing w:after="0"/>
        <w:rPr>
          <w:sz w:val="20"/>
          <w:szCs w:val="20"/>
          <w:color w:val="auto"/>
        </w:rPr>
      </w:pPr>
      <w:r>
        <w:rPr>
          <w:rFonts w:ascii="Courier New" w:cs="Courier New" w:eastAsia="Courier New" w:hAnsi="Courier New"/>
          <w:sz w:val="15"/>
          <w:szCs w:val="15"/>
          <w:color w:val="auto"/>
        </w:rPr>
        <w:t>Financial Summary</w:t>
      </w:r>
    </w:p>
    <w:p>
      <w:pPr>
        <w:spacing w:after="0" w:line="237" w:lineRule="auto"/>
        <w:rPr>
          <w:sz w:val="20"/>
          <w:szCs w:val="20"/>
          <w:color w:val="auto"/>
        </w:rPr>
      </w:pPr>
      <w:r>
        <w:rPr>
          <w:rFonts w:ascii="Courier New" w:cs="Courier New" w:eastAsia="Courier New" w:hAnsi="Courier New"/>
          <w:sz w:val="15"/>
          <w:szCs w:val="15"/>
          <w:color w:val="auto"/>
        </w:rPr>
        <w:t>(Thousands except per share amounts, ratios and store and associate data)</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Fiscal Year</w:t>
            </w:r>
          </w:p>
        </w:tc>
        <w:tc>
          <w:tcPr>
            <w:tcW w:w="2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1995#*.</w:t>
            </w:r>
          </w:p>
        </w:tc>
        <w:tc>
          <w:tcPr>
            <w:tcW w:w="13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1994</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1992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Summary of</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Operations</w:t>
            </w:r>
          </w:p>
        </w:tc>
        <w:tc>
          <w:tcPr>
            <w:tcW w:w="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Sales</w:t>
            </w:r>
          </w:p>
        </w:tc>
        <w:tc>
          <w:tcPr>
            <w:tcW w:w="210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7,881,437</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7,320,792</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7,245,088</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6,944,296</w:t>
            </w:r>
          </w:p>
        </w:tc>
      </w:tr>
      <w:tr>
        <w:trPr>
          <w:trHeight w:val="168"/>
        </w:trPr>
        <w:tc>
          <w:tcPr>
            <w:tcW w:w="3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Gross Income</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2,087,532</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2,114,363</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1,958,835</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1,990,740</w:t>
            </w:r>
          </w:p>
        </w:tc>
      </w:tr>
      <w:tr>
        <w:trPr>
          <w:trHeight w:val="168"/>
        </w:trPr>
        <w:tc>
          <w:tcPr>
            <w:tcW w:w="3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Operating Income</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613,349</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798,989</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701,556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788,698</w:t>
            </w:r>
          </w:p>
        </w:tc>
      </w:tr>
      <w:tr>
        <w:trPr>
          <w:trHeight w:val="168"/>
        </w:trPr>
        <w:tc>
          <w:tcPr>
            <w:tcW w:w="3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Operating Income as a</w:t>
            </w:r>
          </w:p>
        </w:tc>
        <w:tc>
          <w:tcPr>
            <w:tcW w:w="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0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Percentage of Sales</w:t>
            </w:r>
          </w:p>
        </w:tc>
        <w:tc>
          <w:tcPr>
            <w:tcW w:w="520" w:type="dxa"/>
            <w:vAlign w:val="bottom"/>
          </w:tcPr>
          <w:p>
            <w:pPr>
              <w:spacing w:after="0"/>
              <w:rPr>
                <w:sz w:val="14"/>
                <w:szCs w:val="14"/>
                <w:color w:val="auto"/>
              </w:rPr>
            </w:pP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7.8%</w:t>
            </w:r>
          </w:p>
        </w:tc>
        <w:tc>
          <w:tcPr>
            <w:tcW w:w="30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10.9%</w:t>
            </w:r>
          </w:p>
        </w:tc>
        <w:tc>
          <w:tcPr>
            <w:tcW w:w="32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9.7%</w:t>
            </w:r>
          </w:p>
        </w:tc>
        <w:tc>
          <w:tcPr>
            <w:tcW w:w="2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11.4%</w:t>
            </w:r>
          </w:p>
        </w:tc>
      </w:tr>
      <w:tr>
        <w:trPr>
          <w:trHeight w:val="168"/>
        </w:trPr>
        <w:tc>
          <w:tcPr>
            <w:tcW w:w="3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Income Before Income Taxes</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1,184,511</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744,343</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644,999</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745,497</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Income</w:t>
            </w:r>
          </w:p>
        </w:tc>
        <w:tc>
          <w:tcPr>
            <w:tcW w:w="210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961,511</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448,343</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390,999</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455,497</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Income</w:t>
            </w:r>
          </w:p>
        </w:tc>
        <w:tc>
          <w:tcPr>
            <w:tcW w:w="2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(Excluding Gain</w:t>
            </w:r>
          </w:p>
        </w:tc>
        <w:tc>
          <w:tcPr>
            <w:tcW w:w="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0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on Sale of Subsidiary Stock)</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312,044</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448,343</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390,999</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446,380</w:t>
            </w: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Income</w:t>
            </w:r>
          </w:p>
        </w:tc>
        <w:tc>
          <w:tcPr>
            <w:tcW w:w="2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as a Percentage</w:t>
            </w:r>
          </w:p>
        </w:tc>
        <w:tc>
          <w:tcPr>
            <w:tcW w:w="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of Sales</w:t>
            </w:r>
          </w:p>
        </w:tc>
        <w:tc>
          <w:tcPr>
            <w:tcW w:w="2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4.0%(a)</w:t>
            </w:r>
          </w:p>
        </w:tc>
        <w:tc>
          <w:tcPr>
            <w:tcW w:w="30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6.1%</w:t>
            </w:r>
          </w:p>
        </w:tc>
        <w:tc>
          <w:tcPr>
            <w:tcW w:w="32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5.4%</w:t>
            </w:r>
          </w:p>
        </w:tc>
        <w:tc>
          <w:tcPr>
            <w:tcW w:w="2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3020" w:type="dxa"/>
            <w:vAlign w:val="bottom"/>
          </w:tcPr>
          <w:p>
            <w:pPr>
              <w:spacing w:after="0"/>
              <w:rPr>
                <w:sz w:val="20"/>
                <w:szCs w:val="20"/>
                <w:color w:val="auto"/>
              </w:rPr>
            </w:pPr>
            <w:r>
              <w:rPr>
                <w:rFonts w:ascii="Courier New" w:cs="Courier New" w:eastAsia="Courier New" w:hAnsi="Courier New"/>
                <w:sz w:val="15"/>
                <w:szCs w:val="15"/>
                <w:color w:val="auto"/>
              </w:rPr>
              <w:t>Per Share Results</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2.68</w:t>
            </w:r>
          </w:p>
        </w:tc>
        <w:tc>
          <w:tcPr>
            <w:tcW w:w="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1.25</w:t>
            </w: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1.08</w:t>
            </w: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1.25</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(Excluding Gain</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on Sale of Subsidiary Stock)</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.87</w:t>
            </w:r>
          </w:p>
        </w:tc>
        <w:tc>
          <w:tcPr>
            <w:tcW w:w="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1.25</w:t>
            </w: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1.08</w:t>
            </w: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1.23</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Dividends</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.40</w:t>
            </w:r>
          </w:p>
        </w:tc>
        <w:tc>
          <w:tcPr>
            <w:tcW w:w="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.36</w:t>
            </w: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w:t>
            </w: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Book Value</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9.01</w:t>
            </w:r>
          </w:p>
        </w:tc>
        <w:tc>
          <w:tcPr>
            <w:tcW w:w="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7.72</w:t>
            </w: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6.82</w:t>
            </w: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6.25</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Shares</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Outstanding</w:t>
            </w:r>
          </w:p>
        </w:tc>
        <w:tc>
          <w:tcPr>
            <w:tcW w:w="62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358,371</w:t>
            </w:r>
          </w:p>
        </w:tc>
        <w:tc>
          <w:tcPr>
            <w:tcW w:w="52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358,601</w:t>
            </w:r>
          </w:p>
        </w:tc>
        <w:tc>
          <w:tcPr>
            <w:tcW w:w="40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363,234</w:t>
            </w:r>
          </w:p>
        </w:tc>
        <w:tc>
          <w:tcPr>
            <w:tcW w:w="3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363,738</w:t>
            </w:r>
          </w:p>
        </w:tc>
      </w:tr>
    </w:tbl>
    <w:p>
      <w:pPr>
        <w:spacing w:after="0" w:line="5" w:lineRule="exact"/>
        <w:rPr>
          <w:sz w:val="20"/>
          <w:szCs w:val="20"/>
          <w:color w:val="auto"/>
        </w:rPr>
      </w:pPr>
    </w:p>
    <w:p>
      <w:pPr>
        <w:ind w:left="180" w:hanging="170"/>
        <w:spacing w:after="0"/>
        <w:tabs>
          <w:tab w:leader="none" w:pos="18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1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Other Financial Information</w:t>
      </w:r>
    </w:p>
    <w:tbl>
      <w:tblPr>
        <w:tblLayout w:type="fixed"/>
        <w:tblInd w:w="180" w:type="dxa"/>
        <w:tblCellMar>
          <w:top w:w="0" w:type="dxa"/>
          <w:left w:w="0" w:type="dxa"/>
          <w:bottom w:w="0" w:type="dxa"/>
          <w:right w:w="0" w:type="dxa"/>
        </w:tblCellMar>
      </w:tblPr>
      <w:tr>
        <w:trPr>
          <w:trHeight w:val="169"/>
        </w:trPr>
        <w:tc>
          <w:tcPr>
            <w:tcW w:w="2760" w:type="dxa"/>
            <w:vAlign w:val="bottom"/>
          </w:tcPr>
          <w:p>
            <w:pPr>
              <w:spacing w:after="0" w:line="169" w:lineRule="exact"/>
              <w:rPr>
                <w:sz w:val="20"/>
                <w:szCs w:val="20"/>
                <w:color w:val="auto"/>
              </w:rPr>
            </w:pPr>
            <w:r>
              <w:rPr>
                <w:rFonts w:ascii="Courier New" w:cs="Courier New" w:eastAsia="Courier New" w:hAnsi="Courier New"/>
                <w:sz w:val="15"/>
                <w:szCs w:val="15"/>
                <w:color w:val="auto"/>
              </w:rPr>
              <w:t>Total Assets</w:t>
            </w:r>
          </w:p>
        </w:tc>
        <w:tc>
          <w:tcPr>
            <w:tcW w:w="78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7"/>
              <w:spacing w:after="0" w:line="169" w:lineRule="exact"/>
              <w:rPr>
                <w:sz w:val="20"/>
                <w:szCs w:val="20"/>
                <w:color w:val="auto"/>
              </w:rPr>
            </w:pPr>
            <w:r>
              <w:rPr>
                <w:rFonts w:ascii="Courier New" w:cs="Courier New" w:eastAsia="Courier New" w:hAnsi="Courier New"/>
                <w:sz w:val="15"/>
                <w:szCs w:val="15"/>
                <w:color w:val="auto"/>
              </w:rPr>
              <w:t>5,266,563</w:t>
            </w:r>
          </w:p>
        </w:tc>
        <w:tc>
          <w:tcPr>
            <w:tcW w:w="30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rPr>
              <w:t>4,570,077</w:t>
            </w:r>
          </w:p>
        </w:tc>
        <w:tc>
          <w:tcPr>
            <w:tcW w:w="2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w w:val="98"/>
              </w:rPr>
              <w:t>4,135,105</w:t>
            </w:r>
          </w:p>
        </w:tc>
        <w:tc>
          <w:tcPr>
            <w:tcW w:w="22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w w:val="98"/>
              </w:rPr>
              <w:t>3,846,450</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Return on Average Assets</w:t>
            </w:r>
          </w:p>
        </w:tc>
        <w:tc>
          <w:tcPr>
            <w:tcW w:w="780" w:type="dxa"/>
            <w:vAlign w:val="bottom"/>
          </w:tcPr>
          <w:p>
            <w:pPr>
              <w:spacing w:after="0"/>
              <w:rPr>
                <w:sz w:val="14"/>
                <w:szCs w:val="14"/>
                <w:color w:val="auto"/>
              </w:rPr>
            </w:pP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6%(a)</w:t>
            </w:r>
          </w:p>
        </w:tc>
        <w:tc>
          <w:tcPr>
            <w:tcW w:w="30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w:t>
            </w:r>
          </w:p>
        </w:tc>
        <w:tc>
          <w:tcPr>
            <w:tcW w:w="26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w:t>
            </w:r>
          </w:p>
        </w:tc>
        <w:tc>
          <w:tcPr>
            <w:tcW w:w="2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Working Capital</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2,083,457</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1,725,416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1,490,840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1,043,257</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Ratio</w:t>
            </w:r>
          </w:p>
        </w:tc>
        <w:tc>
          <w:tcPr>
            <w:tcW w:w="780" w:type="dxa"/>
            <w:vAlign w:val="bottom"/>
          </w:tcPr>
          <w:p>
            <w:pPr>
              <w:spacing w:after="0"/>
              <w:rPr>
                <w:sz w:val="14"/>
                <w:szCs w:val="14"/>
                <w:color w:val="auto"/>
              </w:rPr>
            </w:pP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3.9</w:t>
            </w:r>
          </w:p>
        </w:tc>
        <w:tc>
          <w:tcPr>
            <w:tcW w:w="30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w:t>
            </w:r>
          </w:p>
        </w:tc>
        <w:tc>
          <w:tcPr>
            <w:tcW w:w="26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w:t>
            </w:r>
          </w:p>
        </w:tc>
        <w:tc>
          <w:tcPr>
            <w:tcW w:w="2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374,374</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319,676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295,804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429,545</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650,000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650,000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650,000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541,639</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Debt-to-Equity Ratio</w:t>
            </w:r>
          </w:p>
        </w:tc>
        <w:tc>
          <w:tcPr>
            <w:tcW w:w="780" w:type="dxa"/>
            <w:vAlign w:val="bottom"/>
          </w:tcPr>
          <w:p>
            <w:pPr>
              <w:spacing w:after="0"/>
              <w:rPr>
                <w:sz w:val="14"/>
                <w:szCs w:val="14"/>
                <w:color w:val="auto"/>
              </w:rPr>
            </w:pP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w:t>
            </w:r>
          </w:p>
        </w:tc>
        <w:tc>
          <w:tcPr>
            <w:tcW w:w="30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w:t>
            </w:r>
          </w:p>
        </w:tc>
        <w:tc>
          <w:tcPr>
            <w:tcW w:w="26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w:t>
            </w:r>
          </w:p>
        </w:tc>
        <w:tc>
          <w:tcPr>
            <w:tcW w:w="2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3,201,041</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2,760,956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2,441,293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2,267,617</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Return on Average</w:t>
            </w:r>
          </w:p>
        </w:tc>
        <w:tc>
          <w:tcPr>
            <w:tcW w:w="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780" w:type="dxa"/>
            <w:vAlign w:val="bottom"/>
          </w:tcPr>
          <w:p>
            <w:pPr>
              <w:spacing w:after="0"/>
              <w:rPr>
                <w:sz w:val="14"/>
                <w:szCs w:val="14"/>
                <w:color w:val="auto"/>
              </w:rPr>
            </w:pP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10%(a)</w:t>
            </w:r>
          </w:p>
        </w:tc>
        <w:tc>
          <w:tcPr>
            <w:tcW w:w="30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w:t>
            </w:r>
          </w:p>
        </w:tc>
        <w:tc>
          <w:tcPr>
            <w:tcW w:w="26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w:t>
            </w:r>
          </w:p>
        </w:tc>
        <w:tc>
          <w:tcPr>
            <w:tcW w:w="2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Comparative Store Sales</w:t>
            </w:r>
          </w:p>
        </w:tc>
        <w:tc>
          <w:tcPr>
            <w:tcW w:w="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Increase (Decrease)</w:t>
            </w:r>
          </w:p>
        </w:tc>
        <w:tc>
          <w:tcPr>
            <w:tcW w:w="780" w:type="dxa"/>
            <w:vAlign w:val="bottom"/>
          </w:tcPr>
          <w:p>
            <w:pPr>
              <w:spacing w:after="0"/>
              <w:rPr>
                <w:sz w:val="14"/>
                <w:szCs w:val="14"/>
                <w:color w:val="auto"/>
              </w:rPr>
            </w:pP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w:t>
            </w:r>
          </w:p>
        </w:tc>
        <w:tc>
          <w:tcPr>
            <w:tcW w:w="30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w:t>
            </w:r>
          </w:p>
        </w:tc>
        <w:tc>
          <w:tcPr>
            <w:tcW w:w="26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w:t>
            </w:r>
          </w:p>
        </w:tc>
        <w:tc>
          <w:tcPr>
            <w:tcW w:w="2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r>
    </w:tbl>
    <w:p>
      <w:pPr>
        <w:spacing w:after="0" w:line="5" w:lineRule="exact"/>
        <w:rPr>
          <w:sz w:val="20"/>
          <w:szCs w:val="20"/>
          <w:color w:val="auto"/>
        </w:rPr>
      </w:pPr>
    </w:p>
    <w:p>
      <w:pPr>
        <w:ind w:left="180" w:hanging="170"/>
        <w:spacing w:after="0"/>
        <w:tabs>
          <w:tab w:leader="none" w:pos="18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1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Stores and Associates at End of Year</w:t>
      </w:r>
    </w:p>
    <w:tbl>
      <w:tblPr>
        <w:tblLayout w:type="fixed"/>
        <w:tblInd w:w="180" w:type="dxa"/>
        <w:tblCellMar>
          <w:top w:w="0" w:type="dxa"/>
          <w:left w:w="0" w:type="dxa"/>
          <w:bottom w:w="0" w:type="dxa"/>
          <w:right w:w="0" w:type="dxa"/>
        </w:tblCellMar>
      </w:tblPr>
      <w:tr>
        <w:trPr>
          <w:trHeight w:val="169"/>
        </w:trPr>
        <w:tc>
          <w:tcPr>
            <w:tcW w:w="2940" w:type="dxa"/>
            <w:vAlign w:val="bottom"/>
          </w:tcPr>
          <w:p>
            <w:pPr>
              <w:spacing w:after="0" w:line="169" w:lineRule="exact"/>
              <w:rPr>
                <w:sz w:val="20"/>
                <w:szCs w:val="20"/>
                <w:color w:val="auto"/>
              </w:rPr>
            </w:pPr>
            <w:r>
              <w:rPr>
                <w:rFonts w:ascii="Courier New" w:cs="Courier New" w:eastAsia="Courier New" w:hAnsi="Courier New"/>
                <w:sz w:val="15"/>
                <w:szCs w:val="15"/>
                <w:color w:val="auto"/>
              </w:rPr>
              <w:t>Total Number of Stores Open</w:t>
            </w:r>
          </w:p>
        </w:tc>
        <w:tc>
          <w:tcPr>
            <w:tcW w:w="1780" w:type="dxa"/>
            <w:vAlign w:val="bottom"/>
          </w:tcPr>
          <w:p>
            <w:pPr>
              <w:jc w:val="right"/>
              <w:ind w:right="267"/>
              <w:spacing w:after="0" w:line="169" w:lineRule="exact"/>
              <w:rPr>
                <w:sz w:val="20"/>
                <w:szCs w:val="20"/>
                <w:color w:val="auto"/>
              </w:rPr>
            </w:pPr>
            <w:r>
              <w:rPr>
                <w:rFonts w:ascii="Courier New" w:cs="Courier New" w:eastAsia="Courier New" w:hAnsi="Courier New"/>
                <w:sz w:val="15"/>
                <w:szCs w:val="15"/>
                <w:color w:val="auto"/>
              </w:rPr>
              <w:t>5,298</w:t>
            </w:r>
          </w:p>
        </w:tc>
        <w:tc>
          <w:tcPr>
            <w:tcW w:w="146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rPr>
              <w:t>4,867</w:t>
            </w:r>
          </w:p>
        </w:tc>
        <w:tc>
          <w:tcPr>
            <w:tcW w:w="126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4,623</w:t>
            </w:r>
          </w:p>
        </w:tc>
        <w:tc>
          <w:tcPr>
            <w:tcW w:w="104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4,425</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Square Feet</w:t>
            </w:r>
          </w:p>
        </w:tc>
        <w:tc>
          <w:tcPr>
            <w:tcW w:w="1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27,403,000</w:t>
            </w:r>
          </w:p>
        </w:tc>
        <w:tc>
          <w:tcPr>
            <w:tcW w:w="14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25,627,000</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24,426,000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22,863,000</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Number of Associates</w:t>
            </w:r>
          </w:p>
        </w:tc>
        <w:tc>
          <w:tcPr>
            <w:tcW w:w="1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104,000</w:t>
            </w:r>
          </w:p>
        </w:tc>
        <w:tc>
          <w:tcPr>
            <w:tcW w:w="14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105,600</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97,500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100,700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0" w:lineRule="exact"/>
        <w:rPr>
          <w:sz w:val="20"/>
          <w:szCs w:val="20"/>
          <w:color w:val="auto"/>
        </w:rPr>
      </w:pPr>
    </w:p>
    <w:p>
      <w:pPr>
        <w:ind w:left="360" w:hanging="263"/>
        <w:spacing w:after="0"/>
        <w:tabs>
          <w:tab w:leader="none" w:pos="36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the results of companies disposed of up to the disposition date.</w:t>
      </w:r>
    </w:p>
    <w:p>
      <w:pPr>
        <w:spacing w:after="0" w:line="4" w:lineRule="exact"/>
        <w:rPr>
          <w:rFonts w:ascii="Courier New" w:cs="Courier New" w:eastAsia="Courier New" w:hAnsi="Courier New"/>
          <w:sz w:val="15"/>
          <w:szCs w:val="15"/>
          <w:color w:val="auto"/>
        </w:rPr>
      </w:pPr>
    </w:p>
    <w:p>
      <w:pPr>
        <w:ind w:left="360" w:right="3939" w:hanging="262"/>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Includes the results of companies acquired subsequent to the date of acquisition.</w:t>
      </w:r>
    </w:p>
    <w:p>
      <w:pPr>
        <w:ind w:left="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Fifty-three week fiscal year.</w:t>
      </w:r>
    </w:p>
    <w:p>
      <w:pPr>
        <w:spacing w:after="0" w:line="5" w:lineRule="exact"/>
        <w:rPr>
          <w:sz w:val="20"/>
          <w:szCs w:val="20"/>
          <w:color w:val="auto"/>
        </w:rPr>
      </w:pPr>
    </w:p>
    <w:p>
      <w:pPr>
        <w:ind w:left="360" w:right="3239" w:hanging="350"/>
        <w:spacing w:after="0" w:line="234" w:lineRule="auto"/>
        <w:tabs>
          <w:tab w:leader="none" w:pos="36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the effect on net income of the gain on sale of subsidiary stock of $649,467.</w:t>
      </w:r>
    </w:p>
    <w:p>
      <w:pPr>
        <w:spacing w:after="0" w:line="167"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5"/>
          <w:szCs w:val="15"/>
          <w:color w:val="auto"/>
        </w:rPr>
        <w:t>40</w:t>
        <w:tab/>
        <w:t>The Limited, Inc.</w:t>
      </w:r>
    </w:p>
    <w:p>
      <w:pPr>
        <w:sectPr>
          <w:pgSz w:w="11900" w:h="16838" w:orient="portrait"/>
          <w:cols w:equalWidth="0" w:num="1">
            <w:col w:w="10239"/>
          </w:cols>
          <w:pgMar w:left="220" w:top="471" w:right="1440" w:bottom="1440" w:gutter="0" w:footer="0" w:header="0"/>
        </w:sectPr>
      </w:pPr>
    </w:p>
    <w:bookmarkStart w:id="129" w:name="page130"/>
    <w:bookmarkEnd w:id="129"/>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540"/>
        <w:spacing w:after="0"/>
        <w:tabs>
          <w:tab w:leader="none" w:pos="1740" w:val="left"/>
          <w:tab w:leader="none" w:pos="2880" w:val="left"/>
          <w:tab w:leader="none" w:pos="4180" w:val="left"/>
          <w:tab w:leader="none" w:pos="5500" w:val="left"/>
          <w:tab w:leader="none" w:pos="6720" w:val="left"/>
          <w:tab w:leader="none" w:pos="7860" w:val="left"/>
        </w:tabs>
        <w:rPr>
          <w:sz w:val="20"/>
          <w:szCs w:val="20"/>
          <w:color w:val="auto"/>
        </w:rPr>
      </w:pPr>
      <w:r>
        <w:rPr>
          <w:rFonts w:ascii="Courier New" w:cs="Courier New" w:eastAsia="Courier New" w:hAnsi="Courier New"/>
          <w:sz w:val="15"/>
          <w:szCs w:val="15"/>
          <w:color w:val="auto"/>
        </w:rPr>
        <w:t>1991.</w:t>
      </w:r>
      <w:r>
        <w:rPr>
          <w:sz w:val="20"/>
          <w:szCs w:val="20"/>
          <w:color w:val="auto"/>
        </w:rPr>
        <w:tab/>
      </w:r>
      <w:r>
        <w:rPr>
          <w:rFonts w:ascii="Courier New" w:cs="Courier New" w:eastAsia="Courier New" w:hAnsi="Courier New"/>
          <w:sz w:val="15"/>
          <w:szCs w:val="15"/>
          <w:color w:val="auto"/>
        </w:rPr>
        <w:t>1990.</w:t>
      </w:r>
      <w:r>
        <w:rPr>
          <w:sz w:val="20"/>
          <w:szCs w:val="20"/>
          <w:color w:val="auto"/>
        </w:rPr>
        <w:tab/>
      </w:r>
      <w:r>
        <w:rPr>
          <w:rFonts w:ascii="Courier New" w:cs="Courier New" w:eastAsia="Courier New" w:hAnsi="Courier New"/>
          <w:sz w:val="15"/>
          <w:szCs w:val="15"/>
          <w:color w:val="auto"/>
        </w:rPr>
        <w:t>1989#*</w:t>
      </w:r>
      <w:r>
        <w:rPr>
          <w:sz w:val="20"/>
          <w:szCs w:val="20"/>
          <w:color w:val="auto"/>
        </w:rPr>
        <w:tab/>
      </w:r>
      <w:r>
        <w:rPr>
          <w:rFonts w:ascii="Courier New" w:cs="Courier New" w:eastAsia="Courier New" w:hAnsi="Courier New"/>
          <w:sz w:val="15"/>
          <w:szCs w:val="15"/>
          <w:color w:val="auto"/>
        </w:rPr>
        <w:t>1988.</w:t>
      </w:r>
      <w:r>
        <w:rPr>
          <w:sz w:val="20"/>
          <w:szCs w:val="20"/>
          <w:color w:val="auto"/>
        </w:rPr>
        <w:tab/>
      </w:r>
      <w:r>
        <w:rPr>
          <w:rFonts w:ascii="Courier New" w:cs="Courier New" w:eastAsia="Courier New" w:hAnsi="Courier New"/>
          <w:sz w:val="15"/>
          <w:szCs w:val="15"/>
          <w:color w:val="auto"/>
        </w:rPr>
        <w:t>1987</w:t>
      </w:r>
      <w:r>
        <w:rPr>
          <w:sz w:val="20"/>
          <w:szCs w:val="20"/>
          <w:color w:val="auto"/>
        </w:rPr>
        <w:tab/>
      </w:r>
      <w:r>
        <w:rPr>
          <w:rFonts w:ascii="Courier New" w:cs="Courier New" w:eastAsia="Courier New" w:hAnsi="Courier New"/>
          <w:sz w:val="15"/>
          <w:szCs w:val="15"/>
          <w:color w:val="auto"/>
        </w:rPr>
        <w:t>1986</w:t>
      </w:r>
      <w:r>
        <w:rPr>
          <w:sz w:val="20"/>
          <w:szCs w:val="20"/>
          <w:color w:val="auto"/>
        </w:rPr>
        <w:tab/>
      </w:r>
      <w:r>
        <w:rPr>
          <w:rFonts w:ascii="Courier New" w:cs="Courier New" w:eastAsia="Courier New" w:hAnsi="Courier New"/>
          <w:sz w:val="14"/>
          <w:szCs w:val="14"/>
          <w:color w:val="auto"/>
        </w:rPr>
        <w:t>1985.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6,149,218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5,253,509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4,647,916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8"/>
              </w:rPr>
              <w:t>4,070,777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8"/>
              </w:rPr>
              <w:t>3,527,941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3,142,696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2,387,110</w:t>
            </w:r>
          </w:p>
        </w:tc>
      </w:tr>
      <w:tr>
        <w:trPr>
          <w:trHeight w:val="168"/>
        </w:trPr>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1,793,543</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1,630,439</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1,446,635</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1,214,703</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992,775</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961,827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718,843</w:t>
            </w:r>
          </w:p>
        </w:tc>
      </w:tr>
      <w:tr>
        <w:trPr>
          <w:trHeight w:val="168"/>
        </w:trPr>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712,700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697,537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625,254</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467,418</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408,872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438,229</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276,212</w:t>
            </w:r>
          </w:p>
        </w:tc>
      </w:tr>
      <w:tr>
        <w:trPr>
          <w:trHeight w:val="336"/>
        </w:trPr>
        <w:tc>
          <w:tcPr>
            <w:tcW w:w="140" w:type="dxa"/>
            <w:vAlign w:val="bottom"/>
          </w:tcPr>
          <w:p>
            <w:pPr>
              <w:spacing w:after="0"/>
              <w:rPr>
                <w:sz w:val="24"/>
                <w:szCs w:val="24"/>
                <w:color w:val="auto"/>
              </w:rPr>
            </w:pP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11.6%</w:t>
            </w:r>
          </w:p>
        </w:tc>
        <w:tc>
          <w:tcPr>
            <w:tcW w:w="260" w:type="dxa"/>
            <w:vAlign w:val="bottom"/>
          </w:tcPr>
          <w:p>
            <w:pPr>
              <w:spacing w:after="0"/>
              <w:rPr>
                <w:sz w:val="24"/>
                <w:szCs w:val="24"/>
                <w:color w:val="auto"/>
              </w:rPr>
            </w:pP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13.3%</w:t>
            </w:r>
          </w:p>
        </w:tc>
        <w:tc>
          <w:tcPr>
            <w:tcW w:w="260" w:type="dxa"/>
            <w:vAlign w:val="bottom"/>
          </w:tcPr>
          <w:p>
            <w:pPr>
              <w:spacing w:after="0"/>
              <w:rPr>
                <w:sz w:val="24"/>
                <w:szCs w:val="24"/>
                <w:color w:val="auto"/>
              </w:rPr>
            </w:pP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13.5%</w:t>
            </w:r>
          </w:p>
        </w:tc>
        <w:tc>
          <w:tcPr>
            <w:tcW w:w="260" w:type="dxa"/>
            <w:vAlign w:val="bottom"/>
          </w:tcPr>
          <w:p>
            <w:pPr>
              <w:spacing w:after="0"/>
              <w:rPr>
                <w:sz w:val="24"/>
                <w:szCs w:val="24"/>
                <w:color w:val="auto"/>
              </w:rPr>
            </w:pP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11.5%</w:t>
            </w:r>
          </w:p>
        </w:tc>
        <w:tc>
          <w:tcPr>
            <w:tcW w:w="260" w:type="dxa"/>
            <w:vAlign w:val="bottom"/>
          </w:tcPr>
          <w:p>
            <w:pPr>
              <w:spacing w:after="0"/>
              <w:rPr>
                <w:sz w:val="24"/>
                <w:szCs w:val="24"/>
                <w:color w:val="auto"/>
              </w:rPr>
            </w:pP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11.6%</w:t>
            </w:r>
          </w:p>
        </w:tc>
        <w:tc>
          <w:tcPr>
            <w:tcW w:w="260" w:type="dxa"/>
            <w:vAlign w:val="bottom"/>
          </w:tcPr>
          <w:p>
            <w:pPr>
              <w:spacing w:after="0"/>
              <w:rPr>
                <w:sz w:val="24"/>
                <w:szCs w:val="24"/>
                <w:color w:val="auto"/>
              </w:rPr>
            </w:pP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13.9%</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11.6%</w:t>
            </w:r>
          </w:p>
        </w:tc>
      </w:tr>
      <w:tr>
        <w:trPr>
          <w:trHeight w:val="168"/>
        </w:trPr>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660,302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653,438</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573,926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396,136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378,188</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394,780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239,317</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403,302</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398,438</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346,926</w:t>
            </w: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245,136</w:t>
            </w: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235,188</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227,780</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145,317</w:t>
            </w:r>
          </w:p>
        </w:tc>
      </w:tr>
      <w:tr>
        <w:trPr>
          <w:trHeight w:val="336"/>
        </w:trPr>
        <w:tc>
          <w:tcPr>
            <w:tcW w:w="2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403,302</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398,438</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346,926</w:t>
            </w: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245,136</w:t>
            </w: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235,188</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227,780</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145,317</w:t>
            </w:r>
          </w:p>
        </w:tc>
      </w:tr>
      <w:tr>
        <w:trPr>
          <w:trHeight w:val="168"/>
        </w:trPr>
        <w:tc>
          <w:tcPr>
            <w:tcW w:w="220" w:type="dxa"/>
            <w:vAlign w:val="bottom"/>
          </w:tcPr>
          <w:p>
            <w:pPr>
              <w:spacing w:after="0"/>
              <w:rPr>
                <w:sz w:val="14"/>
                <w:szCs w:val="14"/>
                <w:color w:val="auto"/>
              </w:rPr>
            </w:pP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6.6%</w:t>
            </w:r>
          </w:p>
        </w:tc>
        <w:tc>
          <w:tcPr>
            <w:tcW w:w="36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7.6%</w:t>
            </w:r>
          </w:p>
        </w:tc>
        <w:tc>
          <w:tcPr>
            <w:tcW w:w="3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7.5%</w:t>
            </w:r>
          </w:p>
        </w:tc>
        <w:tc>
          <w:tcPr>
            <w:tcW w:w="34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6.0%</w:t>
            </w:r>
          </w:p>
        </w:tc>
        <w:tc>
          <w:tcPr>
            <w:tcW w:w="34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6.7%</w:t>
            </w:r>
          </w:p>
        </w:tc>
        <w:tc>
          <w:tcPr>
            <w:tcW w:w="36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7.2%</w:t>
            </w:r>
          </w:p>
        </w:tc>
        <w:tc>
          <w:tcPr>
            <w:tcW w:w="3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1.11</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1.10</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.96</w:t>
            </w: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.68</w:t>
            </w: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.62</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.60</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336"/>
        </w:trPr>
        <w:tc>
          <w:tcPr>
            <w:tcW w:w="2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1.11</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1.10</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.96</w:t>
            </w: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.68</w:t>
            </w: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.62</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.60</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168"/>
        </w:trPr>
        <w:tc>
          <w:tcPr>
            <w:tcW w:w="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.24</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w:t>
            </w: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w:t>
            </w: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.08</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.05</w:t>
            </w:r>
          </w:p>
        </w:tc>
      </w:tr>
      <w:tr>
        <w:trPr>
          <w:trHeight w:val="168"/>
        </w:trPr>
        <w:tc>
          <w:tcPr>
            <w:tcW w:w="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5.19</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4.33</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3.45</w:t>
            </w: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2.64</w:t>
            </w: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2.04</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2.07</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1.13</w:t>
            </w:r>
          </w:p>
        </w:tc>
      </w:tr>
      <w:tr>
        <w:trPr>
          <w:trHeight w:val="336"/>
        </w:trPr>
        <w:tc>
          <w:tcPr>
            <w:tcW w:w="220" w:type="dxa"/>
            <w:vAlign w:val="bottom"/>
          </w:tcPr>
          <w:p>
            <w:pPr>
              <w:spacing w:after="0"/>
              <w:rPr>
                <w:sz w:val="24"/>
                <w:szCs w:val="24"/>
                <w:color w:val="auto"/>
              </w:rPr>
            </w:pP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363,694</w:t>
            </w:r>
          </w:p>
        </w:tc>
        <w:tc>
          <w:tcPr>
            <w:tcW w:w="360" w:type="dxa"/>
            <w:vAlign w:val="bottom"/>
          </w:tcPr>
          <w:p>
            <w:pPr>
              <w:spacing w:after="0"/>
              <w:rPr>
                <w:sz w:val="24"/>
                <w:szCs w:val="24"/>
                <w:color w:val="auto"/>
              </w:rPr>
            </w:pP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362,044</w:t>
            </w:r>
          </w:p>
        </w:tc>
        <w:tc>
          <w:tcPr>
            <w:tcW w:w="360" w:type="dxa"/>
            <w:vAlign w:val="bottom"/>
          </w:tcPr>
          <w:p>
            <w:pPr>
              <w:spacing w:after="0"/>
              <w:rPr>
                <w:sz w:val="24"/>
                <w:szCs w:val="2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361,288</w:t>
            </w:r>
          </w:p>
        </w:tc>
        <w:tc>
          <w:tcPr>
            <w:tcW w:w="340" w:type="dxa"/>
            <w:vAlign w:val="bottom"/>
          </w:tcPr>
          <w:p>
            <w:pPr>
              <w:spacing w:after="0"/>
              <w:rPr>
                <w:sz w:val="24"/>
                <w:szCs w:val="2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360,186</w:t>
            </w:r>
          </w:p>
        </w:tc>
        <w:tc>
          <w:tcPr>
            <w:tcW w:w="340" w:type="dxa"/>
            <w:vAlign w:val="bottom"/>
          </w:tcPr>
          <w:p>
            <w:pPr>
              <w:spacing w:after="0"/>
              <w:rPr>
                <w:sz w:val="24"/>
                <w:szCs w:val="2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376,626</w:t>
            </w:r>
          </w:p>
        </w:tc>
        <w:tc>
          <w:tcPr>
            <w:tcW w:w="360" w:type="dxa"/>
            <w:vAlign w:val="bottom"/>
          </w:tcPr>
          <w:p>
            <w:pPr>
              <w:spacing w:after="0"/>
              <w:rPr>
                <w:sz w:val="24"/>
                <w:szCs w:val="24"/>
                <w:color w:val="auto"/>
              </w:rPr>
            </w:pP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376,860</w:t>
            </w: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365,638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3,418,856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2,871,878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2,418,486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8"/>
              </w:rPr>
              <w:t>2,145,506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8"/>
              </w:rPr>
              <w:t>1,929,477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1,726,544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1,494,313</w:t>
            </w:r>
          </w:p>
        </w:tc>
      </w:tr>
      <w:tr>
        <w:trPr>
          <w:trHeight w:val="168"/>
        </w:trPr>
        <w:tc>
          <w:tcPr>
            <w:tcW w:w="14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w:t>
            </w:r>
          </w:p>
        </w:tc>
        <w:tc>
          <w:tcPr>
            <w:tcW w:w="2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w:t>
            </w:r>
          </w:p>
        </w:tc>
        <w:tc>
          <w:tcPr>
            <w:tcW w:w="260" w:type="dxa"/>
            <w:vAlign w:val="bottom"/>
          </w:tcPr>
          <w:p>
            <w:pPr>
              <w:spacing w:after="0"/>
              <w:rPr>
                <w:sz w:val="14"/>
                <w:szCs w:val="14"/>
                <w:color w:val="auto"/>
              </w:rPr>
            </w:pP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w:t>
            </w:r>
          </w:p>
        </w:tc>
        <w:tc>
          <w:tcPr>
            <w:tcW w:w="2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w:t>
            </w:r>
          </w:p>
        </w:tc>
        <w:tc>
          <w:tcPr>
            <w:tcW w:w="2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w:t>
            </w:r>
          </w:p>
        </w:tc>
        <w:tc>
          <w:tcPr>
            <w:tcW w:w="2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1,057,417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861,637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680,707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563,601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617,007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581,595</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419,706</w:t>
            </w:r>
          </w:p>
        </w:tc>
      </w:tr>
      <w:tr>
        <w:trPr>
          <w:trHeight w:val="168"/>
        </w:trPr>
        <w:tc>
          <w:tcPr>
            <w:tcW w:w="14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w:t>
            </w:r>
          </w:p>
        </w:tc>
        <w:tc>
          <w:tcPr>
            <w:tcW w:w="2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w:t>
            </w:r>
          </w:p>
        </w:tc>
        <w:tc>
          <w:tcPr>
            <w:tcW w:w="260" w:type="dxa"/>
            <w:vAlign w:val="bottom"/>
          </w:tcPr>
          <w:p>
            <w:pPr>
              <w:spacing w:after="0"/>
              <w:rPr>
                <w:sz w:val="14"/>
                <w:szCs w:val="14"/>
                <w:color w:val="auto"/>
              </w:rPr>
            </w:pP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w:t>
            </w:r>
          </w:p>
        </w:tc>
        <w:tc>
          <w:tcPr>
            <w:tcW w:w="2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w:t>
            </w:r>
          </w:p>
        </w:tc>
        <w:tc>
          <w:tcPr>
            <w:tcW w:w="2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w:t>
            </w:r>
          </w:p>
        </w:tc>
        <w:tc>
          <w:tcPr>
            <w:tcW w:w="2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w:t>
            </w:r>
          </w:p>
        </w:tc>
      </w:tr>
      <w:tr>
        <w:trPr>
          <w:trHeight w:val="168"/>
        </w:trPr>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532,082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428,844</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318,427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288,972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283,590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196,487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180,269</w:t>
            </w:r>
          </w:p>
        </w:tc>
      </w:tr>
      <w:tr>
        <w:trPr>
          <w:trHeight w:val="168"/>
        </w:trPr>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713,758</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540,446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445,674</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517,952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681,000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417,420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670,744</w:t>
            </w:r>
          </w:p>
        </w:tc>
      </w:tr>
      <w:tr>
        <w:trPr>
          <w:trHeight w:val="168"/>
        </w:trPr>
        <w:tc>
          <w:tcPr>
            <w:tcW w:w="14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38%</w:t>
            </w:r>
          </w:p>
        </w:tc>
        <w:tc>
          <w:tcPr>
            <w:tcW w:w="2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w:t>
            </w:r>
          </w:p>
        </w:tc>
        <w:tc>
          <w:tcPr>
            <w:tcW w:w="260" w:type="dxa"/>
            <w:vAlign w:val="bottom"/>
          </w:tcPr>
          <w:p>
            <w:pPr>
              <w:spacing w:after="0"/>
              <w:rPr>
                <w:sz w:val="14"/>
                <w:szCs w:val="14"/>
                <w:color w:val="auto"/>
              </w:rPr>
            </w:pP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w:t>
            </w:r>
          </w:p>
        </w:tc>
        <w:tc>
          <w:tcPr>
            <w:tcW w:w="2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55%</w:t>
            </w:r>
          </w:p>
        </w:tc>
        <w:tc>
          <w:tcPr>
            <w:tcW w:w="2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93%</w:t>
            </w:r>
          </w:p>
        </w:tc>
        <w:tc>
          <w:tcPr>
            <w:tcW w:w="2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53%</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166%</w:t>
            </w:r>
          </w:p>
        </w:tc>
      </w:tr>
      <w:tr>
        <w:trPr>
          <w:trHeight w:val="336"/>
        </w:trPr>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1,876,792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1,560,052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1,240,454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946,207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729,171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781,542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404,075</w:t>
            </w:r>
          </w:p>
        </w:tc>
      </w:tr>
      <w:tr>
        <w:trPr>
          <w:trHeight w:val="336"/>
        </w:trPr>
        <w:tc>
          <w:tcPr>
            <w:tcW w:w="140" w:type="dxa"/>
            <w:vAlign w:val="bottom"/>
          </w:tcPr>
          <w:p>
            <w:pPr>
              <w:spacing w:after="0"/>
              <w:rPr>
                <w:sz w:val="24"/>
                <w:szCs w:val="24"/>
                <w:color w:val="auto"/>
              </w:rPr>
            </w:pP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23%</w:t>
            </w:r>
          </w:p>
        </w:tc>
        <w:tc>
          <w:tcPr>
            <w:tcW w:w="260" w:type="dxa"/>
            <w:vAlign w:val="bottom"/>
          </w:tcPr>
          <w:p>
            <w:pPr>
              <w:spacing w:after="0"/>
              <w:rPr>
                <w:sz w:val="24"/>
                <w:szCs w:val="24"/>
                <w:color w:val="auto"/>
              </w:rPr>
            </w:pP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28%</w:t>
            </w:r>
          </w:p>
        </w:tc>
        <w:tc>
          <w:tcPr>
            <w:tcW w:w="260" w:type="dxa"/>
            <w:vAlign w:val="bottom"/>
          </w:tcPr>
          <w:p>
            <w:pPr>
              <w:spacing w:after="0"/>
              <w:rPr>
                <w:sz w:val="24"/>
                <w:szCs w:val="24"/>
                <w:color w:val="auto"/>
              </w:rPr>
            </w:pP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32%</w:t>
            </w:r>
          </w:p>
        </w:tc>
        <w:tc>
          <w:tcPr>
            <w:tcW w:w="260" w:type="dxa"/>
            <w:vAlign w:val="bottom"/>
          </w:tcPr>
          <w:p>
            <w:pPr>
              <w:spacing w:after="0"/>
              <w:rPr>
                <w:sz w:val="24"/>
                <w:szCs w:val="24"/>
                <w:color w:val="auto"/>
              </w:rPr>
            </w:pP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29%</w:t>
            </w:r>
          </w:p>
        </w:tc>
        <w:tc>
          <w:tcPr>
            <w:tcW w:w="260" w:type="dxa"/>
            <w:vAlign w:val="bottom"/>
          </w:tcPr>
          <w:p>
            <w:pPr>
              <w:spacing w:after="0"/>
              <w:rPr>
                <w:sz w:val="24"/>
                <w:szCs w:val="24"/>
                <w:color w:val="auto"/>
              </w:rPr>
            </w:pP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31%</w:t>
            </w:r>
          </w:p>
        </w:tc>
        <w:tc>
          <w:tcPr>
            <w:tcW w:w="260" w:type="dxa"/>
            <w:vAlign w:val="bottom"/>
          </w:tcPr>
          <w:p>
            <w:pPr>
              <w:spacing w:after="0"/>
              <w:rPr>
                <w:sz w:val="24"/>
                <w:szCs w:val="24"/>
                <w:color w:val="auto"/>
              </w:rPr>
            </w:pP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38%</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r>
      <w:tr>
        <w:trPr>
          <w:trHeight w:val="336"/>
        </w:trPr>
        <w:tc>
          <w:tcPr>
            <w:tcW w:w="140" w:type="dxa"/>
            <w:vAlign w:val="bottom"/>
          </w:tcPr>
          <w:p>
            <w:pPr>
              <w:spacing w:after="0"/>
              <w:rPr>
                <w:sz w:val="24"/>
                <w:szCs w:val="24"/>
                <w:color w:val="auto"/>
              </w:rPr>
            </w:pP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w:t>
            </w:r>
          </w:p>
        </w:tc>
        <w:tc>
          <w:tcPr>
            <w:tcW w:w="260" w:type="dxa"/>
            <w:vAlign w:val="bottom"/>
          </w:tcPr>
          <w:p>
            <w:pPr>
              <w:spacing w:after="0"/>
              <w:rPr>
                <w:sz w:val="24"/>
                <w:szCs w:val="24"/>
                <w:color w:val="auto"/>
              </w:rPr>
            </w:pP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w:t>
            </w:r>
          </w:p>
        </w:tc>
        <w:tc>
          <w:tcPr>
            <w:tcW w:w="260" w:type="dxa"/>
            <w:vAlign w:val="bottom"/>
          </w:tcPr>
          <w:p>
            <w:pPr>
              <w:spacing w:after="0"/>
              <w:rPr>
                <w:sz w:val="24"/>
                <w:szCs w:val="24"/>
                <w:color w:val="auto"/>
              </w:rPr>
            </w:pP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w:t>
            </w:r>
          </w:p>
        </w:tc>
        <w:tc>
          <w:tcPr>
            <w:tcW w:w="260" w:type="dxa"/>
            <w:vAlign w:val="bottom"/>
          </w:tcPr>
          <w:p>
            <w:pPr>
              <w:spacing w:after="0"/>
              <w:rPr>
                <w:sz w:val="24"/>
                <w:szCs w:val="24"/>
                <w:color w:val="auto"/>
              </w:rPr>
            </w:pP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w:t>
            </w:r>
          </w:p>
        </w:tc>
        <w:tc>
          <w:tcPr>
            <w:tcW w:w="260" w:type="dxa"/>
            <w:vAlign w:val="bottom"/>
          </w:tcPr>
          <w:p>
            <w:pPr>
              <w:spacing w:after="0"/>
              <w:rPr>
                <w:sz w:val="24"/>
                <w:szCs w:val="24"/>
                <w:color w:val="auto"/>
              </w:rPr>
            </w:pP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w:t>
            </w:r>
          </w:p>
        </w:tc>
        <w:tc>
          <w:tcPr>
            <w:tcW w:w="260" w:type="dxa"/>
            <w:vAlign w:val="bottom"/>
          </w:tcPr>
          <w:p>
            <w:pPr>
              <w:spacing w:after="0"/>
              <w:rPr>
                <w:sz w:val="24"/>
                <w:szCs w:val="24"/>
                <w:color w:val="auto"/>
              </w:rPr>
            </w:pP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18%</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4,194</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3,760</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3,344</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3,497</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3,115</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2,682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2,353</w:t>
            </w:r>
          </w:p>
        </w:tc>
      </w:tr>
      <w:tr>
        <w:trPr>
          <w:trHeight w:val="168"/>
        </w:trPr>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20,355,000</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17,008,000</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14,374,000</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14,296,000</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12,795,000</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11,320,000</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10,460,000</w:t>
            </w:r>
          </w:p>
        </w:tc>
      </w:tr>
      <w:tr>
        <w:trPr>
          <w:trHeight w:val="168"/>
        </w:trPr>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83,800</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72,500</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63,000</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56,700</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50,200</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43,200</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33,600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0" w:lineRule="exact"/>
        <w:rPr>
          <w:sz w:val="20"/>
          <w:szCs w:val="20"/>
          <w:color w:val="auto"/>
        </w:rPr>
      </w:pPr>
    </w:p>
    <w:p>
      <w:pPr>
        <w:ind w:left="5260"/>
        <w:spacing w:after="0"/>
        <w:rPr>
          <w:sz w:val="20"/>
          <w:szCs w:val="20"/>
          <w:color w:val="auto"/>
        </w:rPr>
      </w:pPr>
      <w:r>
        <w:rPr>
          <w:rFonts w:ascii="Courier New" w:cs="Courier New" w:eastAsia="Courier New" w:hAnsi="Courier New"/>
          <w:sz w:val="15"/>
          <w:szCs w:val="15"/>
          <w:color w:val="auto"/>
        </w:rPr>
        <w:t>[PHOTO APPEARS HERE]</w:t>
      </w:r>
    </w:p>
    <w:p>
      <w:pPr>
        <w:spacing w:after="0" w:line="166" w:lineRule="exact"/>
        <w:rPr>
          <w:sz w:val="20"/>
          <w:szCs w:val="20"/>
          <w:color w:val="auto"/>
        </w:rPr>
      </w:pPr>
    </w:p>
    <w:p>
      <w:pPr>
        <w:ind w:left="5260"/>
        <w:spacing w:after="0"/>
        <w:rPr>
          <w:sz w:val="20"/>
          <w:szCs w:val="20"/>
          <w:color w:val="auto"/>
        </w:rPr>
      </w:pPr>
      <w:r>
        <w:rPr>
          <w:rFonts w:ascii="Courier New" w:cs="Courier New" w:eastAsia="Courier New" w:hAnsi="Courier New"/>
          <w:sz w:val="15"/>
          <w:szCs w:val="15"/>
          <w:color w:val="auto"/>
        </w:rPr>
        <w:t>The Limited, Inc. 41</w:t>
      </w:r>
    </w:p>
    <w:p>
      <w:pPr>
        <w:sectPr>
          <w:pgSz w:w="11900" w:h="16838" w:orient="portrait"/>
          <w:cols w:equalWidth="0" w:num="1">
            <w:col w:w="10239"/>
          </w:cols>
          <w:pgMar w:left="220" w:top="960" w:right="1440" w:bottom="1440" w:gutter="0" w:footer="0" w:header="0"/>
        </w:sectPr>
      </w:pPr>
    </w:p>
    <w:bookmarkStart w:id="130" w:name="page131"/>
    <w:bookmarkEnd w:id="130"/>
    <w:p>
      <w:pPr>
        <w:spacing w:after="0"/>
        <w:rPr>
          <w:sz w:val="20"/>
          <w:szCs w:val="20"/>
          <w:color w:val="auto"/>
        </w:rPr>
      </w:pPr>
      <w:r>
        <w:rPr>
          <w:rFonts w:ascii="Courier New" w:cs="Courier New" w:eastAsia="Courier New" w:hAnsi="Courier New"/>
          <w:sz w:val="15"/>
          <w:szCs w:val="15"/>
          <w:color w:val="auto"/>
        </w:rPr>
        <w:t>Management's Discussion and Analysis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Net sales for the fourteen-week fourth quarter grew 9% to $2.771 billion from $2.539 billion for the thirteen-week fourth quarter a year ago. Net income (excluding gain on sale of subsidiary stock) was $180 million, compared to $257 million last year, and earnings per share (excluding gain on sale of subsidiary stock) were $0.50 versus $0.72 in 1994. In addition, the Company recorded a gain on sale of subsidiary stock of $36.0 million, or $0.10 per share, resulting from the exercise of the underwriters' over-allotment options with respect to an additional 2.7 million shares of Intimate Brands, Inc. ("IBI") (over the original 40 million shares issued in the third quarter).</w:t>
      </w:r>
    </w:p>
    <w:p>
      <w:pPr>
        <w:spacing w:after="0" w:line="165" w:lineRule="exact"/>
        <w:rPr>
          <w:sz w:val="20"/>
          <w:szCs w:val="20"/>
          <w:color w:val="auto"/>
        </w:rPr>
      </w:pPr>
    </w:p>
    <w:p>
      <w:pPr>
        <w:ind w:right="3239" w:firstLine="262"/>
        <w:spacing w:after="0" w:line="236" w:lineRule="auto"/>
        <w:rPr>
          <w:sz w:val="20"/>
          <w:szCs w:val="20"/>
          <w:color w:val="auto"/>
        </w:rPr>
      </w:pPr>
      <w:r>
        <w:rPr>
          <w:rFonts w:ascii="Courier New" w:cs="Courier New" w:eastAsia="Courier New" w:hAnsi="Courier New"/>
          <w:sz w:val="15"/>
          <w:szCs w:val="15"/>
          <w:color w:val="auto"/>
        </w:rPr>
        <w:t>Net sales for the 53-week fiscal year ended February 3, 1996 increased 8% to $7.881 billion, an increase of $560 million from sales of $7.321 billion for the 52-week fiscal year ended January 28, 1995. Net income (excluding gain on sale of subsidiary stock) was $312 million compared to $448 million a year ago. Earnings per share (excluding gain on sale of subsidiary stock) were $0.87 compared to $1.25 last year. The Company also recorded a gain of $649.5 million, or $1.81 per share, resulting from the successful initial public offering of a 16.9% interest in IBI during the Fall season of 1995.</w:t>
      </w:r>
    </w:p>
    <w:p>
      <w:pPr>
        <w:spacing w:after="0" w:line="171"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Divisional highlights include the following:</w:t>
      </w:r>
    </w:p>
    <w:p>
      <w:pPr>
        <w:spacing w:after="0" w:line="173" w:lineRule="exact"/>
        <w:rPr>
          <w:sz w:val="20"/>
          <w:szCs w:val="20"/>
          <w:color w:val="auto"/>
        </w:rPr>
      </w:pPr>
    </w:p>
    <w:p>
      <w:pPr>
        <w:ind w:left="280" w:right="3399" w:hanging="183"/>
        <w:spacing w:after="0" w:line="235" w:lineRule="auto"/>
        <w:tabs>
          <w:tab w:leader="none" w:pos="368"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Although the performance of the women's businesses was disappointing, significant progress was made at Limited Stores in 1995. The division finished the year with a profitable fourth quarter which reflected positive comparable store sales.</w:t>
      </w:r>
    </w:p>
    <w:p>
      <w:pPr>
        <w:spacing w:after="0" w:line="175" w:lineRule="exact"/>
        <w:rPr>
          <w:sz w:val="20"/>
          <w:szCs w:val="20"/>
          <w:color w:val="auto"/>
        </w:rPr>
      </w:pPr>
    </w:p>
    <w:p>
      <w:pPr>
        <w:jc w:val="both"/>
        <w:ind w:left="280" w:right="3759" w:hanging="183"/>
        <w:spacing w:after="0" w:line="235" w:lineRule="auto"/>
        <w:tabs>
          <w:tab w:leader="none" w:pos="368"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Bath &amp; Body Works nearly doubled operating income while adding 180 new stores establishing itself as a leading national brand in personal care products.</w:t>
      </w:r>
    </w:p>
    <w:p>
      <w:pPr>
        <w:spacing w:after="0" w:line="174" w:lineRule="exact"/>
        <w:rPr>
          <w:sz w:val="20"/>
          <w:szCs w:val="20"/>
          <w:color w:val="auto"/>
        </w:rPr>
      </w:pPr>
    </w:p>
    <w:p>
      <w:pPr>
        <w:ind w:left="280" w:right="3399" w:hanging="183"/>
        <w:spacing w:after="0" w:line="234" w:lineRule="auto"/>
        <w:tabs>
          <w:tab w:leader="none" w:pos="368"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Abercrombie &amp; Fitch Co. realized an 80% increase in operating income while opening 33 stores in 1995.</w:t>
      </w:r>
    </w:p>
    <w:p>
      <w:pPr>
        <w:spacing w:after="0" w:line="173" w:lineRule="exact"/>
        <w:rPr>
          <w:sz w:val="20"/>
          <w:szCs w:val="20"/>
          <w:color w:val="auto"/>
        </w:rPr>
      </w:pPr>
    </w:p>
    <w:p>
      <w:pPr>
        <w:ind w:right="3499" w:firstLine="262"/>
        <w:spacing w:after="0" w:line="261" w:lineRule="auto"/>
        <w:rPr>
          <w:sz w:val="20"/>
          <w:szCs w:val="20"/>
          <w:color w:val="auto"/>
        </w:rPr>
      </w:pPr>
      <w:r>
        <w:rPr>
          <w:rFonts w:ascii="Courier New" w:cs="Courier New" w:eastAsia="Courier New" w:hAnsi="Courier New"/>
          <w:sz w:val="14"/>
          <w:szCs w:val="14"/>
          <w:color w:val="auto"/>
        </w:rPr>
        <w:t>For further information about the Company's divisions, including sales and operating income, see pages 22-25, 28-31 and 34-37 of this Annual Report.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 APPEARS 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5"/>
          <w:szCs w:val="15"/>
          <w:color w:val="auto"/>
        </w:rPr>
        <w:t>42</w:t>
        <w:tab/>
        <w:t>The Limited, Inc.</w:t>
      </w:r>
    </w:p>
    <w:p>
      <w:pPr>
        <w:sectPr>
          <w:pgSz w:w="11900" w:h="16838" w:orient="portrait"/>
          <w:cols w:equalWidth="0" w:num="1">
            <w:col w:w="10239"/>
          </w:cols>
          <w:pgMar w:left="220" w:top="617" w:right="1440" w:bottom="1440" w:gutter="0" w:footer="0" w:header="0"/>
        </w:sectPr>
      </w:pPr>
    </w:p>
    <w:bookmarkStart w:id="131" w:name="page132"/>
    <w:bookmarkEnd w:id="131"/>
    <w:p>
      <w:pPr>
        <w:spacing w:after="0"/>
        <w:rPr>
          <w:sz w:val="20"/>
          <w:szCs w:val="20"/>
          <w:color w:val="auto"/>
        </w:rPr>
      </w:pPr>
      <w:r>
        <w:rPr>
          <w:rFonts w:ascii="Courier New" w:cs="Courier New" w:eastAsia="Courier New" w:hAnsi="Courier New"/>
          <w:sz w:val="15"/>
          <w:szCs w:val="15"/>
          <w:color w:val="auto"/>
        </w:rPr>
        <w:t>Financial Summary</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The following summarized financial data, compares 1995 to the comparable periods for 1994 and 1993:</w:t>
      </w:r>
    </w:p>
    <w:p>
      <w:pPr>
        <w:spacing w:after="0" w:line="173" w:lineRule="exact"/>
        <w:rPr>
          <w:sz w:val="20"/>
          <w:szCs w:val="20"/>
          <w:color w:val="auto"/>
        </w:rPr>
      </w:pPr>
    </w:p>
    <w:p>
      <w:pPr>
        <w:ind w:left="180" w:hanging="170"/>
        <w:spacing w:after="0"/>
        <w:tabs>
          <w:tab w:leader="none" w:pos="18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ind w:left="6140" w:hanging="183"/>
        <w:spacing w:after="0"/>
        <w:tabs>
          <w:tab w:leader="none" w:pos="6140" w:val="left"/>
        </w:tabs>
        <w:numPr>
          <w:ilvl w:val="1"/>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w:t>
      </w:r>
    </w:p>
    <w:p>
      <w:pPr>
        <w:ind w:left="48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420"/>
        <w:spacing w:after="0"/>
        <w:tabs>
          <w:tab w:leader="none" w:pos="4180" w:val="left"/>
          <w:tab w:leader="none" w:pos="4980" w:val="left"/>
          <w:tab w:leader="none" w:pos="5580" w:val="left"/>
        </w:tabs>
        <w:rPr>
          <w:sz w:val="20"/>
          <w:szCs w:val="20"/>
          <w:color w:val="auto"/>
        </w:rPr>
      </w:pP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1994</w:t>
      </w:r>
      <w:r>
        <w:rPr>
          <w:sz w:val="20"/>
          <w:szCs w:val="20"/>
          <w:color w:val="auto"/>
        </w:rPr>
        <w:tab/>
      </w:r>
      <w:r>
        <w:rPr>
          <w:rFonts w:ascii="Courier New" w:cs="Courier New" w:eastAsia="Courier New" w:hAnsi="Courier New"/>
          <w:sz w:val="15"/>
          <w:szCs w:val="15"/>
          <w:color w:val="auto"/>
        </w:rPr>
        <w:t>1993</w:t>
      </w:r>
      <w:r>
        <w:rPr>
          <w:sz w:val="20"/>
          <w:szCs w:val="20"/>
          <w:color w:val="auto"/>
        </w:rPr>
        <w:tab/>
      </w:r>
      <w:r>
        <w:rPr>
          <w:rFonts w:ascii="Courier New" w:cs="Courier New" w:eastAsia="Courier New" w:hAnsi="Courier New"/>
          <w:sz w:val="14"/>
          <w:szCs w:val="14"/>
          <w:color w:val="auto"/>
        </w:rPr>
        <w:t>1995-94 1994-93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Net Sales (millions):</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Express</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$1,445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3"/>
              </w:rPr>
              <w:t>1,387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1,421</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Lerner New York</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1,005</w:t>
            </w:r>
          </w:p>
        </w:tc>
        <w:tc>
          <w:tcPr>
            <w:tcW w:w="220" w:type="dxa"/>
            <w:vAlign w:val="bottom"/>
          </w:tcPr>
          <w:p>
            <w:pPr>
              <w:spacing w:after="0"/>
              <w:rPr>
                <w:sz w:val="14"/>
                <w:szCs w:val="14"/>
                <w:color w:val="auto"/>
              </w:rPr>
            </w:pP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3"/>
              </w:rPr>
              <w:t>1,019</w:t>
            </w:r>
          </w:p>
        </w:tc>
        <w:tc>
          <w:tcPr>
            <w:tcW w:w="22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1,141</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Lane Bryant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903</w:t>
            </w:r>
          </w:p>
        </w:tc>
        <w:tc>
          <w:tcPr>
            <w:tcW w:w="220" w:type="dxa"/>
            <w:vAlign w:val="bottom"/>
          </w:tcPr>
          <w:p>
            <w:pPr>
              <w:spacing w:after="0"/>
              <w:rPr>
                <w:sz w:val="14"/>
                <w:szCs w:val="14"/>
                <w:color w:val="auto"/>
              </w:rPr>
            </w:pP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959</w:t>
            </w:r>
          </w:p>
        </w:tc>
        <w:tc>
          <w:tcPr>
            <w:tcW w:w="22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928</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Limited Stores</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850</w:t>
            </w:r>
          </w:p>
        </w:tc>
        <w:tc>
          <w:tcPr>
            <w:tcW w:w="220" w:type="dxa"/>
            <w:vAlign w:val="bottom"/>
          </w:tcPr>
          <w:p>
            <w:pPr>
              <w:spacing w:after="0"/>
              <w:rPr>
                <w:sz w:val="14"/>
                <w:szCs w:val="14"/>
                <w:color w:val="auto"/>
              </w:rPr>
            </w:pP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869</w:t>
            </w:r>
          </w:p>
        </w:tc>
        <w:tc>
          <w:tcPr>
            <w:tcW w:w="22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1,084</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Henri Bendel</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91</w:t>
            </w:r>
          </w:p>
        </w:tc>
        <w:tc>
          <w:tcPr>
            <w:tcW w:w="220" w:type="dxa"/>
            <w:vAlign w:val="bottom"/>
          </w:tcPr>
          <w:p>
            <w:pPr>
              <w:spacing w:after="0"/>
              <w:rPr>
                <w:sz w:val="14"/>
                <w:szCs w:val="14"/>
                <w:color w:val="auto"/>
              </w:rPr>
            </w:pP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84</w:t>
            </w:r>
          </w:p>
        </w:tc>
        <w:tc>
          <w:tcPr>
            <w:tcW w:w="22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91</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700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Total Women's Businesses</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$4,294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3"/>
              </w:rPr>
              <w:t>4,318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4,665</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700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Structure</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576</w:t>
            </w:r>
          </w:p>
        </w:tc>
        <w:tc>
          <w:tcPr>
            <w:tcW w:w="220" w:type="dxa"/>
            <w:vAlign w:val="bottom"/>
          </w:tcPr>
          <w:p>
            <w:pPr>
              <w:spacing w:after="0"/>
              <w:rPr>
                <w:sz w:val="14"/>
                <w:szCs w:val="14"/>
                <w:color w:val="auto"/>
              </w:rPr>
            </w:pP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555</w:t>
            </w:r>
          </w:p>
        </w:tc>
        <w:tc>
          <w:tcPr>
            <w:tcW w:w="22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450</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Abercrombie &amp; Fitch Co.</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235</w:t>
            </w:r>
          </w:p>
        </w:tc>
        <w:tc>
          <w:tcPr>
            <w:tcW w:w="220" w:type="dxa"/>
            <w:vAlign w:val="bottom"/>
          </w:tcPr>
          <w:p>
            <w:pPr>
              <w:spacing w:after="0"/>
              <w:rPr>
                <w:sz w:val="14"/>
                <w:szCs w:val="14"/>
                <w:color w:val="auto"/>
              </w:rPr>
            </w:pP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166</w:t>
            </w:r>
          </w:p>
        </w:tc>
        <w:tc>
          <w:tcPr>
            <w:tcW w:w="22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111</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42%</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The Limited Too</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214</w:t>
            </w:r>
          </w:p>
        </w:tc>
        <w:tc>
          <w:tcPr>
            <w:tcW w:w="220" w:type="dxa"/>
            <w:vAlign w:val="bottom"/>
          </w:tcPr>
          <w:p>
            <w:pPr>
              <w:spacing w:after="0"/>
              <w:rPr>
                <w:sz w:val="14"/>
                <w:szCs w:val="14"/>
                <w:color w:val="auto"/>
              </w:rPr>
            </w:pP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174</w:t>
            </w:r>
          </w:p>
        </w:tc>
        <w:tc>
          <w:tcPr>
            <w:tcW w:w="22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146</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Galyan's Trading Co. (since 7/2/95)</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45</w:t>
            </w:r>
          </w:p>
        </w:tc>
        <w:tc>
          <w:tcPr>
            <w:tcW w:w="220" w:type="dxa"/>
            <w:vAlign w:val="bottom"/>
          </w:tcPr>
          <w:p>
            <w:pPr>
              <w:spacing w:after="0"/>
              <w:rPr>
                <w:sz w:val="14"/>
                <w:szCs w:val="14"/>
                <w:color w:val="auto"/>
              </w:rPr>
            </w:pP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Net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242</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Total Emerging Businesses</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$1,070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895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949</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700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Victoria's Secret Stores</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1,286</w:t>
            </w:r>
          </w:p>
        </w:tc>
        <w:tc>
          <w:tcPr>
            <w:tcW w:w="220" w:type="dxa"/>
            <w:vAlign w:val="bottom"/>
          </w:tcPr>
          <w:p>
            <w:pPr>
              <w:spacing w:after="0"/>
              <w:rPr>
                <w:sz w:val="14"/>
                <w:szCs w:val="14"/>
                <w:color w:val="auto"/>
              </w:rPr>
            </w:pP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3"/>
              </w:rPr>
              <w:t>1,181</w:t>
            </w:r>
          </w:p>
        </w:tc>
        <w:tc>
          <w:tcPr>
            <w:tcW w:w="22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991</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Victoria's Secret Catalogue</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661</w:t>
            </w:r>
          </w:p>
        </w:tc>
        <w:tc>
          <w:tcPr>
            <w:tcW w:w="220" w:type="dxa"/>
            <w:vAlign w:val="bottom"/>
          </w:tcPr>
          <w:p>
            <w:pPr>
              <w:spacing w:after="0"/>
              <w:rPr>
                <w:sz w:val="14"/>
                <w:szCs w:val="14"/>
                <w:color w:val="auto"/>
              </w:rPr>
            </w:pP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569</w:t>
            </w:r>
          </w:p>
        </w:tc>
        <w:tc>
          <w:tcPr>
            <w:tcW w:w="22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436</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Bath &amp; Body Works</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475</w:t>
            </w:r>
          </w:p>
        </w:tc>
        <w:tc>
          <w:tcPr>
            <w:tcW w:w="220" w:type="dxa"/>
            <w:vAlign w:val="bottom"/>
          </w:tcPr>
          <w:p>
            <w:pPr>
              <w:spacing w:after="0"/>
              <w:rPr>
                <w:sz w:val="14"/>
                <w:szCs w:val="14"/>
                <w:color w:val="auto"/>
              </w:rPr>
            </w:pP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260</w:t>
            </w:r>
          </w:p>
        </w:tc>
        <w:tc>
          <w:tcPr>
            <w:tcW w:w="22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112</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83%</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132%</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Cacique</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80</w:t>
            </w:r>
          </w:p>
        </w:tc>
        <w:tc>
          <w:tcPr>
            <w:tcW w:w="220" w:type="dxa"/>
            <w:vAlign w:val="bottom"/>
          </w:tcPr>
          <w:p>
            <w:pPr>
              <w:spacing w:after="0"/>
              <w:rPr>
                <w:sz w:val="14"/>
                <w:szCs w:val="14"/>
                <w:color w:val="auto"/>
              </w:rPr>
            </w:pP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92</w:t>
            </w:r>
          </w:p>
        </w:tc>
        <w:tc>
          <w:tcPr>
            <w:tcW w:w="22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86</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w:t>
            </w:r>
          </w:p>
        </w:tc>
        <w:tc>
          <w:tcPr>
            <w:tcW w:w="220" w:type="dxa"/>
            <w:vAlign w:val="bottom"/>
          </w:tcPr>
          <w:p>
            <w:pPr>
              <w:spacing w:after="0"/>
              <w:rPr>
                <w:sz w:val="14"/>
                <w:szCs w:val="14"/>
                <w:color w:val="auto"/>
              </w:rPr>
            </w:pP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w:t>
            </w:r>
          </w:p>
        </w:tc>
        <w:tc>
          <w:tcPr>
            <w:tcW w:w="22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150%</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Total Intimate Brands, Inc.</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$2,517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3"/>
              </w:rPr>
              <w:t>2,108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1,631</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w:t>
            </w:r>
          </w:p>
        </w:tc>
      </w:tr>
      <w:tr>
        <w:trPr>
          <w:trHeight w:val="168"/>
        </w:trPr>
        <w:tc>
          <w:tcPr>
            <w:tcW w:w="700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Total Net Sales</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$7,881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3"/>
              </w:rPr>
              <w:t>7,321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7,245</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w:t>
            </w:r>
          </w:p>
        </w:tc>
      </w:tr>
    </w:tbl>
    <w:p>
      <w:pPr>
        <w:spacing w:after="0" w:line="5" w:lineRule="exact"/>
        <w:rPr>
          <w:sz w:val="20"/>
          <w:szCs w:val="20"/>
          <w:color w:val="auto"/>
        </w:rPr>
      </w:pPr>
    </w:p>
    <w:p>
      <w:pPr>
        <w:ind w:left="180" w:hanging="170"/>
        <w:spacing w:after="0"/>
        <w:tabs>
          <w:tab w:leader="none" w:pos="18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Operating Income (millions):</w:t>
      </w:r>
    </w:p>
    <w:tbl>
      <w:tblPr>
        <w:tblLayout w:type="fixed"/>
        <w:tblInd w:w="0" w:type="dxa"/>
        <w:tblCellMar>
          <w:top w:w="0" w:type="dxa"/>
          <w:left w:w="0" w:type="dxa"/>
          <w:bottom w:w="0" w:type="dxa"/>
          <w:right w:w="0" w:type="dxa"/>
        </w:tblCellMar>
      </w:tblPr>
      <w:tr>
        <w:trPr>
          <w:trHeight w:val="169"/>
        </w:trPr>
        <w:tc>
          <w:tcPr>
            <w:tcW w:w="2720" w:type="dxa"/>
            <w:vAlign w:val="bottom"/>
          </w:tcPr>
          <w:p>
            <w:pPr>
              <w:spacing w:after="0" w:line="169" w:lineRule="exact"/>
              <w:rPr>
                <w:sz w:val="20"/>
                <w:szCs w:val="20"/>
                <w:color w:val="auto"/>
              </w:rPr>
            </w:pPr>
            <w:r>
              <w:rPr>
                <w:rFonts w:ascii="Courier New" w:cs="Courier New" w:eastAsia="Courier New" w:hAnsi="Courier New"/>
                <w:sz w:val="15"/>
                <w:szCs w:val="15"/>
                <w:color w:val="auto"/>
              </w:rPr>
              <w:t>Women's Businesses</w:t>
            </w:r>
          </w:p>
        </w:tc>
        <w:tc>
          <w:tcPr>
            <w:tcW w:w="700" w:type="dxa"/>
            <w:vAlign w:val="bottom"/>
          </w:tcPr>
          <w:p>
            <w:pPr>
              <w:jc w:val="right"/>
              <w:ind w:right="7"/>
              <w:spacing w:after="0" w:line="169"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47"/>
              <w:spacing w:after="0" w:line="169" w:lineRule="exact"/>
              <w:rPr>
                <w:sz w:val="20"/>
                <w:szCs w:val="20"/>
                <w:color w:val="auto"/>
              </w:rPr>
            </w:pPr>
            <w:r>
              <w:rPr>
                <w:rFonts w:ascii="Courier New" w:cs="Courier New" w:eastAsia="Courier New" w:hAnsi="Courier New"/>
                <w:sz w:val="15"/>
                <w:szCs w:val="15"/>
                <w:color w:val="auto"/>
              </w:rPr>
              <w:t>54</w:t>
            </w:r>
          </w:p>
        </w:tc>
        <w:tc>
          <w:tcPr>
            <w:tcW w:w="300" w:type="dxa"/>
            <w:vAlign w:val="bottom"/>
          </w:tcPr>
          <w:p>
            <w:pPr>
              <w:jc w:val="right"/>
              <w:ind w:right="7"/>
              <w:spacing w:after="0" w:line="169"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47"/>
              <w:spacing w:after="0" w:line="169" w:lineRule="exact"/>
              <w:rPr>
                <w:sz w:val="20"/>
                <w:szCs w:val="20"/>
                <w:color w:val="auto"/>
              </w:rPr>
            </w:pPr>
            <w:r>
              <w:rPr>
                <w:rFonts w:ascii="Courier New" w:cs="Courier New" w:eastAsia="Courier New" w:hAnsi="Courier New"/>
                <w:sz w:val="15"/>
                <w:szCs w:val="15"/>
                <w:color w:val="auto"/>
              </w:rPr>
              <w:t>244</w:t>
            </w:r>
          </w:p>
        </w:tc>
        <w:tc>
          <w:tcPr>
            <w:tcW w:w="320" w:type="dxa"/>
            <w:vAlign w:val="bottom"/>
          </w:tcPr>
          <w:p>
            <w:pPr>
              <w:jc w:val="right"/>
              <w:ind w:right="27"/>
              <w:spacing w:after="0" w:line="169"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rPr>
              <w:t>97</w:t>
            </w:r>
          </w:p>
        </w:tc>
        <w:tc>
          <w:tcPr>
            <w:tcW w:w="740" w:type="dxa"/>
            <w:vAlign w:val="bottom"/>
          </w:tcPr>
          <w:p>
            <w:pPr>
              <w:jc w:val="right"/>
              <w:ind w:right="7"/>
              <w:spacing w:after="0" w:line="169" w:lineRule="exact"/>
              <w:rPr>
                <w:sz w:val="20"/>
                <w:szCs w:val="20"/>
                <w:color w:val="auto"/>
              </w:rPr>
            </w:pPr>
            <w:r>
              <w:rPr>
                <w:rFonts w:ascii="Courier New" w:cs="Courier New" w:eastAsia="Courier New" w:hAnsi="Courier New"/>
                <w:sz w:val="15"/>
                <w:szCs w:val="15"/>
                <w:color w:val="auto"/>
              </w:rPr>
              <w:t>(78%)</w:t>
            </w:r>
          </w:p>
        </w:tc>
        <w:tc>
          <w:tcPr>
            <w:tcW w:w="700" w:type="dxa"/>
            <w:vAlign w:val="bottom"/>
          </w:tcPr>
          <w:p>
            <w:pPr>
              <w:jc w:val="right"/>
              <w:ind w:right="187"/>
              <w:spacing w:after="0" w:line="169" w:lineRule="exact"/>
              <w:rPr>
                <w:sz w:val="20"/>
                <w:szCs w:val="20"/>
                <w:color w:val="auto"/>
              </w:rPr>
            </w:pPr>
            <w:r>
              <w:rPr>
                <w:rFonts w:ascii="Courier New" w:cs="Courier New" w:eastAsia="Courier New" w:hAnsi="Courier New"/>
                <w:sz w:val="15"/>
                <w:szCs w:val="15"/>
                <w:color w:val="auto"/>
              </w:rPr>
              <w:t>152%</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Emerging Businesses and Other</w:t>
            </w:r>
          </w:p>
        </w:tc>
        <w:tc>
          <w:tcPr>
            <w:tcW w:w="700" w:type="dxa"/>
            <w:vAlign w:val="bottom"/>
          </w:tcPr>
          <w:p>
            <w:pPr>
              <w:spacing w:after="0"/>
              <w:rPr>
                <w:sz w:val="14"/>
                <w:szCs w:val="14"/>
                <w:color w:val="auto"/>
              </w:rPr>
            </w:pPr>
          </w:p>
        </w:tc>
        <w:tc>
          <w:tcPr>
            <w:tcW w:w="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173</w:t>
            </w:r>
          </w:p>
        </w:tc>
        <w:tc>
          <w:tcPr>
            <w:tcW w:w="300" w:type="dxa"/>
            <w:vAlign w:val="bottom"/>
          </w:tcPr>
          <w:p>
            <w:pPr>
              <w:spacing w:after="0"/>
              <w:rPr>
                <w:sz w:val="14"/>
                <w:szCs w:val="14"/>
                <w:color w:val="auto"/>
              </w:rPr>
            </w:pPr>
          </w:p>
        </w:tc>
        <w:tc>
          <w:tcPr>
            <w:tcW w:w="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217</w:t>
            </w:r>
          </w:p>
        </w:tc>
        <w:tc>
          <w:tcPr>
            <w:tcW w:w="320" w:type="dxa"/>
            <w:vAlign w:val="bottom"/>
          </w:tcPr>
          <w:p>
            <w:pPr>
              <w:spacing w:after="0"/>
              <w:rPr>
                <w:sz w:val="14"/>
                <w:szCs w:val="14"/>
                <w:color w:val="auto"/>
              </w:rPr>
            </w:pPr>
          </w:p>
        </w:tc>
        <w:tc>
          <w:tcPr>
            <w:tcW w:w="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387</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(44%)</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Intimate Brands, Inc.</w:t>
            </w:r>
          </w:p>
        </w:tc>
        <w:tc>
          <w:tcPr>
            <w:tcW w:w="700" w:type="dxa"/>
            <w:vAlign w:val="bottom"/>
          </w:tcPr>
          <w:p>
            <w:pPr>
              <w:spacing w:after="0"/>
              <w:rPr>
                <w:sz w:val="14"/>
                <w:szCs w:val="14"/>
                <w:color w:val="auto"/>
              </w:rPr>
            </w:pPr>
          </w:p>
        </w:tc>
        <w:tc>
          <w:tcPr>
            <w:tcW w:w="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386</w:t>
            </w:r>
          </w:p>
        </w:tc>
        <w:tc>
          <w:tcPr>
            <w:tcW w:w="300" w:type="dxa"/>
            <w:vAlign w:val="bottom"/>
          </w:tcPr>
          <w:p>
            <w:pPr>
              <w:spacing w:after="0"/>
              <w:rPr>
                <w:sz w:val="14"/>
                <w:szCs w:val="14"/>
                <w:color w:val="auto"/>
              </w:rPr>
            </w:pPr>
          </w:p>
        </w:tc>
        <w:tc>
          <w:tcPr>
            <w:tcW w:w="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338</w:t>
            </w:r>
          </w:p>
        </w:tc>
        <w:tc>
          <w:tcPr>
            <w:tcW w:w="320" w:type="dxa"/>
            <w:vAlign w:val="bottom"/>
          </w:tcPr>
          <w:p>
            <w:pPr>
              <w:spacing w:after="0"/>
              <w:rPr>
                <w:sz w:val="14"/>
                <w:szCs w:val="14"/>
                <w:color w:val="auto"/>
              </w:rPr>
            </w:pPr>
          </w:p>
        </w:tc>
        <w:tc>
          <w:tcPr>
            <w:tcW w:w="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218</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w:t>
            </w:r>
          </w:p>
        </w:tc>
      </w:tr>
      <w:tr>
        <w:trPr>
          <w:trHeight w:val="168"/>
        </w:trPr>
        <w:tc>
          <w:tcPr>
            <w:tcW w:w="2720" w:type="dxa"/>
            <w:vAlign w:val="bottom"/>
          </w:tcPr>
          <w:p>
            <w:pPr>
              <w:spacing w:after="0"/>
              <w:rPr>
                <w:sz w:val="14"/>
                <w:szCs w:val="14"/>
                <w:color w:val="auto"/>
              </w:rPr>
            </w:pPr>
          </w:p>
        </w:tc>
        <w:tc>
          <w:tcPr>
            <w:tcW w:w="428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Total Operating Income</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613</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799</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702</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w:t>
            </w:r>
          </w:p>
        </w:tc>
      </w:tr>
    </w:tbl>
    <w:p>
      <w:pPr>
        <w:spacing w:after="0" w:line="5" w:lineRule="exact"/>
        <w:rPr>
          <w:sz w:val="20"/>
          <w:szCs w:val="20"/>
          <w:color w:val="auto"/>
        </w:rPr>
      </w:pPr>
    </w:p>
    <w:p>
      <w:pPr>
        <w:ind w:left="180" w:hanging="170"/>
        <w:spacing w:after="0"/>
        <w:tabs>
          <w:tab w:leader="none" w:pos="18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Increase (Decrease) in</w:t>
      </w:r>
    </w:p>
    <w:tbl>
      <w:tblPr>
        <w:tblLayout w:type="fixed"/>
        <w:tblInd w:w="0" w:type="dxa"/>
        <w:tblCellMar>
          <w:top w:w="0" w:type="dxa"/>
          <w:left w:w="0" w:type="dxa"/>
          <w:bottom w:w="0" w:type="dxa"/>
          <w:right w:w="0" w:type="dxa"/>
        </w:tblCellMar>
      </w:tblPr>
      <w:tr>
        <w:trPr>
          <w:trHeight w:val="169"/>
        </w:trPr>
        <w:tc>
          <w:tcPr>
            <w:tcW w:w="2860" w:type="dxa"/>
            <w:vAlign w:val="bottom"/>
          </w:tcPr>
          <w:p>
            <w:pPr>
              <w:ind w:left="180"/>
              <w:spacing w:after="0" w:line="169" w:lineRule="exact"/>
              <w:rPr>
                <w:sz w:val="20"/>
                <w:szCs w:val="20"/>
                <w:color w:val="auto"/>
              </w:rPr>
            </w:pPr>
            <w:r>
              <w:rPr>
                <w:rFonts w:ascii="Courier New" w:cs="Courier New" w:eastAsia="Courier New" w:hAnsi="Courier New"/>
                <w:sz w:val="15"/>
                <w:szCs w:val="15"/>
                <w:color w:val="auto"/>
              </w:rPr>
              <w:t>Comparable Store Sales:</w:t>
            </w: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Express</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Lerner New York</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Lane Bryant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Limited Stores</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Henri Bendel</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2860" w:type="dxa"/>
            <w:vAlign w:val="bottom"/>
          </w:tcPr>
          <w:p>
            <w:pPr>
              <w:spacing w:after="0"/>
              <w:rPr>
                <w:sz w:val="14"/>
                <w:szCs w:val="14"/>
                <w:color w:val="auto"/>
              </w:rPr>
            </w:pPr>
          </w:p>
        </w:tc>
        <w:tc>
          <w:tcPr>
            <w:tcW w:w="25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8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Total Women's Businesses</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2860" w:type="dxa"/>
            <w:vAlign w:val="bottom"/>
          </w:tcPr>
          <w:p>
            <w:pPr>
              <w:spacing w:after="0"/>
              <w:rPr>
                <w:sz w:val="14"/>
                <w:szCs w:val="14"/>
                <w:color w:val="auto"/>
              </w:rPr>
            </w:pPr>
          </w:p>
        </w:tc>
        <w:tc>
          <w:tcPr>
            <w:tcW w:w="25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Structure</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Abercrombie &amp; Fitch Co.</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The Limited Too</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2860" w:type="dxa"/>
            <w:vAlign w:val="bottom"/>
          </w:tcPr>
          <w:p>
            <w:pPr>
              <w:spacing w:after="0"/>
              <w:rPr>
                <w:sz w:val="14"/>
                <w:szCs w:val="14"/>
                <w:color w:val="auto"/>
              </w:rPr>
            </w:pPr>
          </w:p>
        </w:tc>
        <w:tc>
          <w:tcPr>
            <w:tcW w:w="25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8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Total Emerging Businesses</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2860" w:type="dxa"/>
            <w:vAlign w:val="bottom"/>
          </w:tcPr>
          <w:p>
            <w:pPr>
              <w:spacing w:after="0"/>
              <w:rPr>
                <w:sz w:val="14"/>
                <w:szCs w:val="14"/>
                <w:color w:val="auto"/>
              </w:rPr>
            </w:pPr>
          </w:p>
        </w:tc>
        <w:tc>
          <w:tcPr>
            <w:tcW w:w="25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Victoria's Secret Stores</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Bath &amp; Body Works</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Cacique</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2860" w:type="dxa"/>
            <w:vAlign w:val="bottom"/>
          </w:tcPr>
          <w:p>
            <w:pPr>
              <w:spacing w:after="0"/>
              <w:rPr>
                <w:sz w:val="14"/>
                <w:szCs w:val="14"/>
                <w:color w:val="auto"/>
              </w:rPr>
            </w:pPr>
          </w:p>
        </w:tc>
        <w:tc>
          <w:tcPr>
            <w:tcW w:w="25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8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Total Intimate Brands, Inc.</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2860" w:type="dxa"/>
            <w:vAlign w:val="bottom"/>
          </w:tcPr>
          <w:p>
            <w:pPr>
              <w:spacing w:after="0"/>
              <w:rPr>
                <w:sz w:val="14"/>
                <w:szCs w:val="14"/>
                <w:color w:val="auto"/>
              </w:rPr>
            </w:pPr>
          </w:p>
        </w:tc>
        <w:tc>
          <w:tcPr>
            <w:tcW w:w="25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8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Total Comparable Stores Sales</w:t>
            </w: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2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(Decrease)</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r>
    </w:tbl>
    <w:p>
      <w:pPr>
        <w:spacing w:after="0" w:line="5" w:lineRule="exact"/>
        <w:rPr>
          <w:sz w:val="20"/>
          <w:szCs w:val="20"/>
          <w:color w:val="auto"/>
        </w:rPr>
      </w:pPr>
    </w:p>
    <w:p>
      <w:pPr>
        <w:ind w:left="180" w:hanging="170"/>
        <w:spacing w:after="0"/>
        <w:tabs>
          <w:tab w:leader="none" w:pos="18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Retail Sales Increase Attributable</w:t>
      </w:r>
    </w:p>
    <w:tbl>
      <w:tblPr>
        <w:tblLayout w:type="fixed"/>
        <w:tblInd w:w="0" w:type="dxa"/>
        <w:tblCellMar>
          <w:top w:w="0" w:type="dxa"/>
          <w:left w:w="0" w:type="dxa"/>
          <w:bottom w:w="0" w:type="dxa"/>
          <w:right w:w="0" w:type="dxa"/>
        </w:tblCellMar>
      </w:tblPr>
      <w:tr>
        <w:trPr>
          <w:trHeight w:val="169"/>
        </w:trPr>
        <w:tc>
          <w:tcPr>
            <w:tcW w:w="2900" w:type="dxa"/>
            <w:vAlign w:val="bottom"/>
            <w:gridSpan w:val="2"/>
          </w:tcPr>
          <w:p>
            <w:pPr>
              <w:ind w:left="180"/>
              <w:spacing w:after="0" w:line="169" w:lineRule="exact"/>
              <w:rPr>
                <w:sz w:val="20"/>
                <w:szCs w:val="20"/>
                <w:color w:val="auto"/>
              </w:rPr>
            </w:pPr>
            <w:r>
              <w:rPr>
                <w:rFonts w:ascii="Courier New" w:cs="Courier New" w:eastAsia="Courier New" w:hAnsi="Courier New"/>
                <w:sz w:val="15"/>
                <w:szCs w:val="15"/>
                <w:color w:val="auto"/>
              </w:rPr>
              <w:t>to New and Remodeled Stores</w:t>
            </w:r>
          </w:p>
        </w:tc>
        <w:tc>
          <w:tcPr>
            <w:tcW w:w="440" w:type="dxa"/>
            <w:vAlign w:val="bottom"/>
          </w:tcPr>
          <w:p>
            <w:pPr>
              <w:spacing w:after="0"/>
              <w:rPr>
                <w:sz w:val="14"/>
                <w:szCs w:val="14"/>
                <w:color w:val="auto"/>
              </w:rPr>
            </w:pPr>
          </w:p>
        </w:tc>
        <w:tc>
          <w:tcPr>
            <w:tcW w:w="600" w:type="dxa"/>
            <w:vAlign w:val="bottom"/>
          </w:tcPr>
          <w:p>
            <w:pPr>
              <w:jc w:val="right"/>
              <w:ind w:right="87"/>
              <w:spacing w:after="0" w:line="169" w:lineRule="exact"/>
              <w:rPr>
                <w:sz w:val="20"/>
                <w:szCs w:val="20"/>
                <w:color w:val="auto"/>
              </w:rPr>
            </w:pPr>
            <w:r>
              <w:rPr>
                <w:rFonts w:ascii="Courier New" w:cs="Courier New" w:eastAsia="Courier New" w:hAnsi="Courier New"/>
                <w:sz w:val="15"/>
                <w:szCs w:val="15"/>
                <w:color w:val="auto"/>
              </w:rPr>
              <w:t>9%</w:t>
            </w:r>
          </w:p>
        </w:tc>
        <w:tc>
          <w:tcPr>
            <w:tcW w:w="180" w:type="dxa"/>
            <w:vAlign w:val="bottom"/>
          </w:tcPr>
          <w:p>
            <w:pPr>
              <w:spacing w:after="0"/>
              <w:rPr>
                <w:sz w:val="14"/>
                <w:szCs w:val="14"/>
                <w:color w:val="auto"/>
              </w:rPr>
            </w:pPr>
          </w:p>
        </w:tc>
        <w:tc>
          <w:tcPr>
            <w:tcW w:w="62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6%</w:t>
            </w:r>
          </w:p>
        </w:tc>
        <w:tc>
          <w:tcPr>
            <w:tcW w:w="160" w:type="dxa"/>
            <w:vAlign w:val="bottom"/>
          </w:tcPr>
          <w:p>
            <w:pPr>
              <w:spacing w:after="0"/>
              <w:rPr>
                <w:sz w:val="14"/>
                <w:szCs w:val="14"/>
                <w:color w:val="auto"/>
              </w:rPr>
            </w:pPr>
          </w:p>
        </w:tc>
        <w:tc>
          <w:tcPr>
            <w:tcW w:w="760" w:type="dxa"/>
            <w:vAlign w:val="bottom"/>
          </w:tcPr>
          <w:p>
            <w:pPr>
              <w:jc w:val="right"/>
              <w:ind w:right="247"/>
              <w:spacing w:after="0" w:line="169" w:lineRule="exact"/>
              <w:rPr>
                <w:sz w:val="20"/>
                <w:szCs w:val="20"/>
                <w:color w:val="auto"/>
              </w:rPr>
            </w:pPr>
            <w:r>
              <w:rPr>
                <w:rFonts w:ascii="Courier New" w:cs="Courier New" w:eastAsia="Courier New" w:hAnsi="Courier New"/>
                <w:sz w:val="15"/>
                <w:szCs w:val="15"/>
                <w:color w:val="auto"/>
              </w:rPr>
              <w:t>8%</w:t>
            </w: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29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Retail Sales per Average</w:t>
            </w: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Selling</w:t>
            </w:r>
          </w:p>
        </w:tc>
        <w:tc>
          <w:tcPr>
            <w:tcW w:w="2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Square Foot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272</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270</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278</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29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Retail Sales per Average Store</w:t>
            </w: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29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(thousands)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3"/>
              </w:rPr>
              <w:t>1,419</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1,423</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3"/>
              </w:rPr>
              <w:t>1,452</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29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Average Store Size at End of Year</w:t>
            </w: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(square</w:t>
            </w:r>
          </w:p>
        </w:tc>
        <w:tc>
          <w:tcPr>
            <w:tcW w:w="2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feet)</w:t>
            </w:r>
          </w:p>
        </w:tc>
        <w:tc>
          <w:tcPr>
            <w:tcW w:w="44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3"/>
              </w:rPr>
              <w:t>5,172</w:t>
            </w:r>
          </w:p>
        </w:tc>
        <w:tc>
          <w:tcPr>
            <w:tcW w:w="18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5,265</w:t>
            </w:r>
          </w:p>
        </w:tc>
        <w:tc>
          <w:tcPr>
            <w:tcW w:w="160" w:type="dxa"/>
            <w:vAlign w:val="bottom"/>
          </w:tcPr>
          <w:p>
            <w:pPr>
              <w:spacing w:after="0"/>
              <w:rPr>
                <w:sz w:val="14"/>
                <w:szCs w:val="14"/>
                <w:color w:val="auto"/>
              </w:rPr>
            </w:pPr>
          </w:p>
        </w:tc>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3"/>
              </w:rPr>
              <w:t>5,284</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w:t>
            </w:r>
          </w:p>
        </w:tc>
        <w:tc>
          <w:tcPr>
            <w:tcW w:w="4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Retail Selling Square Feet</w:t>
            </w: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29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(thousands)</w:t>
            </w: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27,403</w:t>
            </w:r>
          </w:p>
        </w:tc>
        <w:tc>
          <w:tcPr>
            <w:tcW w:w="8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25,627</w:t>
            </w:r>
          </w:p>
        </w:tc>
        <w:tc>
          <w:tcPr>
            <w:tcW w:w="9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24,426</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w:t>
            </w:r>
          </w:p>
        </w:tc>
        <w:tc>
          <w:tcPr>
            <w:tcW w:w="4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w:t>
            </w: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Number of</w:t>
            </w:r>
          </w:p>
        </w:tc>
        <w:tc>
          <w:tcPr>
            <w:tcW w:w="2060" w:type="dxa"/>
            <w:vAlign w:val="bottom"/>
          </w:tcPr>
          <w:p>
            <w:pPr>
              <w:ind w:left="40"/>
              <w:spacing w:after="0"/>
              <w:rPr>
                <w:sz w:val="20"/>
                <w:szCs w:val="20"/>
                <w:color w:val="auto"/>
              </w:rPr>
            </w:pPr>
            <w:r>
              <w:rPr>
                <w:rFonts w:ascii="Courier New" w:cs="Courier New" w:eastAsia="Courier New" w:hAnsi="Courier New"/>
                <w:sz w:val="15"/>
                <w:szCs w:val="15"/>
                <w:color w:val="auto"/>
              </w:rPr>
              <w:t>Stores:</w:t>
            </w: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Beginning</w:t>
            </w:r>
          </w:p>
        </w:tc>
        <w:tc>
          <w:tcPr>
            <w:tcW w:w="2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Year</w:t>
            </w:r>
          </w:p>
        </w:tc>
        <w:tc>
          <w:tcPr>
            <w:tcW w:w="44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3"/>
              </w:rPr>
              <w:t>4,867</w:t>
            </w:r>
          </w:p>
        </w:tc>
        <w:tc>
          <w:tcPr>
            <w:tcW w:w="18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4,623</w:t>
            </w:r>
          </w:p>
        </w:tc>
        <w:tc>
          <w:tcPr>
            <w:tcW w:w="160" w:type="dxa"/>
            <w:vAlign w:val="bottom"/>
          </w:tcPr>
          <w:p>
            <w:pPr>
              <w:spacing w:after="0"/>
              <w:rPr>
                <w:sz w:val="14"/>
                <w:szCs w:val="14"/>
                <w:color w:val="auto"/>
              </w:rPr>
            </w:pPr>
          </w:p>
        </w:tc>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3"/>
              </w:rPr>
              <w:t>4,425</w:t>
            </w: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Opened</w:t>
            </w:r>
          </w:p>
        </w:tc>
        <w:tc>
          <w:tcPr>
            <w:tcW w:w="2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504</w:t>
            </w:r>
          </w:p>
        </w:tc>
        <w:tc>
          <w:tcPr>
            <w:tcW w:w="18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358</w:t>
            </w:r>
          </w:p>
        </w:tc>
        <w:tc>
          <w:tcPr>
            <w:tcW w:w="160" w:type="dxa"/>
            <w:vAlign w:val="bottom"/>
          </w:tcPr>
          <w:p>
            <w:pPr>
              <w:spacing w:after="0"/>
              <w:rPr>
                <w:sz w:val="14"/>
                <w:szCs w:val="14"/>
                <w:color w:val="auto"/>
              </w:rPr>
            </w:pPr>
          </w:p>
        </w:tc>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322</w:t>
            </w: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290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Acquired</w:t>
            </w:r>
          </w:p>
        </w:tc>
        <w:tc>
          <w:tcPr>
            <w:tcW w:w="44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w:t>
            </w:r>
          </w:p>
        </w:tc>
        <w:tc>
          <w:tcPr>
            <w:tcW w:w="18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Closed</w:t>
            </w:r>
          </w:p>
        </w:tc>
        <w:tc>
          <w:tcPr>
            <w:tcW w:w="2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w:t>
            </w:r>
          </w:p>
        </w:tc>
        <w:tc>
          <w:tcPr>
            <w:tcW w:w="1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(114)</w:t>
            </w:r>
          </w:p>
        </w:tc>
        <w:tc>
          <w:tcPr>
            <w:tcW w:w="16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(124)</w:t>
            </w: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8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760" w:type="dxa"/>
            <w:vAlign w:val="bottom"/>
            <w:gridSpan w:val="6"/>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w:t>
            </w: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29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End of Year</w:t>
            </w:r>
          </w:p>
        </w:tc>
        <w:tc>
          <w:tcPr>
            <w:tcW w:w="44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3"/>
              </w:rPr>
              <w:t>5,298</w:t>
            </w:r>
          </w:p>
        </w:tc>
        <w:tc>
          <w:tcPr>
            <w:tcW w:w="18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4,867</w:t>
            </w:r>
          </w:p>
        </w:tc>
        <w:tc>
          <w:tcPr>
            <w:tcW w:w="160" w:type="dxa"/>
            <w:vAlign w:val="bottom"/>
          </w:tcPr>
          <w:p>
            <w:pPr>
              <w:spacing w:after="0"/>
              <w:rPr>
                <w:sz w:val="14"/>
                <w:szCs w:val="14"/>
                <w:color w:val="auto"/>
              </w:rPr>
            </w:pPr>
          </w:p>
        </w:tc>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3"/>
              </w:rPr>
              <w:t>4,623</w:t>
            </w: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r>
    </w:tbl>
    <w:p>
      <w:pPr>
        <w:spacing w:after="0" w:line="173" w:lineRule="exact"/>
        <w:rPr>
          <w:sz w:val="20"/>
          <w:szCs w:val="20"/>
          <w:color w:val="auto"/>
        </w:rPr>
      </w:pPr>
    </w:p>
    <w:p>
      <w:pPr>
        <w:ind w:left="180" w:hanging="170"/>
        <w:spacing w:after="0"/>
        <w:tabs>
          <w:tab w:leader="none" w:pos="18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9" w:lineRule="exact"/>
        <w:rPr>
          <w:rFonts w:ascii="Courier New" w:cs="Courier New" w:eastAsia="Courier New" w:hAnsi="Courier New"/>
          <w:sz w:val="14"/>
          <w:szCs w:val="14"/>
          <w:color w:val="auto"/>
        </w:rPr>
      </w:pPr>
    </w:p>
    <w:p>
      <w:pPr>
        <w:ind w:left="51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The Limited, Inc.  43</w:t>
      </w:r>
    </w:p>
    <w:p>
      <w:pPr>
        <w:sectPr>
          <w:pgSz w:w="11900" w:h="16838" w:orient="portrait"/>
          <w:cols w:equalWidth="0" w:num="1">
            <w:col w:w="10239"/>
          </w:cols>
          <w:pgMar w:left="220" w:top="617" w:right="1440" w:bottom="0" w:gutter="0" w:footer="0" w:header="0"/>
        </w:sectPr>
      </w:pPr>
    </w:p>
    <w:bookmarkStart w:id="132" w:name="page133"/>
    <w:bookmarkEnd w:id="132"/>
    <w:p>
      <w:pPr>
        <w:spacing w:after="0"/>
        <w:rPr>
          <w:sz w:val="20"/>
          <w:szCs w:val="20"/>
          <w:color w:val="auto"/>
        </w:rPr>
      </w:pPr>
      <w:r>
        <w:rPr>
          <w:rFonts w:ascii="Courier New" w:cs="Courier New" w:eastAsia="Courier New" w:hAnsi="Courier New"/>
          <w:sz w:val="15"/>
          <w:szCs w:val="15"/>
          <w:color w:val="auto"/>
        </w:rPr>
        <w:t>Net Sales</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Fourteen-week fourth quarter 1995 sales as compared to sales for the thirteen-week fourth quarter 1994 increased 9% to $2.771 billion due to a 9% increase in sales attributable to new and remodeled stores and a 4% increase due to the fifty-third week, offset by a 4% decrease in comparable store sales resulting from a very difficult Holiday and promotional retail environment. Fourth quarter 1994 sales as compared to 1993 increased 5% to $2.539 billion due to a 9% increase in sales attributable to new and remodeled stores, offset by a 4% decrease in comparable store sales.</w:t>
      </w:r>
    </w:p>
    <w:p>
      <w:pPr>
        <w:spacing w:after="0" w:line="177" w:lineRule="exact"/>
        <w:rPr>
          <w:sz w:val="20"/>
          <w:szCs w:val="20"/>
          <w:color w:val="auto"/>
        </w:rPr>
      </w:pPr>
    </w:p>
    <w:p>
      <w:pPr>
        <w:ind w:right="3679" w:firstLine="262"/>
        <w:spacing w:after="0" w:line="255" w:lineRule="auto"/>
        <w:rPr>
          <w:sz w:val="20"/>
          <w:szCs w:val="20"/>
          <w:color w:val="auto"/>
        </w:rPr>
      </w:pPr>
      <w:r>
        <w:rPr>
          <w:rFonts w:ascii="Courier New" w:cs="Courier New" w:eastAsia="Courier New" w:hAnsi="Courier New"/>
          <w:sz w:val="14"/>
          <w:szCs w:val="14"/>
          <w:color w:val="auto"/>
        </w:rPr>
        <w:t>The 1995 retail sales increase is attributable to a 9% increase in sales due to the net addition of new and remodeled stores and a 1% increase due to the fifty-third week, which was partially offset by a 2% decline in comparable store sales. The Company added 504 new stores in 1995, acquired 6 stores via the purchase of Galyan's Trading Company, Inc., remodeled 284 stores and closed 79 stores for a net addition of 431 stores representing approximately 1.8 million square feet of new retail selling space. Average sales productivity increased slightly to $272 per square foot.</w:t>
      </w:r>
    </w:p>
    <w:p>
      <w:pPr>
        <w:spacing w:after="0" w:line="166" w:lineRule="exact"/>
        <w:rPr>
          <w:sz w:val="20"/>
          <w:szCs w:val="20"/>
          <w:color w:val="auto"/>
        </w:rPr>
      </w:pPr>
    </w:p>
    <w:p>
      <w:pPr>
        <w:ind w:right="3319" w:firstLine="262"/>
        <w:spacing w:after="0" w:line="254" w:lineRule="auto"/>
        <w:rPr>
          <w:sz w:val="20"/>
          <w:szCs w:val="20"/>
          <w:color w:val="auto"/>
        </w:rPr>
      </w:pPr>
      <w:r>
        <w:rPr>
          <w:rFonts w:ascii="Courier New" w:cs="Courier New" w:eastAsia="Courier New" w:hAnsi="Courier New"/>
          <w:sz w:val="14"/>
          <w:szCs w:val="14"/>
          <w:color w:val="auto"/>
        </w:rPr>
        <w:t>In 1995, approximately $409 million, or 73%, of the sales increase came from the IBI businesses. These businesses added collectively 256 net new stores representing over 800,000 square feet and experienced a comparable store sales increase of 1%. Catalogue sales increased by $92 million, or 16%, due to a 25% increase in catalogue mailings. The balance of the sales increase came from the emerging businesses which include Structure, Abercrombie</w:t>
      </w:r>
    </w:p>
    <w:p>
      <w:pPr>
        <w:spacing w:after="0" w:line="2" w:lineRule="exact"/>
        <w:rPr>
          <w:sz w:val="20"/>
          <w:szCs w:val="20"/>
          <w:color w:val="auto"/>
        </w:rPr>
      </w:pPr>
    </w:p>
    <w:p>
      <w:pPr>
        <w:ind w:right="3759" w:firstLine="10"/>
        <w:spacing w:after="0" w:line="234" w:lineRule="auto"/>
        <w:tabs>
          <w:tab w:leader="none" w:pos="175"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Fitch Co. and The Limited Too, as sales from the women's businesses were essentially flat to 1994.</w:t>
      </w:r>
    </w:p>
    <w:p>
      <w:pPr>
        <w:spacing w:after="0" w:line="173" w:lineRule="exact"/>
        <w:rPr>
          <w:sz w:val="20"/>
          <w:szCs w:val="20"/>
          <w:color w:val="auto"/>
        </w:rPr>
      </w:pPr>
    </w:p>
    <w:p>
      <w:pPr>
        <w:ind w:right="3579" w:firstLine="262"/>
        <w:spacing w:after="0" w:line="236" w:lineRule="auto"/>
        <w:rPr>
          <w:sz w:val="20"/>
          <w:szCs w:val="20"/>
          <w:color w:val="auto"/>
        </w:rPr>
      </w:pPr>
      <w:r>
        <w:rPr>
          <w:rFonts w:ascii="Courier New" w:cs="Courier New" w:eastAsia="Courier New" w:hAnsi="Courier New"/>
          <w:sz w:val="15"/>
          <w:szCs w:val="15"/>
          <w:color w:val="auto"/>
        </w:rPr>
        <w:t>The 1994 retail sales increase is attributable to the net addition of new and remodeled stores, which was partially offset by a 3% decline in comparable store sales. The Company added 358 new stores in 1994, remodeled 226 stores and closed 114 stores for a net addition of 244 stores including in excess of 1.2 million square feet of new retail selling space. Consistent with the comparable store sales decline, average sales productivity declined slightly to $270 per square foot.</w:t>
      </w:r>
    </w:p>
    <w:p>
      <w:pPr>
        <w:spacing w:after="0" w:line="169"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In 1994, the IBI businesses posted a $477 million sales increase over</w:t>
      </w:r>
    </w:p>
    <w:p>
      <w:pPr>
        <w:spacing w:after="0" w:line="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prior year due to the net addition of 158 stores representing over 500,000 selling square feet, a 13% increase in comparable store sales and a 39% increase in catalogues mailed by Victoria's Secret Catalogue. Additionally, sales at the men's businesses were up 29% due to the net addition of 90 stores and comparable store sales increases. However, most of the increases were offset by the poor performance of the women's businesses, which experienced a 7% sales decline and the loss of sales revenue from the Brylane Catalogue division which was included in 1993 sales results through the date of sale, August 30, 1993.</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Gross Income</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Gross income decreased as a percentage of sales to 29.2% for the fourteen-week fourth quarter of 1995 from 32.8% for the thirteen-week fourth quarter in 1994. Merchandise margins, expressed as a percentage of sales, decreased</w:t>
      </w:r>
    </w:p>
    <w:p>
      <w:pPr>
        <w:spacing w:after="0" w:line="5"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2.8%, due principally to higher markdowns in 1995, which were used to both clear slow moving inventories and to stimulate sales in a slow retail environment. Buying and occupancy costs rose .6% as a percentage of sales, primarily due to the lower sales productivity associated with the 5% decreases in comparable store sales at the women's businesses and a 10% comparable store sales decline in the men's and kids' businesses. In addition, higher catalogue costs due to significant price increases in paper and postage, along with increased mailings exacerbated the buying and occupancy increase.</w:t>
      </w:r>
    </w:p>
    <w:p>
      <w:pPr>
        <w:spacing w:after="0" w:line="166" w:lineRule="exact"/>
        <w:rPr>
          <w:sz w:val="20"/>
          <w:szCs w:val="20"/>
          <w:color w:val="auto"/>
        </w:rPr>
      </w:pPr>
    </w:p>
    <w:p>
      <w:pPr>
        <w:ind w:right="3319" w:firstLine="262"/>
        <w:spacing w:after="0" w:line="236" w:lineRule="auto"/>
        <w:rPr>
          <w:sz w:val="20"/>
          <w:szCs w:val="20"/>
          <w:color w:val="auto"/>
        </w:rPr>
      </w:pPr>
      <w:r>
        <w:rPr>
          <w:rFonts w:ascii="Courier New" w:cs="Courier New" w:eastAsia="Courier New" w:hAnsi="Courier New"/>
          <w:sz w:val="15"/>
          <w:szCs w:val="15"/>
          <w:color w:val="auto"/>
        </w:rPr>
        <w:t>Gross income increased as a percentage of sales to 32.8% for the fourth quarter of 1994 from 29.1% for the same period in 1993. Merchandise margins, expressed as a percentage of sales, increased 4.4%, as the Company was less price promotional than a year earlier. However, the merchandise margin increase was partially offset by a .7% increase in buying and occupancy costs, expressed as a percentage of sales, primarily as a result of lower sales productivity associated with an 11% decrease in the women's businesses comparable store sales.</w:t>
      </w:r>
    </w:p>
    <w:p>
      <w:pPr>
        <w:spacing w:after="0" w:line="177" w:lineRule="exact"/>
        <w:rPr>
          <w:sz w:val="20"/>
          <w:szCs w:val="20"/>
          <w:color w:val="auto"/>
        </w:rPr>
      </w:pPr>
    </w:p>
    <w:p>
      <w:pPr>
        <w:ind w:right="3319" w:firstLine="262"/>
        <w:spacing w:after="0" w:line="255" w:lineRule="auto"/>
        <w:rPr>
          <w:sz w:val="20"/>
          <w:szCs w:val="20"/>
          <w:color w:val="auto"/>
        </w:rPr>
      </w:pPr>
      <w:r>
        <w:rPr>
          <w:rFonts w:ascii="Courier New" w:cs="Courier New" w:eastAsia="Courier New" w:hAnsi="Courier New"/>
          <w:sz w:val="14"/>
          <w:szCs w:val="14"/>
          <w:color w:val="auto"/>
        </w:rPr>
        <w:t>The 53-week 1995 gross income rate of 26.5% fell 2.4% below the rate for the 52-week fiscal year in 1994. Merchandise margins, expressed as a percentage of sales, decreased 1.6%, due to higher 1995 markdowns utilized principally in the Fall season for the reasons previously mentioned above. Buying and occupancy costs also increased .7% as a percentage of sales, primarily due to the lower sales productivity associated with the 3% decrease in comparable store sales in the women's businesses and a 5% decline in comparable store sales in the men's and kids' businesses. Again, an increase in paper prices and postage along with increased mailings of catalogues also increased the buying and occupancy rate.</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44 The Limited, Inc.</w:t>
      </w:r>
    </w:p>
    <w:p>
      <w:pPr>
        <w:sectPr>
          <w:pgSz w:w="11900" w:h="16838" w:orient="portrait"/>
          <w:cols w:equalWidth="0" w:num="1">
            <w:col w:w="10239"/>
          </w:cols>
          <w:pgMar w:left="220" w:top="617" w:right="1440" w:bottom="1440" w:gutter="0" w:footer="0" w:header="0"/>
        </w:sectPr>
      </w:pPr>
    </w:p>
    <w:bookmarkStart w:id="133" w:name="page134"/>
    <w:bookmarkEnd w:id="133"/>
    <w:p>
      <w:pPr>
        <w:ind w:right="3939" w:firstLine="262"/>
        <w:spacing w:after="0" w:line="254" w:lineRule="auto"/>
        <w:rPr>
          <w:sz w:val="20"/>
          <w:szCs w:val="20"/>
          <w:color w:val="auto"/>
        </w:rPr>
      </w:pPr>
      <w:r>
        <w:rPr>
          <w:rFonts w:ascii="Courier New" w:cs="Courier New" w:eastAsia="Courier New" w:hAnsi="Courier New"/>
          <w:sz w:val="14"/>
          <w:szCs w:val="14"/>
          <w:color w:val="auto"/>
        </w:rPr>
        <w:t>The 1994 gross income rate of 28.9% increased 1.9% above the rate for 1993. Merchandise margins, expressed as a percentage of sales, increased</w:t>
      </w:r>
    </w:p>
    <w:p>
      <w:pPr>
        <w:spacing w:after="0" w:line="1" w:lineRule="exact"/>
        <w:rPr>
          <w:sz w:val="20"/>
          <w:szCs w:val="20"/>
          <w:color w:val="auto"/>
        </w:rPr>
      </w:pPr>
    </w:p>
    <w:p>
      <w:pPr>
        <w:ind w:right="3759"/>
        <w:spacing w:after="0" w:line="254" w:lineRule="auto"/>
        <w:rPr>
          <w:sz w:val="20"/>
          <w:szCs w:val="20"/>
          <w:color w:val="auto"/>
        </w:rPr>
      </w:pPr>
      <w:r>
        <w:rPr>
          <w:rFonts w:ascii="Courier New" w:cs="Courier New" w:eastAsia="Courier New" w:hAnsi="Courier New"/>
          <w:sz w:val="14"/>
          <w:szCs w:val="14"/>
          <w:color w:val="auto"/>
        </w:rPr>
        <w:t>3.0%, due to the Company's less promotional pricing strategy. However, the merchandise margin increase was partially offset by increased buying and occupancy costs, which rose 1.2% as a percentage of sales, primarily due</w:t>
      </w:r>
    </w:p>
    <w:p>
      <w:pPr>
        <w:spacing w:after="0" w:line="1"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to the lower sales productivity associated with a 9% decrease in the women's businesses comparable store sales.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Administrative and Store Operating Expenses</w:t>
      </w:r>
    </w:p>
    <w:p>
      <w:pPr>
        <w:spacing w:after="0" w:line="173"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General, administrative and store operating expenses, expressed as a percentage of sales, increased to 16.8% in the fourth quarter of 1995 from 15.4%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same period of 1994, principally due to lower per store sales productivity.</w:t>
      </w:r>
    </w:p>
    <w:p>
      <w:pPr>
        <w:spacing w:after="0" w:line="178" w:lineRule="exact"/>
        <w:rPr>
          <w:sz w:val="20"/>
          <w:szCs w:val="20"/>
          <w:color w:val="auto"/>
        </w:rPr>
      </w:pPr>
    </w:p>
    <w:p>
      <w:pPr>
        <w:ind w:right="3759" w:firstLine="262"/>
        <w:spacing w:after="0" w:line="255" w:lineRule="auto"/>
        <w:rPr>
          <w:sz w:val="20"/>
          <w:szCs w:val="20"/>
          <w:color w:val="auto"/>
        </w:rPr>
      </w:pPr>
      <w:r>
        <w:rPr>
          <w:rFonts w:ascii="Courier New" w:cs="Courier New" w:eastAsia="Courier New" w:hAnsi="Courier New"/>
          <w:sz w:val="14"/>
          <w:szCs w:val="14"/>
          <w:color w:val="auto"/>
        </w:rPr>
        <w:t>These costs, expressed as a percentage of sales, were 18.7%, 18.0% and 17.4% for fiscal years 1995, 1994 and 1993. The increases in 1995 and 1994 were due to the lower sales productivity at both existing stores and new and remodeled stores. Despite the increase in rates, the Company expects to continue providing a high level of customer service, and accordingly is not intending to reduce selling payroll at the store level.</w:t>
      </w:r>
    </w:p>
    <w:p>
      <w:pPr>
        <w:spacing w:after="0" w:line="166" w:lineRule="exact"/>
        <w:rPr>
          <w:sz w:val="20"/>
          <w:szCs w:val="20"/>
          <w:color w:val="auto"/>
        </w:rPr>
      </w:pPr>
    </w:p>
    <w:p>
      <w:pPr>
        <w:ind w:right="3319" w:firstLine="262"/>
        <w:spacing w:after="0" w:line="236" w:lineRule="auto"/>
        <w:rPr>
          <w:sz w:val="20"/>
          <w:szCs w:val="20"/>
          <w:color w:val="auto"/>
        </w:rPr>
      </w:pPr>
      <w:r>
        <w:rPr>
          <w:rFonts w:ascii="Courier New" w:cs="Courier New" w:eastAsia="Courier New" w:hAnsi="Courier New"/>
          <w:sz w:val="15"/>
          <w:szCs w:val="15"/>
          <w:color w:val="auto"/>
        </w:rPr>
        <w:t>The Company anticipates that its general, administrative and store operating expense rate will increase throughout 1996 due to the sale of a 60% interest in the previously wholly-owned subsidiary World Financial Network National Bank, ("WFNNB"). Historically, finance charge income of WFNNB, net of expenses (excluding interest), was included as an element of general, administrative and store operating expenses.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Special and Nonrecurring Items</w:t>
      </w:r>
    </w:p>
    <w:p>
      <w:pPr>
        <w:spacing w:after="0" w:line="173" w:lineRule="exact"/>
        <w:rPr>
          <w:sz w:val="20"/>
          <w:szCs w:val="20"/>
          <w:color w:val="auto"/>
        </w:rPr>
      </w:pPr>
    </w:p>
    <w:p>
      <w:pPr>
        <w:jc w:val="both"/>
        <w:ind w:right="3939"/>
        <w:spacing w:after="0" w:line="255" w:lineRule="auto"/>
        <w:rPr>
          <w:sz w:val="20"/>
          <w:szCs w:val="20"/>
          <w:color w:val="auto"/>
        </w:rPr>
      </w:pPr>
      <w:r>
        <w:rPr>
          <w:rFonts w:ascii="Courier New" w:cs="Courier New" w:eastAsia="Courier New" w:hAnsi="Courier New"/>
          <w:sz w:val="14"/>
          <w:szCs w:val="14"/>
          <w:color w:val="auto"/>
        </w:rPr>
        <w:t>As described in Note 2 to the Consolidated Financial Statements, in the fourth quarter of 1995 the Company completed the sale of a 60% interest in its wholly-owned credit card bank, WFNNB, to the New York investment firm of Welsh, Carson, Anderson &amp; Stowe ("WCAS"). The new joint venture, which is 40% owned by the Company, will focus on providing private-label and bank card transaction processing and database management services to the Company's private-label credit card operations and other retailers. WCAS purchased its interest for $135 million and also made a $30 million capital contribution to the new venture. The Company recognized a $73.2 million pre-tax gain from the sale of WFNNB.</w:t>
      </w:r>
    </w:p>
    <w:p>
      <w:pPr>
        <w:spacing w:after="0" w:line="165" w:lineRule="exact"/>
        <w:rPr>
          <w:sz w:val="20"/>
          <w:szCs w:val="20"/>
          <w:color w:val="auto"/>
        </w:rPr>
      </w:pPr>
    </w:p>
    <w:p>
      <w:pPr>
        <w:jc w:val="both"/>
        <w:ind w:right="3939" w:firstLine="262"/>
        <w:spacing w:after="0" w:line="258" w:lineRule="auto"/>
        <w:rPr>
          <w:sz w:val="20"/>
          <w:szCs w:val="20"/>
          <w:color w:val="auto"/>
        </w:rPr>
      </w:pPr>
      <w:r>
        <w:rPr>
          <w:rFonts w:ascii="Courier New" w:cs="Courier New" w:eastAsia="Courier New" w:hAnsi="Courier New"/>
          <w:sz w:val="14"/>
          <w:szCs w:val="14"/>
          <w:color w:val="auto"/>
        </w:rPr>
        <w:t>In addition, WFNNB's outstanding debt to the Company of approximately $1.2 billion was repaid in January 1996 from the proceeds realized from the securitization of WFNNB's credit card receivables.</w:t>
      </w:r>
    </w:p>
    <w:p>
      <w:pPr>
        <w:spacing w:after="0" w:line="161" w:lineRule="exact"/>
        <w:rPr>
          <w:sz w:val="20"/>
          <w:szCs w:val="20"/>
          <w:color w:val="auto"/>
        </w:rPr>
      </w:pPr>
    </w:p>
    <w:p>
      <w:pPr>
        <w:ind w:right="3579" w:firstLine="262"/>
        <w:spacing w:after="0" w:line="254" w:lineRule="auto"/>
        <w:rPr>
          <w:sz w:val="20"/>
          <w:szCs w:val="20"/>
          <w:color w:val="auto"/>
        </w:rPr>
      </w:pPr>
      <w:r>
        <w:rPr>
          <w:rFonts w:ascii="Courier New" w:cs="Courier New" w:eastAsia="Courier New" w:hAnsi="Courier New"/>
          <w:sz w:val="14"/>
          <w:szCs w:val="14"/>
          <w:color w:val="auto"/>
        </w:rPr>
        <w:t>Along with the 60% sale of WFNNB, the Company recognized a special and nonrecurring charge during the fourth quarter of 1995 of approximately $71.9 million. Of this amount, approximately $45.6 million was to provide $25.8 million for the closing of 26 stores and $19.8 million for the downsizing of 33 stores, primarily Limited Stores and Lerner. These stores have been identified based on the profit performance of the store and assessment of the quality of real estate. The provision includes the net present value of rent payments through the date of closing, lease termination payments</w:t>
      </w:r>
    </w:p>
    <w:p>
      <w:pPr>
        <w:spacing w:after="0" w:line="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and approximately $15 million representing the net book value of fixed assets. The remaining charge of approximately $26.3 million represented the write-down to market or net realizable value of certain assets, including joint venture and other investments and receivables arising from nonoperating activities. The net pre-tax gain from these special and nonrecurring items was $1.3 million.</w:t>
      </w:r>
    </w:p>
    <w:p>
      <w:pPr>
        <w:spacing w:after="0" w:line="175" w:lineRule="exact"/>
        <w:rPr>
          <w:sz w:val="20"/>
          <w:szCs w:val="20"/>
          <w:color w:val="auto"/>
        </w:rPr>
      </w:pPr>
    </w:p>
    <w:p>
      <w:pPr>
        <w:ind w:right="3679" w:firstLine="262"/>
        <w:spacing w:after="0" w:line="255" w:lineRule="auto"/>
        <w:rPr>
          <w:sz w:val="20"/>
          <w:szCs w:val="20"/>
          <w:color w:val="auto"/>
        </w:rPr>
      </w:pPr>
      <w:r>
        <w:rPr>
          <w:rFonts w:ascii="Courier New" w:cs="Courier New" w:eastAsia="Courier New" w:hAnsi="Courier New"/>
          <w:sz w:val="14"/>
          <w:szCs w:val="14"/>
          <w:color w:val="auto"/>
        </w:rPr>
        <w:t>During 1993, the Company also completed the sale of a 60% interest in its Brylane division for $285 million in cash. This transaction was part of a program aimed at accelerating the growth of the retail businesses, which included the acceleration of the store remodeling, downsizing and closing program at Limited Stores and Lerner divisions and the refocusing of the merchandising strategy at the Henri Bendel division. The net pre-tax gain from these special and nonrecurring items was $2.6 million.</w:t>
      </w:r>
    </w:p>
    <w:p>
      <w:pPr>
        <w:spacing w:after="0" w:line="166" w:lineRule="exact"/>
        <w:rPr>
          <w:sz w:val="20"/>
          <w:szCs w:val="20"/>
          <w:color w:val="auto"/>
        </w:rPr>
      </w:pPr>
    </w:p>
    <w:p>
      <w:pPr>
        <w:jc w:val="both"/>
        <w:ind w:right="3939" w:firstLine="262"/>
        <w:spacing w:after="0" w:line="235" w:lineRule="auto"/>
        <w:rPr>
          <w:sz w:val="20"/>
          <w:szCs w:val="20"/>
          <w:color w:val="auto"/>
        </w:rPr>
      </w:pPr>
      <w:r>
        <w:rPr>
          <w:rFonts w:ascii="Courier New" w:cs="Courier New" w:eastAsia="Courier New" w:hAnsi="Courier New"/>
          <w:sz w:val="15"/>
          <w:szCs w:val="15"/>
          <w:color w:val="auto"/>
        </w:rPr>
        <w:t>The Company also announced a program to repurchase up to $500 million of the Company's common stock over time as market conditions warrant. As of the end of fiscal year 1995, the Company had repurchased 9.3 million shares at a cost of $159.9 million.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Income</w:t>
      </w:r>
    </w:p>
    <w:p>
      <w:pPr>
        <w:spacing w:after="0" w:line="173" w:lineRule="exact"/>
        <w:rPr>
          <w:sz w:val="20"/>
          <w:szCs w:val="20"/>
          <w:color w:val="auto"/>
        </w:rPr>
      </w:pPr>
    </w:p>
    <w:p>
      <w:pPr>
        <w:ind w:right="3759"/>
        <w:spacing w:after="0" w:line="254" w:lineRule="auto"/>
        <w:rPr>
          <w:sz w:val="20"/>
          <w:szCs w:val="20"/>
          <w:color w:val="auto"/>
        </w:rPr>
      </w:pPr>
      <w:r>
        <w:rPr>
          <w:rFonts w:ascii="Courier New" w:cs="Courier New" w:eastAsia="Courier New" w:hAnsi="Courier New"/>
          <w:sz w:val="14"/>
          <w:szCs w:val="14"/>
          <w:color w:val="auto"/>
        </w:rPr>
        <w:t>Operating income, as a percentage of sales, was 7.8%, 10.9% and 9.6% for fiscal years 1995, 1994 and 1993. The decrease in operating income in 1995 was due to lower merchandise margins resulting from higher markdowns and</w:t>
      </w:r>
    </w:p>
    <w:p>
      <w:pPr>
        <w:spacing w:after="0" w:line="1" w:lineRule="exact"/>
        <w:rPr>
          <w:sz w:val="20"/>
          <w:szCs w:val="20"/>
          <w:color w:val="auto"/>
        </w:rPr>
      </w:pPr>
    </w:p>
    <w:p>
      <w:pPr>
        <w:ind w:right="3499"/>
        <w:spacing w:after="0" w:line="256" w:lineRule="auto"/>
        <w:rPr>
          <w:sz w:val="20"/>
          <w:szCs w:val="20"/>
          <w:color w:val="auto"/>
        </w:rPr>
      </w:pPr>
      <w:r>
        <w:rPr>
          <w:rFonts w:ascii="Courier New" w:cs="Courier New" w:eastAsia="Courier New" w:hAnsi="Courier New"/>
          <w:sz w:val="14"/>
          <w:szCs w:val="14"/>
          <w:color w:val="auto"/>
        </w:rPr>
        <w:t>the inability to leverage both buying and occupancy costs and higher general, administrative and store operating expenses due to lower sales productivity. The increase in operating income in 1994 was primarily due to higher merchandise margins, partially offset by higher buying and occupancy costs and higher general, administrative and store operating expenses.</w:t>
      </w:r>
    </w:p>
    <w:p>
      <w:pPr>
        <w:spacing w:after="0" w:line="157" w:lineRule="exact"/>
        <w:rPr>
          <w:sz w:val="20"/>
          <w:szCs w:val="20"/>
          <w:color w:val="auto"/>
        </w:rPr>
      </w:pPr>
    </w:p>
    <w:p>
      <w:pPr>
        <w:ind w:left="4900"/>
        <w:spacing w:after="0"/>
        <w:tabs>
          <w:tab w:leader="none" w:pos="6540" w:val="left"/>
        </w:tabs>
        <w:rPr>
          <w:sz w:val="20"/>
          <w:szCs w:val="20"/>
          <w:color w:val="auto"/>
        </w:rPr>
      </w:pPr>
      <w:r>
        <w:rPr>
          <w:rFonts w:ascii="Courier New" w:cs="Courier New" w:eastAsia="Courier New" w:hAnsi="Courier New"/>
          <w:sz w:val="15"/>
          <w:szCs w:val="15"/>
          <w:color w:val="auto"/>
        </w:rPr>
        <w:t>The Limited, Inc.</w:t>
        <w:tab/>
        <w:t>45</w:t>
      </w:r>
    </w:p>
    <w:p>
      <w:pPr>
        <w:sectPr>
          <w:pgSz w:w="11900" w:h="16838" w:orient="portrait"/>
          <w:cols w:equalWidth="0" w:num="1">
            <w:col w:w="10239"/>
          </w:cols>
          <w:pgMar w:left="220" w:top="623" w:right="1440" w:bottom="1440" w:gutter="0" w:footer="0" w:header="0"/>
        </w:sectPr>
      </w:pPr>
    </w:p>
    <w:bookmarkStart w:id="134" w:name="page135"/>
    <w:bookmarkEnd w:id="134"/>
    <w:p>
      <w:pPr>
        <w:spacing w:after="0"/>
        <w:rPr>
          <w:sz w:val="20"/>
          <w:szCs w:val="20"/>
          <w:color w:val="auto"/>
        </w:rPr>
      </w:pPr>
      <w:r>
        <w:rPr>
          <w:rFonts w:ascii="Courier New" w:cs="Courier New" w:eastAsia="Courier New" w:hAnsi="Courier New"/>
          <w:sz w:val="15"/>
          <w:szCs w:val="15"/>
          <w:color w:val="auto"/>
        </w:rPr>
        <w:t>Interest Expense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tcPr>
          <w:p>
            <w:pPr>
              <w:spacing w:after="0"/>
              <w:rPr>
                <w:sz w:val="14"/>
                <w:szCs w:val="14"/>
                <w:color w:val="auto"/>
              </w:rPr>
            </w:pPr>
          </w:p>
        </w:tc>
        <w:tc>
          <w:tcPr>
            <w:tcW w:w="2180" w:type="dxa"/>
            <w:vAlign w:val="bottom"/>
            <w:gridSpan w:val="2"/>
          </w:tcPr>
          <w:p>
            <w:pPr>
              <w:jc w:val="right"/>
              <w:ind w:right="127"/>
              <w:spacing w:after="0"/>
              <w:rPr>
                <w:sz w:val="20"/>
                <w:szCs w:val="20"/>
                <w:color w:val="auto"/>
              </w:rPr>
            </w:pPr>
            <w:r>
              <w:rPr>
                <w:rFonts w:ascii="Courier New" w:cs="Courier New" w:eastAsia="Courier New" w:hAnsi="Courier New"/>
                <w:sz w:val="15"/>
                <w:szCs w:val="15"/>
                <w:color w:val="auto"/>
              </w:rPr>
              <w:t>Fourth Quarter</w:t>
            </w:r>
          </w:p>
        </w:tc>
        <w:tc>
          <w:tcPr>
            <w:tcW w:w="800" w:type="dxa"/>
            <w:vAlign w:val="bottom"/>
          </w:tcPr>
          <w:p>
            <w:pPr>
              <w:spacing w:after="0"/>
              <w:rPr>
                <w:sz w:val="14"/>
                <w:szCs w:val="14"/>
                <w:color w:val="auto"/>
              </w:rPr>
            </w:pPr>
          </w:p>
        </w:tc>
        <w:tc>
          <w:tcPr>
            <w:tcW w:w="7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Year</w:t>
            </w:r>
          </w:p>
        </w:tc>
        <w:tc>
          <w:tcPr>
            <w:tcW w:w="740" w:type="dxa"/>
            <w:vAlign w:val="bottom"/>
          </w:tcPr>
          <w:p>
            <w:pPr>
              <w:spacing w:after="0"/>
              <w:rPr>
                <w:sz w:val="14"/>
                <w:szCs w:val="14"/>
                <w:color w:val="auto"/>
              </w:rPr>
            </w:pPr>
          </w:p>
        </w:tc>
      </w:tr>
      <w:tr>
        <w:trPr>
          <w:trHeight w:val="168"/>
        </w:trPr>
        <w:tc>
          <w:tcPr>
            <w:tcW w:w="2500" w:type="dxa"/>
            <w:vAlign w:val="bottom"/>
          </w:tcPr>
          <w:p>
            <w:pPr>
              <w:spacing w:after="0"/>
              <w:rPr>
                <w:sz w:val="14"/>
                <w:szCs w:val="14"/>
                <w:color w:val="auto"/>
              </w:rPr>
            </w:pPr>
          </w:p>
        </w:tc>
        <w:tc>
          <w:tcPr>
            <w:tcW w:w="450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 --------------------------</w:t>
            </w:r>
          </w:p>
        </w:tc>
      </w:tr>
      <w:tr>
        <w:trPr>
          <w:trHeight w:val="168"/>
        </w:trPr>
        <w:tc>
          <w:tcPr>
            <w:tcW w:w="2500" w:type="dxa"/>
            <w:vAlign w:val="bottom"/>
          </w:tcPr>
          <w:p>
            <w:pPr>
              <w:spacing w:after="0"/>
              <w:rPr>
                <w:sz w:val="14"/>
                <w:szCs w:val="14"/>
                <w:color w:val="auto"/>
              </w:rPr>
            </w:pP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1995</w:t>
            </w:r>
          </w:p>
        </w:tc>
        <w:tc>
          <w:tcPr>
            <w:tcW w:w="7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1994</w:t>
            </w:r>
          </w:p>
        </w:tc>
        <w:tc>
          <w:tcPr>
            <w:tcW w:w="8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1995</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1994</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1993</w:t>
            </w: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Average Daily Borrowings</w:t>
            </w:r>
          </w:p>
        </w:tc>
        <w:tc>
          <w:tcPr>
            <w:tcW w:w="1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2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(millions)</w:t>
            </w:r>
          </w:p>
        </w:tc>
        <w:tc>
          <w:tcPr>
            <w:tcW w:w="1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$812.9</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$996.7</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$887.7</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$725.0</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$822.5</w:t>
            </w: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Average Effective</w:t>
            </w:r>
          </w:p>
        </w:tc>
        <w:tc>
          <w:tcPr>
            <w:tcW w:w="1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2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Rate</w:t>
            </w:r>
          </w:p>
        </w:tc>
        <w:tc>
          <w:tcPr>
            <w:tcW w:w="1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8.99%</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7.84%</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8.73%</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8.33%</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7.76%</w:t>
            </w:r>
          </w:p>
        </w:tc>
      </w:tr>
    </w:tbl>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8"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Interest expense decreased by $1.3 million in the fourth quarter and increased for all 1995 as compared to the comparable periods in 1994. The fourth quarter decrease was due to lower borrowing levels during the fourth quarter resulting from higher cash balances due to the IBI initial public offering and the WFNNB sale. For the year, higher borrowing levels resulted in increased interest costs of approximately $8.6 million as compared to 1994. Higher borrowing levels for 1995 were primarily the result of $250 million in short-term borrowings associated with IBI, which was repaid in October 1995 with the proceeds from the offering. In addition, higher interest rates increased costs approximately $2.3 million and $3.6 million during the fourth quarter and for all of 1995.</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Gain on Sale of Subsidiary Stock</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As discussed in Note 1 to the Consolidated Financial Statements, in 1995 the Company recognized a $649.5 million gain which resulted from the initial public offering of 16.9% (42.7 million shares) of the stock of IBI. IBI consists of Victoria's Secret Stores, Victoria's Secret Catalogue, Bath &amp; Body Works, Cacique, Penhaligon's and Gryphon. The gain recorded by the Company was not subject to tax. Minority interest of $45.7 million at February 3, 1996 represents a 16.9% interest in the net equity of IBI.</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Effective July 2, 1995, the Company acquired all of the outstanding common stock of Galyan's Trading Company, Inc. ("Galyan's") for $18 million in cash and stock. Galyan's is a full-line sporting goods retailer operating six stores. The Company's financial statements for fiscal year 1995 include the results of operations of Galyan's since the acquisition date.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Condition</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Company's balance sheet at February 3, 1996 provides continuing evidence of financial strength and flexibility. The Company's long-term debt-to-equity ratio declined to only 20.3% at the end of 1995, the current ratio reached a record 3.9 and net working capital was in excess of $2 billion, primarily due to proceeds received from the initial public offering of IBI and the sale of WFNNB. In March 1996, the Company utilized $1.615 billion of these proceeds in a self-tender offer to repurchase 85 million shares of its common stock at $19.00 per share and set aside $351.6 million of restricted cash to satisfy obligations under the terms of the Contingent Stock Redemption Agreement with its largest shareholder, who did not participate in the self-tender. After adjusting the aforementioned financial ratios for the impact of the self-tender, the Company's debt-to-equity ratio, current ratio and working capital would have been 41%, 1.7 and $468 million. A more detailed discussion of liquidity, capital resources and capital requirements follows: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Cash provided from operating activities, commercial paper backed by funds available under committed long-term credit agreements, and the Company's capital structure continue to provide the resources to support operations, including projected growth, seasonal requirements and capital expenditures. A summary of the Company's working capital position and capitalization follows (Thousands):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0" w:lineRule="exact"/>
        <w:rPr>
          <w:sz w:val="20"/>
          <w:szCs w:val="20"/>
          <w:color w:val="auto"/>
        </w:rPr>
      </w:pPr>
    </w:p>
    <w:tbl>
      <w:tblPr>
        <w:tblLayout w:type="fixed"/>
        <w:tblInd w:w="2980" w:type="dxa"/>
        <w:tblCellMar>
          <w:top w:w="0" w:type="dxa"/>
          <w:left w:w="0" w:type="dxa"/>
          <w:bottom w:w="0" w:type="dxa"/>
          <w:right w:w="0" w:type="dxa"/>
        </w:tblCellMar>
      </w:tblPr>
      <w:tr>
        <w:trPr>
          <w:trHeight w:val="170"/>
        </w:trPr>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4"/>
              </w:rPr>
              <w:t>Adjusted</w:t>
            </w: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1995</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1995</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1994</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1993</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Cash Provided by</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4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Operating Activities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356,732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356,732</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361,078</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448,139</w:t>
            </w: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468,457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2,083,457</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1,725,416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3"/>
              </w:rPr>
              <w:t>1,490,840</w:t>
            </w: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Capitalization:</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24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Long-Term Debt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650,000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650,000</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650,000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650,000</w:t>
            </w:r>
          </w:p>
        </w:tc>
      </w:tr>
      <w:tr>
        <w:trPr>
          <w:trHeight w:val="336"/>
        </w:trPr>
        <w:tc>
          <w:tcPr>
            <w:tcW w:w="2460" w:type="dxa"/>
            <w:vAlign w:val="bottom"/>
          </w:tcPr>
          <w:p>
            <w:pPr>
              <w:ind w:left="280"/>
              <w:spacing w:after="0"/>
              <w:rPr>
                <w:sz w:val="20"/>
                <w:szCs w:val="20"/>
                <w:color w:val="auto"/>
              </w:rPr>
            </w:pPr>
            <w:r>
              <w:rPr>
                <w:rFonts w:ascii="Courier New" w:cs="Courier New" w:eastAsia="Courier New" w:hAnsi="Courier New"/>
                <w:sz w:val="15"/>
                <w:szCs w:val="15"/>
                <w:color w:val="auto"/>
              </w:rPr>
              <w:t>Deferred Income Taxes</w:t>
            </w:r>
          </w:p>
        </w:tc>
        <w:tc>
          <w:tcPr>
            <w:tcW w:w="440" w:type="dxa"/>
            <w:vAlign w:val="bottom"/>
          </w:tcPr>
          <w:p>
            <w:pPr>
              <w:spacing w:after="0"/>
              <w:rPr>
                <w:sz w:val="24"/>
                <w:szCs w:val="2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250,857</w:t>
            </w:r>
          </w:p>
        </w:tc>
        <w:tc>
          <w:tcPr>
            <w:tcW w:w="220" w:type="dxa"/>
            <w:vAlign w:val="bottom"/>
          </w:tcPr>
          <w:p>
            <w:pPr>
              <w:spacing w:after="0"/>
              <w:rPr>
                <w:sz w:val="24"/>
                <w:szCs w:val="2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250,857</w:t>
            </w:r>
          </w:p>
        </w:tc>
        <w:tc>
          <w:tcPr>
            <w:tcW w:w="20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306,139</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275,101</w:t>
            </w:r>
          </w:p>
        </w:tc>
      </w:tr>
      <w:tr>
        <w:trPr>
          <w:trHeight w:val="336"/>
        </w:trPr>
        <w:tc>
          <w:tcPr>
            <w:tcW w:w="2460" w:type="dxa"/>
            <w:vAlign w:val="bottom"/>
          </w:tcPr>
          <w:p>
            <w:pPr>
              <w:ind w:left="280"/>
              <w:spacing w:after="0"/>
              <w:rPr>
                <w:sz w:val="20"/>
                <w:szCs w:val="20"/>
                <w:color w:val="auto"/>
              </w:rPr>
            </w:pPr>
            <w:r>
              <w:rPr>
                <w:rFonts w:ascii="Courier New" w:cs="Courier New" w:eastAsia="Courier New" w:hAnsi="Courier New"/>
                <w:sz w:val="15"/>
                <w:szCs w:val="15"/>
                <w:color w:val="auto"/>
              </w:rPr>
              <w:t>Shareholders' Equity</w:t>
            </w:r>
          </w:p>
        </w:tc>
        <w:tc>
          <w:tcPr>
            <w:tcW w:w="440" w:type="dxa"/>
            <w:vAlign w:val="bottom"/>
          </w:tcPr>
          <w:p>
            <w:pPr>
              <w:spacing w:after="0"/>
              <w:rPr>
                <w:sz w:val="24"/>
                <w:szCs w:val="2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1,586,041</w:t>
            </w:r>
          </w:p>
        </w:tc>
        <w:tc>
          <w:tcPr>
            <w:tcW w:w="220" w:type="dxa"/>
            <w:vAlign w:val="bottom"/>
          </w:tcPr>
          <w:p>
            <w:pPr>
              <w:spacing w:after="0"/>
              <w:rPr>
                <w:sz w:val="24"/>
                <w:szCs w:val="2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3,201,041</w:t>
            </w:r>
          </w:p>
        </w:tc>
        <w:tc>
          <w:tcPr>
            <w:tcW w:w="20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2,760,956</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3"/>
              </w:rPr>
              <w:t>2,441,293</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Total Capitalization</w:t>
            </w: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$2,486,898</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$4,101,898</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3,717,095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3"/>
              </w:rPr>
              <w:t>3,366,394</w:t>
            </w:r>
          </w:p>
        </w:tc>
      </w:tr>
      <w:tr>
        <w:trPr>
          <w:trHeight w:val="336"/>
        </w:trPr>
        <w:tc>
          <w:tcPr>
            <w:tcW w:w="2640" w:type="dxa"/>
            <w:vAlign w:val="bottom"/>
          </w:tcPr>
          <w:p>
            <w:pPr>
              <w:spacing w:after="0"/>
              <w:rPr>
                <w:sz w:val="20"/>
                <w:szCs w:val="20"/>
                <w:color w:val="auto"/>
              </w:rPr>
            </w:pPr>
            <w:r>
              <w:rPr>
                <w:rFonts w:ascii="Courier New" w:cs="Courier New" w:eastAsia="Courier New" w:hAnsi="Courier New"/>
                <w:sz w:val="15"/>
                <w:szCs w:val="15"/>
                <w:color w:val="auto"/>
              </w:rPr>
              <w:t>Additional Amounts</w:t>
            </w: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2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Available Under Long-Term</w:t>
            </w: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Credit Agreements</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$1,000,000</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$1,000,000</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840,000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840,000</w:t>
            </w:r>
          </w:p>
        </w:tc>
      </w:tr>
    </w:tbl>
    <w:p>
      <w:pPr>
        <w:sectPr>
          <w:pgSz w:w="11900" w:h="16838" w:orient="portrait"/>
          <w:cols w:equalWidth="0" w:num="1">
            <w:col w:w="10239"/>
          </w:cols>
          <w:pgMar w:left="220" w:top="617" w:right="1440" w:bottom="0" w:gutter="0" w:footer="0" w:header="0"/>
        </w:sectPr>
      </w:pPr>
    </w:p>
    <w:bookmarkStart w:id="135" w:name="page136"/>
    <w:bookmarkEnd w:id="135"/>
    <w:p>
      <w:pPr>
        <w:ind w:left="180" w:hanging="170"/>
        <w:spacing w:after="0"/>
        <w:tabs>
          <w:tab w:leader="none" w:pos="18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46  The Limited, Inc.</w:t>
      </w:r>
    </w:p>
    <w:p>
      <w:pPr>
        <w:sectPr>
          <w:pgSz w:w="11900" w:h="16838" w:orient="portrait"/>
          <w:cols w:equalWidth="0" w:num="1">
            <w:col w:w="10239"/>
          </w:cols>
          <w:pgMar w:left="220" w:top="309" w:right="1440" w:bottom="1440" w:gutter="0" w:footer="0" w:header="0"/>
        </w:sectPr>
      </w:pPr>
    </w:p>
    <w:bookmarkStart w:id="136" w:name="page137"/>
    <w:bookmarkEnd w:id="136"/>
    <w:p>
      <w:pPr>
        <w:ind w:right="3399" w:firstLine="262"/>
        <w:spacing w:after="0" w:line="234" w:lineRule="auto"/>
        <w:rPr>
          <w:sz w:val="20"/>
          <w:szCs w:val="20"/>
          <w:color w:val="auto"/>
        </w:rPr>
      </w:pPr>
      <w:r>
        <w:rPr>
          <w:rFonts w:ascii="Courier New" w:cs="Courier New" w:eastAsia="Courier New" w:hAnsi="Courier New"/>
          <w:sz w:val="15"/>
          <w:szCs w:val="15"/>
          <w:color w:val="auto"/>
        </w:rPr>
        <w:t>The Company considers the following to be several measures of liquidity and capital resources: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0" w:lineRule="exact"/>
        <w:rPr>
          <w:sz w:val="20"/>
          <w:szCs w:val="20"/>
          <w:color w:val="auto"/>
        </w:rPr>
      </w:pPr>
    </w:p>
    <w:tbl>
      <w:tblPr>
        <w:tblLayout w:type="fixed"/>
        <w:tblInd w:w="3080" w:type="dxa"/>
        <w:tblCellMar>
          <w:top w:w="0" w:type="dxa"/>
          <w:left w:w="0" w:type="dxa"/>
          <w:bottom w:w="0" w:type="dxa"/>
          <w:right w:w="0" w:type="dxa"/>
        </w:tblCellMar>
      </w:tblPr>
      <w:tr>
        <w:trPr>
          <w:trHeight w:val="170"/>
        </w:trPr>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4"/>
              </w:rPr>
              <w:t>Adjusted</w:t>
            </w: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1995</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1995</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1994</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1993</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Debt-to-Equity Ratio</w:t>
            </w: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(Long-Term</w:t>
            </w:r>
          </w:p>
        </w:tc>
        <w:tc>
          <w:tcPr>
            <w:tcW w:w="2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Debt Divided</w:t>
            </w: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1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by Shareholders' Equity)</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41%</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w:t>
            </w:r>
          </w:p>
        </w:tc>
        <w:tc>
          <w:tcPr>
            <w:tcW w:w="10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w:t>
            </w:r>
          </w:p>
        </w:tc>
      </w:tr>
      <w:tr>
        <w:trPr>
          <w:trHeight w:val="336"/>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Debt-to-Capitalization Ratio</w:t>
            </w: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1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(Long-Term</w:t>
            </w:r>
          </w:p>
        </w:tc>
        <w:tc>
          <w:tcPr>
            <w:tcW w:w="2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Debt Divided by</w:t>
            </w: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1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Total Capitalization)</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26%</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w:t>
            </w:r>
          </w:p>
        </w:tc>
        <w:tc>
          <w:tcPr>
            <w:tcW w:w="10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w:t>
            </w:r>
          </w:p>
        </w:tc>
      </w:tr>
      <w:tr>
        <w:trPr>
          <w:trHeight w:val="336"/>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Interest Coverage Ratio</w:t>
            </w: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1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(Income [Excluding the Gain</w:t>
            </w: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on Sale of</w:t>
            </w:r>
          </w:p>
        </w:tc>
        <w:tc>
          <w:tcPr>
            <w:tcW w:w="2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Subsidiary Stock]</w:t>
            </w: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1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Before Interest Expense,</w:t>
            </w: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1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Depreciation, Amortization</w:t>
            </w: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and Income</w:t>
            </w:r>
          </w:p>
        </w:tc>
        <w:tc>
          <w:tcPr>
            <w:tcW w:w="2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Taxes Divided</w:t>
            </w: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1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by Interest Expense)</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12x</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12x</w:t>
            </w:r>
          </w:p>
        </w:tc>
        <w:tc>
          <w:tcPr>
            <w:tcW w:w="10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16x</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15x</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Cash Flow to</w:t>
            </w:r>
          </w:p>
        </w:tc>
        <w:tc>
          <w:tcPr>
            <w:tcW w:w="2020" w:type="dxa"/>
            <w:vAlign w:val="bottom"/>
          </w:tcPr>
          <w:p>
            <w:pPr>
              <w:ind w:left="40"/>
              <w:spacing w:after="0"/>
              <w:rPr>
                <w:sz w:val="20"/>
                <w:szCs w:val="20"/>
                <w:color w:val="auto"/>
              </w:rPr>
            </w:pPr>
            <w:r>
              <w:rPr>
                <w:rFonts w:ascii="Courier New" w:cs="Courier New" w:eastAsia="Courier New" w:hAnsi="Courier New"/>
                <w:sz w:val="15"/>
                <w:szCs w:val="15"/>
                <w:color w:val="auto"/>
              </w:rPr>
              <w:t>Capital Investment</w:t>
            </w: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1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(Net Cash Provided by</w:t>
            </w: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1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Operating Activities Divided</w:t>
            </w: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by Capital</w:t>
            </w:r>
          </w:p>
        </w:tc>
        <w:tc>
          <w:tcPr>
            <w:tcW w:w="2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Expenditures)</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95%</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95%</w:t>
            </w:r>
          </w:p>
        </w:tc>
        <w:tc>
          <w:tcPr>
            <w:tcW w:w="10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113%</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151%</w:t>
            </w:r>
          </w:p>
        </w:tc>
      </w:tr>
    </w:tbl>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6"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Adjusted 1995 reflects the impact of the $1.615 billion repurchase of 85 million shares of common stock and their subsequent retirement.</w:t>
      </w:r>
    </w:p>
    <w:p>
      <w:pPr>
        <w:spacing w:after="0" w:line="173" w:lineRule="exact"/>
        <w:rPr>
          <w:sz w:val="20"/>
          <w:szCs w:val="20"/>
          <w:color w:val="auto"/>
        </w:rPr>
      </w:pPr>
    </w:p>
    <w:p>
      <w:pPr>
        <w:ind w:right="3239" w:firstLine="262"/>
        <w:spacing w:after="0" w:line="235" w:lineRule="auto"/>
        <w:rPr>
          <w:sz w:val="20"/>
          <w:szCs w:val="20"/>
          <w:color w:val="auto"/>
        </w:rPr>
      </w:pPr>
      <w:r>
        <w:rPr>
          <w:rFonts w:ascii="Courier New" w:cs="Courier New" w:eastAsia="Courier New" w:hAnsi="Courier New"/>
          <w:sz w:val="15"/>
          <w:szCs w:val="15"/>
          <w:color w:val="auto"/>
        </w:rPr>
        <w:t>Net cash provided by operating activities totaled $356.7 million, $361.1 million and $448.1 million for 1995, 1994 and 1993 and continued to serve as the company's primary source of liquidity.</w:t>
      </w:r>
    </w:p>
    <w:p>
      <w:pPr>
        <w:spacing w:after="0" w:line="174" w:lineRule="exact"/>
        <w:rPr>
          <w:sz w:val="20"/>
          <w:szCs w:val="20"/>
          <w:color w:val="auto"/>
        </w:rPr>
      </w:pPr>
    </w:p>
    <w:p>
      <w:pPr>
        <w:ind w:right="3319" w:firstLine="262"/>
        <w:spacing w:after="0" w:line="236" w:lineRule="auto"/>
        <w:rPr>
          <w:sz w:val="20"/>
          <w:szCs w:val="20"/>
          <w:color w:val="auto"/>
        </w:rPr>
      </w:pPr>
      <w:r>
        <w:rPr>
          <w:rFonts w:ascii="Courier New" w:cs="Courier New" w:eastAsia="Courier New" w:hAnsi="Courier New"/>
          <w:sz w:val="15"/>
          <w:szCs w:val="15"/>
          <w:color w:val="auto"/>
        </w:rPr>
        <w:t>Cash requirements for accounts receivable were greater in 1994 and 1993 due to a higher growth rate in the number of new proprietary credit card holders. Cash requirements for inventories were lower in 1995 due to higher markdowns taken in the Fall to clear slow moving inventory and end the year with cleaner, fresher inventories. A decrease in income taxes payable in 1995 was the result of lower income tax provisions and payments associated with the 1995 earnings decrease, an increase in current deferred tax assets and payments approximately $74 million toward IRS assessments.</w:t>
      </w:r>
    </w:p>
    <w:p>
      <w:pPr>
        <w:spacing w:after="0" w:line="177" w:lineRule="exact"/>
        <w:rPr>
          <w:sz w:val="20"/>
          <w:szCs w:val="20"/>
          <w:color w:val="auto"/>
        </w:rPr>
      </w:pPr>
    </w:p>
    <w:p>
      <w:pPr>
        <w:ind w:right="3239" w:firstLine="262"/>
        <w:spacing w:after="0" w:line="236" w:lineRule="auto"/>
        <w:rPr>
          <w:sz w:val="20"/>
          <w:szCs w:val="20"/>
          <w:color w:val="auto"/>
        </w:rPr>
      </w:pPr>
      <w:r>
        <w:rPr>
          <w:rFonts w:ascii="Courier New" w:cs="Courier New" w:eastAsia="Courier New" w:hAnsi="Courier New"/>
          <w:sz w:val="15"/>
          <w:szCs w:val="15"/>
          <w:color w:val="auto"/>
        </w:rPr>
        <w:t>Investing activities included capital expenditures, primarily for new and remodeled stores and the acquisition of Galyan's. In addition, 1995 included the proceeds from the securitization of WFNNB's credit card receivables of 1.2 billion (see Note 2) and the transfer of $351.6 million to a restricted cash account (see Note 6).</w:t>
      </w:r>
    </w:p>
    <w:p>
      <w:pPr>
        <w:spacing w:after="0" w:line="174" w:lineRule="exact"/>
        <w:rPr>
          <w:sz w:val="20"/>
          <w:szCs w:val="20"/>
          <w:color w:val="auto"/>
        </w:rPr>
      </w:pPr>
    </w:p>
    <w:p>
      <w:pPr>
        <w:ind w:right="3239" w:firstLine="262"/>
        <w:spacing w:after="0" w:line="236" w:lineRule="auto"/>
        <w:rPr>
          <w:sz w:val="20"/>
          <w:szCs w:val="20"/>
          <w:color w:val="auto"/>
        </w:rPr>
      </w:pPr>
      <w:r>
        <w:rPr>
          <w:rFonts w:ascii="Courier New" w:cs="Courier New" w:eastAsia="Courier New" w:hAnsi="Courier New"/>
          <w:sz w:val="15"/>
          <w:szCs w:val="15"/>
          <w:color w:val="auto"/>
        </w:rPr>
        <w:t>Financing activities include proceeds and the repayment of $250 million in short-term debt borrowed in connection with IBI and net proceeds of $788.6 million from the IBI offering and the sale of a 60% interest in WFNNB (see Notes 1 and 2). Financing activities also included the repurchase of $55.2 million of the Company's common stock, which represented 3.4 million shares. Cash dividends paid increased by $14.2 million to $.40 per share in 1995 versus $.36 per share in 1994.</w:t>
      </w:r>
    </w:p>
    <w:p>
      <w:pPr>
        <w:spacing w:after="0" w:line="176" w:lineRule="exact"/>
        <w:rPr>
          <w:sz w:val="20"/>
          <w:szCs w:val="20"/>
          <w:color w:val="auto"/>
        </w:rPr>
      </w:pPr>
    </w:p>
    <w:p>
      <w:pPr>
        <w:ind w:right="3239" w:firstLine="262"/>
        <w:spacing w:after="0" w:line="235" w:lineRule="auto"/>
        <w:rPr>
          <w:sz w:val="20"/>
          <w:szCs w:val="20"/>
          <w:color w:val="auto"/>
        </w:rPr>
      </w:pPr>
      <w:r>
        <w:rPr>
          <w:rFonts w:ascii="Courier New" w:cs="Courier New" w:eastAsia="Courier New" w:hAnsi="Courier New"/>
          <w:sz w:val="15"/>
          <w:szCs w:val="15"/>
          <w:color w:val="auto"/>
        </w:rPr>
        <w:t>At February 3, 1996, the Company had available $1 billion under its long-term credit agreements. In addition, the Company has the ability to offer up to $250 million of additional debt securities and warrants to purchase debt securities under its shelf registration statement authorization.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Expenditures</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Capital expenditures amounted to $374.4 million, $319.7 million and $295.8 million for 1995, 1994 and 1993, respectively, of which $274.5 million, $201.2 million and $198.1 million was for new stores and remodeling and expanding existing stores. The Company spent $10.7 million in 1994 for a catalogue telemarketing center in Kettering, Ohio to expand Victoria's Secret Catalogue operations.</w:t>
      </w:r>
    </w:p>
    <w:p>
      <w:pPr>
        <w:spacing w:after="0" w:line="175" w:lineRule="exact"/>
        <w:rPr>
          <w:sz w:val="20"/>
          <w:szCs w:val="20"/>
          <w:color w:val="auto"/>
        </w:rPr>
      </w:pPr>
    </w:p>
    <w:p>
      <w:pPr>
        <w:jc w:val="both"/>
        <w:ind w:right="3399" w:firstLine="262"/>
        <w:spacing w:after="0" w:line="236" w:lineRule="auto"/>
        <w:rPr>
          <w:sz w:val="20"/>
          <w:szCs w:val="20"/>
          <w:color w:val="auto"/>
        </w:rPr>
      </w:pPr>
      <w:r>
        <w:rPr>
          <w:rFonts w:ascii="Courier New" w:cs="Courier New" w:eastAsia="Courier New" w:hAnsi="Courier New"/>
          <w:sz w:val="15"/>
          <w:szCs w:val="15"/>
          <w:color w:val="auto"/>
        </w:rPr>
        <w:t>The Company anticipates spending $350-$400 million for capital expenditures in 1996, of which $220-$260 million will be for new stores, the remodeling of existing stores and related improvements for the retail business. The Company expects that substantially all 1996 capital expenditures will be funded by net cash provided by operating activities.</w:t>
      </w:r>
    </w:p>
    <w:p>
      <w:pPr>
        <w:spacing w:after="0" w:line="174" w:lineRule="exact"/>
        <w:rPr>
          <w:sz w:val="20"/>
          <w:szCs w:val="20"/>
          <w:color w:val="auto"/>
        </w:rPr>
      </w:pPr>
    </w:p>
    <w:p>
      <w:pPr>
        <w:jc w:val="both"/>
        <w:ind w:right="3319" w:firstLine="262"/>
        <w:spacing w:after="0" w:line="256" w:lineRule="auto"/>
        <w:rPr>
          <w:sz w:val="20"/>
          <w:szCs w:val="20"/>
          <w:color w:val="auto"/>
        </w:rPr>
      </w:pPr>
      <w:r>
        <w:rPr>
          <w:rFonts w:ascii="Courier New" w:cs="Courier New" w:eastAsia="Courier New" w:hAnsi="Courier New"/>
          <w:sz w:val="14"/>
          <w:szCs w:val="14"/>
          <w:color w:val="auto"/>
        </w:rPr>
        <w:t>The Company intends to add approximately 1.3 million selling square feet in 1996, which will represent a 5% increase over year-end 1995. It is anticipated the increase will result from the net addition of approximately 380 new stores and the remodeling of approximately 200 stores. A summary of stores and selling square feet by division for 1994 and 1995 and goals for 1996 follows:</w:t>
      </w:r>
    </w:p>
    <w:p>
      <w:pPr>
        <w:spacing w:after="0" w:line="325" w:lineRule="exact"/>
        <w:rPr>
          <w:sz w:val="20"/>
          <w:szCs w:val="20"/>
          <w:color w:val="auto"/>
        </w:rPr>
      </w:pPr>
    </w:p>
    <w:p>
      <w:pPr>
        <w:ind w:left="5260"/>
        <w:spacing w:after="0"/>
        <w:rPr>
          <w:sz w:val="20"/>
          <w:szCs w:val="20"/>
          <w:color w:val="auto"/>
        </w:rPr>
      </w:pPr>
      <w:r>
        <w:rPr>
          <w:rFonts w:ascii="Courier New" w:cs="Courier New" w:eastAsia="Courier New" w:hAnsi="Courier New"/>
          <w:sz w:val="15"/>
          <w:szCs w:val="15"/>
          <w:color w:val="auto"/>
        </w:rPr>
        <w:t>The Limited, Inc. 47</w:t>
      </w:r>
    </w:p>
    <w:p>
      <w:pPr>
        <w:sectPr>
          <w:pgSz w:w="11900" w:h="16838" w:orient="portrait"/>
          <w:cols w:equalWidth="0" w:num="1">
            <w:col w:w="10239"/>
          </w:cols>
          <w:pgMar w:left="220" w:top="624" w:right="1440" w:bottom="181" w:gutter="0" w:footer="0" w:header="0"/>
        </w:sectPr>
      </w:pPr>
    </w:p>
    <w:bookmarkStart w:id="137" w:name="page138"/>
    <w:bookmarkEnd w:id="137"/>
    <w:p>
      <w:pPr>
        <w:ind w:left="180" w:hanging="170"/>
        <w:spacing w:after="0"/>
        <w:tabs>
          <w:tab w:leader="none" w:pos="18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70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Change from</w:t>
      </w:r>
    </w:p>
    <w:tbl>
      <w:tblPr>
        <w:tblLayout w:type="fixed"/>
        <w:tblInd w:w="2640" w:type="dxa"/>
        <w:tblCellMar>
          <w:top w:w="0" w:type="dxa"/>
          <w:left w:w="0" w:type="dxa"/>
          <w:bottom w:w="0" w:type="dxa"/>
          <w:right w:w="0" w:type="dxa"/>
        </w:tblCellMar>
      </w:tblPr>
      <w:tr>
        <w:trPr>
          <w:trHeight w:val="169"/>
        </w:trPr>
        <w:tc>
          <w:tcPr>
            <w:tcW w:w="1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0" w:type="dxa"/>
            <w:vAlign w:val="bottom"/>
            <w:gridSpan w:val="2"/>
          </w:tcPr>
          <w:p>
            <w:pPr>
              <w:jc w:val="right"/>
              <w:spacing w:after="0" w:line="169" w:lineRule="exact"/>
              <w:rPr>
                <w:sz w:val="20"/>
                <w:szCs w:val="20"/>
                <w:color w:val="auto"/>
              </w:rPr>
            </w:pPr>
            <w:r>
              <w:rPr>
                <w:rFonts w:ascii="Courier New" w:cs="Courier New" w:eastAsia="Courier New" w:hAnsi="Courier New"/>
                <w:sz w:val="15"/>
                <w:szCs w:val="15"/>
                <w:color w:val="auto"/>
              </w:rPr>
              <w:t>-------------------------</w:t>
            </w:r>
          </w:p>
        </w:tc>
      </w:tr>
      <w:tr>
        <w:trPr>
          <w:trHeight w:val="168"/>
        </w:trPr>
        <w:tc>
          <w:tcPr>
            <w:tcW w:w="1260" w:type="dxa"/>
            <w:vAlign w:val="bottom"/>
          </w:tcPr>
          <w:p>
            <w:pPr>
              <w:spacing w:after="0" w:line="168" w:lineRule="exact"/>
              <w:rPr>
                <w:sz w:val="20"/>
                <w:szCs w:val="20"/>
                <w:color w:val="auto"/>
              </w:rPr>
            </w:pPr>
            <w:r>
              <w:rPr>
                <w:rFonts w:ascii="Courier New" w:cs="Courier New" w:eastAsia="Courier New" w:hAnsi="Courier New"/>
                <w:sz w:val="15"/>
                <w:szCs w:val="15"/>
                <w:color w:val="auto"/>
              </w:rPr>
              <w:t>Goal-1996</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1995</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1994</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1996-95</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1995-94</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Express</w:t>
            </w:r>
          </w:p>
        </w:tc>
        <w:tc>
          <w:tcPr>
            <w:tcW w:w="1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Stores</w:t>
            </w: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764</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737</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716</w:t>
            </w:r>
          </w:p>
        </w:tc>
        <w:tc>
          <w:tcPr>
            <w:tcW w:w="12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27</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Sq. Ft.</w:t>
            </w: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4,803,000</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4,588,000</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4,357,000</w:t>
            </w:r>
          </w:p>
        </w:tc>
        <w:tc>
          <w:tcPr>
            <w:tcW w:w="12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215,000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231,000</w:t>
            </w:r>
          </w:p>
        </w:tc>
      </w:tr>
    </w:tbl>
    <w:p>
      <w:pPr>
        <w:spacing w:after="0" w:line="5" w:lineRule="exact"/>
        <w:rPr>
          <w:sz w:val="20"/>
          <w:szCs w:val="20"/>
          <w:color w:val="auto"/>
        </w:rPr>
      </w:pPr>
    </w:p>
    <w:p>
      <w:pPr>
        <w:ind w:left="180" w:hanging="170"/>
        <w:spacing w:after="0"/>
        <w:tabs>
          <w:tab w:leader="none" w:pos="18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Lerner New York</w:t>
      </w:r>
    </w:p>
    <w:tbl>
      <w:tblPr>
        <w:tblLayout w:type="fixed"/>
        <w:tblInd w:w="0" w:type="dxa"/>
        <w:tblCellMar>
          <w:top w:w="0" w:type="dxa"/>
          <w:left w:w="0" w:type="dxa"/>
          <w:bottom w:w="0" w:type="dxa"/>
          <w:right w:w="0" w:type="dxa"/>
        </w:tblCellMar>
      </w:tblPr>
      <w:tr>
        <w:trPr>
          <w:trHeight w:val="169"/>
        </w:trPr>
        <w:tc>
          <w:tcPr>
            <w:tcW w:w="1980" w:type="dxa"/>
            <w:vAlign w:val="bottom"/>
          </w:tcPr>
          <w:p>
            <w:pPr>
              <w:spacing w:after="0" w:line="169" w:lineRule="exact"/>
              <w:rPr>
                <w:sz w:val="20"/>
                <w:szCs w:val="20"/>
                <w:color w:val="auto"/>
              </w:rPr>
            </w:pPr>
            <w:r>
              <w:rPr>
                <w:rFonts w:ascii="Courier New" w:cs="Courier New" w:eastAsia="Courier New" w:hAnsi="Courier New"/>
                <w:sz w:val="15"/>
                <w:szCs w:val="15"/>
                <w:color w:val="auto"/>
              </w:rPr>
              <w:t>Stores</w:t>
            </w:r>
          </w:p>
        </w:tc>
        <w:tc>
          <w:tcPr>
            <w:tcW w:w="1700" w:type="dxa"/>
            <w:vAlign w:val="bottom"/>
          </w:tcPr>
          <w:p>
            <w:pPr>
              <w:jc w:val="right"/>
              <w:ind w:right="187"/>
              <w:spacing w:after="0" w:line="169" w:lineRule="exact"/>
              <w:rPr>
                <w:sz w:val="20"/>
                <w:szCs w:val="20"/>
                <w:color w:val="auto"/>
              </w:rPr>
            </w:pPr>
            <w:r>
              <w:rPr>
                <w:rFonts w:ascii="Courier New" w:cs="Courier New" w:eastAsia="Courier New" w:hAnsi="Courier New"/>
                <w:sz w:val="15"/>
                <w:szCs w:val="15"/>
                <w:color w:val="auto"/>
              </w:rPr>
              <w:t>806</w:t>
            </w:r>
          </w:p>
        </w:tc>
        <w:tc>
          <w:tcPr>
            <w:tcW w:w="1320" w:type="dxa"/>
            <w:vAlign w:val="bottom"/>
          </w:tcPr>
          <w:p>
            <w:pPr>
              <w:jc w:val="right"/>
              <w:ind w:right="187"/>
              <w:spacing w:after="0" w:line="169" w:lineRule="exact"/>
              <w:rPr>
                <w:sz w:val="20"/>
                <w:szCs w:val="20"/>
                <w:color w:val="auto"/>
              </w:rPr>
            </w:pPr>
            <w:r>
              <w:rPr>
                <w:rFonts w:ascii="Courier New" w:cs="Courier New" w:eastAsia="Courier New" w:hAnsi="Courier New"/>
                <w:sz w:val="15"/>
                <w:szCs w:val="15"/>
                <w:color w:val="auto"/>
              </w:rPr>
              <w:t>835</w:t>
            </w:r>
          </w:p>
        </w:tc>
        <w:tc>
          <w:tcPr>
            <w:tcW w:w="1300" w:type="dxa"/>
            <w:vAlign w:val="bottom"/>
          </w:tcPr>
          <w:p>
            <w:pPr>
              <w:jc w:val="right"/>
              <w:ind w:right="187"/>
              <w:spacing w:after="0" w:line="169" w:lineRule="exact"/>
              <w:rPr>
                <w:sz w:val="20"/>
                <w:szCs w:val="20"/>
                <w:color w:val="auto"/>
              </w:rPr>
            </w:pPr>
            <w:r>
              <w:rPr>
                <w:rFonts w:ascii="Courier New" w:cs="Courier New" w:eastAsia="Courier New" w:hAnsi="Courier New"/>
                <w:sz w:val="15"/>
                <w:szCs w:val="15"/>
                <w:color w:val="auto"/>
              </w:rPr>
              <w:t>846</w:t>
            </w:r>
          </w:p>
        </w:tc>
        <w:tc>
          <w:tcPr>
            <w:tcW w:w="1320" w:type="dxa"/>
            <w:vAlign w:val="bottom"/>
          </w:tcPr>
          <w:p>
            <w:pPr>
              <w:jc w:val="right"/>
              <w:ind w:right="187"/>
              <w:spacing w:after="0" w:line="169" w:lineRule="exact"/>
              <w:rPr>
                <w:sz w:val="20"/>
                <w:szCs w:val="20"/>
                <w:color w:val="auto"/>
              </w:rPr>
            </w:pPr>
            <w:r>
              <w:rPr>
                <w:rFonts w:ascii="Courier New" w:cs="Courier New" w:eastAsia="Courier New" w:hAnsi="Courier New"/>
                <w:sz w:val="15"/>
                <w:szCs w:val="15"/>
                <w:color w:val="auto"/>
              </w:rPr>
              <w:t>(29)</w:t>
            </w:r>
          </w:p>
        </w:tc>
        <w:tc>
          <w:tcPr>
            <w:tcW w:w="104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(11)</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Sq. Ft.</w:t>
            </w: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6,117,000</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6,393,000</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6,580,000</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(276,000)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(187,000)</w:t>
            </w:r>
          </w:p>
        </w:tc>
      </w:tr>
    </w:tbl>
    <w:p>
      <w:pPr>
        <w:spacing w:after="0" w:line="5" w:lineRule="exact"/>
        <w:rPr>
          <w:sz w:val="20"/>
          <w:szCs w:val="20"/>
          <w:color w:val="auto"/>
        </w:rPr>
      </w:pPr>
    </w:p>
    <w:p>
      <w:pPr>
        <w:ind w:left="180" w:hanging="170"/>
        <w:spacing w:after="0"/>
        <w:tabs>
          <w:tab w:leader="none" w:pos="18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Lane Bryant</w:t>
      </w:r>
    </w:p>
    <w:tbl>
      <w:tblPr>
        <w:tblLayout w:type="fixed"/>
        <w:tblInd w:w="0" w:type="dxa"/>
        <w:tblCellMar>
          <w:top w:w="0" w:type="dxa"/>
          <w:left w:w="0" w:type="dxa"/>
          <w:bottom w:w="0" w:type="dxa"/>
          <w:right w:w="0" w:type="dxa"/>
        </w:tblCellMar>
      </w:tblPr>
      <w:tr>
        <w:trPr>
          <w:trHeight w:val="169"/>
        </w:trPr>
        <w:tc>
          <w:tcPr>
            <w:tcW w:w="1980" w:type="dxa"/>
            <w:vAlign w:val="bottom"/>
          </w:tcPr>
          <w:p>
            <w:pPr>
              <w:spacing w:after="0" w:line="169" w:lineRule="exact"/>
              <w:rPr>
                <w:sz w:val="20"/>
                <w:szCs w:val="20"/>
                <w:color w:val="auto"/>
              </w:rPr>
            </w:pPr>
            <w:r>
              <w:rPr>
                <w:rFonts w:ascii="Courier New" w:cs="Courier New" w:eastAsia="Courier New" w:hAnsi="Courier New"/>
                <w:sz w:val="15"/>
                <w:szCs w:val="15"/>
                <w:color w:val="auto"/>
              </w:rPr>
              <w:t>Stores</w:t>
            </w:r>
          </w:p>
        </w:tc>
        <w:tc>
          <w:tcPr>
            <w:tcW w:w="1700" w:type="dxa"/>
            <w:vAlign w:val="bottom"/>
          </w:tcPr>
          <w:p>
            <w:pPr>
              <w:jc w:val="right"/>
              <w:ind w:right="187"/>
              <w:spacing w:after="0" w:line="169" w:lineRule="exact"/>
              <w:rPr>
                <w:sz w:val="20"/>
                <w:szCs w:val="20"/>
                <w:color w:val="auto"/>
              </w:rPr>
            </w:pPr>
            <w:r>
              <w:rPr>
                <w:rFonts w:ascii="Courier New" w:cs="Courier New" w:eastAsia="Courier New" w:hAnsi="Courier New"/>
                <w:sz w:val="15"/>
                <w:szCs w:val="15"/>
                <w:color w:val="auto"/>
              </w:rPr>
              <w:t>833</w:t>
            </w:r>
          </w:p>
        </w:tc>
        <w:tc>
          <w:tcPr>
            <w:tcW w:w="1320" w:type="dxa"/>
            <w:vAlign w:val="bottom"/>
          </w:tcPr>
          <w:p>
            <w:pPr>
              <w:jc w:val="right"/>
              <w:ind w:right="187"/>
              <w:spacing w:after="0" w:line="169" w:lineRule="exact"/>
              <w:rPr>
                <w:sz w:val="20"/>
                <w:szCs w:val="20"/>
                <w:color w:val="auto"/>
              </w:rPr>
            </w:pPr>
            <w:r>
              <w:rPr>
                <w:rFonts w:ascii="Courier New" w:cs="Courier New" w:eastAsia="Courier New" w:hAnsi="Courier New"/>
                <w:sz w:val="15"/>
                <w:szCs w:val="15"/>
                <w:color w:val="auto"/>
              </w:rPr>
              <w:t>828</w:t>
            </w:r>
          </w:p>
        </w:tc>
        <w:tc>
          <w:tcPr>
            <w:tcW w:w="1400" w:type="dxa"/>
            <w:vAlign w:val="bottom"/>
          </w:tcPr>
          <w:p>
            <w:pPr>
              <w:jc w:val="right"/>
              <w:ind w:right="287"/>
              <w:spacing w:after="0" w:line="169" w:lineRule="exact"/>
              <w:rPr>
                <w:sz w:val="20"/>
                <w:szCs w:val="20"/>
                <w:color w:val="auto"/>
              </w:rPr>
            </w:pPr>
            <w:r>
              <w:rPr>
                <w:rFonts w:ascii="Courier New" w:cs="Courier New" w:eastAsia="Courier New" w:hAnsi="Courier New"/>
                <w:sz w:val="15"/>
                <w:szCs w:val="15"/>
                <w:color w:val="auto"/>
              </w:rPr>
              <w:t>812</w:t>
            </w:r>
          </w:p>
        </w:tc>
        <w:tc>
          <w:tcPr>
            <w:tcW w:w="1260" w:type="dxa"/>
            <w:vAlign w:val="bottom"/>
          </w:tcPr>
          <w:p>
            <w:pPr>
              <w:jc w:val="right"/>
              <w:ind w:right="327"/>
              <w:spacing w:after="0" w:line="169" w:lineRule="exact"/>
              <w:rPr>
                <w:sz w:val="20"/>
                <w:szCs w:val="20"/>
                <w:color w:val="auto"/>
              </w:rPr>
            </w:pPr>
            <w:r>
              <w:rPr>
                <w:rFonts w:ascii="Courier New" w:cs="Courier New" w:eastAsia="Courier New" w:hAnsi="Courier New"/>
                <w:sz w:val="15"/>
                <w:szCs w:val="15"/>
                <w:color w:val="auto"/>
              </w:rPr>
              <w:t>5</w:t>
            </w:r>
          </w:p>
        </w:tc>
        <w:tc>
          <w:tcPr>
            <w:tcW w:w="92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16</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Sq. Ft.</w:t>
            </w: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3,980,000</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3,955,000</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3,859,000</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25,000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96,000</w:t>
            </w:r>
          </w:p>
        </w:tc>
      </w:tr>
    </w:tbl>
    <w:p>
      <w:pPr>
        <w:spacing w:after="0" w:line="5" w:lineRule="exact"/>
        <w:rPr>
          <w:sz w:val="20"/>
          <w:szCs w:val="20"/>
          <w:color w:val="auto"/>
        </w:rPr>
      </w:pPr>
    </w:p>
    <w:p>
      <w:pPr>
        <w:ind w:left="180" w:hanging="170"/>
        <w:spacing w:after="0"/>
        <w:tabs>
          <w:tab w:leader="none" w:pos="18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Limited Stores</w:t>
      </w:r>
    </w:p>
    <w:tbl>
      <w:tblPr>
        <w:tblLayout w:type="fixed"/>
        <w:tblInd w:w="0" w:type="dxa"/>
        <w:tblCellMar>
          <w:top w:w="0" w:type="dxa"/>
          <w:left w:w="0" w:type="dxa"/>
          <w:bottom w:w="0" w:type="dxa"/>
          <w:right w:w="0" w:type="dxa"/>
        </w:tblCellMar>
      </w:tblPr>
      <w:tr>
        <w:trPr>
          <w:trHeight w:val="169"/>
        </w:trPr>
        <w:tc>
          <w:tcPr>
            <w:tcW w:w="1980" w:type="dxa"/>
            <w:vAlign w:val="bottom"/>
          </w:tcPr>
          <w:p>
            <w:pPr>
              <w:spacing w:after="0" w:line="169" w:lineRule="exact"/>
              <w:rPr>
                <w:sz w:val="20"/>
                <w:szCs w:val="20"/>
                <w:color w:val="auto"/>
              </w:rPr>
            </w:pPr>
            <w:r>
              <w:rPr>
                <w:rFonts w:ascii="Courier New" w:cs="Courier New" w:eastAsia="Courier New" w:hAnsi="Courier New"/>
                <w:sz w:val="15"/>
                <w:szCs w:val="15"/>
                <w:color w:val="auto"/>
              </w:rPr>
              <w:t>Stores</w:t>
            </w:r>
          </w:p>
        </w:tc>
        <w:tc>
          <w:tcPr>
            <w:tcW w:w="1700" w:type="dxa"/>
            <w:vAlign w:val="bottom"/>
          </w:tcPr>
          <w:p>
            <w:pPr>
              <w:jc w:val="right"/>
              <w:ind w:right="187"/>
              <w:spacing w:after="0" w:line="169" w:lineRule="exact"/>
              <w:rPr>
                <w:sz w:val="20"/>
                <w:szCs w:val="20"/>
                <w:color w:val="auto"/>
              </w:rPr>
            </w:pPr>
            <w:r>
              <w:rPr>
                <w:rFonts w:ascii="Courier New" w:cs="Courier New" w:eastAsia="Courier New" w:hAnsi="Courier New"/>
                <w:sz w:val="15"/>
                <w:szCs w:val="15"/>
                <w:color w:val="auto"/>
              </w:rPr>
              <w:t>677</w:t>
            </w:r>
          </w:p>
        </w:tc>
        <w:tc>
          <w:tcPr>
            <w:tcW w:w="1320" w:type="dxa"/>
            <w:vAlign w:val="bottom"/>
          </w:tcPr>
          <w:p>
            <w:pPr>
              <w:jc w:val="right"/>
              <w:ind w:right="187"/>
              <w:spacing w:after="0" w:line="169" w:lineRule="exact"/>
              <w:rPr>
                <w:sz w:val="20"/>
                <w:szCs w:val="20"/>
                <w:color w:val="auto"/>
              </w:rPr>
            </w:pPr>
            <w:r>
              <w:rPr>
                <w:rFonts w:ascii="Courier New" w:cs="Courier New" w:eastAsia="Courier New" w:hAnsi="Courier New"/>
                <w:sz w:val="15"/>
                <w:szCs w:val="15"/>
                <w:color w:val="auto"/>
              </w:rPr>
              <w:t>689</w:t>
            </w:r>
          </w:p>
        </w:tc>
        <w:tc>
          <w:tcPr>
            <w:tcW w:w="1300" w:type="dxa"/>
            <w:vAlign w:val="bottom"/>
          </w:tcPr>
          <w:p>
            <w:pPr>
              <w:jc w:val="right"/>
              <w:ind w:right="187"/>
              <w:spacing w:after="0" w:line="169" w:lineRule="exact"/>
              <w:rPr>
                <w:sz w:val="20"/>
                <w:szCs w:val="20"/>
                <w:color w:val="auto"/>
              </w:rPr>
            </w:pPr>
            <w:r>
              <w:rPr>
                <w:rFonts w:ascii="Courier New" w:cs="Courier New" w:eastAsia="Courier New" w:hAnsi="Courier New"/>
                <w:sz w:val="15"/>
                <w:szCs w:val="15"/>
                <w:color w:val="auto"/>
              </w:rPr>
              <w:t>709</w:t>
            </w:r>
          </w:p>
        </w:tc>
        <w:tc>
          <w:tcPr>
            <w:tcW w:w="1320" w:type="dxa"/>
            <w:vAlign w:val="bottom"/>
          </w:tcPr>
          <w:p>
            <w:pPr>
              <w:jc w:val="right"/>
              <w:ind w:right="187"/>
              <w:spacing w:after="0" w:line="169" w:lineRule="exact"/>
              <w:rPr>
                <w:sz w:val="20"/>
                <w:szCs w:val="20"/>
                <w:color w:val="auto"/>
              </w:rPr>
            </w:pPr>
            <w:r>
              <w:rPr>
                <w:rFonts w:ascii="Courier New" w:cs="Courier New" w:eastAsia="Courier New" w:hAnsi="Courier New"/>
                <w:sz w:val="15"/>
                <w:szCs w:val="15"/>
                <w:color w:val="auto"/>
              </w:rPr>
              <w:t>(12)</w:t>
            </w:r>
          </w:p>
        </w:tc>
        <w:tc>
          <w:tcPr>
            <w:tcW w:w="104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(20)</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Sq. Ft.</w:t>
            </w: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4,029,000</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4,211,000</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4,358,000</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(182,000)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(147,000)</w:t>
            </w:r>
          </w:p>
        </w:tc>
      </w:tr>
    </w:tbl>
    <w:p>
      <w:pPr>
        <w:spacing w:after="0" w:line="5" w:lineRule="exact"/>
        <w:rPr>
          <w:sz w:val="20"/>
          <w:szCs w:val="20"/>
          <w:color w:val="auto"/>
        </w:rPr>
      </w:pPr>
    </w:p>
    <w:p>
      <w:pPr>
        <w:ind w:left="180" w:hanging="170"/>
        <w:spacing w:after="0"/>
        <w:tabs>
          <w:tab w:leader="none" w:pos="18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Henri Bendel</w:t>
      </w:r>
    </w:p>
    <w:tbl>
      <w:tblPr>
        <w:tblLayout w:type="fixed"/>
        <w:tblInd w:w="0" w:type="dxa"/>
        <w:tblCellMar>
          <w:top w:w="0" w:type="dxa"/>
          <w:left w:w="0" w:type="dxa"/>
          <w:bottom w:w="0" w:type="dxa"/>
          <w:right w:w="0" w:type="dxa"/>
        </w:tblCellMar>
      </w:tblPr>
      <w:tr>
        <w:trPr>
          <w:trHeight w:val="169"/>
        </w:trPr>
        <w:tc>
          <w:tcPr>
            <w:tcW w:w="2060" w:type="dxa"/>
            <w:vAlign w:val="bottom"/>
          </w:tcPr>
          <w:p>
            <w:pPr>
              <w:spacing w:after="0" w:line="169" w:lineRule="exact"/>
              <w:rPr>
                <w:sz w:val="20"/>
                <w:szCs w:val="20"/>
                <w:color w:val="auto"/>
              </w:rPr>
            </w:pPr>
            <w:r>
              <w:rPr>
                <w:rFonts w:ascii="Courier New" w:cs="Courier New" w:eastAsia="Courier New" w:hAnsi="Courier New"/>
                <w:sz w:val="15"/>
                <w:szCs w:val="15"/>
                <w:color w:val="auto"/>
              </w:rPr>
              <w:t>Stores</w:t>
            </w:r>
          </w:p>
        </w:tc>
        <w:tc>
          <w:tcPr>
            <w:tcW w:w="1760" w:type="dxa"/>
            <w:vAlign w:val="bottom"/>
          </w:tcPr>
          <w:p>
            <w:pPr>
              <w:jc w:val="right"/>
              <w:ind w:right="327"/>
              <w:spacing w:after="0" w:line="169" w:lineRule="exact"/>
              <w:rPr>
                <w:sz w:val="20"/>
                <w:szCs w:val="20"/>
                <w:color w:val="auto"/>
              </w:rPr>
            </w:pPr>
            <w:r>
              <w:rPr>
                <w:rFonts w:ascii="Courier New" w:cs="Courier New" w:eastAsia="Courier New" w:hAnsi="Courier New"/>
                <w:sz w:val="15"/>
                <w:szCs w:val="15"/>
                <w:color w:val="auto"/>
              </w:rPr>
              <w:t>6</w:t>
            </w:r>
          </w:p>
        </w:tc>
        <w:tc>
          <w:tcPr>
            <w:tcW w:w="1300" w:type="dxa"/>
            <w:vAlign w:val="bottom"/>
          </w:tcPr>
          <w:p>
            <w:pPr>
              <w:jc w:val="right"/>
              <w:ind w:right="307"/>
              <w:spacing w:after="0" w:line="169" w:lineRule="exact"/>
              <w:rPr>
                <w:sz w:val="20"/>
                <w:szCs w:val="20"/>
                <w:color w:val="auto"/>
              </w:rPr>
            </w:pPr>
            <w:r>
              <w:rPr>
                <w:rFonts w:ascii="Courier New" w:cs="Courier New" w:eastAsia="Courier New" w:hAnsi="Courier New"/>
                <w:sz w:val="15"/>
                <w:szCs w:val="15"/>
                <w:color w:val="auto"/>
              </w:rPr>
              <w:t>4</w:t>
            </w:r>
          </w:p>
        </w:tc>
        <w:tc>
          <w:tcPr>
            <w:tcW w:w="1280" w:type="dxa"/>
            <w:vAlign w:val="bottom"/>
          </w:tcPr>
          <w:p>
            <w:pPr>
              <w:jc w:val="right"/>
              <w:ind w:right="287"/>
              <w:spacing w:after="0" w:line="169" w:lineRule="exact"/>
              <w:rPr>
                <w:sz w:val="20"/>
                <w:szCs w:val="20"/>
                <w:color w:val="auto"/>
              </w:rPr>
            </w:pPr>
            <w:r>
              <w:rPr>
                <w:rFonts w:ascii="Courier New" w:cs="Courier New" w:eastAsia="Courier New" w:hAnsi="Courier New"/>
                <w:sz w:val="15"/>
                <w:szCs w:val="15"/>
                <w:color w:val="auto"/>
              </w:rPr>
              <w:t>4</w:t>
            </w:r>
          </w:p>
        </w:tc>
        <w:tc>
          <w:tcPr>
            <w:tcW w:w="1260" w:type="dxa"/>
            <w:vAlign w:val="bottom"/>
          </w:tcPr>
          <w:p>
            <w:pPr>
              <w:jc w:val="right"/>
              <w:ind w:right="327"/>
              <w:spacing w:after="0" w:line="169" w:lineRule="exact"/>
              <w:rPr>
                <w:sz w:val="20"/>
                <w:szCs w:val="20"/>
                <w:color w:val="auto"/>
              </w:rPr>
            </w:pPr>
            <w:r>
              <w:rPr>
                <w:rFonts w:ascii="Courier New" w:cs="Courier New" w:eastAsia="Courier New" w:hAnsi="Courier New"/>
                <w:sz w:val="15"/>
                <w:szCs w:val="15"/>
                <w:color w:val="auto"/>
              </w:rPr>
              <w:t>2</w:t>
            </w:r>
          </w:p>
        </w:tc>
        <w:tc>
          <w:tcPr>
            <w:tcW w:w="1000" w:type="dxa"/>
            <w:vAlign w:val="bottom"/>
          </w:tcPr>
          <w:p>
            <w:pPr>
              <w:jc w:val="right"/>
              <w:ind w:right="7"/>
              <w:spacing w:after="0" w:line="169" w:lineRule="exact"/>
              <w:rPr>
                <w:sz w:val="20"/>
                <w:szCs w:val="20"/>
                <w:color w:val="auto"/>
              </w:rPr>
            </w:pPr>
            <w:r>
              <w:rPr>
                <w:rFonts w:ascii="Courier New" w:cs="Courier New" w:eastAsia="Courier New" w:hAnsi="Courier New"/>
                <w:sz w:val="15"/>
                <w:szCs w:val="15"/>
                <w:color w:val="auto"/>
              </w:rPr>
              <w:t>0</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Sq. Ft.</w:t>
            </w:r>
          </w:p>
        </w:tc>
        <w:tc>
          <w:tcPr>
            <w:tcW w:w="1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111,000</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88,000</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93,000</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23,000</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(5,000)</w:t>
            </w:r>
          </w:p>
        </w:tc>
      </w:tr>
    </w:tbl>
    <w:p>
      <w:pPr>
        <w:spacing w:after="0" w:line="5" w:lineRule="exact"/>
        <w:rPr>
          <w:sz w:val="20"/>
          <w:szCs w:val="20"/>
          <w:color w:val="auto"/>
        </w:rPr>
      </w:pPr>
    </w:p>
    <w:p>
      <w:pPr>
        <w:ind w:left="180" w:hanging="170"/>
        <w:spacing w:after="0"/>
        <w:tabs>
          <w:tab w:leader="none" w:pos="18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Structure</w:t>
      </w:r>
    </w:p>
    <w:tbl>
      <w:tblPr>
        <w:tblLayout w:type="fixed"/>
        <w:tblInd w:w="0" w:type="dxa"/>
        <w:tblCellMar>
          <w:top w:w="0" w:type="dxa"/>
          <w:left w:w="0" w:type="dxa"/>
          <w:bottom w:w="0" w:type="dxa"/>
          <w:right w:w="0" w:type="dxa"/>
        </w:tblCellMar>
      </w:tblPr>
      <w:tr>
        <w:trPr>
          <w:trHeight w:val="169"/>
        </w:trPr>
        <w:tc>
          <w:tcPr>
            <w:tcW w:w="1980" w:type="dxa"/>
            <w:vAlign w:val="bottom"/>
          </w:tcPr>
          <w:p>
            <w:pPr>
              <w:spacing w:after="0" w:line="169" w:lineRule="exact"/>
              <w:rPr>
                <w:sz w:val="20"/>
                <w:szCs w:val="20"/>
                <w:color w:val="auto"/>
              </w:rPr>
            </w:pPr>
            <w:r>
              <w:rPr>
                <w:rFonts w:ascii="Courier New" w:cs="Courier New" w:eastAsia="Courier New" w:hAnsi="Courier New"/>
                <w:sz w:val="15"/>
                <w:szCs w:val="15"/>
                <w:color w:val="auto"/>
              </w:rPr>
              <w:t>Stores</w:t>
            </w:r>
          </w:p>
        </w:tc>
        <w:tc>
          <w:tcPr>
            <w:tcW w:w="1700" w:type="dxa"/>
            <w:vAlign w:val="bottom"/>
          </w:tcPr>
          <w:p>
            <w:pPr>
              <w:jc w:val="right"/>
              <w:ind w:right="187"/>
              <w:spacing w:after="0" w:line="169" w:lineRule="exact"/>
              <w:rPr>
                <w:sz w:val="20"/>
                <w:szCs w:val="20"/>
                <w:color w:val="auto"/>
              </w:rPr>
            </w:pPr>
            <w:r>
              <w:rPr>
                <w:rFonts w:ascii="Courier New" w:cs="Courier New" w:eastAsia="Courier New" w:hAnsi="Courier New"/>
                <w:sz w:val="15"/>
                <w:szCs w:val="15"/>
                <w:color w:val="auto"/>
              </w:rPr>
              <w:t>551</w:t>
            </w:r>
          </w:p>
        </w:tc>
        <w:tc>
          <w:tcPr>
            <w:tcW w:w="1320" w:type="dxa"/>
            <w:vAlign w:val="bottom"/>
          </w:tcPr>
          <w:p>
            <w:pPr>
              <w:jc w:val="right"/>
              <w:ind w:right="187"/>
              <w:spacing w:after="0" w:line="169" w:lineRule="exact"/>
              <w:rPr>
                <w:sz w:val="20"/>
                <w:szCs w:val="20"/>
                <w:color w:val="auto"/>
              </w:rPr>
            </w:pPr>
            <w:r>
              <w:rPr>
                <w:rFonts w:ascii="Courier New" w:cs="Courier New" w:eastAsia="Courier New" w:hAnsi="Courier New"/>
                <w:sz w:val="15"/>
                <w:szCs w:val="15"/>
                <w:color w:val="auto"/>
              </w:rPr>
              <w:t>518</w:t>
            </w:r>
          </w:p>
        </w:tc>
        <w:tc>
          <w:tcPr>
            <w:tcW w:w="1360" w:type="dxa"/>
            <w:vAlign w:val="bottom"/>
          </w:tcPr>
          <w:p>
            <w:pPr>
              <w:jc w:val="right"/>
              <w:ind w:right="247"/>
              <w:spacing w:after="0" w:line="169" w:lineRule="exact"/>
              <w:rPr>
                <w:sz w:val="20"/>
                <w:szCs w:val="20"/>
                <w:color w:val="auto"/>
              </w:rPr>
            </w:pPr>
            <w:r>
              <w:rPr>
                <w:rFonts w:ascii="Courier New" w:cs="Courier New" w:eastAsia="Courier New" w:hAnsi="Courier New"/>
                <w:sz w:val="15"/>
                <w:szCs w:val="15"/>
                <w:color w:val="auto"/>
              </w:rPr>
              <w:t>466</w:t>
            </w:r>
          </w:p>
        </w:tc>
        <w:tc>
          <w:tcPr>
            <w:tcW w:w="1260" w:type="dxa"/>
            <w:vAlign w:val="bottom"/>
          </w:tcPr>
          <w:p>
            <w:pPr>
              <w:jc w:val="right"/>
              <w:ind w:right="287"/>
              <w:spacing w:after="0" w:line="169" w:lineRule="exact"/>
              <w:rPr>
                <w:sz w:val="20"/>
                <w:szCs w:val="20"/>
                <w:color w:val="auto"/>
              </w:rPr>
            </w:pPr>
            <w:r>
              <w:rPr>
                <w:rFonts w:ascii="Courier New" w:cs="Courier New" w:eastAsia="Courier New" w:hAnsi="Courier New"/>
                <w:sz w:val="15"/>
                <w:szCs w:val="15"/>
                <w:color w:val="auto"/>
              </w:rPr>
              <w:t>33</w:t>
            </w:r>
          </w:p>
        </w:tc>
        <w:tc>
          <w:tcPr>
            <w:tcW w:w="9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52</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Sq. Ft.</w:t>
            </w: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2,160,000</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1,993,000</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1,755,000</w:t>
            </w:r>
          </w:p>
        </w:tc>
        <w:tc>
          <w:tcPr>
            <w:tcW w:w="12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167,000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238,000</w:t>
            </w:r>
          </w:p>
        </w:tc>
      </w:tr>
    </w:tbl>
    <w:p>
      <w:pPr>
        <w:spacing w:after="0" w:line="5" w:lineRule="exact"/>
        <w:rPr>
          <w:sz w:val="20"/>
          <w:szCs w:val="20"/>
          <w:color w:val="auto"/>
        </w:rPr>
      </w:pPr>
    </w:p>
    <w:p>
      <w:pPr>
        <w:ind w:left="180" w:hanging="170"/>
        <w:spacing w:after="0"/>
        <w:tabs>
          <w:tab w:leader="none" w:pos="18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Abercrombie &amp; Fitch Co.</w:t>
      </w:r>
    </w:p>
    <w:tbl>
      <w:tblPr>
        <w:tblLayout w:type="fixed"/>
        <w:tblInd w:w="0" w:type="dxa"/>
        <w:tblCellMar>
          <w:top w:w="0" w:type="dxa"/>
          <w:left w:w="0" w:type="dxa"/>
          <w:bottom w:w="0" w:type="dxa"/>
          <w:right w:w="0" w:type="dxa"/>
        </w:tblCellMar>
      </w:tblPr>
      <w:tr>
        <w:trPr>
          <w:trHeight w:val="169"/>
        </w:trPr>
        <w:tc>
          <w:tcPr>
            <w:tcW w:w="2060" w:type="dxa"/>
            <w:vAlign w:val="bottom"/>
          </w:tcPr>
          <w:p>
            <w:pPr>
              <w:spacing w:after="0" w:line="169" w:lineRule="exact"/>
              <w:rPr>
                <w:sz w:val="20"/>
                <w:szCs w:val="20"/>
                <w:color w:val="auto"/>
              </w:rPr>
            </w:pPr>
            <w:r>
              <w:rPr>
                <w:rFonts w:ascii="Courier New" w:cs="Courier New" w:eastAsia="Courier New" w:hAnsi="Courier New"/>
                <w:sz w:val="15"/>
                <w:szCs w:val="15"/>
                <w:color w:val="auto"/>
              </w:rPr>
              <w:t>Stores</w:t>
            </w:r>
          </w:p>
        </w:tc>
        <w:tc>
          <w:tcPr>
            <w:tcW w:w="1720" w:type="dxa"/>
            <w:vAlign w:val="bottom"/>
          </w:tcPr>
          <w:p>
            <w:pPr>
              <w:jc w:val="right"/>
              <w:ind w:right="287"/>
              <w:spacing w:after="0" w:line="169" w:lineRule="exact"/>
              <w:rPr>
                <w:sz w:val="20"/>
                <w:szCs w:val="20"/>
                <w:color w:val="auto"/>
              </w:rPr>
            </w:pPr>
            <w:r>
              <w:rPr>
                <w:rFonts w:ascii="Courier New" w:cs="Courier New" w:eastAsia="Courier New" w:hAnsi="Courier New"/>
                <w:sz w:val="15"/>
                <w:szCs w:val="15"/>
                <w:color w:val="auto"/>
              </w:rPr>
              <w:t>125</w:t>
            </w:r>
          </w:p>
        </w:tc>
        <w:tc>
          <w:tcPr>
            <w:tcW w:w="1300" w:type="dxa"/>
            <w:vAlign w:val="bottom"/>
          </w:tcPr>
          <w:p>
            <w:pPr>
              <w:jc w:val="right"/>
              <w:ind w:right="267"/>
              <w:spacing w:after="0" w:line="169" w:lineRule="exact"/>
              <w:rPr>
                <w:sz w:val="20"/>
                <w:szCs w:val="20"/>
                <w:color w:val="auto"/>
              </w:rPr>
            </w:pPr>
            <w:r>
              <w:rPr>
                <w:rFonts w:ascii="Courier New" w:cs="Courier New" w:eastAsia="Courier New" w:hAnsi="Courier New"/>
                <w:sz w:val="15"/>
                <w:szCs w:val="15"/>
                <w:color w:val="auto"/>
              </w:rPr>
              <w:t>100</w:t>
            </w:r>
          </w:p>
        </w:tc>
        <w:tc>
          <w:tcPr>
            <w:tcW w:w="1280" w:type="dxa"/>
            <w:vAlign w:val="bottom"/>
          </w:tcPr>
          <w:p>
            <w:pPr>
              <w:jc w:val="right"/>
              <w:ind w:right="247"/>
              <w:spacing w:after="0" w:line="169" w:lineRule="exact"/>
              <w:rPr>
                <w:sz w:val="20"/>
                <w:szCs w:val="20"/>
                <w:color w:val="auto"/>
              </w:rPr>
            </w:pPr>
            <w:r>
              <w:rPr>
                <w:rFonts w:ascii="Courier New" w:cs="Courier New" w:eastAsia="Courier New" w:hAnsi="Courier New"/>
                <w:sz w:val="15"/>
                <w:szCs w:val="15"/>
                <w:color w:val="auto"/>
              </w:rPr>
              <w:t>67</w:t>
            </w:r>
          </w:p>
        </w:tc>
        <w:tc>
          <w:tcPr>
            <w:tcW w:w="1260" w:type="dxa"/>
            <w:vAlign w:val="bottom"/>
          </w:tcPr>
          <w:p>
            <w:pPr>
              <w:jc w:val="right"/>
              <w:ind w:right="287"/>
              <w:spacing w:after="0" w:line="169" w:lineRule="exact"/>
              <w:rPr>
                <w:sz w:val="20"/>
                <w:szCs w:val="20"/>
                <w:color w:val="auto"/>
              </w:rPr>
            </w:pPr>
            <w:r>
              <w:rPr>
                <w:rFonts w:ascii="Courier New" w:cs="Courier New" w:eastAsia="Courier New" w:hAnsi="Courier New"/>
                <w:sz w:val="15"/>
                <w:szCs w:val="15"/>
                <w:color w:val="auto"/>
              </w:rPr>
              <w:t>25</w:t>
            </w:r>
          </w:p>
        </w:tc>
        <w:tc>
          <w:tcPr>
            <w:tcW w:w="9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33</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Sq. Ft.</w:t>
            </w:r>
          </w:p>
        </w:tc>
        <w:tc>
          <w:tcPr>
            <w:tcW w:w="17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980,000</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792,000</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541,000</w:t>
            </w:r>
          </w:p>
        </w:tc>
        <w:tc>
          <w:tcPr>
            <w:tcW w:w="12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188,000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251,000</w:t>
            </w:r>
          </w:p>
        </w:tc>
      </w:tr>
    </w:tbl>
    <w:p>
      <w:pPr>
        <w:spacing w:after="0" w:line="5" w:lineRule="exact"/>
        <w:rPr>
          <w:sz w:val="20"/>
          <w:szCs w:val="20"/>
          <w:color w:val="auto"/>
        </w:rPr>
      </w:pPr>
    </w:p>
    <w:p>
      <w:pPr>
        <w:ind w:left="180" w:hanging="170"/>
        <w:spacing w:after="0"/>
        <w:tabs>
          <w:tab w:leader="none" w:pos="18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Limited Too</w:t>
      </w:r>
    </w:p>
    <w:tbl>
      <w:tblPr>
        <w:tblLayout w:type="fixed"/>
        <w:tblInd w:w="0" w:type="dxa"/>
        <w:tblCellMar>
          <w:top w:w="0" w:type="dxa"/>
          <w:left w:w="0" w:type="dxa"/>
          <w:bottom w:w="0" w:type="dxa"/>
          <w:right w:w="0" w:type="dxa"/>
        </w:tblCellMar>
      </w:tblPr>
      <w:tr>
        <w:trPr>
          <w:trHeight w:val="169"/>
        </w:trPr>
        <w:tc>
          <w:tcPr>
            <w:tcW w:w="2060" w:type="dxa"/>
            <w:vAlign w:val="bottom"/>
          </w:tcPr>
          <w:p>
            <w:pPr>
              <w:spacing w:after="0" w:line="169" w:lineRule="exact"/>
              <w:rPr>
                <w:sz w:val="20"/>
                <w:szCs w:val="20"/>
                <w:color w:val="auto"/>
              </w:rPr>
            </w:pPr>
            <w:r>
              <w:rPr>
                <w:rFonts w:ascii="Courier New" w:cs="Courier New" w:eastAsia="Courier New" w:hAnsi="Courier New"/>
                <w:sz w:val="15"/>
                <w:szCs w:val="15"/>
                <w:color w:val="auto"/>
              </w:rPr>
              <w:t>Stores</w:t>
            </w:r>
          </w:p>
        </w:tc>
        <w:tc>
          <w:tcPr>
            <w:tcW w:w="1720" w:type="dxa"/>
            <w:vAlign w:val="bottom"/>
          </w:tcPr>
          <w:p>
            <w:pPr>
              <w:jc w:val="right"/>
              <w:ind w:right="287"/>
              <w:spacing w:after="0" w:line="169" w:lineRule="exact"/>
              <w:rPr>
                <w:sz w:val="20"/>
                <w:szCs w:val="20"/>
                <w:color w:val="auto"/>
              </w:rPr>
            </w:pPr>
            <w:r>
              <w:rPr>
                <w:rFonts w:ascii="Courier New" w:cs="Courier New" w:eastAsia="Courier New" w:hAnsi="Courier New"/>
                <w:sz w:val="15"/>
                <w:szCs w:val="15"/>
                <w:color w:val="auto"/>
              </w:rPr>
              <w:t>312</w:t>
            </w:r>
          </w:p>
        </w:tc>
        <w:tc>
          <w:tcPr>
            <w:tcW w:w="1300" w:type="dxa"/>
            <w:vAlign w:val="bottom"/>
          </w:tcPr>
          <w:p>
            <w:pPr>
              <w:jc w:val="right"/>
              <w:ind w:right="267"/>
              <w:spacing w:after="0" w:line="169" w:lineRule="exact"/>
              <w:rPr>
                <w:sz w:val="20"/>
                <w:szCs w:val="20"/>
                <w:color w:val="auto"/>
              </w:rPr>
            </w:pPr>
            <w:r>
              <w:rPr>
                <w:rFonts w:ascii="Courier New" w:cs="Courier New" w:eastAsia="Courier New" w:hAnsi="Courier New"/>
                <w:sz w:val="15"/>
                <w:szCs w:val="15"/>
                <w:color w:val="auto"/>
              </w:rPr>
              <w:t>288</w:t>
            </w:r>
          </w:p>
        </w:tc>
        <w:tc>
          <w:tcPr>
            <w:tcW w:w="1320" w:type="dxa"/>
            <w:vAlign w:val="bottom"/>
          </w:tcPr>
          <w:p>
            <w:pPr>
              <w:jc w:val="right"/>
              <w:ind w:right="287"/>
              <w:spacing w:after="0" w:line="169" w:lineRule="exact"/>
              <w:rPr>
                <w:sz w:val="20"/>
                <w:szCs w:val="20"/>
                <w:color w:val="auto"/>
              </w:rPr>
            </w:pPr>
            <w:r>
              <w:rPr>
                <w:rFonts w:ascii="Courier New" w:cs="Courier New" w:eastAsia="Courier New" w:hAnsi="Courier New"/>
                <w:sz w:val="15"/>
                <w:szCs w:val="15"/>
                <w:color w:val="auto"/>
              </w:rPr>
              <w:t>210</w:t>
            </w:r>
          </w:p>
        </w:tc>
        <w:tc>
          <w:tcPr>
            <w:tcW w:w="1220" w:type="dxa"/>
            <w:vAlign w:val="bottom"/>
          </w:tcPr>
          <w:p>
            <w:pPr>
              <w:jc w:val="right"/>
              <w:ind w:right="287"/>
              <w:spacing w:after="0" w:line="169" w:lineRule="exact"/>
              <w:rPr>
                <w:sz w:val="20"/>
                <w:szCs w:val="20"/>
                <w:color w:val="auto"/>
              </w:rPr>
            </w:pPr>
            <w:r>
              <w:rPr>
                <w:rFonts w:ascii="Courier New" w:cs="Courier New" w:eastAsia="Courier New" w:hAnsi="Courier New"/>
                <w:sz w:val="15"/>
                <w:szCs w:val="15"/>
                <w:color w:val="auto"/>
              </w:rPr>
              <w:t>24</w:t>
            </w:r>
          </w:p>
        </w:tc>
        <w:tc>
          <w:tcPr>
            <w:tcW w:w="9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78</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Sq. Ft.</w:t>
            </w:r>
          </w:p>
        </w:tc>
        <w:tc>
          <w:tcPr>
            <w:tcW w:w="17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983,000</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903,000</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665,000</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80,000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238,000</w:t>
            </w:r>
          </w:p>
        </w:tc>
      </w:tr>
    </w:tbl>
    <w:p>
      <w:pPr>
        <w:spacing w:after="0" w:line="5" w:lineRule="exact"/>
        <w:rPr>
          <w:sz w:val="20"/>
          <w:szCs w:val="20"/>
          <w:color w:val="auto"/>
        </w:rPr>
      </w:pPr>
    </w:p>
    <w:p>
      <w:pPr>
        <w:ind w:left="180" w:hanging="170"/>
        <w:spacing w:after="0"/>
        <w:tabs>
          <w:tab w:leader="none" w:pos="18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Galyan's</w:t>
      </w:r>
    </w:p>
    <w:tbl>
      <w:tblPr>
        <w:tblLayout w:type="fixed"/>
        <w:tblInd w:w="0" w:type="dxa"/>
        <w:tblCellMar>
          <w:top w:w="0" w:type="dxa"/>
          <w:left w:w="0" w:type="dxa"/>
          <w:bottom w:w="0" w:type="dxa"/>
          <w:right w:w="0" w:type="dxa"/>
        </w:tblCellMar>
      </w:tblPr>
      <w:tr>
        <w:trPr>
          <w:trHeight w:val="169"/>
        </w:trPr>
        <w:tc>
          <w:tcPr>
            <w:tcW w:w="2060" w:type="dxa"/>
            <w:vAlign w:val="bottom"/>
          </w:tcPr>
          <w:p>
            <w:pPr>
              <w:spacing w:after="0" w:line="169" w:lineRule="exact"/>
              <w:rPr>
                <w:sz w:val="20"/>
                <w:szCs w:val="20"/>
                <w:color w:val="auto"/>
              </w:rPr>
            </w:pPr>
            <w:r>
              <w:rPr>
                <w:rFonts w:ascii="Courier New" w:cs="Courier New" w:eastAsia="Courier New" w:hAnsi="Courier New"/>
                <w:sz w:val="15"/>
                <w:szCs w:val="15"/>
                <w:color w:val="auto"/>
              </w:rPr>
              <w:t>Stores</w:t>
            </w:r>
          </w:p>
        </w:tc>
        <w:tc>
          <w:tcPr>
            <w:tcW w:w="1720" w:type="dxa"/>
            <w:vAlign w:val="bottom"/>
          </w:tcPr>
          <w:p>
            <w:pPr>
              <w:jc w:val="right"/>
              <w:ind w:right="287"/>
              <w:spacing w:after="0" w:line="169" w:lineRule="exact"/>
              <w:rPr>
                <w:sz w:val="20"/>
                <w:szCs w:val="20"/>
                <w:color w:val="auto"/>
              </w:rPr>
            </w:pPr>
            <w:r>
              <w:rPr>
                <w:rFonts w:ascii="Courier New" w:cs="Courier New" w:eastAsia="Courier New" w:hAnsi="Courier New"/>
                <w:sz w:val="15"/>
                <w:szCs w:val="15"/>
                <w:color w:val="auto"/>
              </w:rPr>
              <w:t>9</w:t>
            </w:r>
          </w:p>
        </w:tc>
        <w:tc>
          <w:tcPr>
            <w:tcW w:w="1520" w:type="dxa"/>
            <w:vAlign w:val="bottom"/>
          </w:tcPr>
          <w:p>
            <w:pPr>
              <w:jc w:val="right"/>
              <w:ind w:right="487"/>
              <w:spacing w:after="0" w:line="169" w:lineRule="exact"/>
              <w:rPr>
                <w:sz w:val="20"/>
                <w:szCs w:val="20"/>
                <w:color w:val="auto"/>
              </w:rPr>
            </w:pPr>
            <w:r>
              <w:rPr>
                <w:rFonts w:ascii="Courier New" w:cs="Courier New" w:eastAsia="Courier New" w:hAnsi="Courier New"/>
                <w:sz w:val="15"/>
                <w:szCs w:val="15"/>
                <w:color w:val="auto"/>
              </w:rPr>
              <w:t>6</w:t>
            </w:r>
          </w:p>
        </w:tc>
        <w:tc>
          <w:tcPr>
            <w:tcW w:w="1060" w:type="dxa"/>
            <w:vAlign w:val="bottom"/>
          </w:tcPr>
          <w:p>
            <w:pPr>
              <w:jc w:val="right"/>
              <w:ind w:right="247"/>
              <w:spacing w:after="0" w:line="169"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7"/>
              <w:spacing w:after="0" w:line="169" w:lineRule="exact"/>
              <w:rPr>
                <w:sz w:val="20"/>
                <w:szCs w:val="20"/>
                <w:color w:val="auto"/>
              </w:rPr>
            </w:pPr>
            <w:r>
              <w:rPr>
                <w:rFonts w:ascii="Courier New" w:cs="Courier New" w:eastAsia="Courier New" w:hAnsi="Courier New"/>
                <w:sz w:val="15"/>
                <w:szCs w:val="15"/>
                <w:color w:val="auto"/>
              </w:rPr>
              <w:t>3</w:t>
            </w:r>
          </w:p>
        </w:tc>
        <w:tc>
          <w:tcPr>
            <w:tcW w:w="9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6</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Sq. Ft.</w:t>
            </w:r>
          </w:p>
        </w:tc>
        <w:tc>
          <w:tcPr>
            <w:tcW w:w="17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490,000</w:t>
            </w:r>
          </w:p>
        </w:tc>
        <w:tc>
          <w:tcPr>
            <w:tcW w:w="15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250,000</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240,000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250,000</w:t>
            </w:r>
          </w:p>
        </w:tc>
      </w:tr>
    </w:tbl>
    <w:p>
      <w:pPr>
        <w:spacing w:after="0" w:line="5" w:lineRule="exact"/>
        <w:rPr>
          <w:sz w:val="20"/>
          <w:szCs w:val="20"/>
          <w:color w:val="auto"/>
        </w:rPr>
      </w:pPr>
    </w:p>
    <w:p>
      <w:pPr>
        <w:ind w:left="180" w:hanging="170"/>
        <w:spacing w:after="0"/>
        <w:tabs>
          <w:tab w:leader="none" w:pos="18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Victoria's Secret Stores</w:t>
      </w:r>
    </w:p>
    <w:tbl>
      <w:tblPr>
        <w:tblLayout w:type="fixed"/>
        <w:tblInd w:w="0" w:type="dxa"/>
        <w:tblCellMar>
          <w:top w:w="0" w:type="dxa"/>
          <w:left w:w="0" w:type="dxa"/>
          <w:bottom w:w="0" w:type="dxa"/>
          <w:right w:w="0" w:type="dxa"/>
        </w:tblCellMar>
      </w:tblPr>
      <w:tr>
        <w:trPr>
          <w:trHeight w:val="169"/>
        </w:trPr>
        <w:tc>
          <w:tcPr>
            <w:tcW w:w="1980" w:type="dxa"/>
            <w:vAlign w:val="bottom"/>
          </w:tcPr>
          <w:p>
            <w:pPr>
              <w:spacing w:after="0" w:line="169" w:lineRule="exact"/>
              <w:rPr>
                <w:sz w:val="20"/>
                <w:szCs w:val="20"/>
                <w:color w:val="auto"/>
              </w:rPr>
            </w:pPr>
            <w:r>
              <w:rPr>
                <w:rFonts w:ascii="Courier New" w:cs="Courier New" w:eastAsia="Courier New" w:hAnsi="Courier New"/>
                <w:sz w:val="15"/>
                <w:szCs w:val="15"/>
                <w:color w:val="auto"/>
              </w:rPr>
              <w:t>Stores</w:t>
            </w:r>
          </w:p>
        </w:tc>
        <w:tc>
          <w:tcPr>
            <w:tcW w:w="1700" w:type="dxa"/>
            <w:vAlign w:val="bottom"/>
          </w:tcPr>
          <w:p>
            <w:pPr>
              <w:jc w:val="right"/>
              <w:ind w:right="187"/>
              <w:spacing w:after="0" w:line="169" w:lineRule="exact"/>
              <w:rPr>
                <w:sz w:val="20"/>
                <w:szCs w:val="20"/>
                <w:color w:val="auto"/>
              </w:rPr>
            </w:pPr>
            <w:r>
              <w:rPr>
                <w:rFonts w:ascii="Courier New" w:cs="Courier New" w:eastAsia="Courier New" w:hAnsi="Courier New"/>
                <w:sz w:val="15"/>
                <w:szCs w:val="15"/>
                <w:color w:val="auto"/>
              </w:rPr>
              <w:t>722</w:t>
            </w:r>
          </w:p>
        </w:tc>
        <w:tc>
          <w:tcPr>
            <w:tcW w:w="1320" w:type="dxa"/>
            <w:vAlign w:val="bottom"/>
          </w:tcPr>
          <w:p>
            <w:pPr>
              <w:jc w:val="right"/>
              <w:ind w:right="187"/>
              <w:spacing w:after="0" w:line="169" w:lineRule="exact"/>
              <w:rPr>
                <w:sz w:val="20"/>
                <w:szCs w:val="20"/>
                <w:color w:val="auto"/>
              </w:rPr>
            </w:pPr>
            <w:r>
              <w:rPr>
                <w:rFonts w:ascii="Courier New" w:cs="Courier New" w:eastAsia="Courier New" w:hAnsi="Courier New"/>
                <w:sz w:val="15"/>
                <w:szCs w:val="15"/>
                <w:color w:val="auto"/>
              </w:rPr>
              <w:t>671</w:t>
            </w:r>
          </w:p>
        </w:tc>
        <w:tc>
          <w:tcPr>
            <w:tcW w:w="1360" w:type="dxa"/>
            <w:vAlign w:val="bottom"/>
          </w:tcPr>
          <w:p>
            <w:pPr>
              <w:jc w:val="right"/>
              <w:ind w:right="247"/>
              <w:spacing w:after="0" w:line="169" w:lineRule="exact"/>
              <w:rPr>
                <w:sz w:val="20"/>
                <w:szCs w:val="20"/>
                <w:color w:val="auto"/>
              </w:rPr>
            </w:pPr>
            <w:r>
              <w:rPr>
                <w:rFonts w:ascii="Courier New" w:cs="Courier New" w:eastAsia="Courier New" w:hAnsi="Courier New"/>
                <w:sz w:val="15"/>
                <w:szCs w:val="15"/>
                <w:color w:val="auto"/>
              </w:rPr>
              <w:t>601</w:t>
            </w:r>
          </w:p>
        </w:tc>
        <w:tc>
          <w:tcPr>
            <w:tcW w:w="1260" w:type="dxa"/>
            <w:vAlign w:val="bottom"/>
          </w:tcPr>
          <w:p>
            <w:pPr>
              <w:jc w:val="right"/>
              <w:ind w:right="287"/>
              <w:spacing w:after="0" w:line="169" w:lineRule="exact"/>
              <w:rPr>
                <w:sz w:val="20"/>
                <w:szCs w:val="20"/>
                <w:color w:val="auto"/>
              </w:rPr>
            </w:pPr>
            <w:r>
              <w:rPr>
                <w:rFonts w:ascii="Courier New" w:cs="Courier New" w:eastAsia="Courier New" w:hAnsi="Courier New"/>
                <w:sz w:val="15"/>
                <w:szCs w:val="15"/>
                <w:color w:val="auto"/>
              </w:rPr>
              <w:t>51</w:t>
            </w:r>
          </w:p>
        </w:tc>
        <w:tc>
          <w:tcPr>
            <w:tcW w:w="9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70</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Sq. Ft.</w:t>
            </w:r>
          </w:p>
        </w:tc>
        <w:tc>
          <w:tcPr>
            <w:tcW w:w="1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3,298,000</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3,014,000</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2,586,000</w:t>
            </w:r>
          </w:p>
        </w:tc>
        <w:tc>
          <w:tcPr>
            <w:tcW w:w="12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284,000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428,000</w:t>
            </w:r>
          </w:p>
        </w:tc>
      </w:tr>
    </w:tbl>
    <w:p>
      <w:pPr>
        <w:spacing w:after="0" w:line="5" w:lineRule="exact"/>
        <w:rPr>
          <w:sz w:val="20"/>
          <w:szCs w:val="20"/>
          <w:color w:val="auto"/>
        </w:rPr>
      </w:pPr>
    </w:p>
    <w:p>
      <w:pPr>
        <w:ind w:left="180" w:hanging="170"/>
        <w:spacing w:after="0"/>
        <w:tabs>
          <w:tab w:leader="none" w:pos="180"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Bath &amp; Body Works</w:t>
      </w:r>
    </w:p>
    <w:tbl>
      <w:tblPr>
        <w:tblLayout w:type="fixed"/>
        <w:tblInd w:w="0" w:type="dxa"/>
        <w:tblCellMar>
          <w:top w:w="0" w:type="dxa"/>
          <w:left w:w="0" w:type="dxa"/>
          <w:bottom w:w="0" w:type="dxa"/>
          <w:right w:w="0" w:type="dxa"/>
        </w:tblCellMar>
      </w:tblPr>
      <w:tr>
        <w:trPr>
          <w:trHeight w:val="169"/>
        </w:trPr>
        <w:tc>
          <w:tcPr>
            <w:tcW w:w="1980" w:type="dxa"/>
            <w:vAlign w:val="bottom"/>
          </w:tcPr>
          <w:p>
            <w:pPr>
              <w:spacing w:after="0" w:line="169" w:lineRule="exact"/>
              <w:rPr>
                <w:sz w:val="20"/>
                <w:szCs w:val="20"/>
                <w:color w:val="auto"/>
              </w:rPr>
            </w:pPr>
            <w:r>
              <w:rPr>
                <w:rFonts w:ascii="Courier New" w:cs="Courier New" w:eastAsia="Courier New" w:hAnsi="Courier New"/>
                <w:sz w:val="15"/>
                <w:szCs w:val="15"/>
                <w:color w:val="auto"/>
              </w:rPr>
              <w:t>Stores</w:t>
            </w:r>
          </w:p>
        </w:tc>
        <w:tc>
          <w:tcPr>
            <w:tcW w:w="1800" w:type="dxa"/>
            <w:vAlign w:val="bottom"/>
          </w:tcPr>
          <w:p>
            <w:pPr>
              <w:jc w:val="right"/>
              <w:ind w:right="287"/>
              <w:spacing w:after="0" w:line="169" w:lineRule="exact"/>
              <w:rPr>
                <w:sz w:val="20"/>
                <w:szCs w:val="20"/>
                <w:color w:val="auto"/>
              </w:rPr>
            </w:pPr>
            <w:r>
              <w:rPr>
                <w:rFonts w:ascii="Courier New" w:cs="Courier New" w:eastAsia="Courier New" w:hAnsi="Courier New"/>
                <w:sz w:val="15"/>
                <w:szCs w:val="15"/>
                <w:color w:val="auto"/>
              </w:rPr>
              <w:t>748</w:t>
            </w:r>
          </w:p>
        </w:tc>
        <w:tc>
          <w:tcPr>
            <w:tcW w:w="1300" w:type="dxa"/>
            <w:vAlign w:val="bottom"/>
          </w:tcPr>
          <w:p>
            <w:pPr>
              <w:jc w:val="right"/>
              <w:ind w:right="267"/>
              <w:spacing w:after="0" w:line="169" w:lineRule="exact"/>
              <w:rPr>
                <w:sz w:val="20"/>
                <w:szCs w:val="20"/>
                <w:color w:val="auto"/>
              </w:rPr>
            </w:pPr>
            <w:r>
              <w:rPr>
                <w:rFonts w:ascii="Courier New" w:cs="Courier New" w:eastAsia="Courier New" w:hAnsi="Courier New"/>
                <w:sz w:val="15"/>
                <w:szCs w:val="15"/>
                <w:color w:val="auto"/>
              </w:rPr>
              <w:t>498</w:t>
            </w:r>
          </w:p>
        </w:tc>
        <w:tc>
          <w:tcPr>
            <w:tcW w:w="1280" w:type="dxa"/>
            <w:vAlign w:val="bottom"/>
          </w:tcPr>
          <w:p>
            <w:pPr>
              <w:jc w:val="right"/>
              <w:ind w:right="247"/>
              <w:spacing w:after="0" w:line="169" w:lineRule="exact"/>
              <w:rPr>
                <w:sz w:val="20"/>
                <w:szCs w:val="20"/>
                <w:color w:val="auto"/>
              </w:rPr>
            </w:pPr>
            <w:r>
              <w:rPr>
                <w:rFonts w:ascii="Courier New" w:cs="Courier New" w:eastAsia="Courier New" w:hAnsi="Courier New"/>
                <w:sz w:val="15"/>
                <w:szCs w:val="15"/>
                <w:color w:val="auto"/>
              </w:rPr>
              <w:t>318</w:t>
            </w:r>
          </w:p>
        </w:tc>
        <w:tc>
          <w:tcPr>
            <w:tcW w:w="1260" w:type="dxa"/>
            <w:vAlign w:val="bottom"/>
          </w:tcPr>
          <w:p>
            <w:pPr>
              <w:jc w:val="right"/>
              <w:ind w:right="287"/>
              <w:spacing w:after="0" w:line="169" w:lineRule="exact"/>
              <w:rPr>
                <w:sz w:val="20"/>
                <w:szCs w:val="20"/>
                <w:color w:val="auto"/>
              </w:rPr>
            </w:pPr>
            <w:r>
              <w:rPr>
                <w:rFonts w:ascii="Courier New" w:cs="Courier New" w:eastAsia="Courier New" w:hAnsi="Courier New"/>
                <w:sz w:val="15"/>
                <w:szCs w:val="15"/>
                <w:color w:val="auto"/>
              </w:rPr>
              <w:t>250</w:t>
            </w:r>
          </w:p>
        </w:tc>
        <w:tc>
          <w:tcPr>
            <w:tcW w:w="9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180</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Sq. Ft.</w:t>
            </w:r>
          </w:p>
        </w:tc>
        <w:tc>
          <w:tcPr>
            <w:tcW w:w="1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1,336,000</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848,000</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489,000</w:t>
            </w:r>
          </w:p>
        </w:tc>
        <w:tc>
          <w:tcPr>
            <w:tcW w:w="12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488,000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359,000</w:t>
            </w:r>
          </w:p>
        </w:tc>
      </w:tr>
    </w:tbl>
    <w:p>
      <w:pPr>
        <w:spacing w:after="0" w:line="5" w:lineRule="exact"/>
        <w:rPr>
          <w:sz w:val="20"/>
          <w:szCs w:val="20"/>
          <w:color w:val="auto"/>
        </w:rPr>
      </w:pPr>
    </w:p>
    <w:p>
      <w:pPr>
        <w:ind w:left="180" w:hanging="170"/>
        <w:spacing w:after="0"/>
        <w:tabs>
          <w:tab w:leader="none" w:pos="180"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Cacique</w:t>
      </w:r>
    </w:p>
    <w:tbl>
      <w:tblPr>
        <w:tblLayout w:type="fixed"/>
        <w:tblInd w:w="0" w:type="dxa"/>
        <w:tblCellMar>
          <w:top w:w="0" w:type="dxa"/>
          <w:left w:w="0" w:type="dxa"/>
          <w:bottom w:w="0" w:type="dxa"/>
          <w:right w:w="0" w:type="dxa"/>
        </w:tblCellMar>
      </w:tblPr>
      <w:tr>
        <w:trPr>
          <w:trHeight w:val="169"/>
        </w:trPr>
        <w:tc>
          <w:tcPr>
            <w:tcW w:w="2060" w:type="dxa"/>
            <w:vAlign w:val="bottom"/>
          </w:tcPr>
          <w:p>
            <w:pPr>
              <w:spacing w:after="0" w:line="169" w:lineRule="exact"/>
              <w:rPr>
                <w:sz w:val="20"/>
                <w:szCs w:val="20"/>
                <w:color w:val="auto"/>
              </w:rPr>
            </w:pPr>
            <w:r>
              <w:rPr>
                <w:rFonts w:ascii="Courier New" w:cs="Courier New" w:eastAsia="Courier New" w:hAnsi="Courier New"/>
                <w:sz w:val="15"/>
                <w:szCs w:val="15"/>
                <w:color w:val="auto"/>
              </w:rPr>
              <w:t>Stores</w:t>
            </w:r>
          </w:p>
        </w:tc>
        <w:tc>
          <w:tcPr>
            <w:tcW w:w="1720" w:type="dxa"/>
            <w:vAlign w:val="bottom"/>
          </w:tcPr>
          <w:p>
            <w:pPr>
              <w:jc w:val="right"/>
              <w:ind w:right="287"/>
              <w:spacing w:after="0" w:line="169" w:lineRule="exact"/>
              <w:rPr>
                <w:sz w:val="20"/>
                <w:szCs w:val="20"/>
                <w:color w:val="auto"/>
              </w:rPr>
            </w:pPr>
            <w:r>
              <w:rPr>
                <w:rFonts w:ascii="Courier New" w:cs="Courier New" w:eastAsia="Courier New" w:hAnsi="Courier New"/>
                <w:sz w:val="15"/>
                <w:szCs w:val="15"/>
                <w:color w:val="auto"/>
              </w:rPr>
              <w:t>120</w:t>
            </w:r>
          </w:p>
        </w:tc>
        <w:tc>
          <w:tcPr>
            <w:tcW w:w="1300" w:type="dxa"/>
            <w:vAlign w:val="bottom"/>
          </w:tcPr>
          <w:p>
            <w:pPr>
              <w:jc w:val="right"/>
              <w:ind w:right="267"/>
              <w:spacing w:after="0" w:line="169" w:lineRule="exact"/>
              <w:rPr>
                <w:sz w:val="20"/>
                <w:szCs w:val="20"/>
                <w:color w:val="auto"/>
              </w:rPr>
            </w:pPr>
            <w:r>
              <w:rPr>
                <w:rFonts w:ascii="Courier New" w:cs="Courier New" w:eastAsia="Courier New" w:hAnsi="Courier New"/>
                <w:sz w:val="15"/>
                <w:szCs w:val="15"/>
                <w:color w:val="auto"/>
              </w:rPr>
              <w:t>120</w:t>
            </w:r>
          </w:p>
        </w:tc>
        <w:tc>
          <w:tcPr>
            <w:tcW w:w="1360" w:type="dxa"/>
            <w:vAlign w:val="bottom"/>
          </w:tcPr>
          <w:p>
            <w:pPr>
              <w:jc w:val="right"/>
              <w:ind w:right="327"/>
              <w:spacing w:after="0" w:line="169" w:lineRule="exact"/>
              <w:rPr>
                <w:sz w:val="20"/>
                <w:szCs w:val="20"/>
                <w:color w:val="auto"/>
              </w:rPr>
            </w:pPr>
            <w:r>
              <w:rPr>
                <w:rFonts w:ascii="Courier New" w:cs="Courier New" w:eastAsia="Courier New" w:hAnsi="Courier New"/>
                <w:sz w:val="15"/>
                <w:szCs w:val="15"/>
                <w:color w:val="auto"/>
              </w:rPr>
              <w:t>114</w:t>
            </w:r>
          </w:p>
        </w:tc>
        <w:tc>
          <w:tcPr>
            <w:tcW w:w="1220" w:type="dxa"/>
            <w:vAlign w:val="bottom"/>
          </w:tcPr>
          <w:p>
            <w:pPr>
              <w:jc w:val="right"/>
              <w:ind w:right="327"/>
              <w:spacing w:after="0" w:line="169" w:lineRule="exact"/>
              <w:rPr>
                <w:sz w:val="20"/>
                <w:szCs w:val="20"/>
                <w:color w:val="auto"/>
              </w:rPr>
            </w:pPr>
            <w:r>
              <w:rPr>
                <w:rFonts w:ascii="Courier New" w:cs="Courier New" w:eastAsia="Courier New" w:hAnsi="Courier New"/>
                <w:sz w:val="15"/>
                <w:szCs w:val="15"/>
                <w:color w:val="auto"/>
              </w:rPr>
              <w:t>0</w:t>
            </w:r>
          </w:p>
        </w:tc>
        <w:tc>
          <w:tcPr>
            <w:tcW w:w="92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6</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Sq. Ft.</w:t>
            </w:r>
          </w:p>
        </w:tc>
        <w:tc>
          <w:tcPr>
            <w:tcW w:w="17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369,000</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366,000</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342,000</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3,000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24,000</w:t>
            </w:r>
          </w:p>
        </w:tc>
      </w:tr>
    </w:tbl>
    <w:p>
      <w:pPr>
        <w:spacing w:after="0" w:line="5" w:lineRule="exact"/>
        <w:rPr>
          <w:sz w:val="20"/>
          <w:szCs w:val="20"/>
          <w:color w:val="auto"/>
        </w:rPr>
      </w:pPr>
    </w:p>
    <w:p>
      <w:pPr>
        <w:ind w:left="180" w:hanging="170"/>
        <w:spacing w:after="0"/>
        <w:tabs>
          <w:tab w:leader="none" w:pos="180"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Penhaligon's</w:t>
      </w:r>
    </w:p>
    <w:tbl>
      <w:tblPr>
        <w:tblLayout w:type="fixed"/>
        <w:tblInd w:w="0" w:type="dxa"/>
        <w:tblCellMar>
          <w:top w:w="0" w:type="dxa"/>
          <w:left w:w="0" w:type="dxa"/>
          <w:bottom w:w="0" w:type="dxa"/>
          <w:right w:w="0" w:type="dxa"/>
        </w:tblCellMar>
      </w:tblPr>
      <w:tr>
        <w:trPr>
          <w:trHeight w:val="169"/>
        </w:trPr>
        <w:tc>
          <w:tcPr>
            <w:tcW w:w="2160" w:type="dxa"/>
            <w:vAlign w:val="bottom"/>
          </w:tcPr>
          <w:p>
            <w:pPr>
              <w:spacing w:after="0" w:line="169" w:lineRule="exact"/>
              <w:rPr>
                <w:sz w:val="20"/>
                <w:szCs w:val="20"/>
                <w:color w:val="auto"/>
              </w:rPr>
            </w:pPr>
            <w:r>
              <w:rPr>
                <w:rFonts w:ascii="Courier New" w:cs="Courier New" w:eastAsia="Courier New" w:hAnsi="Courier New"/>
                <w:sz w:val="15"/>
                <w:szCs w:val="15"/>
                <w:color w:val="auto"/>
              </w:rPr>
              <w:t>Stores</w:t>
            </w:r>
          </w:p>
        </w:tc>
        <w:tc>
          <w:tcPr>
            <w:tcW w:w="1700" w:type="dxa"/>
            <w:vAlign w:val="bottom"/>
          </w:tcPr>
          <w:p>
            <w:pPr>
              <w:jc w:val="right"/>
              <w:ind w:right="367"/>
              <w:spacing w:after="0" w:line="169" w:lineRule="exact"/>
              <w:rPr>
                <w:sz w:val="20"/>
                <w:szCs w:val="20"/>
                <w:color w:val="auto"/>
              </w:rPr>
            </w:pPr>
            <w:r>
              <w:rPr>
                <w:rFonts w:ascii="Courier New" w:cs="Courier New" w:eastAsia="Courier New" w:hAnsi="Courier New"/>
                <w:sz w:val="15"/>
                <w:szCs w:val="15"/>
                <w:color w:val="auto"/>
              </w:rPr>
              <w:t>4</w:t>
            </w:r>
          </w:p>
        </w:tc>
        <w:tc>
          <w:tcPr>
            <w:tcW w:w="1300" w:type="dxa"/>
            <w:vAlign w:val="bottom"/>
          </w:tcPr>
          <w:p>
            <w:pPr>
              <w:jc w:val="right"/>
              <w:ind w:right="347"/>
              <w:spacing w:after="0" w:line="169" w:lineRule="exact"/>
              <w:rPr>
                <w:sz w:val="20"/>
                <w:szCs w:val="20"/>
                <w:color w:val="auto"/>
              </w:rPr>
            </w:pPr>
            <w:r>
              <w:rPr>
                <w:rFonts w:ascii="Courier New" w:cs="Courier New" w:eastAsia="Courier New" w:hAnsi="Courier New"/>
                <w:sz w:val="15"/>
                <w:szCs w:val="15"/>
                <w:color w:val="auto"/>
              </w:rPr>
              <w:t>4</w:t>
            </w:r>
          </w:p>
        </w:tc>
        <w:tc>
          <w:tcPr>
            <w:tcW w:w="1460" w:type="dxa"/>
            <w:vAlign w:val="bottom"/>
          </w:tcPr>
          <w:p>
            <w:pPr>
              <w:jc w:val="right"/>
              <w:ind w:right="507"/>
              <w:spacing w:after="0" w:line="169" w:lineRule="exact"/>
              <w:rPr>
                <w:sz w:val="20"/>
                <w:szCs w:val="20"/>
                <w:color w:val="auto"/>
              </w:rPr>
            </w:pPr>
            <w:r>
              <w:rPr>
                <w:rFonts w:ascii="Courier New" w:cs="Courier New" w:eastAsia="Courier New" w:hAnsi="Courier New"/>
                <w:sz w:val="15"/>
                <w:szCs w:val="15"/>
                <w:color w:val="auto"/>
              </w:rPr>
              <w:t>4</w:t>
            </w:r>
          </w:p>
        </w:tc>
        <w:tc>
          <w:tcPr>
            <w:tcW w:w="1260" w:type="dxa"/>
            <w:vAlign w:val="bottom"/>
          </w:tcPr>
          <w:p>
            <w:pPr>
              <w:jc w:val="right"/>
              <w:ind w:right="547"/>
              <w:spacing w:after="0" w:line="169" w:lineRule="exact"/>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0</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Sq. Ft.</w:t>
            </w:r>
          </w:p>
        </w:tc>
        <w:tc>
          <w:tcPr>
            <w:tcW w:w="1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2,000</w:t>
            </w: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2,000</w:t>
            </w:r>
          </w:p>
        </w:tc>
        <w:tc>
          <w:tcPr>
            <w:tcW w:w="14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2,000</w:t>
            </w:r>
          </w:p>
        </w:tc>
        <w:tc>
          <w:tcPr>
            <w:tcW w:w="12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r>
    </w:tbl>
    <w:p>
      <w:pPr>
        <w:spacing w:after="0" w:line="5" w:lineRule="exact"/>
        <w:rPr>
          <w:sz w:val="20"/>
          <w:szCs w:val="20"/>
          <w:color w:val="auto"/>
        </w:rPr>
      </w:pPr>
    </w:p>
    <w:p>
      <w:pPr>
        <w:ind w:left="180" w:hanging="170"/>
        <w:spacing w:after="0"/>
        <w:tabs>
          <w:tab w:leader="none" w:pos="18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Total Retail Divisions</w:t>
      </w:r>
    </w:p>
    <w:tbl>
      <w:tblPr>
        <w:tblLayout w:type="fixed"/>
        <w:tblInd w:w="0" w:type="dxa"/>
        <w:tblCellMar>
          <w:top w:w="0" w:type="dxa"/>
          <w:left w:w="0" w:type="dxa"/>
          <w:bottom w:w="0" w:type="dxa"/>
          <w:right w:w="0" w:type="dxa"/>
        </w:tblCellMar>
      </w:tblPr>
      <w:tr>
        <w:trPr>
          <w:trHeight w:val="169"/>
        </w:trPr>
        <w:tc>
          <w:tcPr>
            <w:tcW w:w="1940" w:type="dxa"/>
            <w:vAlign w:val="bottom"/>
          </w:tcPr>
          <w:p>
            <w:pPr>
              <w:spacing w:after="0" w:line="169" w:lineRule="exact"/>
              <w:rPr>
                <w:sz w:val="20"/>
                <w:szCs w:val="20"/>
                <w:color w:val="auto"/>
              </w:rPr>
            </w:pPr>
            <w:r>
              <w:rPr>
                <w:rFonts w:ascii="Courier New" w:cs="Courier New" w:eastAsia="Courier New" w:hAnsi="Courier New"/>
                <w:sz w:val="15"/>
                <w:szCs w:val="15"/>
                <w:color w:val="auto"/>
              </w:rPr>
              <w:t>Stores</w:t>
            </w:r>
          </w:p>
        </w:tc>
        <w:tc>
          <w:tcPr>
            <w:tcW w:w="170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rPr>
              <w:t>5,677</w:t>
            </w:r>
          </w:p>
        </w:tc>
        <w:tc>
          <w:tcPr>
            <w:tcW w:w="132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rPr>
              <w:t>5,298</w:t>
            </w:r>
          </w:p>
        </w:tc>
        <w:tc>
          <w:tcPr>
            <w:tcW w:w="130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rPr>
              <w:t>4,867</w:t>
            </w:r>
          </w:p>
        </w:tc>
        <w:tc>
          <w:tcPr>
            <w:tcW w:w="1280" w:type="dxa"/>
            <w:vAlign w:val="bottom"/>
          </w:tcPr>
          <w:p>
            <w:pPr>
              <w:jc w:val="right"/>
              <w:ind w:right="207"/>
              <w:spacing w:after="0" w:line="169" w:lineRule="exact"/>
              <w:rPr>
                <w:sz w:val="20"/>
                <w:szCs w:val="20"/>
                <w:color w:val="auto"/>
              </w:rPr>
            </w:pPr>
            <w:r>
              <w:rPr>
                <w:rFonts w:ascii="Courier New" w:cs="Courier New" w:eastAsia="Courier New" w:hAnsi="Courier New"/>
                <w:sz w:val="15"/>
                <w:szCs w:val="15"/>
                <w:color w:val="auto"/>
              </w:rPr>
              <w:t>379</w:t>
            </w:r>
          </w:p>
        </w:tc>
        <w:tc>
          <w:tcPr>
            <w:tcW w:w="104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431</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Sq. Ft.</w:t>
            </w:r>
          </w:p>
        </w:tc>
        <w:tc>
          <w:tcPr>
            <w:tcW w:w="1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28,658,000</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27,403,000</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25,627,000</w:t>
            </w:r>
          </w:p>
        </w:tc>
        <w:tc>
          <w:tcPr>
            <w:tcW w:w="12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1,255,000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1,776,000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Impact of Inflation</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Company's results of operations and financial condition are presented based upon historical cost. While it is difficult to accurately measure the impact of inflation due to the imprecise nature of the estimates required, the Company believes that the effects of inflation, if any, on the results of operations and financial condition have been minor.</w:t>
      </w:r>
    </w:p>
    <w:p>
      <w:pPr>
        <w:spacing w:after="0" w:line="174" w:lineRule="exact"/>
        <w:rPr>
          <w:sz w:val="20"/>
          <w:szCs w:val="20"/>
          <w:color w:val="auto"/>
        </w:rPr>
      </w:pPr>
    </w:p>
    <w:p>
      <w:pPr>
        <w:ind w:right="4899"/>
        <w:spacing w:after="0" w:line="234" w:lineRule="auto"/>
        <w:rPr>
          <w:sz w:val="20"/>
          <w:szCs w:val="20"/>
          <w:color w:val="auto"/>
        </w:rPr>
      </w:pPr>
      <w:r>
        <w:rPr>
          <w:rFonts w:ascii="Courier New" w:cs="Courier New" w:eastAsia="Courier New" w:hAnsi="Courier New"/>
          <w:sz w:val="15"/>
          <w:szCs w:val="15"/>
          <w:color w:val="auto"/>
        </w:rPr>
        <w:t>Safe Harbor Statement Under the Private Securities Litigation Reform Act of 1995</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cautions that any forward-looking statements (as such term is defined in the Private Securities Litigation Reform Act of 1995) contained in this Report, the Form 10-K or made by management of the Company involve risks and uncertainties, and are subject to change based on various important factors. The following factors, among others, in some cases have affected and in the future could affect the Company's financial performance and actual results and could cause actual results for 1996 and beyond to differ materially from those expressed or implied in any such forward-looking statements; changes in consumer spending patterns, consumer preferences and overall economic conditions, the impact of competition and pricing, changes in weather patterns, political stability, currency and exchange risks and changes in existing or potential duties, tariffs or quotas, postal rate increases and charges, paper and printing costs, availability of suitable store locations at appropriate terms, ability to develop new merchandise and ability to hire and train associates.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48 The Limited, Inc.</w:t>
      </w:r>
    </w:p>
    <w:p>
      <w:pPr>
        <w:sectPr>
          <w:pgSz w:w="11900" w:h="16838" w:orient="portrait"/>
          <w:cols w:equalWidth="0" w:num="1">
            <w:col w:w="10239"/>
          </w:cols>
          <w:pgMar w:left="220" w:top="792" w:right="1440" w:bottom="181" w:gutter="0" w:footer="0" w:header="0"/>
        </w:sectPr>
      </w:pPr>
    </w:p>
    <w:bookmarkStart w:id="138" w:name="page139"/>
    <w:bookmarkEnd w:id="138"/>
    <w:p>
      <w:pPr>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237" w:lineRule="auto"/>
        <w:rPr>
          <w:sz w:val="20"/>
          <w:szCs w:val="20"/>
          <w:color w:val="auto"/>
        </w:rPr>
      </w:pPr>
      <w:r>
        <w:rPr>
          <w:rFonts w:ascii="Courier New" w:cs="Courier New" w:eastAsia="Courier New" w:hAnsi="Courier New"/>
          <w:sz w:val="15"/>
          <w:szCs w:val="15"/>
          <w:color w:val="auto"/>
        </w:rPr>
        <w:t>(Thousands except per share amounts)</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4040"/>
        <w:spacing w:after="0"/>
        <w:tabs>
          <w:tab w:leader="none" w:pos="5760" w:val="left"/>
          <w:tab w:leader="none" w:pos="7520" w:val="left"/>
        </w:tabs>
        <w:rPr>
          <w:sz w:val="20"/>
          <w:szCs w:val="20"/>
          <w:color w:val="auto"/>
        </w:rPr>
      </w:pP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1994</w:t>
      </w:r>
      <w:r>
        <w:rPr>
          <w:sz w:val="20"/>
          <w:szCs w:val="20"/>
          <w:color w:val="auto"/>
        </w:rPr>
        <w:tab/>
      </w:r>
      <w:r>
        <w:rPr>
          <w:rFonts w:ascii="Courier New" w:cs="Courier New" w:eastAsia="Courier New" w:hAnsi="Courier New"/>
          <w:sz w:val="14"/>
          <w:szCs w:val="14"/>
          <w:color w:val="auto"/>
        </w:rPr>
        <w:t>1993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$ 7,881,437</w:t>
            </w:r>
          </w:p>
        </w:tc>
        <w:tc>
          <w:tcPr>
            <w:tcW w:w="17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$ 7,320,792</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$ 7,245,088</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Costs of Goods Sold,</w:t>
            </w:r>
          </w:p>
        </w:tc>
        <w:tc>
          <w:tcPr>
            <w:tcW w:w="1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Occupancy and Buying Costs</w:t>
            </w:r>
          </w:p>
        </w:tc>
        <w:tc>
          <w:tcPr>
            <w:tcW w:w="1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(5,793,905)</w:t>
            </w:r>
          </w:p>
        </w:tc>
        <w:tc>
          <w:tcPr>
            <w:tcW w:w="1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(5,206,429)</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(5,286,253)</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20"/>
                <w:szCs w:val="20"/>
                <w:color w:val="auto"/>
              </w:rPr>
            </w:pPr>
            <w:r>
              <w:rPr>
                <w:rFonts w:ascii="Courier New" w:cs="Courier New" w:eastAsia="Courier New" w:hAnsi="Courier New"/>
                <w:sz w:val="15"/>
                <w:szCs w:val="15"/>
                <w:color w:val="auto"/>
              </w:rPr>
              <w:t>Gross Income</w:t>
            </w:r>
          </w:p>
        </w:tc>
        <w:tc>
          <w:tcPr>
            <w:tcW w:w="15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2,087,532</w:t>
            </w:r>
          </w:p>
        </w:tc>
        <w:tc>
          <w:tcPr>
            <w:tcW w:w="17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2,114,363</w:t>
            </w:r>
          </w:p>
        </w:tc>
        <w:tc>
          <w:tcPr>
            <w:tcW w:w="1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1,958,835</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General Administrative</w:t>
            </w:r>
          </w:p>
        </w:tc>
        <w:tc>
          <w:tcPr>
            <w:tcW w:w="15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8"/>
        </w:trPr>
        <w:tc>
          <w:tcPr>
            <w:tcW w:w="3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Store Operating Expenses</w:t>
            </w:r>
          </w:p>
        </w:tc>
        <w:tc>
          <w:tcPr>
            <w:tcW w:w="15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(1,475,497)</w:t>
            </w:r>
          </w:p>
        </w:tc>
        <w:tc>
          <w:tcPr>
            <w:tcW w:w="1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(1,315,374)</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(1,259,896)</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Special and Nonrecurring Items, Net</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1,314</w:t>
            </w:r>
          </w:p>
        </w:tc>
        <w:tc>
          <w:tcPr>
            <w:tcW w:w="17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2,617</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613,349</w:t>
            </w:r>
          </w:p>
        </w:tc>
        <w:tc>
          <w:tcPr>
            <w:tcW w:w="17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798,989</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701,556</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17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(77,537)</w:t>
            </w:r>
          </w:p>
        </w:tc>
        <w:tc>
          <w:tcPr>
            <w:tcW w:w="17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(65,381)</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(63,865)</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Net</w:t>
            </w:r>
          </w:p>
        </w:tc>
        <w:tc>
          <w:tcPr>
            <w:tcW w:w="17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21,606</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10,735</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7,308</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Minority Interest</w:t>
            </w:r>
          </w:p>
        </w:tc>
        <w:tc>
          <w:tcPr>
            <w:tcW w:w="17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(22,374)</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Gain on Sale of Subsidiary Stock</w:t>
            </w:r>
          </w:p>
        </w:tc>
        <w:tc>
          <w:tcPr>
            <w:tcW w:w="17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649,467</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0" w:type="dxa"/>
            <w:vAlign w:val="bottom"/>
          </w:tcPr>
          <w:p>
            <w:pPr>
              <w:spacing w:after="0"/>
              <w:rPr>
                <w:sz w:val="20"/>
                <w:szCs w:val="20"/>
                <w:color w:val="auto"/>
              </w:rPr>
            </w:pPr>
            <w:r>
              <w:rPr>
                <w:rFonts w:ascii="Courier New" w:cs="Courier New" w:eastAsia="Courier New" w:hAnsi="Courier New"/>
                <w:sz w:val="15"/>
                <w:szCs w:val="15"/>
                <w:color w:val="auto"/>
              </w:rPr>
              <w:t>Income Before</w:t>
            </w:r>
          </w:p>
        </w:tc>
        <w:tc>
          <w:tcPr>
            <w:tcW w:w="600" w:type="dxa"/>
            <w:vAlign w:val="bottom"/>
          </w:tcPr>
          <w:p>
            <w:pPr>
              <w:ind w:left="40"/>
              <w:spacing w:after="0"/>
              <w:rPr>
                <w:sz w:val="20"/>
                <w:szCs w:val="20"/>
                <w:color w:val="auto"/>
              </w:rPr>
            </w:pPr>
            <w:r>
              <w:rPr>
                <w:rFonts w:ascii="Courier New" w:cs="Courier New" w:eastAsia="Courier New" w:hAnsi="Courier New"/>
                <w:sz w:val="15"/>
                <w:szCs w:val="15"/>
                <w:color w:val="auto"/>
                <w:w w:val="99"/>
              </w:rPr>
              <w:t>Income</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rPr>
              <w:t>Taxes</w:t>
            </w:r>
          </w:p>
        </w:tc>
        <w:tc>
          <w:tcPr>
            <w:tcW w:w="20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1,184,511</w:t>
            </w:r>
          </w:p>
        </w:tc>
        <w:tc>
          <w:tcPr>
            <w:tcW w:w="17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744,343</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644,999</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w:t>
            </w:r>
          </w:p>
        </w:tc>
        <w:tc>
          <w:tcPr>
            <w:tcW w:w="6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Income</w:t>
            </w: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Taxes</w:t>
            </w:r>
          </w:p>
        </w:tc>
        <w:tc>
          <w:tcPr>
            <w:tcW w:w="20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223,000</w:t>
            </w:r>
          </w:p>
        </w:tc>
        <w:tc>
          <w:tcPr>
            <w:tcW w:w="17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296,000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254,000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6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961,511</w:t>
            </w:r>
          </w:p>
        </w:tc>
        <w:tc>
          <w:tcPr>
            <w:tcW w:w="17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   448,343</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   390,999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3400" w:val="left"/>
          <w:tab w:leader="none" w:pos="4020" w:val="left"/>
          <w:tab w:leader="none" w:pos="5160" w:val="left"/>
          <w:tab w:leader="none" w:pos="5760" w:val="left"/>
          <w:tab w:leader="none" w:pos="6900" w:val="left"/>
          <w:tab w:leader="none" w:pos="7520" w:val="left"/>
        </w:tabs>
        <w:rPr>
          <w:sz w:val="20"/>
          <w:szCs w:val="20"/>
          <w:color w:val="auto"/>
        </w:rPr>
      </w:pPr>
      <w:r>
        <w:rPr>
          <w:rFonts w:ascii="Courier New" w:cs="Courier New" w:eastAsia="Courier New" w:hAnsi="Courier New"/>
          <w:sz w:val="15"/>
          <w:szCs w:val="15"/>
          <w:color w:val="auto"/>
        </w:rPr>
        <w:t>Net Income Per Share</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2.68</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1.25</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1.08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6"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The accompanying Notes are an integral part of these Consolidated Financial Statements.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Sales</w:t>
      </w:r>
    </w:p>
    <w:p>
      <w:pPr>
        <w:spacing w:after="0" w:line="237" w:lineRule="auto"/>
        <w:rPr>
          <w:sz w:val="20"/>
          <w:szCs w:val="20"/>
          <w:color w:val="auto"/>
        </w:rPr>
      </w:pPr>
      <w:r>
        <w:rPr>
          <w:rFonts w:ascii="Courier New" w:cs="Courier New" w:eastAsia="Courier New" w:hAnsi="Courier New"/>
          <w:sz w:val="15"/>
          <w:szCs w:val="15"/>
          <w:color w:val="auto"/>
        </w:rPr>
        <w:t>($ Millions)</w:t>
      </w:r>
    </w:p>
    <w:p>
      <w:pPr>
        <w:spacing w:after="0" w:line="238" w:lineRule="auto"/>
        <w:rPr>
          <w:sz w:val="20"/>
          <w:szCs w:val="20"/>
          <w:color w:val="auto"/>
        </w:rPr>
      </w:pPr>
      <w:r>
        <w:rPr>
          <w:rFonts w:ascii="Courier New" w:cs="Courier New" w:eastAsia="Courier New" w:hAnsi="Courier New"/>
          <w:sz w:val="15"/>
          <w:szCs w:val="15"/>
          <w:color w:val="auto"/>
        </w:rPr>
        <w:t>CAGR 13%</w:t>
      </w:r>
    </w:p>
    <w:p>
      <w:pPr>
        <w:spacing w:after="0" w:line="237" w:lineRule="auto"/>
        <w:rPr>
          <w:sz w:val="20"/>
          <w:szCs w:val="20"/>
          <w:color w:val="auto"/>
        </w:rPr>
      </w:pPr>
      <w:r>
        <w:rPr>
          <w:rFonts w:ascii="Courier New" w:cs="Courier New" w:eastAsia="Courier New" w:hAnsi="Courier New"/>
          <w:sz w:val="15"/>
          <w:szCs w:val="15"/>
          <w:color w:val="auto"/>
        </w:rPr>
        <w:t>(Compound Annual Growth Rate, last ten years)</w:t>
      </w:r>
    </w:p>
    <w:p>
      <w:pPr>
        <w:spacing w:after="0" w:line="16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[GRAPH APPEARS HERE]</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Income</w:t>
      </w:r>
    </w:p>
    <w:p>
      <w:pPr>
        <w:spacing w:after="0" w:line="237" w:lineRule="auto"/>
        <w:rPr>
          <w:sz w:val="20"/>
          <w:szCs w:val="20"/>
          <w:color w:val="auto"/>
        </w:rPr>
      </w:pPr>
      <w:r>
        <w:rPr>
          <w:rFonts w:ascii="Courier New" w:cs="Courier New" w:eastAsia="Courier New" w:hAnsi="Courier New"/>
          <w:sz w:val="15"/>
          <w:szCs w:val="15"/>
          <w:color w:val="auto"/>
        </w:rPr>
        <w:t>($ Millions)</w:t>
      </w:r>
    </w:p>
    <w:p>
      <w:pPr>
        <w:spacing w:after="0" w:line="238" w:lineRule="auto"/>
        <w:rPr>
          <w:sz w:val="20"/>
          <w:szCs w:val="20"/>
          <w:color w:val="auto"/>
        </w:rPr>
      </w:pPr>
      <w:r>
        <w:rPr>
          <w:rFonts w:ascii="Courier New" w:cs="Courier New" w:eastAsia="Courier New" w:hAnsi="Courier New"/>
          <w:sz w:val="15"/>
          <w:szCs w:val="15"/>
          <w:color w:val="auto"/>
        </w:rPr>
        <w:t>CAGR 8%</w:t>
      </w:r>
    </w:p>
    <w:p>
      <w:pPr>
        <w:spacing w:after="0" w:line="16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[GRAPH APPEARS HERE]</w:t>
      </w:r>
    </w:p>
    <w:p>
      <w:pPr>
        <w:spacing w:after="0" w:line="200" w:lineRule="exact"/>
        <w:rPr>
          <w:sz w:val="20"/>
          <w:szCs w:val="20"/>
          <w:color w:val="auto"/>
        </w:rPr>
      </w:pPr>
    </w:p>
    <w:p>
      <w:pPr>
        <w:spacing w:after="0" w:line="303" w:lineRule="exact"/>
        <w:rPr>
          <w:sz w:val="20"/>
          <w:szCs w:val="20"/>
          <w:color w:val="auto"/>
        </w:rPr>
      </w:pPr>
    </w:p>
    <w:p>
      <w:pPr>
        <w:ind w:left="5260"/>
        <w:spacing w:after="0"/>
        <w:rPr>
          <w:sz w:val="20"/>
          <w:szCs w:val="20"/>
          <w:color w:val="auto"/>
        </w:rPr>
      </w:pPr>
      <w:r>
        <w:rPr>
          <w:rFonts w:ascii="Courier New" w:cs="Courier New" w:eastAsia="Courier New" w:hAnsi="Courier New"/>
          <w:sz w:val="15"/>
          <w:szCs w:val="15"/>
          <w:color w:val="auto"/>
        </w:rPr>
        <w:t>The Limited, Inc. 49</w:t>
      </w:r>
    </w:p>
    <w:p>
      <w:pPr>
        <w:sectPr>
          <w:pgSz w:w="11900" w:h="16838" w:orient="portrait"/>
          <w:cols w:equalWidth="0" w:num="1">
            <w:col w:w="10239"/>
          </w:cols>
          <w:pgMar w:left="220" w:top="449" w:right="1440" w:bottom="1440" w:gutter="0" w:footer="0" w:header="0"/>
        </w:sectPr>
      </w:pPr>
    </w:p>
    <w:bookmarkStart w:id="139" w:name="page140"/>
    <w:bookmarkEnd w:id="139"/>
    <w:p>
      <w:pPr>
        <w:spacing w:after="0"/>
        <w:rPr>
          <w:sz w:val="20"/>
          <w:szCs w:val="20"/>
          <w:color w:val="auto"/>
        </w:rPr>
      </w:pPr>
      <w:r>
        <w:rPr>
          <w:rFonts w:ascii="Courier New" w:cs="Courier New" w:eastAsia="Courier New" w:hAnsi="Courier New"/>
          <w:sz w:val="15"/>
          <w:szCs w:val="15"/>
          <w:color w:val="auto"/>
        </w:rPr>
        <w:t>Consolidated Statements of Shareholders' Equity</w:t>
      </w:r>
    </w:p>
    <w:p>
      <w:pPr>
        <w:spacing w:after="0" w:line="237" w:lineRule="auto"/>
        <w:rPr>
          <w:sz w:val="20"/>
          <w:szCs w:val="20"/>
          <w:color w:val="auto"/>
        </w:rPr>
      </w:pPr>
      <w:r>
        <w:rPr>
          <w:rFonts w:ascii="Courier New" w:cs="Courier New" w:eastAsia="Courier New" w:hAnsi="Courier New"/>
          <w:sz w:val="15"/>
          <w:szCs w:val="15"/>
          <w:color w:val="auto"/>
        </w:rPr>
        <w:t>(Thousands)</w:t>
      </w:r>
    </w:p>
    <w:p>
      <w:pPr>
        <w:spacing w:after="0" w:line="200" w:lineRule="exact"/>
        <w:rPr>
          <w:sz w:val="20"/>
          <w:szCs w:val="20"/>
          <w:color w:val="auto"/>
        </w:rPr>
      </w:pPr>
    </w:p>
    <w:p>
      <w:pPr>
        <w:spacing w:after="0" w:line="310" w:lineRule="exact"/>
        <w:rPr>
          <w:sz w:val="20"/>
          <w:szCs w:val="20"/>
          <w:color w:val="auto"/>
        </w:rPr>
      </w:pPr>
    </w:p>
    <w:p>
      <w:pPr>
        <w:ind w:left="180" w:hanging="170"/>
        <w:spacing w:after="0"/>
        <w:tabs>
          <w:tab w:leader="none" w:pos="180"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9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Common Stock</w:t>
      </w:r>
    </w:p>
    <w:p>
      <w:pPr>
        <w:ind w:left="3860"/>
        <w:spacing w:after="0" w:line="238" w:lineRule="auto"/>
        <w:rPr>
          <w:sz w:val="20"/>
          <w:szCs w:val="20"/>
          <w:color w:val="auto"/>
        </w:rPr>
      </w:pPr>
      <w:r>
        <w:rPr>
          <w:rFonts w:ascii="Courier New" w:cs="Courier New" w:eastAsia="Courier New" w:hAnsi="Courier New"/>
          <w:sz w:val="15"/>
          <w:szCs w:val="15"/>
          <w:color w:val="auto"/>
        </w:rPr>
        <w:t>-----------------------------------</w:t>
      </w:r>
    </w:p>
    <w:p>
      <w:pPr>
        <w:ind w:left="4380"/>
        <w:spacing w:after="0" w:line="237" w:lineRule="auto"/>
        <w:tabs>
          <w:tab w:leader="none" w:pos="6380"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Par</w:t>
      </w:r>
    </w:p>
    <w:p>
      <w:pPr>
        <w:ind w:left="3940"/>
        <w:spacing w:after="0" w:line="238" w:lineRule="auto"/>
        <w:tabs>
          <w:tab w:leader="none" w:pos="6200" w:val="left"/>
        </w:tabs>
        <w:rPr>
          <w:sz w:val="20"/>
          <w:szCs w:val="20"/>
          <w:color w:val="auto"/>
        </w:rPr>
      </w:pPr>
      <w:r>
        <w:rPr>
          <w:rFonts w:ascii="Courier New" w:cs="Courier New" w:eastAsia="Courier New" w:hAnsi="Courier New"/>
          <w:sz w:val="15"/>
          <w:szCs w:val="15"/>
          <w:color w:val="auto"/>
        </w:rPr>
        <w:t>Outstanding</w:t>
      </w:r>
      <w:r>
        <w:rPr>
          <w:sz w:val="20"/>
          <w:szCs w:val="20"/>
          <w:color w:val="auto"/>
        </w:rPr>
        <w:tab/>
      </w:r>
      <w:r>
        <w:rPr>
          <w:rFonts w:ascii="Courier New" w:cs="Courier New" w:eastAsia="Courier New" w:hAnsi="Courier New"/>
          <w:sz w:val="15"/>
          <w:szCs w:val="15"/>
          <w:color w:val="auto"/>
        </w:rPr>
        <w:t>Value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3100" w:type="dxa"/>
            <w:vAlign w:val="bottom"/>
          </w:tcPr>
          <w:p>
            <w:pPr>
              <w:spacing w:after="0"/>
              <w:rPr>
                <w:sz w:val="20"/>
                <w:szCs w:val="20"/>
                <w:color w:val="auto"/>
              </w:rPr>
            </w:pPr>
            <w:r>
              <w:rPr>
                <w:rFonts w:ascii="Courier New" w:cs="Courier New" w:eastAsia="Courier New" w:hAnsi="Courier New"/>
                <w:sz w:val="15"/>
                <w:szCs w:val="15"/>
                <w:color w:val="auto"/>
              </w:rPr>
              <w:t>Balance, January 30, 1993</w:t>
            </w:r>
          </w:p>
        </w:tc>
        <w:tc>
          <w:tcPr>
            <w:tcW w:w="21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362,648</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$189,727</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00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_</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_</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Dividends</w:t>
            </w:r>
          </w:p>
        </w:tc>
        <w:tc>
          <w:tcPr>
            <w:tcW w:w="200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_</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_</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Purchase of Treasury Stock</w:t>
            </w:r>
          </w:p>
        </w:tc>
        <w:tc>
          <w:tcPr>
            <w:tcW w:w="20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(5,288)</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_</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 of Stock Options and Other</w:t>
            </w:r>
          </w:p>
        </w:tc>
        <w:tc>
          <w:tcPr>
            <w:tcW w:w="200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441</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_</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3100" w:type="dxa"/>
            <w:vAlign w:val="bottom"/>
          </w:tcPr>
          <w:p>
            <w:pPr>
              <w:spacing w:after="0"/>
              <w:rPr>
                <w:sz w:val="20"/>
                <w:szCs w:val="20"/>
                <w:color w:val="auto"/>
              </w:rPr>
            </w:pPr>
            <w:r>
              <w:rPr>
                <w:rFonts w:ascii="Courier New" w:cs="Courier New" w:eastAsia="Courier New" w:hAnsi="Courier New"/>
                <w:sz w:val="15"/>
                <w:szCs w:val="15"/>
                <w:color w:val="auto"/>
              </w:rPr>
              <w:t>Balance, January 29, 1994</w:t>
            </w:r>
          </w:p>
        </w:tc>
        <w:tc>
          <w:tcPr>
            <w:tcW w:w="21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357,801</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$189,727</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36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92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_</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_</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Dividends</w:t>
            </w:r>
          </w:p>
        </w:tc>
        <w:tc>
          <w:tcPr>
            <w:tcW w:w="192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_</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_</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Purchase of Treasury Stock</w:t>
            </w:r>
          </w:p>
        </w:tc>
        <w:tc>
          <w:tcPr>
            <w:tcW w:w="19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(629)</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_</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 of Stock Options and Other</w:t>
            </w:r>
          </w:p>
        </w:tc>
        <w:tc>
          <w:tcPr>
            <w:tcW w:w="192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432</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_</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3100" w:type="dxa"/>
            <w:vAlign w:val="bottom"/>
          </w:tcPr>
          <w:p>
            <w:pPr>
              <w:spacing w:after="0"/>
              <w:rPr>
                <w:sz w:val="20"/>
                <w:szCs w:val="20"/>
                <w:color w:val="auto"/>
              </w:rPr>
            </w:pPr>
            <w:r>
              <w:rPr>
                <w:rFonts w:ascii="Courier New" w:cs="Courier New" w:eastAsia="Courier New" w:hAnsi="Courier New"/>
                <w:sz w:val="15"/>
                <w:szCs w:val="15"/>
                <w:color w:val="auto"/>
              </w:rPr>
              <w:t>Balance, January 28, 1995</w:t>
            </w:r>
          </w:p>
        </w:tc>
        <w:tc>
          <w:tcPr>
            <w:tcW w:w="21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357,604</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$189,727</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7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_</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_</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Dividends</w:t>
            </w:r>
          </w:p>
        </w:tc>
        <w:tc>
          <w:tcPr>
            <w:tcW w:w="17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_</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_</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Purchase of Treasury Stock</w:t>
            </w:r>
          </w:p>
        </w:tc>
        <w:tc>
          <w:tcPr>
            <w:tcW w:w="17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(3,361)</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_</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Shares Subject to Contingent</w:t>
            </w:r>
          </w:p>
        </w:tc>
        <w:tc>
          <w:tcPr>
            <w:tcW w:w="17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Stock Redemption Agreement</w:t>
            </w:r>
          </w:p>
        </w:tc>
        <w:tc>
          <w:tcPr>
            <w:tcW w:w="17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_</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(9,375)</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 Issued for Acquisition</w:t>
            </w:r>
          </w:p>
        </w:tc>
        <w:tc>
          <w:tcPr>
            <w:tcW w:w="17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730</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_</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 of Stock Options and Other</w:t>
            </w:r>
          </w:p>
        </w:tc>
        <w:tc>
          <w:tcPr>
            <w:tcW w:w="17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393</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_</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3100" w:type="dxa"/>
            <w:vAlign w:val="bottom"/>
          </w:tcPr>
          <w:p>
            <w:pPr>
              <w:spacing w:after="0"/>
              <w:rPr>
                <w:sz w:val="20"/>
                <w:szCs w:val="20"/>
                <w:color w:val="auto"/>
              </w:rPr>
            </w:pPr>
            <w:r>
              <w:rPr>
                <w:rFonts w:ascii="Courier New" w:cs="Courier New" w:eastAsia="Courier New" w:hAnsi="Courier New"/>
                <w:sz w:val="15"/>
                <w:szCs w:val="15"/>
                <w:color w:val="auto"/>
              </w:rPr>
              <w:t>Balance, February 3, 1996</w:t>
            </w:r>
          </w:p>
        </w:tc>
        <w:tc>
          <w:tcPr>
            <w:tcW w:w="21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355,366</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$180,352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6"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The accompanying Notes are an integral part of these Consolidated Financial Statements.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Shareholders' Equity</w:t>
      </w:r>
    </w:p>
    <w:p>
      <w:pPr>
        <w:spacing w:after="0" w:line="237" w:lineRule="auto"/>
        <w:rPr>
          <w:sz w:val="20"/>
          <w:szCs w:val="20"/>
          <w:color w:val="auto"/>
        </w:rPr>
      </w:pPr>
      <w:r>
        <w:rPr>
          <w:rFonts w:ascii="Courier New" w:cs="Courier New" w:eastAsia="Courier New" w:hAnsi="Courier New"/>
          <w:sz w:val="15"/>
          <w:szCs w:val="15"/>
          <w:color w:val="auto"/>
        </w:rPr>
        <w:t>($ Millions)</w:t>
      </w:r>
    </w:p>
    <w:p>
      <w:pPr>
        <w:spacing w:after="0" w:line="238" w:lineRule="auto"/>
        <w:rPr>
          <w:sz w:val="20"/>
          <w:szCs w:val="20"/>
          <w:color w:val="auto"/>
        </w:rPr>
      </w:pPr>
      <w:r>
        <w:rPr>
          <w:rFonts w:ascii="Courier New" w:cs="Courier New" w:eastAsia="Courier New" w:hAnsi="Courier New"/>
          <w:sz w:val="15"/>
          <w:szCs w:val="15"/>
          <w:color w:val="auto"/>
        </w:rPr>
        <w:t>CAGR 23%</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 APPEARS HERE]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Income per Share</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CAGR 8%</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 APPEARS HERE]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 The Limited, Inc.</w:t>
      </w:r>
    </w:p>
    <w:p>
      <w:pPr>
        <w:sectPr>
          <w:pgSz w:w="11900" w:h="16838" w:orient="portrait"/>
          <w:cols w:equalWidth="0" w:num="1">
            <w:col w:w="10239"/>
          </w:cols>
          <w:pgMar w:left="220" w:top="617" w:right="1440" w:bottom="1440" w:gutter="0" w:footer="0" w:header="0"/>
        </w:sectPr>
      </w:pPr>
    </w:p>
    <w:bookmarkStart w:id="140" w:name="page141"/>
    <w:bookmarkEnd w:id="140"/>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5780"/>
        <w:spacing w:after="0"/>
        <w:rPr>
          <w:sz w:val="20"/>
          <w:szCs w:val="20"/>
          <w:color w:val="auto"/>
        </w:rPr>
      </w:pPr>
      <w:r>
        <w:rPr>
          <w:rFonts w:ascii="Courier New" w:cs="Courier New" w:eastAsia="Courier New" w:hAnsi="Courier New"/>
          <w:sz w:val="15"/>
          <w:szCs w:val="15"/>
          <w:color w:val="auto"/>
        </w:rPr>
        <w:t>Total</w:t>
      </w:r>
    </w:p>
    <w:p>
      <w:pPr>
        <w:ind w:left="360"/>
        <w:spacing w:after="0"/>
        <w:tabs>
          <w:tab w:leader="none" w:pos="1740" w:val="left"/>
          <w:tab w:leader="none" w:pos="3140" w:val="left"/>
          <w:tab w:leader="none" w:pos="5060" w:val="left"/>
        </w:tabs>
        <w:rPr>
          <w:sz w:val="20"/>
          <w:szCs w:val="20"/>
          <w:color w:val="auto"/>
        </w:rPr>
      </w:pPr>
      <w:r>
        <w:rPr>
          <w:rFonts w:ascii="Courier New" w:cs="Courier New" w:eastAsia="Courier New" w:hAnsi="Courier New"/>
          <w:sz w:val="15"/>
          <w:szCs w:val="15"/>
          <w:color w:val="auto"/>
        </w:rPr>
        <w:t>Paid-In</w:t>
      </w:r>
      <w:r>
        <w:rPr>
          <w:sz w:val="20"/>
          <w:szCs w:val="20"/>
          <w:color w:val="auto"/>
        </w:rPr>
        <w:tab/>
      </w:r>
      <w:r>
        <w:rPr>
          <w:rFonts w:ascii="Courier New" w:cs="Courier New" w:eastAsia="Courier New" w:hAnsi="Courier New"/>
          <w:sz w:val="15"/>
          <w:szCs w:val="15"/>
          <w:color w:val="auto"/>
        </w:rPr>
        <w:t>Retained</w:t>
      </w:r>
      <w:r>
        <w:rPr>
          <w:sz w:val="20"/>
          <w:szCs w:val="20"/>
          <w:color w:val="auto"/>
        </w:rPr>
        <w:tab/>
      </w:r>
      <w:r>
        <w:rPr>
          <w:rFonts w:ascii="Courier New" w:cs="Courier New" w:eastAsia="Courier New" w:hAnsi="Courier New"/>
          <w:sz w:val="15"/>
          <w:szCs w:val="15"/>
          <w:color w:val="auto"/>
        </w:rPr>
        <w:t>Treasury Stock,</w:t>
      </w:r>
      <w:r>
        <w:rPr>
          <w:sz w:val="20"/>
          <w:szCs w:val="20"/>
          <w:color w:val="auto"/>
        </w:rPr>
        <w:tab/>
      </w:r>
      <w:r>
        <w:rPr>
          <w:rFonts w:ascii="Courier New" w:cs="Courier New" w:eastAsia="Courier New" w:hAnsi="Courier New"/>
          <w:sz w:val="14"/>
          <w:szCs w:val="14"/>
          <w:color w:val="auto"/>
        </w:rPr>
        <w:t>Shareholders'</w:t>
      </w:r>
    </w:p>
    <w:p>
      <w:pPr>
        <w:ind w:left="360"/>
        <w:spacing w:after="0"/>
        <w:tabs>
          <w:tab w:leader="none" w:pos="1740" w:val="left"/>
          <w:tab w:leader="none" w:pos="3840" w:val="left"/>
          <w:tab w:leader="none" w:pos="5680" w:val="left"/>
        </w:tabs>
        <w:rPr>
          <w:sz w:val="20"/>
          <w:szCs w:val="20"/>
          <w:color w:val="auto"/>
        </w:rPr>
      </w:pPr>
      <w:r>
        <w:rPr>
          <w:rFonts w:ascii="Courier New" w:cs="Courier New" w:eastAsia="Courier New" w:hAnsi="Courier New"/>
          <w:sz w:val="15"/>
          <w:szCs w:val="15"/>
          <w:color w:val="auto"/>
        </w:rPr>
        <w:t>Capital</w:t>
      </w:r>
      <w:r>
        <w:rPr>
          <w:sz w:val="20"/>
          <w:szCs w:val="20"/>
          <w:color w:val="auto"/>
        </w:rPr>
        <w:tab/>
      </w:r>
      <w:r>
        <w:rPr>
          <w:rFonts w:ascii="Courier New" w:cs="Courier New" w:eastAsia="Courier New" w:hAnsi="Courier New"/>
          <w:sz w:val="15"/>
          <w:szCs w:val="15"/>
          <w:color w:val="auto"/>
        </w:rPr>
        <w:t>Earnings</w:t>
      </w:r>
      <w:r>
        <w:rPr>
          <w:sz w:val="20"/>
          <w:szCs w:val="20"/>
          <w:color w:val="auto"/>
        </w:rPr>
        <w:tab/>
      </w:r>
      <w:r>
        <w:rPr>
          <w:rFonts w:ascii="Courier New" w:cs="Courier New" w:eastAsia="Courier New" w:hAnsi="Courier New"/>
          <w:sz w:val="15"/>
          <w:szCs w:val="15"/>
          <w:color w:val="auto"/>
        </w:rPr>
        <w:t>at Cost</w:t>
      </w:r>
      <w:r>
        <w:rPr>
          <w:sz w:val="20"/>
          <w:szCs w:val="20"/>
          <w:color w:val="auto"/>
        </w:rPr>
        <w:tab/>
      </w:r>
      <w:r>
        <w:rPr>
          <w:rFonts w:ascii="Courier New" w:cs="Courier New" w:eastAsia="Courier New" w:hAnsi="Courier New"/>
          <w:sz w:val="14"/>
          <w:szCs w:val="14"/>
          <w:color w:val="auto"/>
        </w:rPr>
        <w:t>Equity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p>
      <w:pPr>
        <w:ind w:left="280"/>
        <w:spacing w:after="0"/>
        <w:tabs>
          <w:tab w:leader="none" w:pos="1560" w:val="left"/>
          <w:tab w:leader="none" w:pos="3580" w:val="left"/>
          <w:tab w:leader="none" w:pos="5320" w:val="left"/>
        </w:tabs>
        <w:rPr>
          <w:sz w:val="20"/>
          <w:szCs w:val="20"/>
          <w:color w:val="auto"/>
        </w:rPr>
      </w:pPr>
      <w:r>
        <w:rPr>
          <w:rFonts w:ascii="Courier New" w:cs="Courier New" w:eastAsia="Courier New" w:hAnsi="Courier New"/>
          <w:sz w:val="15"/>
          <w:szCs w:val="15"/>
          <w:color w:val="auto"/>
        </w:rPr>
        <w:t>$127,776</w:t>
      </w:r>
      <w:r>
        <w:rPr>
          <w:sz w:val="20"/>
          <w:szCs w:val="20"/>
          <w:color w:val="auto"/>
        </w:rPr>
        <w:tab/>
      </w:r>
      <w:r>
        <w:rPr>
          <w:rFonts w:ascii="Courier New" w:cs="Courier New" w:eastAsia="Courier New" w:hAnsi="Courier New"/>
          <w:sz w:val="15"/>
          <w:szCs w:val="15"/>
          <w:color w:val="auto"/>
        </w:rPr>
        <w:t>$2,136,794</w:t>
      </w:r>
      <w:r>
        <w:rPr>
          <w:sz w:val="20"/>
          <w:szCs w:val="20"/>
          <w:color w:val="auto"/>
        </w:rPr>
        <w:tab/>
      </w:r>
      <w:r>
        <w:rPr>
          <w:rFonts w:ascii="Courier New" w:cs="Courier New" w:eastAsia="Courier New" w:hAnsi="Courier New"/>
          <w:sz w:val="15"/>
          <w:szCs w:val="15"/>
          <w:color w:val="auto"/>
        </w:rPr>
        <w:t>$(186,680)</w:t>
      </w:r>
      <w:r>
        <w:rPr>
          <w:sz w:val="20"/>
          <w:szCs w:val="20"/>
          <w:color w:val="auto"/>
        </w:rPr>
        <w:tab/>
      </w:r>
      <w:r>
        <w:rPr>
          <w:rFonts w:ascii="Courier New" w:cs="Courier New" w:eastAsia="Courier New" w:hAnsi="Courier New"/>
          <w:sz w:val="14"/>
          <w:szCs w:val="14"/>
          <w:color w:val="auto"/>
        </w:rPr>
        <w:t>$2,267,617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390,999</w:t>
            </w:r>
          </w:p>
        </w:tc>
        <w:tc>
          <w:tcPr>
            <w:tcW w:w="18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390,999</w:t>
            </w:r>
          </w:p>
        </w:tc>
      </w:tr>
      <w:tr>
        <w:trPr>
          <w:trHeight w:val="168"/>
        </w:trPr>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(130,681)</w:t>
            </w:r>
          </w:p>
        </w:tc>
        <w:tc>
          <w:tcPr>
            <w:tcW w:w="18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(130,681)</w:t>
            </w:r>
          </w:p>
        </w:tc>
      </w:tr>
      <w:tr>
        <w:trPr>
          <w:trHeight w:val="168"/>
        </w:trPr>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(93,328)</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(93,328)</w:t>
            </w:r>
          </w:p>
        </w:tc>
      </w:tr>
      <w:tr>
        <w:trPr>
          <w:trHeight w:val="168"/>
        </w:trPr>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3"/>
              </w:rPr>
              <w:t>1,130</w:t>
            </w:r>
          </w:p>
        </w:tc>
        <w:tc>
          <w:tcPr>
            <w:tcW w:w="18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5,556</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6,686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280"/>
        <w:spacing w:after="0"/>
        <w:tabs>
          <w:tab w:leader="none" w:pos="1560" w:val="left"/>
          <w:tab w:leader="none" w:pos="3580" w:val="left"/>
          <w:tab w:leader="none" w:pos="5320" w:val="left"/>
        </w:tabs>
        <w:rPr>
          <w:sz w:val="20"/>
          <w:szCs w:val="20"/>
          <w:color w:val="auto"/>
        </w:rPr>
      </w:pPr>
      <w:r>
        <w:rPr>
          <w:rFonts w:ascii="Courier New" w:cs="Courier New" w:eastAsia="Courier New" w:hAnsi="Courier New"/>
          <w:sz w:val="15"/>
          <w:szCs w:val="15"/>
          <w:color w:val="auto"/>
        </w:rPr>
        <w:t>$128,906</w:t>
      </w:r>
      <w:r>
        <w:rPr>
          <w:sz w:val="20"/>
          <w:szCs w:val="20"/>
          <w:color w:val="auto"/>
        </w:rPr>
        <w:tab/>
      </w:r>
      <w:r>
        <w:rPr>
          <w:rFonts w:ascii="Courier New" w:cs="Courier New" w:eastAsia="Courier New" w:hAnsi="Courier New"/>
          <w:sz w:val="15"/>
          <w:szCs w:val="15"/>
          <w:color w:val="auto"/>
        </w:rPr>
        <w:t>$2,397,112</w:t>
      </w:r>
      <w:r>
        <w:rPr>
          <w:sz w:val="20"/>
          <w:szCs w:val="20"/>
          <w:color w:val="auto"/>
        </w:rPr>
        <w:tab/>
      </w:r>
      <w:r>
        <w:rPr>
          <w:rFonts w:ascii="Courier New" w:cs="Courier New" w:eastAsia="Courier New" w:hAnsi="Courier New"/>
          <w:sz w:val="15"/>
          <w:szCs w:val="15"/>
          <w:color w:val="auto"/>
        </w:rPr>
        <w:t>$(274,452)</w:t>
      </w:r>
      <w:r>
        <w:rPr>
          <w:sz w:val="20"/>
          <w:szCs w:val="20"/>
          <w:color w:val="auto"/>
        </w:rPr>
        <w:tab/>
      </w:r>
      <w:r>
        <w:rPr>
          <w:rFonts w:ascii="Courier New" w:cs="Courier New" w:eastAsia="Courier New" w:hAnsi="Courier New"/>
          <w:sz w:val="14"/>
          <w:szCs w:val="14"/>
          <w:color w:val="auto"/>
        </w:rPr>
        <w:t>$2,441,293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448,343</w:t>
            </w:r>
          </w:p>
        </w:tc>
        <w:tc>
          <w:tcPr>
            <w:tcW w:w="18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448,343</w:t>
            </w:r>
          </w:p>
        </w:tc>
      </w:tr>
      <w:tr>
        <w:trPr>
          <w:trHeight w:val="168"/>
        </w:trPr>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(128,939)</w:t>
            </w:r>
          </w:p>
        </w:tc>
        <w:tc>
          <w:tcPr>
            <w:tcW w:w="18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(128,939)</w:t>
            </w:r>
          </w:p>
        </w:tc>
      </w:tr>
      <w:tr>
        <w:trPr>
          <w:trHeight w:val="168"/>
        </w:trPr>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(11,382)</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(11,382)</w:t>
            </w:r>
          </w:p>
        </w:tc>
      </w:tr>
      <w:tr>
        <w:trPr>
          <w:trHeight w:val="168"/>
        </w:trPr>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3"/>
              </w:rPr>
              <w:t>4,032</w:t>
            </w:r>
          </w:p>
        </w:tc>
        <w:tc>
          <w:tcPr>
            <w:tcW w:w="18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7,609</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11,641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280"/>
        <w:spacing w:after="0"/>
        <w:tabs>
          <w:tab w:leader="none" w:pos="1560" w:val="left"/>
          <w:tab w:leader="none" w:pos="3580" w:val="left"/>
          <w:tab w:leader="none" w:pos="5320" w:val="left"/>
        </w:tabs>
        <w:rPr>
          <w:sz w:val="20"/>
          <w:szCs w:val="20"/>
          <w:color w:val="auto"/>
        </w:rPr>
      </w:pPr>
      <w:r>
        <w:rPr>
          <w:rFonts w:ascii="Courier New" w:cs="Courier New" w:eastAsia="Courier New" w:hAnsi="Courier New"/>
          <w:sz w:val="15"/>
          <w:szCs w:val="15"/>
          <w:color w:val="auto"/>
        </w:rPr>
        <w:t>$132,938</w:t>
      </w:r>
      <w:r>
        <w:rPr>
          <w:sz w:val="20"/>
          <w:szCs w:val="20"/>
          <w:color w:val="auto"/>
        </w:rPr>
        <w:tab/>
      </w:r>
      <w:r>
        <w:rPr>
          <w:rFonts w:ascii="Courier New" w:cs="Courier New" w:eastAsia="Courier New" w:hAnsi="Courier New"/>
          <w:sz w:val="15"/>
          <w:szCs w:val="15"/>
          <w:color w:val="auto"/>
        </w:rPr>
        <w:t>$2,716,516</w:t>
      </w:r>
      <w:r>
        <w:rPr>
          <w:sz w:val="20"/>
          <w:szCs w:val="20"/>
          <w:color w:val="auto"/>
        </w:rPr>
        <w:tab/>
      </w:r>
      <w:r>
        <w:rPr>
          <w:rFonts w:ascii="Courier New" w:cs="Courier New" w:eastAsia="Courier New" w:hAnsi="Courier New"/>
          <w:sz w:val="15"/>
          <w:szCs w:val="15"/>
          <w:color w:val="auto"/>
        </w:rPr>
        <w:t>$(278,225)</w:t>
      </w:r>
      <w:r>
        <w:rPr>
          <w:sz w:val="20"/>
          <w:szCs w:val="20"/>
          <w:color w:val="auto"/>
        </w:rPr>
        <w:tab/>
      </w:r>
      <w:r>
        <w:rPr>
          <w:rFonts w:ascii="Courier New" w:cs="Courier New" w:eastAsia="Courier New" w:hAnsi="Courier New"/>
          <w:sz w:val="14"/>
          <w:szCs w:val="14"/>
          <w:color w:val="auto"/>
        </w:rPr>
        <w:t>$2,760,956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96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961,511</w:t>
            </w:r>
          </w:p>
        </w:tc>
        <w:tc>
          <w:tcPr>
            <w:tcW w:w="18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961,511</w:t>
            </w:r>
          </w:p>
        </w:tc>
      </w:tr>
      <w:tr>
        <w:trPr>
          <w:trHeight w:val="168"/>
        </w:trPr>
        <w:tc>
          <w:tcPr>
            <w:tcW w:w="9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(143,091)</w:t>
            </w:r>
          </w:p>
        </w:tc>
        <w:tc>
          <w:tcPr>
            <w:tcW w:w="18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(143,091)</w:t>
            </w:r>
          </w:p>
        </w:tc>
      </w:tr>
      <w:tr>
        <w:trPr>
          <w:trHeight w:val="168"/>
        </w:trPr>
        <w:tc>
          <w:tcPr>
            <w:tcW w:w="9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(55,239)</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(55,239)</w:t>
            </w:r>
          </w:p>
        </w:tc>
      </w:tr>
      <w:tr>
        <w:trPr>
          <w:trHeight w:val="168"/>
        </w:trPr>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(7,639)</w:t>
            </w:r>
          </w:p>
        </w:tc>
        <w:tc>
          <w:tcPr>
            <w:tcW w:w="17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(334,586)</w:t>
            </w:r>
          </w:p>
        </w:tc>
        <w:tc>
          <w:tcPr>
            <w:tcW w:w="18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(351,600)</w:t>
            </w:r>
          </w:p>
        </w:tc>
      </w:tr>
      <w:tr>
        <w:trPr>
          <w:trHeight w:val="168"/>
        </w:trPr>
        <w:tc>
          <w:tcPr>
            <w:tcW w:w="9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7,769</w:t>
            </w:r>
          </w:p>
        </w:tc>
        <w:tc>
          <w:tcPr>
            <w:tcW w:w="17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8,231</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16,000</w:t>
            </w:r>
          </w:p>
        </w:tc>
      </w:tr>
      <w:tr>
        <w:trPr>
          <w:trHeight w:val="168"/>
        </w:trPr>
        <w:tc>
          <w:tcPr>
            <w:tcW w:w="9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4,066</w:t>
            </w:r>
          </w:p>
        </w:tc>
        <w:tc>
          <w:tcPr>
            <w:tcW w:w="17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8,438</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12,504</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280"/>
        <w:spacing w:after="0"/>
        <w:tabs>
          <w:tab w:leader="none" w:pos="1560" w:val="left"/>
          <w:tab w:leader="none" w:pos="3580" w:val="left"/>
          <w:tab w:leader="none" w:pos="5320" w:val="left"/>
        </w:tabs>
        <w:rPr>
          <w:sz w:val="20"/>
          <w:szCs w:val="20"/>
          <w:color w:val="auto"/>
        </w:rPr>
      </w:pPr>
      <w:r>
        <w:rPr>
          <w:rFonts w:ascii="Courier New" w:cs="Courier New" w:eastAsia="Courier New" w:hAnsi="Courier New"/>
          <w:sz w:val="15"/>
          <w:szCs w:val="15"/>
          <w:color w:val="auto"/>
        </w:rPr>
        <w:t>$137,134</w:t>
      </w:r>
      <w:r>
        <w:rPr>
          <w:sz w:val="20"/>
          <w:szCs w:val="20"/>
          <w:color w:val="auto"/>
        </w:rPr>
        <w:tab/>
      </w:r>
      <w:r>
        <w:rPr>
          <w:rFonts w:ascii="Courier New" w:cs="Courier New" w:eastAsia="Courier New" w:hAnsi="Courier New"/>
          <w:sz w:val="15"/>
          <w:szCs w:val="15"/>
          <w:color w:val="auto"/>
        </w:rPr>
        <w:t>$3,200,350</w:t>
      </w:r>
      <w:r>
        <w:rPr>
          <w:sz w:val="20"/>
          <w:szCs w:val="20"/>
          <w:color w:val="auto"/>
        </w:rPr>
        <w:tab/>
      </w:r>
      <w:r>
        <w:rPr>
          <w:rFonts w:ascii="Courier New" w:cs="Courier New" w:eastAsia="Courier New" w:hAnsi="Courier New"/>
          <w:sz w:val="15"/>
          <w:szCs w:val="15"/>
          <w:color w:val="auto"/>
        </w:rPr>
        <w:t>$(316,795)</w:t>
      </w:r>
      <w:r>
        <w:rPr>
          <w:sz w:val="20"/>
          <w:szCs w:val="20"/>
          <w:color w:val="auto"/>
        </w:rPr>
        <w:tab/>
      </w:r>
      <w:r>
        <w:rPr>
          <w:rFonts w:ascii="Courier New" w:cs="Courier New" w:eastAsia="Courier New" w:hAnsi="Courier New"/>
          <w:sz w:val="14"/>
          <w:szCs w:val="14"/>
          <w:color w:val="auto"/>
        </w:rPr>
        <w:t>$3,201,041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Working Capital</w:t>
      </w:r>
    </w:p>
    <w:p>
      <w:pPr>
        <w:spacing w:after="0" w:line="237" w:lineRule="auto"/>
        <w:rPr>
          <w:sz w:val="20"/>
          <w:szCs w:val="20"/>
          <w:color w:val="auto"/>
        </w:rPr>
      </w:pPr>
      <w:r>
        <w:rPr>
          <w:rFonts w:ascii="Courier New" w:cs="Courier New" w:eastAsia="Courier New" w:hAnsi="Courier New"/>
          <w:sz w:val="15"/>
          <w:szCs w:val="15"/>
          <w:color w:val="auto"/>
        </w:rPr>
        <w:t>($ Millions)</w:t>
      </w:r>
    </w:p>
    <w:p>
      <w:pPr>
        <w:spacing w:after="0" w:line="16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[GRAPH APPEARS HERE]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260"/>
        <w:spacing w:after="0"/>
        <w:rPr>
          <w:sz w:val="20"/>
          <w:szCs w:val="20"/>
          <w:color w:val="auto"/>
        </w:rPr>
      </w:pPr>
      <w:r>
        <w:rPr>
          <w:rFonts w:ascii="Courier New" w:cs="Courier New" w:eastAsia="Courier New" w:hAnsi="Courier New"/>
          <w:sz w:val="15"/>
          <w:szCs w:val="15"/>
          <w:color w:val="auto"/>
        </w:rPr>
        <w:t>The Limited, Inc. 51</w:t>
      </w:r>
    </w:p>
    <w:p>
      <w:pPr>
        <w:sectPr>
          <w:pgSz w:w="11900" w:h="16838" w:orient="portrait"/>
          <w:cols w:equalWidth="0" w:num="1">
            <w:col w:w="10239"/>
          </w:cols>
          <w:pgMar w:left="220" w:top="960" w:right="1440" w:bottom="1440" w:gutter="0" w:footer="0" w:header="0"/>
        </w:sectPr>
      </w:pPr>
    </w:p>
    <w:bookmarkStart w:id="141" w:name="page142"/>
    <w:bookmarkEnd w:id="141"/>
    <w:p>
      <w:pPr>
        <w:spacing w:after="0"/>
        <w:rPr>
          <w:sz w:val="20"/>
          <w:szCs w:val="20"/>
          <w:color w:val="auto"/>
        </w:rPr>
      </w:pPr>
      <w:r>
        <w:rPr>
          <w:rFonts w:ascii="Courier New" w:cs="Courier New" w:eastAsia="Courier New" w:hAnsi="Courier New"/>
          <w:sz w:val="15"/>
          <w:szCs w:val="15"/>
          <w:color w:val="auto"/>
        </w:rPr>
        <w:t>Consolidated Balance Sheets</w:t>
      </w:r>
    </w:p>
    <w:p>
      <w:pPr>
        <w:spacing w:after="0" w:line="237" w:lineRule="auto"/>
        <w:rPr>
          <w:sz w:val="20"/>
          <w:szCs w:val="20"/>
          <w:color w:val="auto"/>
        </w:rPr>
      </w:pPr>
      <w:r>
        <w:rPr>
          <w:rFonts w:ascii="Courier New" w:cs="Courier New" w:eastAsia="Courier New" w:hAnsi="Courier New"/>
          <w:sz w:val="15"/>
          <w:szCs w:val="15"/>
          <w:color w:val="auto"/>
        </w:rPr>
        <w:t>(Thousands)</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3160" w:type="dxa"/>
            <w:vAlign w:val="bottom"/>
          </w:tcPr>
          <w:p>
            <w:pPr>
              <w:ind w:left="1800"/>
              <w:spacing w:after="0"/>
              <w:rPr>
                <w:sz w:val="20"/>
                <w:szCs w:val="20"/>
                <w:color w:val="auto"/>
              </w:rPr>
            </w:pPr>
            <w:r>
              <w:rPr>
                <w:rFonts w:ascii="Courier New" w:cs="Courier New" w:eastAsia="Courier New" w:hAnsi="Courier New"/>
                <w:sz w:val="15"/>
                <w:szCs w:val="15"/>
                <w:color w:val="auto"/>
              </w:rPr>
              <w:t>Feb. 3, 1996</w:t>
            </w:r>
          </w:p>
        </w:tc>
        <w:tc>
          <w:tcPr>
            <w:tcW w:w="1440" w:type="dxa"/>
            <w:vAlign w:val="bottom"/>
          </w:tcPr>
          <w:p>
            <w:pPr>
              <w:ind w:left="300"/>
              <w:spacing w:after="0"/>
              <w:rPr>
                <w:sz w:val="20"/>
                <w:szCs w:val="20"/>
                <w:color w:val="auto"/>
              </w:rPr>
            </w:pPr>
            <w:r>
              <w:rPr>
                <w:rFonts w:ascii="Courier New" w:cs="Courier New" w:eastAsia="Courier New" w:hAnsi="Courier New"/>
                <w:sz w:val="15"/>
                <w:szCs w:val="15"/>
                <w:color w:val="auto"/>
                <w:w w:val="95"/>
              </w:rPr>
              <w:t>Jan. 28, 1995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5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Equivalents</w:t>
            </w:r>
          </w:p>
        </w:tc>
        <w:tc>
          <w:tcPr>
            <w:tcW w:w="25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$1,645,731</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242,780</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25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77,516</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1,292,399</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Inventories</w:t>
            </w:r>
          </w:p>
        </w:tc>
        <w:tc>
          <w:tcPr>
            <w:tcW w:w="25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958,953</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870,440</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25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117,832</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117,352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Total Current Assets</w:t>
            </w:r>
          </w:p>
        </w:tc>
        <w:tc>
          <w:tcPr>
            <w:tcW w:w="25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2,800,032</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2,522,971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2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1,741,456</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1,692,145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4540" w:val="left"/>
          <w:tab w:leader="none" w:pos="6720" w:val="left"/>
        </w:tabs>
        <w:rPr>
          <w:sz w:val="20"/>
          <w:szCs w:val="20"/>
          <w:color w:val="auto"/>
        </w:rPr>
      </w:pPr>
      <w:r>
        <w:rPr>
          <w:rFonts w:ascii="Courier New" w:cs="Courier New" w:eastAsia="Courier New" w:hAnsi="Courier New"/>
          <w:sz w:val="15"/>
          <w:szCs w:val="15"/>
          <w:color w:val="auto"/>
        </w:rPr>
        <w:t>Restricted Cash</w:t>
      </w:r>
      <w:r>
        <w:rPr>
          <w:sz w:val="20"/>
          <w:szCs w:val="20"/>
          <w:color w:val="auto"/>
        </w:rPr>
        <w:tab/>
      </w:r>
      <w:r>
        <w:rPr>
          <w:rFonts w:ascii="Courier New" w:cs="Courier New" w:eastAsia="Courier New" w:hAnsi="Courier New"/>
          <w:sz w:val="15"/>
          <w:szCs w:val="15"/>
          <w:color w:val="auto"/>
        </w:rPr>
        <w:t>351,600</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29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373,475</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354,961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29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$5,266,563</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$4,570,077</w:t>
            </w:r>
          </w:p>
        </w:tc>
      </w:tr>
    </w:tbl>
    <w:p>
      <w:pPr>
        <w:spacing w:after="0" w:line="5" w:lineRule="exact"/>
        <w:rPr>
          <w:sz w:val="20"/>
          <w:szCs w:val="20"/>
          <w:color w:val="auto"/>
        </w:rPr>
      </w:pPr>
    </w:p>
    <w:p>
      <w:pPr>
        <w:ind w:left="180" w:hanging="170"/>
        <w:spacing w:after="0"/>
        <w:tabs>
          <w:tab w:leader="none" w:pos="180"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Liabilities and Shareholders' Equity</w:t>
      </w:r>
    </w:p>
    <w:p>
      <w:pPr>
        <w:spacing w:after="0" w:line="5"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Current Liabilities</w:t>
      </w:r>
    </w:p>
    <w:tbl>
      <w:tblPr>
        <w:tblLayout w:type="fixed"/>
        <w:tblInd w:w="0" w:type="dxa"/>
        <w:tblCellMar>
          <w:top w:w="0" w:type="dxa"/>
          <w:left w:w="0" w:type="dxa"/>
          <w:bottom w:w="0" w:type="dxa"/>
          <w:right w:w="0" w:type="dxa"/>
        </w:tblCellMar>
      </w:tblPr>
      <w:tr>
        <w:trPr>
          <w:trHeight w:val="169"/>
        </w:trPr>
        <w:tc>
          <w:tcPr>
            <w:tcW w:w="3160" w:type="dxa"/>
            <w:vAlign w:val="bottom"/>
          </w:tcPr>
          <w:p>
            <w:pPr>
              <w:spacing w:after="0" w:line="169" w:lineRule="exact"/>
              <w:rPr>
                <w:sz w:val="20"/>
                <w:szCs w:val="20"/>
                <w:color w:val="auto"/>
              </w:rPr>
            </w:pPr>
            <w:r>
              <w:rPr>
                <w:rFonts w:ascii="Courier New" w:cs="Courier New" w:eastAsia="Courier New" w:hAnsi="Courier New"/>
                <w:sz w:val="15"/>
                <w:szCs w:val="15"/>
                <w:color w:val="auto"/>
              </w:rPr>
              <w:t>Accounts Payable</w:t>
            </w:r>
          </w:p>
        </w:tc>
        <w:tc>
          <w:tcPr>
            <w:tcW w:w="2440" w:type="dxa"/>
            <w:vAlign w:val="bottom"/>
          </w:tcPr>
          <w:p>
            <w:pPr>
              <w:jc w:val="right"/>
              <w:ind w:right="347"/>
              <w:spacing w:after="0" w:line="169" w:lineRule="exact"/>
              <w:rPr>
                <w:sz w:val="20"/>
                <w:szCs w:val="20"/>
                <w:color w:val="auto"/>
              </w:rPr>
            </w:pPr>
            <w:r>
              <w:rPr>
                <w:rFonts w:ascii="Courier New" w:cs="Courier New" w:eastAsia="Courier New" w:hAnsi="Courier New"/>
                <w:sz w:val="15"/>
                <w:szCs w:val="15"/>
                <w:color w:val="auto"/>
              </w:rPr>
              <w:t>$  280,659</w:t>
            </w:r>
          </w:p>
        </w:tc>
        <w:tc>
          <w:tcPr>
            <w:tcW w:w="132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  275,303</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Expenses</w:t>
            </w:r>
          </w:p>
        </w:tc>
        <w:tc>
          <w:tcPr>
            <w:tcW w:w="2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388,818</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372,676</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Certificates of Deposit</w:t>
            </w:r>
          </w:p>
        </w:tc>
        <w:tc>
          <w:tcPr>
            <w:tcW w:w="2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25,200</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w:t>
            </w:r>
          </w:p>
        </w:tc>
        <w:tc>
          <w:tcPr>
            <w:tcW w:w="2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47,098</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124,376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Total Current Liabilities</w:t>
            </w:r>
          </w:p>
        </w:tc>
        <w:tc>
          <w:tcPr>
            <w:tcW w:w="23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716,575</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797,555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28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650,000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650,000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25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250,857</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306,139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20"/>
                <w:szCs w:val="20"/>
                <w:color w:val="auto"/>
              </w:rPr>
            </w:pPr>
            <w:r>
              <w:rPr>
                <w:rFonts w:ascii="Courier New" w:cs="Courier New" w:eastAsia="Courier New" w:hAnsi="Courier New"/>
                <w:sz w:val="15"/>
                <w:szCs w:val="15"/>
                <w:color w:val="auto"/>
              </w:rPr>
              <w:t>Other Long-Term Liabilities</w:t>
            </w:r>
          </w:p>
        </w:tc>
        <w:tc>
          <w:tcPr>
            <w:tcW w:w="22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50,791</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55,427</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4620" w:val="left"/>
          <w:tab w:leader="none" w:pos="6720" w:val="left"/>
        </w:tabs>
        <w:rPr>
          <w:sz w:val="20"/>
          <w:szCs w:val="20"/>
          <w:color w:val="auto"/>
        </w:rPr>
      </w:pPr>
      <w:r>
        <w:rPr>
          <w:rFonts w:ascii="Courier New" w:cs="Courier New" w:eastAsia="Courier New" w:hAnsi="Courier New"/>
          <w:sz w:val="15"/>
          <w:szCs w:val="15"/>
          <w:color w:val="auto"/>
        </w:rPr>
        <w:t>Minority Interest</w:t>
      </w:r>
      <w:r>
        <w:rPr>
          <w:sz w:val="20"/>
          <w:szCs w:val="20"/>
          <w:color w:val="auto"/>
        </w:rPr>
        <w:tab/>
      </w:r>
      <w:r>
        <w:rPr>
          <w:rFonts w:ascii="Courier New" w:cs="Courier New" w:eastAsia="Courier New" w:hAnsi="Courier New"/>
          <w:sz w:val="15"/>
          <w:szCs w:val="15"/>
          <w:color w:val="auto"/>
        </w:rPr>
        <w:t>45,699</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4540" w:val="left"/>
          <w:tab w:leader="none" w:pos="6720" w:val="left"/>
        </w:tabs>
        <w:rPr>
          <w:sz w:val="20"/>
          <w:szCs w:val="20"/>
          <w:color w:val="auto"/>
        </w:rPr>
      </w:pPr>
      <w:r>
        <w:rPr>
          <w:rFonts w:ascii="Courier New" w:cs="Courier New" w:eastAsia="Courier New" w:hAnsi="Courier New"/>
          <w:sz w:val="15"/>
          <w:szCs w:val="15"/>
          <w:color w:val="auto"/>
        </w:rPr>
        <w:t>Contingent Stock Redemption Agreement</w:t>
      </w:r>
      <w:r>
        <w:rPr>
          <w:sz w:val="20"/>
          <w:szCs w:val="20"/>
          <w:color w:val="auto"/>
        </w:rPr>
        <w:tab/>
      </w:r>
      <w:r>
        <w:rPr>
          <w:rFonts w:ascii="Courier New" w:cs="Courier New" w:eastAsia="Courier New" w:hAnsi="Courier New"/>
          <w:sz w:val="15"/>
          <w:szCs w:val="15"/>
          <w:color w:val="auto"/>
        </w:rPr>
        <w:t>351,600</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left="180" w:hanging="170"/>
        <w:spacing w:after="0"/>
        <w:tabs>
          <w:tab w:leader="none" w:pos="180"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Shareholders' Equity</w:t>
      </w:r>
    </w:p>
    <w:tbl>
      <w:tblPr>
        <w:tblLayout w:type="fixed"/>
        <w:tblInd w:w="0" w:type="dxa"/>
        <w:tblCellMar>
          <w:top w:w="0" w:type="dxa"/>
          <w:left w:w="0" w:type="dxa"/>
          <w:bottom w:w="0" w:type="dxa"/>
          <w:right w:w="0" w:type="dxa"/>
        </w:tblCellMar>
      </w:tblPr>
      <w:tr>
        <w:trPr>
          <w:trHeight w:val="169"/>
        </w:trPr>
        <w:tc>
          <w:tcPr>
            <w:tcW w:w="2940" w:type="dxa"/>
            <w:vAlign w:val="bottom"/>
          </w:tcPr>
          <w:p>
            <w:pPr>
              <w:spacing w:after="0" w:line="169" w:lineRule="exact"/>
              <w:rPr>
                <w:sz w:val="20"/>
                <w:szCs w:val="20"/>
                <w:color w:val="auto"/>
              </w:rPr>
            </w:pPr>
            <w:r>
              <w:rPr>
                <w:rFonts w:ascii="Courier New" w:cs="Courier New" w:eastAsia="Courier New" w:hAnsi="Courier New"/>
                <w:sz w:val="15"/>
                <w:szCs w:val="15"/>
                <w:color w:val="auto"/>
              </w:rPr>
              <w:t>Common Stock</w:t>
            </w:r>
          </w:p>
        </w:tc>
        <w:tc>
          <w:tcPr>
            <w:tcW w:w="2720" w:type="dxa"/>
            <w:vAlign w:val="bottom"/>
          </w:tcPr>
          <w:p>
            <w:pPr>
              <w:jc w:val="right"/>
              <w:ind w:right="407"/>
              <w:spacing w:after="0" w:line="169" w:lineRule="exact"/>
              <w:rPr>
                <w:sz w:val="20"/>
                <w:szCs w:val="20"/>
                <w:color w:val="auto"/>
              </w:rPr>
            </w:pPr>
            <w:r>
              <w:rPr>
                <w:rFonts w:ascii="Courier New" w:cs="Courier New" w:eastAsia="Courier New" w:hAnsi="Courier New"/>
                <w:sz w:val="15"/>
                <w:szCs w:val="15"/>
                <w:color w:val="auto"/>
              </w:rPr>
              <w:t>180,352</w:t>
            </w:r>
          </w:p>
        </w:tc>
        <w:tc>
          <w:tcPr>
            <w:tcW w:w="12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189,727</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Paid-In Capital</w:t>
            </w:r>
          </w:p>
        </w:tc>
        <w:tc>
          <w:tcPr>
            <w:tcW w:w="27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137,134</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132,938</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Retained Earnings</w:t>
            </w:r>
          </w:p>
        </w:tc>
        <w:tc>
          <w:tcPr>
            <w:tcW w:w="27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3,200,350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2,716,516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60" w:type="dxa"/>
            <w:vAlign w:val="bottom"/>
          </w:tcPr>
          <w:p>
            <w:pPr>
              <w:spacing w:after="0"/>
              <w:rPr>
                <w:sz w:val="14"/>
                <w:szCs w:val="14"/>
                <w:color w:val="auto"/>
              </w:rPr>
            </w:pPr>
          </w:p>
        </w:tc>
        <w:tc>
          <w:tcPr>
            <w:tcW w:w="22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3,517,836</w:t>
            </w:r>
          </w:p>
        </w:tc>
        <w:tc>
          <w:tcPr>
            <w:tcW w:w="1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3,039,181</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Treasury Stock, at Cost</w:t>
            </w:r>
          </w:p>
        </w:tc>
        <w:tc>
          <w:tcPr>
            <w:tcW w:w="2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(316,795)</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(278,225)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Total Shareholders' Equity</w:t>
            </w:r>
          </w:p>
        </w:tc>
        <w:tc>
          <w:tcPr>
            <w:tcW w:w="2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3,201,041</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2,760,956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6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$5,266,563</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$4,570,077</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6"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The accompanying Notes are an integral part of these Consolidated Financial Statements.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 APPEARS HERE]</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52 The Limited, Inc.</w:t>
      </w:r>
    </w:p>
    <w:p>
      <w:pPr>
        <w:sectPr>
          <w:pgSz w:w="11900" w:h="16838" w:orient="portrait"/>
          <w:cols w:equalWidth="0" w:num="1">
            <w:col w:w="10239"/>
          </w:cols>
          <w:pgMar w:left="220" w:top="449" w:right="1440" w:bottom="1440" w:gutter="0" w:footer="0" w:header="0"/>
        </w:sectPr>
      </w:pPr>
    </w:p>
    <w:bookmarkStart w:id="142" w:name="page143"/>
    <w:bookmarkEnd w:id="142"/>
    <w:p>
      <w:pPr>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37" w:lineRule="auto"/>
        <w:rPr>
          <w:sz w:val="20"/>
          <w:szCs w:val="20"/>
          <w:color w:val="auto"/>
        </w:rPr>
      </w:pPr>
      <w:r>
        <w:rPr>
          <w:rFonts w:ascii="Courier New" w:cs="Courier New" w:eastAsia="Courier New" w:hAnsi="Courier New"/>
          <w:sz w:val="15"/>
          <w:szCs w:val="15"/>
          <w:color w:val="auto"/>
        </w:rPr>
        <w:t>(Thousands)</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4820"/>
        <w:spacing w:after="0"/>
        <w:tabs>
          <w:tab w:leader="none" w:pos="6460" w:val="left"/>
          <w:tab w:leader="none" w:pos="8220" w:val="left"/>
        </w:tabs>
        <w:rPr>
          <w:sz w:val="20"/>
          <w:szCs w:val="20"/>
          <w:color w:val="auto"/>
        </w:rPr>
      </w:pP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1994</w:t>
      </w:r>
      <w:r>
        <w:rPr>
          <w:sz w:val="20"/>
          <w:szCs w:val="20"/>
          <w:color w:val="auto"/>
        </w:rPr>
        <w:tab/>
      </w:r>
      <w:r>
        <w:rPr>
          <w:rFonts w:ascii="Courier New" w:cs="Courier New" w:eastAsia="Courier New" w:hAnsi="Courier New"/>
          <w:sz w:val="14"/>
          <w:szCs w:val="14"/>
          <w:color w:val="auto"/>
        </w:rPr>
        <w:t>1993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Cash Flows</w:t>
            </w:r>
          </w:p>
        </w:tc>
        <w:tc>
          <w:tcPr>
            <w:tcW w:w="4680" w:type="dxa"/>
            <w:vAlign w:val="bottom"/>
          </w:tcPr>
          <w:p>
            <w:pPr>
              <w:jc w:val="right"/>
              <w:ind w:right="2367"/>
              <w:spacing w:after="0"/>
              <w:rPr>
                <w:sz w:val="20"/>
                <w:szCs w:val="20"/>
                <w:color w:val="auto"/>
              </w:rPr>
            </w:pPr>
            <w:r>
              <w:rPr>
                <w:rFonts w:ascii="Courier New" w:cs="Courier New" w:eastAsia="Courier New" w:hAnsi="Courier New"/>
                <w:sz w:val="15"/>
                <w:szCs w:val="15"/>
                <w:color w:val="auto"/>
                <w:w w:val="98"/>
              </w:rPr>
              <w:t>from Operating Activities</w:t>
            </w:r>
          </w:p>
        </w:tc>
        <w:tc>
          <w:tcPr>
            <w:tcW w:w="17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Income</w:t>
            </w:r>
          </w:p>
        </w:tc>
        <w:tc>
          <w:tcPr>
            <w:tcW w:w="46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  961,511</w:t>
            </w:r>
          </w:p>
        </w:tc>
        <w:tc>
          <w:tcPr>
            <w:tcW w:w="17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$ 448,343</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$ 390,999</w:t>
            </w:r>
          </w:p>
        </w:tc>
      </w:tr>
    </w:tbl>
    <w:p>
      <w:pPr>
        <w:spacing w:after="0" w:line="5" w:lineRule="exact"/>
        <w:rPr>
          <w:sz w:val="20"/>
          <w:szCs w:val="20"/>
          <w:color w:val="auto"/>
        </w:rPr>
      </w:pPr>
    </w:p>
    <w:p>
      <w:pPr>
        <w:ind w:left="180" w:hanging="170"/>
        <w:spacing w:after="0"/>
        <w:tabs>
          <w:tab w:leader="none" w:pos="18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right="707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Impact of Other Operating Activities on Cash Flows</w:t>
      </w:r>
    </w:p>
    <w:tbl>
      <w:tblPr>
        <w:tblLayout w:type="fixed"/>
        <w:tblInd w:w="0" w:type="dxa"/>
        <w:tblCellMar>
          <w:top w:w="0" w:type="dxa"/>
          <w:left w:w="0" w:type="dxa"/>
          <w:bottom w:w="0" w:type="dxa"/>
          <w:right w:w="0" w:type="dxa"/>
        </w:tblCellMar>
      </w:tblP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7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285,889</w:t>
            </w:r>
          </w:p>
        </w:tc>
        <w:tc>
          <w:tcPr>
            <w:tcW w:w="16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267,888</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271,353</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Minority Interest, Net of Dividends Paid</w:t>
            </w:r>
          </w:p>
        </w:tc>
        <w:tc>
          <w:tcPr>
            <w:tcW w:w="17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17,250</w:t>
            </w:r>
          </w:p>
        </w:tc>
        <w:tc>
          <w:tcPr>
            <w:tcW w:w="16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Special and Nonrecurring Items, Net</w:t>
            </w:r>
          </w:p>
        </w:tc>
        <w:tc>
          <w:tcPr>
            <w:tcW w:w="17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(1,314)</w:t>
            </w:r>
          </w:p>
        </w:tc>
        <w:tc>
          <w:tcPr>
            <w:tcW w:w="16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(2,617)</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Gain on Sale of Subsidiary Stock</w:t>
            </w:r>
          </w:p>
        </w:tc>
        <w:tc>
          <w:tcPr>
            <w:tcW w:w="17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(649,467)</w:t>
            </w:r>
          </w:p>
        </w:tc>
        <w:tc>
          <w:tcPr>
            <w:tcW w:w="16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ind w:left="180" w:hanging="170"/>
        <w:spacing w:after="0"/>
        <w:tabs>
          <w:tab w:leader="none" w:pos="180"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Change in Assets and Liabilities</w:t>
      </w:r>
    </w:p>
    <w:tbl>
      <w:tblPr>
        <w:tblLayout w:type="fixed"/>
        <w:tblInd w:w="0" w:type="dxa"/>
        <w:tblCellMar>
          <w:top w:w="0" w:type="dxa"/>
          <w:left w:w="0" w:type="dxa"/>
          <w:bottom w:w="0" w:type="dxa"/>
          <w:right w:w="0" w:type="dxa"/>
        </w:tblCellMar>
      </w:tblPr>
      <w:tr>
        <w:trPr>
          <w:trHeight w:val="169"/>
        </w:trPr>
        <w:tc>
          <w:tcPr>
            <w:tcW w:w="3860" w:type="dxa"/>
            <w:vAlign w:val="bottom"/>
          </w:tcPr>
          <w:p>
            <w:pPr>
              <w:spacing w:after="0" w:line="169" w:lineRule="exact"/>
              <w:rPr>
                <w:sz w:val="20"/>
                <w:szCs w:val="20"/>
                <w:color w:val="auto"/>
              </w:rPr>
            </w:pPr>
            <w:r>
              <w:rPr>
                <w:rFonts w:ascii="Courier New" w:cs="Courier New" w:eastAsia="Courier New" w:hAnsi="Courier New"/>
                <w:sz w:val="15"/>
                <w:szCs w:val="15"/>
                <w:color w:val="auto"/>
              </w:rPr>
              <w:t>Accounts Receivable</w:t>
            </w:r>
          </w:p>
        </w:tc>
        <w:tc>
          <w:tcPr>
            <w:tcW w:w="1840" w:type="dxa"/>
            <w:vAlign w:val="bottom"/>
          </w:tcPr>
          <w:p>
            <w:pPr>
              <w:jc w:val="right"/>
              <w:ind w:right="367"/>
              <w:spacing w:after="0" w:line="169" w:lineRule="exact"/>
              <w:rPr>
                <w:sz w:val="20"/>
                <w:szCs w:val="20"/>
                <w:color w:val="auto"/>
              </w:rPr>
            </w:pPr>
            <w:r>
              <w:rPr>
                <w:rFonts w:ascii="Courier New" w:cs="Courier New" w:eastAsia="Courier New" w:hAnsi="Courier New"/>
                <w:sz w:val="15"/>
                <w:szCs w:val="15"/>
                <w:color w:val="auto"/>
              </w:rPr>
              <w:t>(104,121)</w:t>
            </w:r>
          </w:p>
        </w:tc>
        <w:tc>
          <w:tcPr>
            <w:tcW w:w="1700" w:type="dxa"/>
            <w:vAlign w:val="bottom"/>
          </w:tcPr>
          <w:p>
            <w:pPr>
              <w:jc w:val="right"/>
              <w:ind w:right="407"/>
              <w:spacing w:after="0" w:line="169" w:lineRule="exact"/>
              <w:rPr>
                <w:sz w:val="20"/>
                <w:szCs w:val="20"/>
                <w:color w:val="auto"/>
              </w:rPr>
            </w:pPr>
            <w:r>
              <w:rPr>
                <w:rFonts w:ascii="Courier New" w:cs="Courier New" w:eastAsia="Courier New" w:hAnsi="Courier New"/>
                <w:sz w:val="15"/>
                <w:szCs w:val="15"/>
                <w:color w:val="auto"/>
              </w:rPr>
              <w:t>(235,488)</w:t>
            </w:r>
          </w:p>
        </w:tc>
        <w:tc>
          <w:tcPr>
            <w:tcW w:w="12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(219,534)</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Inventories</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(70,813)</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(136,740)</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70,006</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Payable and Accrued Expenses</w:t>
            </w:r>
          </w:p>
        </w:tc>
        <w:tc>
          <w:tcPr>
            <w:tcW w:w="18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50,883</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49,724</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14,943</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(77,278)</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30,887</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20,773</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 and Liabilities</w:t>
            </w:r>
          </w:p>
        </w:tc>
        <w:tc>
          <w:tcPr>
            <w:tcW w:w="1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(55,808)</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(63,536)</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(97,784)</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356,732</w:t>
            </w:r>
          </w:p>
        </w:tc>
        <w:tc>
          <w:tcPr>
            <w:tcW w:w="17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361,078</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448,139</w:t>
            </w:r>
          </w:p>
        </w:tc>
      </w:tr>
    </w:tbl>
    <w:p>
      <w:pPr>
        <w:spacing w:after="0" w:line="5" w:lineRule="exact"/>
        <w:rPr>
          <w:sz w:val="20"/>
          <w:szCs w:val="20"/>
          <w:color w:val="auto"/>
        </w:rPr>
      </w:pPr>
    </w:p>
    <w:p>
      <w:pPr>
        <w:ind w:left="180" w:hanging="170"/>
        <w:spacing w:after="0"/>
        <w:tabs>
          <w:tab w:leader="none" w:pos="180"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Investing Activities</w:t>
      </w:r>
    </w:p>
    <w:tbl>
      <w:tblPr>
        <w:tblLayout w:type="fixed"/>
        <w:tblInd w:w="0" w:type="dxa"/>
        <w:tblCellMar>
          <w:top w:w="0" w:type="dxa"/>
          <w:left w:w="0" w:type="dxa"/>
          <w:bottom w:w="0" w:type="dxa"/>
          <w:right w:w="0" w:type="dxa"/>
        </w:tblCellMar>
      </w:tblPr>
      <w:tr>
        <w:trPr>
          <w:trHeight w:val="169"/>
        </w:trPr>
        <w:tc>
          <w:tcPr>
            <w:tcW w:w="3940" w:type="dxa"/>
            <w:vAlign w:val="bottom"/>
          </w:tcPr>
          <w:p>
            <w:pPr>
              <w:spacing w:after="0" w:line="169" w:lineRule="exact"/>
              <w:rPr>
                <w:sz w:val="20"/>
                <w:szCs w:val="20"/>
                <w:color w:val="auto"/>
              </w:rPr>
            </w:pPr>
            <w:r>
              <w:rPr>
                <w:rFonts w:ascii="Courier New" w:cs="Courier New" w:eastAsia="Courier New" w:hAnsi="Courier New"/>
                <w:sz w:val="15"/>
                <w:szCs w:val="15"/>
                <w:color w:val="auto"/>
              </w:rPr>
              <w:t>Capital Expenditures</w:t>
            </w:r>
          </w:p>
        </w:tc>
        <w:tc>
          <w:tcPr>
            <w:tcW w:w="1760" w:type="dxa"/>
            <w:vAlign w:val="bottom"/>
          </w:tcPr>
          <w:p>
            <w:pPr>
              <w:jc w:val="right"/>
              <w:ind w:right="367"/>
              <w:spacing w:after="0" w:line="169" w:lineRule="exact"/>
              <w:rPr>
                <w:sz w:val="20"/>
                <w:szCs w:val="20"/>
                <w:color w:val="auto"/>
              </w:rPr>
            </w:pPr>
            <w:r>
              <w:rPr>
                <w:rFonts w:ascii="Courier New" w:cs="Courier New" w:eastAsia="Courier New" w:hAnsi="Courier New"/>
                <w:sz w:val="15"/>
                <w:szCs w:val="15"/>
                <w:color w:val="auto"/>
              </w:rPr>
              <w:t>(374,374)</w:t>
            </w:r>
          </w:p>
        </w:tc>
        <w:tc>
          <w:tcPr>
            <w:tcW w:w="1700" w:type="dxa"/>
            <w:vAlign w:val="bottom"/>
          </w:tcPr>
          <w:p>
            <w:pPr>
              <w:jc w:val="right"/>
              <w:ind w:right="407"/>
              <w:spacing w:after="0" w:line="169" w:lineRule="exact"/>
              <w:rPr>
                <w:sz w:val="20"/>
                <w:szCs w:val="20"/>
                <w:color w:val="auto"/>
              </w:rPr>
            </w:pPr>
            <w:r>
              <w:rPr>
                <w:rFonts w:ascii="Courier New" w:cs="Courier New" w:eastAsia="Courier New" w:hAnsi="Courier New"/>
                <w:sz w:val="15"/>
                <w:szCs w:val="15"/>
                <w:color w:val="auto"/>
              </w:rPr>
              <w:t>(319,676)</w:t>
            </w:r>
          </w:p>
        </w:tc>
        <w:tc>
          <w:tcPr>
            <w:tcW w:w="12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(295,804)</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Business Acquired</w:t>
            </w:r>
          </w:p>
        </w:tc>
        <w:tc>
          <w:tcPr>
            <w:tcW w:w="17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(18,000)</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Increase in Restricted Cash</w:t>
            </w:r>
          </w:p>
        </w:tc>
        <w:tc>
          <w:tcPr>
            <w:tcW w:w="17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(351,600)</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from Credit Card Securitization</w:t>
            </w:r>
          </w:p>
        </w:tc>
        <w:tc>
          <w:tcPr>
            <w:tcW w:w="17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1,212,630</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from Sale of Business</w:t>
            </w:r>
          </w:p>
        </w:tc>
        <w:tc>
          <w:tcPr>
            <w:tcW w:w="17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285,000</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Tax Effect of Gain on Sale of Business</w:t>
            </w:r>
          </w:p>
        </w:tc>
        <w:tc>
          <w:tcPr>
            <w:tcW w:w="17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(64,750)</w:t>
            </w:r>
          </w:p>
        </w:tc>
      </w:tr>
    </w:tbl>
    <w:p>
      <w:pPr>
        <w:spacing w:after="0" w:line="5" w:lineRule="exact"/>
        <w:rPr>
          <w:sz w:val="20"/>
          <w:szCs w:val="20"/>
          <w:color w:val="auto"/>
        </w:rPr>
      </w:pPr>
    </w:p>
    <w:p>
      <w:pPr>
        <w:ind w:left="180" w:hanging="170"/>
        <w:spacing w:after="0"/>
        <w:tabs>
          <w:tab w:leader="none" w:pos="18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Net Cash Provided by (Used for)</w:t>
      </w:r>
    </w:p>
    <w:tbl>
      <w:tblPr>
        <w:tblLayout w:type="fixed"/>
        <w:tblInd w:w="180" w:type="dxa"/>
        <w:tblCellMar>
          <w:top w:w="0" w:type="dxa"/>
          <w:left w:w="0" w:type="dxa"/>
          <w:bottom w:w="0" w:type="dxa"/>
          <w:right w:w="0" w:type="dxa"/>
        </w:tblCellMar>
      </w:tblPr>
      <w:tr>
        <w:trPr>
          <w:trHeight w:val="169"/>
        </w:trPr>
        <w:tc>
          <w:tcPr>
            <w:tcW w:w="3060" w:type="dxa"/>
            <w:vAlign w:val="bottom"/>
          </w:tcPr>
          <w:p>
            <w:pPr>
              <w:spacing w:after="0" w:line="169" w:lineRule="exact"/>
              <w:rPr>
                <w:sz w:val="20"/>
                <w:szCs w:val="20"/>
                <w:color w:val="auto"/>
              </w:rPr>
            </w:pPr>
            <w:r>
              <w:rPr>
                <w:rFonts w:ascii="Courier New" w:cs="Courier New" w:eastAsia="Courier New" w:hAnsi="Courier New"/>
                <w:sz w:val="15"/>
                <w:szCs w:val="15"/>
                <w:color w:val="auto"/>
              </w:rPr>
              <w:t>Investing Activities</w:t>
            </w:r>
          </w:p>
        </w:tc>
        <w:tc>
          <w:tcPr>
            <w:tcW w:w="2420" w:type="dxa"/>
            <w:vAlign w:val="bottom"/>
          </w:tcPr>
          <w:p>
            <w:pPr>
              <w:jc w:val="right"/>
              <w:ind w:right="407"/>
              <w:spacing w:after="0" w:line="169" w:lineRule="exact"/>
              <w:rPr>
                <w:sz w:val="20"/>
                <w:szCs w:val="20"/>
                <w:color w:val="auto"/>
              </w:rPr>
            </w:pPr>
            <w:r>
              <w:rPr>
                <w:rFonts w:ascii="Courier New" w:cs="Courier New" w:eastAsia="Courier New" w:hAnsi="Courier New"/>
                <w:sz w:val="15"/>
                <w:szCs w:val="15"/>
                <w:color w:val="auto"/>
              </w:rPr>
              <w:t>468,656</w:t>
            </w:r>
          </w:p>
        </w:tc>
        <w:tc>
          <w:tcPr>
            <w:tcW w:w="1780" w:type="dxa"/>
            <w:vAlign w:val="bottom"/>
          </w:tcPr>
          <w:p>
            <w:pPr>
              <w:jc w:val="right"/>
              <w:ind w:right="447"/>
              <w:spacing w:after="0" w:line="169" w:lineRule="exact"/>
              <w:rPr>
                <w:sz w:val="20"/>
                <w:szCs w:val="20"/>
                <w:color w:val="auto"/>
              </w:rPr>
            </w:pPr>
            <w:r>
              <w:rPr>
                <w:rFonts w:ascii="Courier New" w:cs="Courier New" w:eastAsia="Courier New" w:hAnsi="Courier New"/>
                <w:sz w:val="15"/>
                <w:szCs w:val="15"/>
                <w:color w:val="auto"/>
              </w:rPr>
              <w:t>(319,676)</w:t>
            </w:r>
          </w:p>
        </w:tc>
        <w:tc>
          <w:tcPr>
            <w:tcW w:w="122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(75,554)</w:t>
            </w:r>
          </w:p>
        </w:tc>
      </w:tr>
    </w:tbl>
    <w:p>
      <w:pPr>
        <w:spacing w:after="0" w:line="5" w:lineRule="exact"/>
        <w:rPr>
          <w:sz w:val="20"/>
          <w:szCs w:val="20"/>
          <w:color w:val="auto"/>
        </w:rPr>
      </w:pPr>
    </w:p>
    <w:p>
      <w:pPr>
        <w:ind w:left="180" w:hanging="170"/>
        <w:spacing w:after="0"/>
        <w:tabs>
          <w:tab w:leader="none" w:pos="180"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Financing Activities</w:t>
      </w: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Net Proceeds (Repayments) of</w:t>
      </w:r>
    </w:p>
    <w:tbl>
      <w:tblPr>
        <w:tblLayout w:type="fixed"/>
        <w:tblInd w:w="0" w:type="dxa"/>
        <w:tblCellMar>
          <w:top w:w="0" w:type="dxa"/>
          <w:left w:w="0" w:type="dxa"/>
          <w:bottom w:w="0" w:type="dxa"/>
          <w:right w:w="0" w:type="dxa"/>
        </w:tblCellMar>
      </w:tblPr>
      <w:tr>
        <w:trPr>
          <w:trHeight w:val="169"/>
        </w:trPr>
        <w:tc>
          <w:tcPr>
            <w:tcW w:w="4040" w:type="dxa"/>
            <w:vAlign w:val="bottom"/>
          </w:tcPr>
          <w:p>
            <w:pPr>
              <w:ind w:left="180"/>
              <w:spacing w:after="0" w:line="169" w:lineRule="exact"/>
              <w:rPr>
                <w:sz w:val="20"/>
                <w:szCs w:val="20"/>
                <w:color w:val="auto"/>
              </w:rPr>
            </w:pPr>
            <w:r>
              <w:rPr>
                <w:rFonts w:ascii="Courier New" w:cs="Courier New" w:eastAsia="Courier New" w:hAnsi="Courier New"/>
                <w:sz w:val="15"/>
                <w:szCs w:val="15"/>
                <w:color w:val="auto"/>
              </w:rPr>
              <w:t>Commercial Paper Borrowings</w:t>
            </w:r>
          </w:p>
        </w:tc>
        <w:tc>
          <w:tcPr>
            <w:tcW w:w="16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Certificates of Deposit</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(25,200)</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9,500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(25,939)</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from Short-Term Borrowings</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250,000</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Repayment of Short-Term Borrowings</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(250,000)</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Proceeds from Issuance and</w:t>
            </w:r>
          </w:p>
        </w:tc>
        <w:tc>
          <w:tcPr>
            <w:tcW w:w="16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Sale of Subsidiaries' Stock</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788,589</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Repayments of Long-Term Debt</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(100,000)</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from Issuance of Unsecured Notes</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250,000</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Dividends Paid</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(143,091)</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(128,939)</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(130,681)</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Purchase of Treasury Stock</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(55,239)</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(11,382)</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(93,328)</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 Options and Other</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12,504</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11,641</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6,686</w:t>
            </w:r>
          </w:p>
        </w:tc>
      </w:tr>
    </w:tbl>
    <w:p>
      <w:pPr>
        <w:spacing w:after="0" w:line="5" w:lineRule="exact"/>
        <w:rPr>
          <w:sz w:val="20"/>
          <w:szCs w:val="20"/>
          <w:color w:val="auto"/>
        </w:rPr>
      </w:pPr>
    </w:p>
    <w:p>
      <w:pPr>
        <w:ind w:left="180" w:hanging="170"/>
        <w:spacing w:after="0"/>
        <w:tabs>
          <w:tab w:leader="none" w:pos="18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Net Cash Provided by (Used for)</w:t>
      </w:r>
    </w:p>
    <w:tbl>
      <w:tblPr>
        <w:tblLayout w:type="fixed"/>
        <w:tblInd w:w="0" w:type="dxa"/>
        <w:tblCellMar>
          <w:top w:w="0" w:type="dxa"/>
          <w:left w:w="0" w:type="dxa"/>
          <w:bottom w:w="0" w:type="dxa"/>
          <w:right w:w="0" w:type="dxa"/>
        </w:tblCellMar>
      </w:tblPr>
      <w:tr>
        <w:trPr>
          <w:trHeight w:val="169"/>
        </w:trPr>
        <w:tc>
          <w:tcPr>
            <w:tcW w:w="3160" w:type="dxa"/>
            <w:vAlign w:val="bottom"/>
          </w:tcPr>
          <w:p>
            <w:pPr>
              <w:spacing w:after="0" w:line="169" w:lineRule="exact"/>
              <w:rPr>
                <w:sz w:val="20"/>
                <w:szCs w:val="20"/>
                <w:color w:val="auto"/>
              </w:rPr>
            </w:pPr>
            <w:r>
              <w:rPr>
                <w:rFonts w:ascii="Courier New" w:cs="Courier New" w:eastAsia="Courier New" w:hAnsi="Courier New"/>
                <w:sz w:val="15"/>
                <w:szCs w:val="15"/>
                <w:color w:val="auto"/>
              </w:rPr>
              <w:t>Financing Activities</w:t>
            </w:r>
          </w:p>
        </w:tc>
        <w:tc>
          <w:tcPr>
            <w:tcW w:w="2500" w:type="dxa"/>
            <w:vAlign w:val="bottom"/>
          </w:tcPr>
          <w:p>
            <w:pPr>
              <w:jc w:val="right"/>
              <w:ind w:right="407"/>
              <w:spacing w:after="0" w:line="169" w:lineRule="exact"/>
              <w:rPr>
                <w:sz w:val="20"/>
                <w:szCs w:val="20"/>
                <w:color w:val="auto"/>
              </w:rPr>
            </w:pPr>
            <w:r>
              <w:rPr>
                <w:rFonts w:ascii="Courier New" w:cs="Courier New" w:eastAsia="Courier New" w:hAnsi="Courier New"/>
                <w:sz w:val="15"/>
                <w:szCs w:val="15"/>
                <w:color w:val="auto"/>
              </w:rPr>
              <w:t>577,563</w:t>
            </w:r>
          </w:p>
        </w:tc>
        <w:tc>
          <w:tcPr>
            <w:tcW w:w="1780" w:type="dxa"/>
            <w:vAlign w:val="bottom"/>
          </w:tcPr>
          <w:p>
            <w:pPr>
              <w:jc w:val="right"/>
              <w:ind w:right="447"/>
              <w:spacing w:after="0" w:line="169" w:lineRule="exact"/>
              <w:rPr>
                <w:sz w:val="20"/>
                <w:szCs w:val="20"/>
                <w:color w:val="auto"/>
              </w:rPr>
            </w:pPr>
            <w:r>
              <w:rPr>
                <w:rFonts w:ascii="Courier New" w:cs="Courier New" w:eastAsia="Courier New" w:hAnsi="Courier New"/>
                <w:sz w:val="15"/>
                <w:szCs w:val="15"/>
                <w:color w:val="auto"/>
              </w:rPr>
              <w:t>(119,180)</w:t>
            </w:r>
          </w:p>
        </w:tc>
        <w:tc>
          <w:tcPr>
            <w:tcW w:w="122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(93,262)</w:t>
            </w:r>
          </w:p>
        </w:tc>
      </w:tr>
    </w:tbl>
    <w:p>
      <w:pPr>
        <w:spacing w:after="0" w:line="5" w:lineRule="exact"/>
        <w:rPr>
          <w:sz w:val="20"/>
          <w:szCs w:val="20"/>
          <w:color w:val="auto"/>
        </w:rPr>
      </w:pPr>
    </w:p>
    <w:p>
      <w:pPr>
        <w:ind w:left="180" w:hanging="170"/>
        <w:spacing w:after="0"/>
        <w:tabs>
          <w:tab w:leader="none" w:pos="180"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Net Increase (Decrease) in</w:t>
      </w:r>
    </w:p>
    <w:tbl>
      <w:tblPr>
        <w:tblLayout w:type="fixed"/>
        <w:tblInd w:w="0" w:type="dxa"/>
        <w:tblCellMar>
          <w:top w:w="0" w:type="dxa"/>
          <w:left w:w="0" w:type="dxa"/>
          <w:bottom w:w="0" w:type="dxa"/>
          <w:right w:w="0" w:type="dxa"/>
        </w:tblCellMar>
      </w:tblPr>
      <w:tr>
        <w:trPr>
          <w:trHeight w:val="169"/>
        </w:trPr>
        <w:tc>
          <w:tcPr>
            <w:tcW w:w="400" w:type="dxa"/>
            <w:vAlign w:val="bottom"/>
          </w:tcPr>
          <w:p>
            <w:pPr>
              <w:spacing w:after="0" w:line="169" w:lineRule="exact"/>
              <w:rPr>
                <w:sz w:val="20"/>
                <w:szCs w:val="20"/>
                <w:color w:val="auto"/>
              </w:rPr>
            </w:pPr>
            <w:r>
              <w:rPr>
                <w:rFonts w:ascii="Courier New" w:cs="Courier New" w:eastAsia="Courier New" w:hAnsi="Courier New"/>
                <w:sz w:val="15"/>
                <w:szCs w:val="15"/>
                <w:color w:val="auto"/>
              </w:rPr>
              <w:t>Cash</w:t>
            </w:r>
          </w:p>
        </w:tc>
        <w:tc>
          <w:tcPr>
            <w:tcW w:w="360" w:type="dxa"/>
            <w:vAlign w:val="bottom"/>
          </w:tcPr>
          <w:p>
            <w:pPr>
              <w:ind w:left="40"/>
              <w:spacing w:after="0" w:line="169" w:lineRule="exact"/>
              <w:rPr>
                <w:sz w:val="20"/>
                <w:szCs w:val="20"/>
                <w:color w:val="auto"/>
              </w:rPr>
            </w:pPr>
            <w:r>
              <w:rPr>
                <w:rFonts w:ascii="Courier New" w:cs="Courier New" w:eastAsia="Courier New" w:hAnsi="Courier New"/>
                <w:sz w:val="15"/>
                <w:szCs w:val="15"/>
                <w:color w:val="auto"/>
              </w:rPr>
              <w:t>and</w:t>
            </w:r>
          </w:p>
        </w:tc>
        <w:tc>
          <w:tcPr>
            <w:tcW w:w="3140" w:type="dxa"/>
            <w:vAlign w:val="bottom"/>
          </w:tcPr>
          <w:p>
            <w:pPr>
              <w:ind w:left="40"/>
              <w:spacing w:after="0" w:line="169" w:lineRule="exact"/>
              <w:rPr>
                <w:sz w:val="20"/>
                <w:szCs w:val="20"/>
                <w:color w:val="auto"/>
              </w:rPr>
            </w:pPr>
            <w:r>
              <w:rPr>
                <w:rFonts w:ascii="Courier New" w:cs="Courier New" w:eastAsia="Courier New" w:hAnsi="Courier New"/>
                <w:sz w:val="15"/>
                <w:szCs w:val="15"/>
                <w:color w:val="auto"/>
              </w:rPr>
              <w:t>Equivalents</w:t>
            </w:r>
          </w:p>
        </w:tc>
        <w:tc>
          <w:tcPr>
            <w:tcW w:w="1800" w:type="dxa"/>
            <w:vAlign w:val="bottom"/>
          </w:tcPr>
          <w:p>
            <w:pPr>
              <w:jc w:val="right"/>
              <w:ind w:right="447"/>
              <w:spacing w:after="0" w:line="169" w:lineRule="exact"/>
              <w:rPr>
                <w:sz w:val="20"/>
                <w:szCs w:val="20"/>
                <w:color w:val="auto"/>
              </w:rPr>
            </w:pPr>
            <w:r>
              <w:rPr>
                <w:rFonts w:ascii="Courier New" w:cs="Courier New" w:eastAsia="Courier New" w:hAnsi="Courier New"/>
                <w:sz w:val="15"/>
                <w:szCs w:val="15"/>
                <w:color w:val="auto"/>
              </w:rPr>
              <w:t>1,402,951</w:t>
            </w:r>
          </w:p>
        </w:tc>
        <w:tc>
          <w:tcPr>
            <w:tcW w:w="1740" w:type="dxa"/>
            <w:vAlign w:val="bottom"/>
          </w:tcPr>
          <w:p>
            <w:pPr>
              <w:ind w:left="520"/>
              <w:spacing w:after="0" w:line="169" w:lineRule="exact"/>
              <w:rPr>
                <w:sz w:val="20"/>
                <w:szCs w:val="20"/>
                <w:color w:val="auto"/>
              </w:rPr>
            </w:pPr>
            <w:r>
              <w:rPr>
                <w:rFonts w:ascii="Courier New" w:cs="Courier New" w:eastAsia="Courier New" w:hAnsi="Courier New"/>
                <w:sz w:val="15"/>
                <w:szCs w:val="15"/>
                <w:color w:val="auto"/>
              </w:rPr>
              <w:t>(77,778)</w:t>
            </w:r>
          </w:p>
        </w:tc>
        <w:tc>
          <w:tcPr>
            <w:tcW w:w="114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279,323</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Cash</w:t>
            </w:r>
          </w:p>
        </w:tc>
        <w:tc>
          <w:tcPr>
            <w:tcW w:w="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w:t>
            </w:r>
          </w:p>
        </w:tc>
        <w:tc>
          <w:tcPr>
            <w:tcW w:w="3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Equivalents, Beginning of Year</w:t>
            </w:r>
          </w:p>
        </w:tc>
        <w:tc>
          <w:tcPr>
            <w:tcW w:w="18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242,780</w:t>
            </w:r>
          </w:p>
        </w:tc>
        <w:tc>
          <w:tcPr>
            <w:tcW w:w="17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320,558</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41,235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Cash and Equivalents, End of Year</w:t>
            </w:r>
          </w:p>
        </w:tc>
        <w:tc>
          <w:tcPr>
            <w:tcW w:w="200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$1,645,731</w:t>
            </w:r>
          </w:p>
        </w:tc>
        <w:tc>
          <w:tcPr>
            <w:tcW w:w="1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$ 242,780</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$ 320,558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6"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The accompanying Notes are an integral part of these Consolidated Financial Statements.</w:t>
      </w:r>
    </w:p>
    <w:p>
      <w:pPr>
        <w:spacing w:after="0" w:line="335" w:lineRule="exact"/>
        <w:rPr>
          <w:sz w:val="20"/>
          <w:szCs w:val="20"/>
          <w:color w:val="auto"/>
        </w:rPr>
      </w:pPr>
    </w:p>
    <w:p>
      <w:pPr>
        <w:ind w:left="5260"/>
        <w:spacing w:after="0"/>
        <w:rPr>
          <w:sz w:val="20"/>
          <w:szCs w:val="20"/>
          <w:color w:val="auto"/>
        </w:rPr>
      </w:pPr>
      <w:r>
        <w:rPr>
          <w:rFonts w:ascii="Courier New" w:cs="Courier New" w:eastAsia="Courier New" w:hAnsi="Courier New"/>
          <w:sz w:val="15"/>
          <w:szCs w:val="15"/>
          <w:color w:val="auto"/>
        </w:rPr>
        <w:t>The Limited, Inc. 53</w:t>
      </w:r>
    </w:p>
    <w:p>
      <w:pPr>
        <w:sectPr>
          <w:pgSz w:w="11900" w:h="16838" w:orient="portrait"/>
          <w:cols w:equalWidth="0" w:num="1">
            <w:col w:w="10239"/>
          </w:cols>
          <w:pgMar w:left="220" w:top="449" w:right="1440" w:bottom="1440" w:gutter="0" w:footer="0" w:header="0"/>
        </w:sectPr>
      </w:pPr>
    </w:p>
    <w:bookmarkStart w:id="143" w:name="page144"/>
    <w:bookmarkEnd w:id="143"/>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Summary of Significant Accounting Policies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Principles of Consolidation</w:t>
      </w:r>
    </w:p>
    <w:p>
      <w:pPr>
        <w:spacing w:after="0" w:line="5" w:lineRule="exact"/>
        <w:rPr>
          <w:sz w:val="20"/>
          <w:szCs w:val="20"/>
          <w:color w:val="auto"/>
        </w:rPr>
      </w:pPr>
    </w:p>
    <w:p>
      <w:pPr>
        <w:ind w:left="180" w:hanging="170"/>
        <w:spacing w:after="0"/>
        <w:tabs>
          <w:tab w:leader="none" w:pos="18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right="323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consolidated financial statements include the accounts of The Limited, Inc. (the "Company") and all significant subsidiaries which are more than 50% owned and controlled. All significant intercompany balances and transactions have been eliminated in consolidation.</w:t>
      </w:r>
    </w:p>
    <w:p>
      <w:pPr>
        <w:spacing w:after="0" w:line="175" w:lineRule="exact"/>
        <w:rPr>
          <w:sz w:val="20"/>
          <w:szCs w:val="20"/>
          <w:color w:val="auto"/>
        </w:rPr>
      </w:pPr>
    </w:p>
    <w:p>
      <w:pPr>
        <w:ind w:right="3319" w:firstLine="262"/>
        <w:spacing w:after="0" w:line="234" w:lineRule="auto"/>
        <w:rPr>
          <w:sz w:val="20"/>
          <w:szCs w:val="20"/>
          <w:color w:val="auto"/>
        </w:rPr>
      </w:pPr>
      <w:r>
        <w:rPr>
          <w:rFonts w:ascii="Courier New" w:cs="Courier New" w:eastAsia="Courier New" w:hAnsi="Courier New"/>
          <w:sz w:val="15"/>
          <w:szCs w:val="15"/>
          <w:color w:val="auto"/>
        </w:rPr>
        <w:t>Investments in other entities (including joint ventures) which are more than 20% owned are accounted for on the equity method.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Year</w:t>
      </w:r>
    </w:p>
    <w:p>
      <w:pPr>
        <w:spacing w:after="0" w:line="5" w:lineRule="exact"/>
        <w:rPr>
          <w:sz w:val="20"/>
          <w:szCs w:val="20"/>
          <w:color w:val="auto"/>
        </w:rPr>
      </w:pPr>
    </w:p>
    <w:p>
      <w:pPr>
        <w:ind w:left="180" w:hanging="170"/>
        <w:spacing w:after="0"/>
        <w:tabs>
          <w:tab w:leader="none" w:pos="180"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right="3319"/>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fiscal year ends on the Saturday closest to January 31. Fiscal years are designated in the financial statements and notes by the calendar year in which the fiscal year commences. The results for fiscal year 1995 represent the 53-week period ended February 3, 1996 and results for fiscal years 1994 and 1993 represent the 52-week periods ended January 28, 1995 and January 29, 1994.</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Equivalents</w:t>
      </w:r>
    </w:p>
    <w:p>
      <w:pPr>
        <w:spacing w:after="0" w:line="5" w:lineRule="exact"/>
        <w:rPr>
          <w:sz w:val="20"/>
          <w:szCs w:val="20"/>
          <w:color w:val="auto"/>
        </w:rPr>
      </w:pPr>
    </w:p>
    <w:p>
      <w:pPr>
        <w:ind w:left="180" w:hanging="170"/>
        <w:spacing w:after="0"/>
        <w:tabs>
          <w:tab w:leader="none" w:pos="18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right="331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Cash and equivalents include amounts on deposit with financial institutions and money market investments with maturities of less than 90 days.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w:t>
      </w:r>
    </w:p>
    <w:p>
      <w:pPr>
        <w:spacing w:after="0" w:line="5" w:lineRule="exact"/>
        <w:rPr>
          <w:sz w:val="20"/>
          <w:szCs w:val="20"/>
          <w:color w:val="auto"/>
        </w:rPr>
      </w:pPr>
    </w:p>
    <w:p>
      <w:pPr>
        <w:ind w:left="180" w:hanging="170"/>
        <w:spacing w:after="0"/>
        <w:tabs>
          <w:tab w:leader="none" w:pos="18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right="331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Inventories are principally valued at the lower of average cost or market, on a first-in first-out basis, utilizing the retail method.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w:t>
      </w:r>
    </w:p>
    <w:p>
      <w:pPr>
        <w:spacing w:after="0" w:line="5" w:lineRule="exact"/>
        <w:rPr>
          <w:sz w:val="20"/>
          <w:szCs w:val="20"/>
          <w:color w:val="auto"/>
        </w:rPr>
      </w:pPr>
    </w:p>
    <w:p>
      <w:pPr>
        <w:ind w:left="180" w:hanging="170"/>
        <w:spacing w:after="0"/>
        <w:tabs>
          <w:tab w:leader="none" w:pos="18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right="323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Depreciation and amortization of property and equipment are computed for financial reporting purposes on a straight-line basis, using service lives ranging principally from 10-30 year for buildings and improvements and 3-10 years for other property and equipment. The cost of assets sold or retired and the related accumulated depreciation or amortization are removed from the accounts with any resulting gain or loss included in net income. Maintenance and repairs are charge to expenses as incurred. Major levels and betterments which extend service lives are capitalized.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Goodwill Amortization</w:t>
      </w:r>
    </w:p>
    <w:p>
      <w:pPr>
        <w:spacing w:after="0" w:line="5" w:lineRule="exact"/>
        <w:rPr>
          <w:sz w:val="20"/>
          <w:szCs w:val="20"/>
          <w:color w:val="auto"/>
        </w:rPr>
      </w:pPr>
    </w:p>
    <w:p>
      <w:pPr>
        <w:ind w:left="180" w:hanging="170"/>
        <w:spacing w:after="0"/>
        <w:tabs>
          <w:tab w:leader="none" w:pos="180"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right="331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Goodwill represents the excess of the purchase price over the fair value of the net assets of acquired companies and is amortized on a straight-line basis principally over 30 years.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Catalogue Costs and Advertising</w:t>
      </w:r>
    </w:p>
    <w:p>
      <w:pPr>
        <w:spacing w:after="0" w:line="5" w:lineRule="exact"/>
        <w:rPr>
          <w:sz w:val="20"/>
          <w:szCs w:val="20"/>
          <w:color w:val="auto"/>
        </w:rPr>
      </w:pPr>
    </w:p>
    <w:p>
      <w:pPr>
        <w:ind w:left="180" w:hanging="170"/>
        <w:spacing w:after="0"/>
        <w:tabs>
          <w:tab w:leader="none" w:pos="18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right="323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Catalogue costs, primarily consisting of catalogue production and mailing costs, are amortized over the expected future revenue stream, which is principally from three to six months from the date catalogues are mailed. All other advertising costs are expensed at the time the promotion first appears in media or in the store. Catalogue and advertising costs amounted to $237 million, $179 million and $131 million in 1995, 1994 and 1993.</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Rate Swap Agreements</w:t>
      </w:r>
    </w:p>
    <w:p>
      <w:pPr>
        <w:spacing w:after="0" w:line="5" w:lineRule="exact"/>
        <w:rPr>
          <w:sz w:val="20"/>
          <w:szCs w:val="20"/>
          <w:color w:val="auto"/>
        </w:rPr>
      </w:pPr>
    </w:p>
    <w:p>
      <w:pPr>
        <w:ind w:left="180" w:hanging="170"/>
        <w:spacing w:after="0"/>
        <w:tabs>
          <w:tab w:leader="none" w:pos="18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right="3399"/>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difference between the amount of interest to be paid and the amount of interest to be received under interest rate swap agreements due to changing interest rates is charged or credited to interest expense over the life of the swap agreement. Gains and losses from the disposition of swap agreements are deferred and amortized over the term of the related agreements.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5" w:lineRule="exact"/>
        <w:rPr>
          <w:sz w:val="20"/>
          <w:szCs w:val="20"/>
          <w:color w:val="auto"/>
        </w:rPr>
      </w:pPr>
    </w:p>
    <w:p>
      <w:pPr>
        <w:ind w:left="180" w:hanging="170"/>
        <w:spacing w:after="0"/>
        <w:tabs>
          <w:tab w:leader="none" w:pos="18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right="323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Company accounts for income taxes in accordance with Statement of Financial Accounting Standards ("SFAS") 109. "Accounting for Income Taxes." Under this method, deferred tax assets and liabilities are recognized based on the difference between the financial statement carrying amounts of existing assets and liabilities and their respective tax bases. Deferred tax assets and liabilities are measured using enacted tax rates in effect in the years in which those temporary differences are expected to reverse. Under SFAS 109, the effect on deferred taxes of a change in tax rates is recognized in income in the period that includes the enactment date.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Shareholders' Equity</w:t>
      </w:r>
    </w:p>
    <w:p>
      <w:pPr>
        <w:spacing w:after="0" w:line="5" w:lineRule="exact"/>
        <w:rPr>
          <w:sz w:val="20"/>
          <w:szCs w:val="20"/>
          <w:color w:val="auto"/>
        </w:rPr>
      </w:pPr>
    </w:p>
    <w:p>
      <w:pPr>
        <w:ind w:left="180" w:hanging="170"/>
        <w:spacing w:after="0"/>
        <w:tabs>
          <w:tab w:leader="none" w:pos="18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right="331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Five hundred million shares of $.50 par value common stock are authorized, of which 355.4 million and 357.6 million were outstanding, net of 24.1 million shares and 21.8 million shares held in treasury at February 3, 1996 and January 28, 1995.</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54 The Limited, Inc.</w:t>
      </w:r>
    </w:p>
    <w:p>
      <w:pPr>
        <w:sectPr>
          <w:pgSz w:w="11900" w:h="16838" w:orient="portrait"/>
          <w:cols w:equalWidth="0" w:num="1">
            <w:col w:w="10239"/>
          </w:cols>
          <w:pgMar w:left="220" w:top="449" w:right="1440" w:bottom="1440" w:gutter="0" w:footer="0" w:header="0"/>
        </w:sectPr>
      </w:pPr>
    </w:p>
    <w:bookmarkStart w:id="144" w:name="page145"/>
    <w:bookmarkEnd w:id="144"/>
    <w:p>
      <w:pPr>
        <w:ind w:right="3499"/>
        <w:spacing w:after="0" w:line="234" w:lineRule="auto"/>
        <w:rPr>
          <w:sz w:val="20"/>
          <w:szCs w:val="20"/>
          <w:color w:val="auto"/>
        </w:rPr>
      </w:pPr>
      <w:r>
        <w:rPr>
          <w:rFonts w:ascii="Courier New" w:cs="Courier New" w:eastAsia="Courier New" w:hAnsi="Courier New"/>
          <w:sz w:val="15"/>
          <w:szCs w:val="15"/>
          <w:color w:val="auto"/>
        </w:rPr>
        <w:t>Ten million shares of $1.00 per value preferred stock are authorized, none of which have been issued.</w:t>
      </w:r>
    </w:p>
    <w:p>
      <w:pPr>
        <w:spacing w:after="0" w:line="173" w:lineRule="exact"/>
        <w:rPr>
          <w:sz w:val="20"/>
          <w:szCs w:val="20"/>
          <w:color w:val="auto"/>
        </w:rPr>
      </w:pPr>
    </w:p>
    <w:p>
      <w:pPr>
        <w:ind w:right="3239" w:firstLine="262"/>
        <w:spacing w:after="0" w:line="255" w:lineRule="auto"/>
        <w:rPr>
          <w:sz w:val="20"/>
          <w:szCs w:val="20"/>
          <w:color w:val="auto"/>
        </w:rPr>
      </w:pPr>
      <w:r>
        <w:rPr>
          <w:rFonts w:ascii="Courier New" w:cs="Courier New" w:eastAsia="Courier New" w:hAnsi="Courier New"/>
          <w:sz w:val="14"/>
          <w:szCs w:val="14"/>
          <w:color w:val="auto"/>
        </w:rPr>
        <w:t>On March 18, 1996, the Company completed the repurchase of 85 million shares of its common stock under a self-tender offer at $19.00 per share. Approximately $1.615 billion was paid in exchange for the outstanding shares which was funded by proceeds from a series of transactions that included 1) the initial public offering of a 16.9% interest in Intimate Brands, Inc. ("IBI"), 2) the securitization of World Financial Network National Bank ("WFNNB") credit card receivables and 3) the sale of a 60% equity interest in WFNNB.</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Income Per Share</w:t>
      </w:r>
    </w:p>
    <w:p>
      <w:pPr>
        <w:spacing w:after="0" w:line="5" w:lineRule="exact"/>
        <w:rPr>
          <w:sz w:val="20"/>
          <w:szCs w:val="20"/>
          <w:color w:val="auto"/>
        </w:rPr>
      </w:pPr>
    </w:p>
    <w:p>
      <w:pPr>
        <w:ind w:left="180" w:hanging="170"/>
        <w:spacing w:after="0"/>
        <w:tabs>
          <w:tab w:leader="none" w:pos="18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right="357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Net income per share is computed based upon the weighted average number of outstanding common shares, including the effect of stock options. There were 358.4 million, 358.6 million and 363.2 million weighted average outstanding shares for 1995, 1994 and 1993.</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Issuance of Subsidiary Stock</w:t>
      </w:r>
    </w:p>
    <w:p>
      <w:pPr>
        <w:spacing w:after="0" w:line="5" w:lineRule="exact"/>
        <w:rPr>
          <w:sz w:val="20"/>
          <w:szCs w:val="20"/>
          <w:color w:val="auto"/>
        </w:rPr>
      </w:pPr>
    </w:p>
    <w:p>
      <w:pPr>
        <w:ind w:left="180" w:hanging="170"/>
        <w:spacing w:after="0"/>
        <w:tabs>
          <w:tab w:leader="none" w:pos="18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right="323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Gains or losses resulting from stock issued by a subsidiary of the Company are recognized in current year's income. In 1995, the Company recognized a $649.5 million gain which resulted from the initial public offering of a 16.9% interest (42.7 million shares) in the outstanding shares of IBI. IBI consists of the Victoria's Secret Stores, Victoria's Secret Catalogue, Bath &amp; Body Works, Cacique, Penhaligon's and Gryphon businesses. The gain recorded by the Company was not subject to tax.</w:t>
      </w:r>
    </w:p>
    <w:p>
      <w:pPr>
        <w:spacing w:after="0" w:line="176" w:lineRule="exact"/>
        <w:rPr>
          <w:sz w:val="20"/>
          <w:szCs w:val="20"/>
          <w:color w:val="auto"/>
        </w:rPr>
      </w:pPr>
    </w:p>
    <w:p>
      <w:pPr>
        <w:ind w:right="3319" w:firstLine="262"/>
        <w:spacing w:after="0" w:line="235" w:lineRule="auto"/>
        <w:rPr>
          <w:sz w:val="20"/>
          <w:szCs w:val="20"/>
          <w:color w:val="auto"/>
        </w:rPr>
      </w:pPr>
      <w:r>
        <w:rPr>
          <w:rFonts w:ascii="Courier New" w:cs="Courier New" w:eastAsia="Courier New" w:hAnsi="Courier New"/>
          <w:sz w:val="15"/>
          <w:szCs w:val="15"/>
          <w:color w:val="auto"/>
        </w:rPr>
        <w:t>Minority interest of $45.7 million at February 3, 1996 represents a 16.9% interest in the net equity of IBI. A more detailed discussion of this matter is included under the heading "Gain on Sale of Subsidiary Stock" in Management's Discussion and Analysis on page 46 of this Annual Report.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Adoption of New Accounting Standards</w:t>
      </w:r>
    </w:p>
    <w:p>
      <w:pPr>
        <w:spacing w:after="0" w:line="5" w:lineRule="exact"/>
        <w:rPr>
          <w:sz w:val="20"/>
          <w:szCs w:val="20"/>
          <w:color w:val="auto"/>
        </w:rPr>
      </w:pPr>
    </w:p>
    <w:p>
      <w:pPr>
        <w:ind w:left="180" w:hanging="170"/>
        <w:spacing w:after="0"/>
        <w:tabs>
          <w:tab w:leader="none" w:pos="18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right="323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During March 1995, the Financial Accounting Standards Board issued SFAS No. 121, "Accounting for the Impairment of Long-Lived Assets and Long-Lived Assets to Be Disposed Of ." The Statement requires that long-lived assets and certain identifiable intangibles be reviewed for impairment whenever events or changes in circumstances indicate that full recoverability is questionable. Management evaluates the recoverability of goodwill and other long-lived assets and several factors are used in the valuation including, but not limited to, management's plans for future operations, recent operating results and projected cash flows. The Company adopted SFAS No. 121 in the first quarter of 1995, the adoption of which did not have a material adverse effect on the results of operations or financial condition.</w:t>
      </w:r>
    </w:p>
    <w:p>
      <w:pPr>
        <w:spacing w:after="0" w:line="180" w:lineRule="exact"/>
        <w:rPr>
          <w:sz w:val="20"/>
          <w:szCs w:val="20"/>
          <w:color w:val="auto"/>
        </w:rPr>
      </w:pPr>
    </w:p>
    <w:p>
      <w:pPr>
        <w:ind w:right="3239" w:firstLine="262"/>
        <w:spacing w:after="0" w:line="235" w:lineRule="auto"/>
        <w:rPr>
          <w:sz w:val="20"/>
          <w:szCs w:val="20"/>
          <w:color w:val="auto"/>
        </w:rPr>
      </w:pPr>
      <w:r>
        <w:rPr>
          <w:rFonts w:ascii="Courier New" w:cs="Courier New" w:eastAsia="Courier New" w:hAnsi="Courier New"/>
          <w:sz w:val="15"/>
          <w:szCs w:val="15"/>
          <w:color w:val="auto"/>
        </w:rPr>
        <w:t>In October 1995, the Financial Accounting Standard Board issued SFAS No. 123, "Accounting for Stock-Based Compensation." The Company will adopt the new disclosure requirements beginning with fiscal year 1996.</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 in the Preparation of Financial Statements</w:t>
      </w:r>
    </w:p>
    <w:p>
      <w:pPr>
        <w:spacing w:after="0" w:line="5" w:lineRule="exact"/>
        <w:rPr>
          <w:sz w:val="20"/>
          <w:szCs w:val="20"/>
          <w:color w:val="auto"/>
        </w:rPr>
      </w:pPr>
    </w:p>
    <w:p>
      <w:pPr>
        <w:ind w:left="180" w:hanging="170"/>
        <w:spacing w:after="0"/>
        <w:tabs>
          <w:tab w:leader="none" w:pos="180"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right="323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Since actual results may differ from those estimates, the Company revises its estimates and assumptions as new information becomes available.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Special and Nonrecurring Items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the fourth quarter of 1995, the Company completed the sale of a 60% interest in its wholly-owned credit card bank, WFNNB, to the New York investment firm of Welsh, Carson, Anderson &amp; Stowe ("WCAS"). The transaction resulted in the formation of a joint venture which will focus on providing private-label and bank card transaction processing and database management services to retailers. Including the Company's private-label credit card operations. WCAS purchased its interest from the Company for $135 million and also made a $30 million capital contribution to the new venture. As a result of these transactions, the Company recognized a $73.2 million pre-tax gain from the sale of WFNNB.</w:t>
      </w:r>
    </w:p>
    <w:p>
      <w:pPr>
        <w:spacing w:after="0" w:line="165" w:lineRule="exact"/>
        <w:rPr>
          <w:sz w:val="20"/>
          <w:szCs w:val="20"/>
          <w:color w:val="auto"/>
        </w:rPr>
      </w:pPr>
    </w:p>
    <w:p>
      <w:pPr>
        <w:ind w:right="3319" w:firstLine="262"/>
        <w:spacing w:after="0" w:line="236" w:lineRule="auto"/>
        <w:rPr>
          <w:sz w:val="20"/>
          <w:szCs w:val="20"/>
          <w:color w:val="auto"/>
        </w:rPr>
      </w:pPr>
      <w:r>
        <w:rPr>
          <w:rFonts w:ascii="Courier New" w:cs="Courier New" w:eastAsia="Courier New" w:hAnsi="Courier New"/>
          <w:sz w:val="15"/>
          <w:szCs w:val="15"/>
          <w:color w:val="auto"/>
        </w:rPr>
        <w:t>During the fourth quarter of 1995, the Company elected to use $45.6 million of the proceeds to provide for the accelerated closing and downsizing of stores in 1996, primarily at Limited Stores and Lerner divisions, and provided approximately $26.3 million for the write-down to net realizable value of certain assets, including joint venture and other investments and receivables arising from non-operating activities. The sale of a 60% equity interest in WFNNB, together with the aforementioned real estate charges and the revaluation of certain assets resulted in a special and nonrecurring net pre-tax gain of $1.3 million.</w:t>
      </w:r>
    </w:p>
    <w:p>
      <w:pPr>
        <w:spacing w:after="0" w:line="340" w:lineRule="exact"/>
        <w:rPr>
          <w:sz w:val="20"/>
          <w:szCs w:val="20"/>
          <w:color w:val="auto"/>
        </w:rPr>
      </w:pPr>
    </w:p>
    <w:p>
      <w:pPr>
        <w:ind w:left="5260"/>
        <w:spacing w:after="0"/>
        <w:rPr>
          <w:sz w:val="20"/>
          <w:szCs w:val="20"/>
          <w:color w:val="auto"/>
        </w:rPr>
      </w:pPr>
      <w:r>
        <w:rPr>
          <w:rFonts w:ascii="Courier New" w:cs="Courier New" w:eastAsia="Courier New" w:hAnsi="Courier New"/>
          <w:sz w:val="15"/>
          <w:szCs w:val="15"/>
          <w:color w:val="auto"/>
        </w:rPr>
        <w:t>The Limited, Inc. 55</w:t>
      </w:r>
    </w:p>
    <w:p>
      <w:pPr>
        <w:sectPr>
          <w:pgSz w:w="11900" w:h="16838" w:orient="portrait"/>
          <w:cols w:equalWidth="0" w:num="1">
            <w:col w:w="10239"/>
          </w:cols>
          <w:pgMar w:left="220" w:top="455" w:right="1440" w:bottom="1440" w:gutter="0" w:footer="0" w:header="0"/>
        </w:sectPr>
      </w:pPr>
    </w:p>
    <w:bookmarkStart w:id="145" w:name="page146"/>
    <w:bookmarkEnd w:id="145"/>
    <w:p>
      <w:pPr>
        <w:ind w:left="180"/>
        <w:spacing w:after="0"/>
        <w:rPr>
          <w:sz w:val="20"/>
          <w:szCs w:val="20"/>
          <w:color w:val="auto"/>
        </w:rPr>
      </w:pPr>
      <w:r>
        <w:rPr>
          <w:rFonts w:ascii="Courier New" w:cs="Courier New" w:eastAsia="Courier New" w:hAnsi="Courier New"/>
          <w:sz w:val="15"/>
          <w:szCs w:val="15"/>
          <w:color w:val="auto"/>
        </w:rPr>
        <w:t>The total assets, net assets and net income of WFNNB in 1995 and 1994 were</w:t>
      </w:r>
    </w:p>
    <w:p>
      <w:pPr>
        <w:spacing w:after="0" w:line="237" w:lineRule="auto"/>
        <w:rPr>
          <w:sz w:val="20"/>
          <w:szCs w:val="20"/>
          <w:color w:val="auto"/>
        </w:rPr>
      </w:pPr>
      <w:r>
        <w:rPr>
          <w:rFonts w:ascii="Courier New" w:cs="Courier New" w:eastAsia="Courier New" w:hAnsi="Courier New"/>
          <w:sz w:val="15"/>
          <w:szCs w:val="15"/>
          <w:color w:val="auto"/>
        </w:rPr>
        <w:t>$201 million and $1,255 million, $141 million and $96 million, and $29 million</w:t>
      </w:r>
    </w:p>
    <w:p>
      <w:pPr>
        <w:spacing w:after="0" w:line="238" w:lineRule="auto"/>
        <w:rPr>
          <w:sz w:val="20"/>
          <w:szCs w:val="20"/>
          <w:color w:val="auto"/>
        </w:rPr>
      </w:pPr>
      <w:r>
        <w:rPr>
          <w:rFonts w:ascii="Courier New" w:cs="Courier New" w:eastAsia="Courier New" w:hAnsi="Courier New"/>
          <w:sz w:val="15"/>
          <w:szCs w:val="15"/>
          <w:color w:val="auto"/>
        </w:rPr>
        <w:t>and $34 million, respectively.</w:t>
      </w:r>
    </w:p>
    <w:p>
      <w:pPr>
        <w:spacing w:after="0" w:line="173" w:lineRule="exact"/>
        <w:rPr>
          <w:sz w:val="20"/>
          <w:szCs w:val="20"/>
          <w:color w:val="auto"/>
        </w:rPr>
      </w:pPr>
    </w:p>
    <w:p>
      <w:pPr>
        <w:ind w:right="3319" w:firstLine="262"/>
        <w:spacing w:after="0" w:line="236" w:lineRule="auto"/>
        <w:rPr>
          <w:sz w:val="20"/>
          <w:szCs w:val="20"/>
          <w:color w:val="auto"/>
        </w:rPr>
      </w:pPr>
      <w:r>
        <w:rPr>
          <w:rFonts w:ascii="Courier New" w:cs="Courier New" w:eastAsia="Courier New" w:hAnsi="Courier New"/>
          <w:sz w:val="15"/>
          <w:szCs w:val="15"/>
          <w:color w:val="auto"/>
        </w:rPr>
        <w:t>During the third quarter of 1993, the Company approved a plan which included the following components: the sale of a 60% interest in the Brylane mail order business; the acceleration of the store remodeling, downsizing and closing program at Limited Stores and Lerner divisions; and the refocusing of the merchandise strategy at the Henri Bendel division. The net pre-tax gain from these special and nonrecurring items was $2.6 million. The Company completed this program in 1995.</w:t>
      </w:r>
    </w:p>
    <w:p>
      <w:pPr>
        <w:spacing w:after="0" w:line="176" w:lineRule="exact"/>
        <w:rPr>
          <w:sz w:val="20"/>
          <w:szCs w:val="20"/>
          <w:color w:val="auto"/>
        </w:rPr>
      </w:pPr>
    </w:p>
    <w:p>
      <w:pPr>
        <w:ind w:right="3319" w:firstLine="262"/>
        <w:spacing w:after="0" w:line="235" w:lineRule="auto"/>
        <w:rPr>
          <w:sz w:val="20"/>
          <w:szCs w:val="20"/>
          <w:color w:val="auto"/>
        </w:rPr>
      </w:pPr>
      <w:r>
        <w:rPr>
          <w:rFonts w:ascii="Courier New" w:cs="Courier New" w:eastAsia="Courier New" w:hAnsi="Courier New"/>
          <w:sz w:val="15"/>
          <w:szCs w:val="15"/>
          <w:color w:val="auto"/>
        </w:rPr>
        <w:t>A further discussion of these matters is included under the heading "Special and Nonrecurring Items" in Management's Discussion and Analysis on page 45 of this Annual Report.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Accounts Receivable</w:t>
      </w:r>
    </w:p>
    <w:p>
      <w:pPr>
        <w:spacing w:after="0" w:line="237" w:lineRule="auto"/>
        <w:rPr>
          <w:sz w:val="20"/>
          <w:szCs w:val="20"/>
          <w:color w:val="auto"/>
        </w:rPr>
      </w:pPr>
      <w:r>
        <w:rPr>
          <w:rFonts w:ascii="Courier New" w:cs="Courier New" w:eastAsia="Courier New" w:hAnsi="Courier New"/>
          <w:sz w:val="15"/>
          <w:szCs w:val="15"/>
          <w:color w:val="auto"/>
        </w:rPr>
        <w:t>Accounts receivable consisted of (Thousands):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4640"/>
        <w:spacing w:after="0"/>
        <w:tabs>
          <w:tab w:leader="none" w:pos="6200" w:val="left"/>
        </w:tabs>
        <w:rPr>
          <w:sz w:val="20"/>
          <w:szCs w:val="20"/>
          <w:color w:val="auto"/>
        </w:rPr>
      </w:pP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gridSpan w:val="2"/>
          </w:tcPr>
          <w:p>
            <w:pPr>
              <w:spacing w:after="0"/>
              <w:rPr>
                <w:sz w:val="20"/>
                <w:szCs w:val="20"/>
                <w:color w:val="auto"/>
              </w:rPr>
            </w:pPr>
            <w:r>
              <w:rPr>
                <w:rFonts w:ascii="Courier New" w:cs="Courier New" w:eastAsia="Courier New" w:hAnsi="Courier New"/>
                <w:sz w:val="15"/>
                <w:szCs w:val="15"/>
                <w:color w:val="auto"/>
              </w:rPr>
              <w:t>Deferred Payment Accounts</w:t>
            </w:r>
          </w:p>
        </w:tc>
        <w:tc>
          <w:tcPr>
            <w:tcW w:w="15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$1,250,636</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Trade and</w:t>
            </w:r>
          </w:p>
        </w:tc>
        <w:tc>
          <w:tcPr>
            <w:tcW w:w="2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Other</w:t>
            </w: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$77,516</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86,709</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Allowance</w:t>
            </w:r>
          </w:p>
        </w:tc>
        <w:tc>
          <w:tcPr>
            <w:tcW w:w="29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for Uncollectible Accounts</w:t>
            </w: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(44,946)</w:t>
            </w:r>
          </w:p>
        </w:tc>
      </w:tr>
      <w:tr>
        <w:trPr>
          <w:trHeight w:val="168"/>
        </w:trPr>
        <w:tc>
          <w:tcPr>
            <w:tcW w:w="8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3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$77,516</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$1,292,399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6"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As discussed in Note 2, the Company completed the sale of a 60% interest in WFNNB in the fourth quarter of 1995. In addition, WFNNB's outstanding debt to the Company of approximately $1.2 billion was repaid from the proceeds realized from the securitization of WFNNB's credit card receivables.</w:t>
      </w:r>
    </w:p>
    <w:p>
      <w:pPr>
        <w:spacing w:after="0" w:line="175" w:lineRule="exact"/>
        <w:rPr>
          <w:sz w:val="20"/>
          <w:szCs w:val="20"/>
          <w:color w:val="auto"/>
        </w:rPr>
      </w:pPr>
    </w:p>
    <w:p>
      <w:pPr>
        <w:ind w:right="3239" w:firstLine="262"/>
        <w:spacing w:after="0" w:line="236" w:lineRule="auto"/>
        <w:rPr>
          <w:sz w:val="20"/>
          <w:szCs w:val="20"/>
          <w:color w:val="auto"/>
        </w:rPr>
      </w:pPr>
      <w:r>
        <w:rPr>
          <w:rFonts w:ascii="Courier New" w:cs="Courier New" w:eastAsia="Courier New" w:hAnsi="Courier New"/>
          <w:sz w:val="15"/>
          <w:szCs w:val="15"/>
          <w:color w:val="auto"/>
        </w:rPr>
        <w:t>As a result of the sale of WFNNB and the securitization of the credit card receivables, a substantial portion of the deferred payment accounts were transferred to a special purpose entity which facilitated the asset securitization, and any remaining deferred payment accounts, net of an allowance for uncollectible accounts, were held by the WFNNB joint venture.</w:t>
      </w:r>
    </w:p>
    <w:p>
      <w:pPr>
        <w:spacing w:after="0" w:line="174" w:lineRule="exact"/>
        <w:rPr>
          <w:sz w:val="20"/>
          <w:szCs w:val="20"/>
          <w:color w:val="auto"/>
        </w:rPr>
      </w:pPr>
    </w:p>
    <w:p>
      <w:pPr>
        <w:ind w:right="3499" w:firstLine="262"/>
        <w:spacing w:after="0" w:line="255" w:lineRule="auto"/>
        <w:rPr>
          <w:sz w:val="20"/>
          <w:szCs w:val="20"/>
          <w:color w:val="auto"/>
        </w:rPr>
      </w:pPr>
      <w:r>
        <w:rPr>
          <w:rFonts w:ascii="Courier New" w:cs="Courier New" w:eastAsia="Courier New" w:hAnsi="Courier New"/>
          <w:sz w:val="14"/>
          <w:szCs w:val="14"/>
          <w:color w:val="auto"/>
        </w:rPr>
        <w:t>Finance charge revenue on the deferred payment accounts amounted to $235.6 million, $233.9 million and $174.5 million in 1995, 1994 and 1993, and the provision for uncollectible accounts amounted to $91.4 million, $72.7 million and $50.8 million in 1995, 1994 and 1993. These amounts are classified as components of the cost to administer the deferred payment program and are included in general, administrative and store operating expenses.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Property and Equipment</w:t>
      </w:r>
    </w:p>
    <w:p>
      <w:pPr>
        <w:spacing w:after="0" w:line="237" w:lineRule="auto"/>
        <w:rPr>
          <w:sz w:val="20"/>
          <w:szCs w:val="20"/>
          <w:color w:val="auto"/>
        </w:rPr>
      </w:pPr>
      <w:r>
        <w:rPr>
          <w:rFonts w:ascii="Courier New" w:cs="Courier New" w:eastAsia="Courier New" w:hAnsi="Courier New"/>
          <w:sz w:val="15"/>
          <w:szCs w:val="15"/>
          <w:color w:val="auto"/>
        </w:rPr>
        <w:t>Property and equipment, at cost, consisted of (Thousands):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4900"/>
        <w:spacing w:after="0"/>
        <w:tabs>
          <w:tab w:leader="none" w:pos="6200" w:val="left"/>
        </w:tabs>
        <w:rPr>
          <w:sz w:val="20"/>
          <w:szCs w:val="20"/>
          <w:color w:val="auto"/>
        </w:rPr>
      </w:pP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Land, Buildings and Improvements</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535,061</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510,563</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Furniture, Fixtures and Equipment</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1,794,612</w:t>
            </w:r>
          </w:p>
        </w:tc>
        <w:tc>
          <w:tcPr>
            <w:tcW w:w="30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1,714,587</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Leaseholds and Improvements</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609,253</w:t>
            </w:r>
          </w:p>
        </w:tc>
        <w:tc>
          <w:tcPr>
            <w:tcW w:w="30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515,226</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Construction in Progress</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79,831</w:t>
            </w:r>
          </w:p>
        </w:tc>
        <w:tc>
          <w:tcPr>
            <w:tcW w:w="30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58,039</w:t>
            </w:r>
          </w:p>
        </w:tc>
      </w:tr>
      <w:tr>
        <w:trPr>
          <w:trHeight w:val="168"/>
        </w:trPr>
        <w:tc>
          <w:tcPr>
            <w:tcW w:w="4260" w:type="dxa"/>
            <w:vAlign w:val="bottom"/>
          </w:tcPr>
          <w:p>
            <w:pPr>
              <w:spacing w:after="0"/>
              <w:rPr>
                <w:sz w:val="14"/>
                <w:szCs w:val="14"/>
                <w:color w:val="auto"/>
              </w:rPr>
            </w:pPr>
          </w:p>
        </w:tc>
        <w:tc>
          <w:tcPr>
            <w:tcW w:w="27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spacing w:after="0"/>
              <w:rPr>
                <w:sz w:val="14"/>
                <w:szCs w:val="14"/>
                <w:color w:val="auto"/>
              </w:rPr>
            </w:pP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3,018,757</w:t>
            </w:r>
          </w:p>
        </w:tc>
        <w:tc>
          <w:tcPr>
            <w:tcW w:w="30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2,798,415</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Accumulated Depreciation and Amortization</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1,277,301</w:t>
            </w:r>
          </w:p>
        </w:tc>
        <w:tc>
          <w:tcPr>
            <w:tcW w:w="30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1,106,270</w:t>
            </w:r>
          </w:p>
        </w:tc>
      </w:tr>
      <w:tr>
        <w:trPr>
          <w:trHeight w:val="168"/>
        </w:trPr>
        <w:tc>
          <w:tcPr>
            <w:tcW w:w="4260" w:type="dxa"/>
            <w:vAlign w:val="bottom"/>
          </w:tcPr>
          <w:p>
            <w:pPr>
              <w:spacing w:after="0"/>
              <w:rPr>
                <w:sz w:val="14"/>
                <w:szCs w:val="14"/>
                <w:color w:val="auto"/>
              </w:rPr>
            </w:pPr>
          </w:p>
        </w:tc>
        <w:tc>
          <w:tcPr>
            <w:tcW w:w="27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and Equipment, Net</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$1,741,456</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1,692,145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Leased Facilities and Commitments</w:t>
      </w:r>
    </w:p>
    <w:p>
      <w:pPr>
        <w:spacing w:after="0" w:line="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Annual store rent is comprised of a fixed minimum amount, plus contingent rent based upon a percentage of sales exceeding a stipulated amount. Store lease terms generally require additional payments covering taxes, common area costs and certain other expenses.</w:t>
      </w:r>
    </w:p>
    <w:p>
      <w:pPr>
        <w:spacing w:after="0" w:line="169"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A summary of rent expenses for 1995, 1994 and 1993 follows (Thousands):</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2900"/>
        <w:spacing w:after="0"/>
        <w:tabs>
          <w:tab w:leader="none" w:pos="4180" w:val="left"/>
          <w:tab w:leader="none" w:pos="5500" w:val="left"/>
        </w:tabs>
        <w:rPr>
          <w:sz w:val="20"/>
          <w:szCs w:val="20"/>
          <w:color w:val="auto"/>
        </w:rPr>
      </w:pP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1994</w:t>
      </w:r>
      <w:r>
        <w:rPr>
          <w:sz w:val="20"/>
          <w:szCs w:val="20"/>
          <w:color w:val="auto"/>
        </w:rPr>
        <w:tab/>
      </w:r>
      <w:r>
        <w:rPr>
          <w:rFonts w:ascii="Courier New" w:cs="Courier New" w:eastAsia="Courier New" w:hAnsi="Courier New"/>
          <w:sz w:val="14"/>
          <w:szCs w:val="14"/>
          <w:color w:val="auto"/>
        </w:rPr>
        <w:t>1993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Store rent:</w:t>
            </w:r>
          </w:p>
        </w:tc>
        <w:tc>
          <w:tcPr>
            <w:tcW w:w="1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2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Fixed Minimum</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$643,200</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$586,437</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$540,381</w:t>
            </w:r>
          </w:p>
        </w:tc>
      </w:tr>
      <w:tr>
        <w:trPr>
          <w:trHeight w:val="168"/>
        </w:trPr>
        <w:tc>
          <w:tcPr>
            <w:tcW w:w="2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Contingent</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18,812</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17,522</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19,727</w:t>
            </w:r>
          </w:p>
        </w:tc>
      </w:tr>
      <w:tr>
        <w:trPr>
          <w:trHeight w:val="168"/>
        </w:trPr>
        <w:tc>
          <w:tcPr>
            <w:tcW w:w="2100" w:type="dxa"/>
            <w:vAlign w:val="bottom"/>
          </w:tcPr>
          <w:p>
            <w:pPr>
              <w:spacing w:after="0"/>
              <w:rPr>
                <w:sz w:val="14"/>
                <w:szCs w:val="14"/>
                <w:color w:val="auto"/>
              </w:rPr>
            </w:pPr>
          </w:p>
        </w:tc>
        <w:tc>
          <w:tcPr>
            <w:tcW w:w="386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Store Rent</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662,012</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603,959</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560,108</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Equipment and Other</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26,101</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27,710</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31,897</w:t>
            </w:r>
          </w:p>
        </w:tc>
      </w:tr>
      <w:tr>
        <w:trPr>
          <w:trHeight w:val="168"/>
        </w:trPr>
        <w:tc>
          <w:tcPr>
            <w:tcW w:w="2100" w:type="dxa"/>
            <w:vAlign w:val="bottom"/>
          </w:tcPr>
          <w:p>
            <w:pPr>
              <w:spacing w:after="0"/>
              <w:rPr>
                <w:sz w:val="14"/>
                <w:szCs w:val="14"/>
                <w:color w:val="auto"/>
              </w:rPr>
            </w:pPr>
          </w:p>
        </w:tc>
        <w:tc>
          <w:tcPr>
            <w:tcW w:w="386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Rent Expense</w:t>
            </w:r>
          </w:p>
        </w:tc>
        <w:tc>
          <w:tcPr>
            <w:tcW w:w="15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$688,113</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$631,669</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$592,005</w:t>
            </w:r>
          </w:p>
        </w:tc>
      </w:tr>
    </w:tbl>
    <w:p>
      <w:pPr>
        <w:spacing w:after="0" w:line="5" w:lineRule="exact"/>
        <w:rPr>
          <w:sz w:val="20"/>
          <w:szCs w:val="20"/>
          <w:color w:val="auto"/>
        </w:rPr>
      </w:pPr>
    </w:p>
    <w:p>
      <w:pPr>
        <w:ind w:left="180" w:hanging="170"/>
        <w:spacing w:after="0"/>
        <w:tabs>
          <w:tab w:leader="none" w:pos="180"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56 The Limited, Inc.</w:t>
      </w:r>
    </w:p>
    <w:p>
      <w:pPr>
        <w:sectPr>
          <w:pgSz w:w="11900" w:h="16838" w:orient="portrait"/>
          <w:cols w:equalWidth="0" w:num="1">
            <w:col w:w="10239"/>
          </w:cols>
          <w:pgMar w:left="220" w:top="617" w:right="1440" w:bottom="0" w:gutter="0" w:footer="0" w:header="0"/>
        </w:sectPr>
      </w:pPr>
    </w:p>
    <w:bookmarkStart w:id="146" w:name="page147"/>
    <w:bookmarkEnd w:id="146"/>
    <w:p>
      <w:pPr>
        <w:ind w:right="3399"/>
        <w:spacing w:after="0" w:line="236" w:lineRule="auto"/>
        <w:rPr>
          <w:sz w:val="20"/>
          <w:szCs w:val="20"/>
          <w:color w:val="auto"/>
        </w:rPr>
      </w:pPr>
      <w:r>
        <w:rPr>
          <w:rFonts w:ascii="Courier New" w:cs="Courier New" w:eastAsia="Courier New" w:hAnsi="Courier New"/>
          <w:sz w:val="15"/>
          <w:szCs w:val="15"/>
          <w:color w:val="auto"/>
        </w:rPr>
        <w:t>At February 3, 1996 the Company was committed to noncancelable leases with remaining terms of one to forty years. A substantial portion of these commitments are store leases with initial terms rangings from ten to twenty years, with options to renew at varying terms. Accrued rent expense was $102.2 million and $116.5 million at February 3, 1996 and January 28, 1995.</w:t>
      </w:r>
    </w:p>
    <w:p>
      <w:pPr>
        <w:spacing w:after="0" w:line="174" w:lineRule="exact"/>
        <w:rPr>
          <w:sz w:val="20"/>
          <w:szCs w:val="20"/>
          <w:color w:val="auto"/>
        </w:rPr>
      </w:pPr>
    </w:p>
    <w:p>
      <w:pPr>
        <w:ind w:right="3679" w:firstLine="262"/>
        <w:spacing w:after="0" w:line="234" w:lineRule="auto"/>
        <w:rPr>
          <w:sz w:val="20"/>
          <w:szCs w:val="20"/>
          <w:color w:val="auto"/>
        </w:rPr>
      </w:pPr>
      <w:r>
        <w:rPr>
          <w:rFonts w:ascii="Courier New" w:cs="Courier New" w:eastAsia="Courier New" w:hAnsi="Courier New"/>
          <w:sz w:val="15"/>
          <w:szCs w:val="15"/>
          <w:color w:val="auto"/>
        </w:rPr>
        <w:t>A summary of minimum rent commitments under noncancelable leases follows (Thousands):</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2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659,259</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1997</w:t>
            </w:r>
          </w:p>
        </w:tc>
        <w:tc>
          <w:tcPr>
            <w:tcW w:w="27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642,450</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1998</w:t>
            </w:r>
          </w:p>
        </w:tc>
        <w:tc>
          <w:tcPr>
            <w:tcW w:w="27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620,372</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1999</w:t>
            </w:r>
          </w:p>
        </w:tc>
        <w:tc>
          <w:tcPr>
            <w:tcW w:w="27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596,387</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2000</w:t>
            </w:r>
          </w:p>
        </w:tc>
        <w:tc>
          <w:tcPr>
            <w:tcW w:w="27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578,913</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Thereafter</w:t>
            </w:r>
          </w:p>
        </w:tc>
        <w:tc>
          <w:tcPr>
            <w:tcW w:w="2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2,878,037</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Restricted Cash</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At February 3, 1996, Special Funding, Inc., a wholly-owned subsidiary of the Company, had $351.6 million of restricted cash invested in short-term, highly liquid securities. This amount is classified as a non-current asset, since it has been reserved for use in the event that The Wexner Children's Trust, established by Leslie H. Wexner, the Company's principal shareholder, exercises its opportunity to require the Company to redeem, or the Company exercises its opportunity to redeem from the Trust, shares of The Limited, Inc. common stock in accordance with the terms of the Contingent Stock Redemption Agreement. Interest earnings on the segregated cash will accrue to the Company. (See Note 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Long-Term Debt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Unsecured long-term debt consisted of (Thousands):</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4200"/>
        <w:spacing w:after="0"/>
        <w:tabs>
          <w:tab w:leader="none" w:pos="5500" w:val="left"/>
        </w:tabs>
        <w:rPr>
          <w:sz w:val="20"/>
          <w:szCs w:val="20"/>
          <w:color w:val="auto"/>
        </w:rPr>
      </w:pP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7</w:t>
            </w:r>
          </w:p>
        </w:tc>
        <w:tc>
          <w:tcPr>
            <w:tcW w:w="3200" w:type="dxa"/>
            <w:vAlign w:val="bottom"/>
          </w:tcPr>
          <w:p>
            <w:pPr>
              <w:ind w:left="40"/>
              <w:spacing w:after="0"/>
              <w:rPr>
                <w:sz w:val="20"/>
                <w:szCs w:val="20"/>
                <w:color w:val="auto"/>
              </w:rPr>
            </w:pPr>
            <w:r>
              <w:rPr>
                <w:rFonts w:ascii="Courier New" w:cs="Courier New" w:eastAsia="Courier New" w:hAnsi="Courier New"/>
                <w:sz w:val="15"/>
                <w:szCs w:val="15"/>
                <w:color w:val="auto"/>
              </w:rPr>
              <w:t>1/2% Debentures Due March 2023</w:t>
            </w:r>
          </w:p>
        </w:tc>
        <w:tc>
          <w:tcPr>
            <w:tcW w:w="15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$250,000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168"/>
        </w:trPr>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7</w:t>
            </w:r>
          </w:p>
        </w:tc>
        <w:tc>
          <w:tcPr>
            <w:tcW w:w="3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4/5% Debentures Due May 2002</w:t>
            </w:r>
          </w:p>
        </w:tc>
        <w:tc>
          <w:tcPr>
            <w:tcW w:w="1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150,000</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150,000</w:t>
            </w:r>
          </w:p>
        </w:tc>
      </w:tr>
      <w:tr>
        <w:trPr>
          <w:trHeight w:val="168"/>
        </w:trPr>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9</w:t>
            </w:r>
          </w:p>
        </w:tc>
        <w:tc>
          <w:tcPr>
            <w:tcW w:w="3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1/8% Notes Due February 2001</w:t>
            </w:r>
          </w:p>
        </w:tc>
        <w:tc>
          <w:tcPr>
            <w:tcW w:w="1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150,000</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150,000</w:t>
            </w:r>
          </w:p>
        </w:tc>
      </w:tr>
      <w:tr>
        <w:trPr>
          <w:trHeight w:val="168"/>
        </w:trPr>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8</w:t>
            </w:r>
          </w:p>
        </w:tc>
        <w:tc>
          <w:tcPr>
            <w:tcW w:w="3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7/8% Notes Due August 1999</w:t>
            </w:r>
          </w:p>
        </w:tc>
        <w:tc>
          <w:tcPr>
            <w:tcW w:w="1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100,000</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100,000</w:t>
            </w:r>
          </w:p>
        </w:tc>
      </w:tr>
      <w:tr>
        <w:trPr>
          <w:trHeight w:val="168"/>
        </w:trPr>
        <w:tc>
          <w:tcPr>
            <w:tcW w:w="1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$650,000</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$650,000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Effective December 15, 1995, (the "Effective Date"), the Company replaced two revolving credit agreements totaling $840 million with a $1 billion unsecured credit agreement (the "Agreement"). Borrowings outstanding under the Agreement are due December 14, 2000. However, the revolving term of the Agreement may be extended an additional two years upon notification by the Company on the second and fourth anniversaries of the Effective Date, subject to the approval of the lending banks. The Agreement has several borrowing options, including interest rates which are based on either the lender's "Base Rate," as defined, LIBOR, CD based options or at a rate submitted under a bidding process. Facilities fees payable under the Agreement are based on the Company's long-term credit ratings, and currently approximate 1/8% of the committed amount per annum. The Agreement contains covenants relating to the Company's working capital, debt and net worth. No amounts were outstanding under the Agreement at February 3, 1996.</w:t>
      </w:r>
    </w:p>
    <w:p>
      <w:pPr>
        <w:spacing w:after="0" w:line="164" w:lineRule="exact"/>
        <w:rPr>
          <w:sz w:val="20"/>
          <w:szCs w:val="20"/>
          <w:color w:val="auto"/>
        </w:rPr>
      </w:pPr>
    </w:p>
    <w:p>
      <w:pPr>
        <w:ind w:right="3399" w:firstLine="262"/>
        <w:spacing w:after="0" w:line="235" w:lineRule="auto"/>
        <w:rPr>
          <w:sz w:val="20"/>
          <w:szCs w:val="20"/>
          <w:color w:val="auto"/>
        </w:rPr>
      </w:pPr>
      <w:r>
        <w:rPr>
          <w:rFonts w:ascii="Courier New" w:cs="Courier New" w:eastAsia="Courier New" w:hAnsi="Courier New"/>
          <w:sz w:val="15"/>
          <w:szCs w:val="15"/>
          <w:color w:val="auto"/>
        </w:rPr>
        <w:t>The Agreement supports the Company's commercial paper program which is used from time to time to fund working capital and other general corporate requirements. No commercial paper was outstanding at February 3, 1996.</w:t>
      </w:r>
    </w:p>
    <w:p>
      <w:pPr>
        <w:spacing w:after="0" w:line="16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[PHOTO APPEARS HERE]</w:t>
      </w:r>
    </w:p>
    <w:p>
      <w:pPr>
        <w:spacing w:after="0" w:line="335" w:lineRule="exact"/>
        <w:rPr>
          <w:sz w:val="20"/>
          <w:szCs w:val="20"/>
          <w:color w:val="auto"/>
        </w:rPr>
      </w:pPr>
    </w:p>
    <w:p>
      <w:pPr>
        <w:ind w:left="5260"/>
        <w:spacing w:after="0"/>
        <w:rPr>
          <w:sz w:val="20"/>
          <w:szCs w:val="20"/>
          <w:color w:val="auto"/>
        </w:rPr>
      </w:pPr>
      <w:r>
        <w:rPr>
          <w:rFonts w:ascii="Courier New" w:cs="Courier New" w:eastAsia="Courier New" w:hAnsi="Courier New"/>
          <w:sz w:val="15"/>
          <w:szCs w:val="15"/>
          <w:color w:val="auto"/>
        </w:rPr>
        <w:t>The Limited, Inc. 57</w:t>
      </w:r>
    </w:p>
    <w:p>
      <w:pPr>
        <w:sectPr>
          <w:pgSz w:w="11900" w:h="16838" w:orient="portrait"/>
          <w:cols w:equalWidth="0" w:num="1">
            <w:col w:w="10239"/>
          </w:cols>
          <w:pgMar w:left="220" w:top="455" w:right="1440" w:bottom="1440" w:gutter="0" w:footer="0" w:header="0"/>
        </w:sectPr>
      </w:pPr>
    </w:p>
    <w:bookmarkStart w:id="147" w:name="page148"/>
    <w:bookmarkEnd w:id="147"/>
    <w:p>
      <w:pPr>
        <w:ind w:right="3759" w:firstLine="262"/>
        <w:spacing w:after="0" w:line="261" w:lineRule="auto"/>
        <w:rPr>
          <w:sz w:val="20"/>
          <w:szCs w:val="20"/>
          <w:color w:val="auto"/>
        </w:rPr>
      </w:pPr>
      <w:r>
        <w:rPr>
          <w:rFonts w:ascii="Courier New" w:cs="Courier New" w:eastAsia="Courier New" w:hAnsi="Courier New"/>
          <w:sz w:val="14"/>
          <w:szCs w:val="14"/>
          <w:color w:val="auto"/>
        </w:rPr>
        <w:t>Up to $250 million of debt securities and warrants to purchase debt securities may be issued under the Company's shelf registration statement.</w:t>
      </w:r>
    </w:p>
    <w:p>
      <w:pPr>
        <w:spacing w:after="0" w:line="160" w:lineRule="exact"/>
        <w:rPr>
          <w:sz w:val="20"/>
          <w:szCs w:val="20"/>
          <w:color w:val="auto"/>
        </w:rPr>
      </w:pPr>
    </w:p>
    <w:p>
      <w:pPr>
        <w:ind w:right="3239" w:firstLine="262"/>
        <w:spacing w:after="0" w:line="236" w:lineRule="auto"/>
        <w:rPr>
          <w:sz w:val="20"/>
          <w:szCs w:val="20"/>
          <w:color w:val="auto"/>
        </w:rPr>
      </w:pPr>
      <w:r>
        <w:rPr>
          <w:rFonts w:ascii="Courier New" w:cs="Courier New" w:eastAsia="Courier New" w:hAnsi="Courier New"/>
          <w:sz w:val="15"/>
          <w:szCs w:val="15"/>
          <w:color w:val="auto"/>
        </w:rPr>
        <w:t>The Company periodically enters into interest rate swap agreements with the intent to manage interest rate exposure. At February 3, 1996, the Company had two interest rate swap positions outstanding, each having a $100 million notional principal amount. One contract effectively changed the Company's interest rate exposure on $100 million of variable rate debt to a fixed rate of 8.09% through July 2000. The remaining contract, which expired in February 1996, effectively changed the interest rate on $100 million of fixed rate debt to a variable rate.</w:t>
      </w:r>
    </w:p>
    <w:p>
      <w:pPr>
        <w:spacing w:after="0" w:line="177" w:lineRule="exact"/>
        <w:rPr>
          <w:sz w:val="20"/>
          <w:szCs w:val="20"/>
          <w:color w:val="auto"/>
        </w:rPr>
      </w:pPr>
    </w:p>
    <w:p>
      <w:pPr>
        <w:ind w:right="3319" w:firstLine="262"/>
        <w:spacing w:after="0" w:line="235" w:lineRule="auto"/>
        <w:rPr>
          <w:sz w:val="20"/>
          <w:szCs w:val="20"/>
          <w:color w:val="auto"/>
        </w:rPr>
      </w:pPr>
      <w:r>
        <w:rPr>
          <w:rFonts w:ascii="Courier New" w:cs="Courier New" w:eastAsia="Courier New" w:hAnsi="Courier New"/>
          <w:sz w:val="15"/>
          <w:szCs w:val="15"/>
          <w:color w:val="auto"/>
        </w:rPr>
        <w:t>Long-term debt maturities within the next five years consist of $100 million which matures in 1999 and $150 million which matures in 2000. Interest paid approximated $88.4 million, $64.7 million and $57.4 million in 1995, 1994 and 1993.</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Income Taxes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provision for income taxes consisted of (Thousands):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left="2900"/>
        <w:spacing w:after="0"/>
        <w:tabs>
          <w:tab w:leader="none" w:pos="4180" w:val="left"/>
          <w:tab w:leader="none" w:pos="5500" w:val="left"/>
        </w:tabs>
        <w:rPr>
          <w:sz w:val="20"/>
          <w:szCs w:val="20"/>
          <w:color w:val="auto"/>
        </w:rPr>
      </w:pP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1994</w:t>
      </w:r>
      <w:r>
        <w:rPr>
          <w:sz w:val="20"/>
          <w:szCs w:val="20"/>
          <w:color w:val="auto"/>
        </w:rPr>
        <w:tab/>
      </w:r>
      <w:r>
        <w:rPr>
          <w:rFonts w:ascii="Courier New" w:cs="Courier New" w:eastAsia="Courier New" w:hAnsi="Courier New"/>
          <w:sz w:val="14"/>
          <w:szCs w:val="14"/>
          <w:color w:val="auto"/>
        </w:rPr>
        <w:t>1993</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60" w:type="dxa"/>
            <w:vAlign w:val="bottom"/>
          </w:tcPr>
          <w:p>
            <w:pPr>
              <w:spacing w:after="0"/>
              <w:rPr>
                <w:sz w:val="20"/>
                <w:szCs w:val="20"/>
                <w:color w:val="auto"/>
              </w:rPr>
            </w:pPr>
            <w:r>
              <w:rPr>
                <w:rFonts w:ascii="Courier New" w:cs="Courier New" w:eastAsia="Courier New" w:hAnsi="Courier New"/>
                <w:sz w:val="15"/>
                <w:szCs w:val="15"/>
                <w:color w:val="auto"/>
              </w:rPr>
              <w:t>Currently Payable:</w:t>
            </w:r>
          </w:p>
        </w:tc>
        <w:tc>
          <w:tcPr>
            <w:tcW w:w="1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2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Federal</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$190,900</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$231,000</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$249,400</w:t>
            </w:r>
          </w:p>
        </w:tc>
      </w:tr>
      <w:tr>
        <w:trPr>
          <w:trHeight w:val="168"/>
        </w:trPr>
        <w:tc>
          <w:tcPr>
            <w:tcW w:w="2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State</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24,700</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32,000</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35,100</w:t>
            </w:r>
          </w:p>
        </w:tc>
      </w:tr>
      <w:tr>
        <w:trPr>
          <w:trHeight w:val="168"/>
        </w:trPr>
        <w:tc>
          <w:tcPr>
            <w:tcW w:w="2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Foreign</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4,500</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4,100</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6,400</w:t>
            </w:r>
          </w:p>
        </w:tc>
      </w:tr>
      <w:tr>
        <w:trPr>
          <w:trHeight w:val="168"/>
        </w:trPr>
        <w:tc>
          <w:tcPr>
            <w:tcW w:w="2060" w:type="dxa"/>
            <w:vAlign w:val="bottom"/>
          </w:tcPr>
          <w:p>
            <w:pPr>
              <w:spacing w:after="0"/>
              <w:rPr>
                <w:sz w:val="14"/>
                <w:szCs w:val="14"/>
                <w:color w:val="auto"/>
              </w:rPr>
            </w:pPr>
          </w:p>
        </w:tc>
        <w:tc>
          <w:tcPr>
            <w:tcW w:w="39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060" w:type="dxa"/>
            <w:vAlign w:val="bottom"/>
          </w:tcPr>
          <w:p>
            <w:pPr>
              <w:spacing w:after="0"/>
              <w:rPr>
                <w:sz w:val="14"/>
                <w:szCs w:val="14"/>
                <w:color w:val="auto"/>
              </w:rPr>
            </w:pP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220,100</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267,100</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290,900</w:t>
            </w:r>
          </w:p>
        </w:tc>
      </w:tr>
    </w:tbl>
    <w:p>
      <w:pPr>
        <w:ind w:left="180" w:hanging="170"/>
        <w:spacing w:after="0" w:line="237" w:lineRule="auto"/>
        <w:tabs>
          <w:tab w:leader="none" w:pos="180"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Deferred:</w:t>
      </w:r>
    </w:p>
    <w:tbl>
      <w:tblPr>
        <w:tblLayout w:type="fixed"/>
        <w:tblInd w:w="0" w:type="dxa"/>
        <w:tblCellMar>
          <w:top w:w="0" w:type="dxa"/>
          <w:left w:w="0" w:type="dxa"/>
          <w:bottom w:w="0" w:type="dxa"/>
          <w:right w:w="0" w:type="dxa"/>
        </w:tblCellMar>
      </w:tblPr>
      <w:tr>
        <w:trPr>
          <w:trHeight w:val="169"/>
        </w:trPr>
        <w:tc>
          <w:tcPr>
            <w:tcW w:w="1940" w:type="dxa"/>
            <w:vAlign w:val="bottom"/>
          </w:tcPr>
          <w:p>
            <w:pPr>
              <w:ind w:left="180"/>
              <w:spacing w:after="0" w:line="169" w:lineRule="exact"/>
              <w:rPr>
                <w:sz w:val="20"/>
                <w:szCs w:val="20"/>
                <w:color w:val="auto"/>
              </w:rPr>
            </w:pPr>
            <w:r>
              <w:rPr>
                <w:rFonts w:ascii="Courier New" w:cs="Courier New" w:eastAsia="Courier New" w:hAnsi="Courier New"/>
                <w:sz w:val="15"/>
                <w:szCs w:val="15"/>
                <w:color w:val="auto"/>
              </w:rPr>
              <w:t>Federal</w:t>
            </w:r>
          </w:p>
        </w:tc>
        <w:tc>
          <w:tcPr>
            <w:tcW w:w="1660" w:type="dxa"/>
            <w:vAlign w:val="bottom"/>
          </w:tcPr>
          <w:p>
            <w:pPr>
              <w:jc w:val="right"/>
              <w:ind w:right="187"/>
              <w:spacing w:after="0" w:line="169" w:lineRule="exact"/>
              <w:rPr>
                <w:sz w:val="20"/>
                <w:szCs w:val="20"/>
                <w:color w:val="auto"/>
              </w:rPr>
            </w:pPr>
            <w:r>
              <w:rPr>
                <w:rFonts w:ascii="Courier New" w:cs="Courier New" w:eastAsia="Courier New" w:hAnsi="Courier New"/>
                <w:sz w:val="15"/>
                <w:szCs w:val="15"/>
                <w:color w:val="auto"/>
              </w:rPr>
              <w:t>(9,400)</w:t>
            </w:r>
          </w:p>
        </w:tc>
        <w:tc>
          <w:tcPr>
            <w:tcW w:w="1260" w:type="dxa"/>
            <w:vAlign w:val="bottom"/>
          </w:tcPr>
          <w:p>
            <w:pPr>
              <w:jc w:val="right"/>
              <w:ind w:right="227"/>
              <w:spacing w:after="0" w:line="169" w:lineRule="exact"/>
              <w:rPr>
                <w:sz w:val="20"/>
                <w:szCs w:val="20"/>
                <w:color w:val="auto"/>
              </w:rPr>
            </w:pPr>
            <w:r>
              <w:rPr>
                <w:rFonts w:ascii="Courier New" w:cs="Courier New" w:eastAsia="Courier New" w:hAnsi="Courier New"/>
                <w:sz w:val="15"/>
                <w:szCs w:val="15"/>
                <w:color w:val="auto"/>
              </w:rPr>
              <w:t>12,900</w:t>
            </w:r>
          </w:p>
        </w:tc>
        <w:tc>
          <w:tcPr>
            <w:tcW w:w="110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(41,800)</w:t>
            </w:r>
          </w:p>
        </w:tc>
      </w:tr>
      <w:tr>
        <w:trPr>
          <w:trHeight w:val="168"/>
        </w:trPr>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State</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12,300</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16,000</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4,900</w:t>
            </w:r>
          </w:p>
        </w:tc>
      </w:tr>
      <w:tr>
        <w:trPr>
          <w:trHeight w:val="168"/>
        </w:trPr>
        <w:tc>
          <w:tcPr>
            <w:tcW w:w="1940" w:type="dxa"/>
            <w:vAlign w:val="bottom"/>
          </w:tcPr>
          <w:p>
            <w:pPr>
              <w:spacing w:after="0"/>
              <w:rPr>
                <w:sz w:val="14"/>
                <w:szCs w:val="14"/>
                <w:color w:val="auto"/>
              </w:rPr>
            </w:pPr>
          </w:p>
        </w:tc>
        <w:tc>
          <w:tcPr>
            <w:tcW w:w="40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940" w:type="dxa"/>
            <w:vAlign w:val="bottom"/>
          </w:tcPr>
          <w:p>
            <w:pPr>
              <w:spacing w:after="0"/>
              <w:rPr>
                <w:sz w:val="14"/>
                <w:szCs w:val="14"/>
                <w:color w:val="auto"/>
              </w:rPr>
            </w:pP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2,900</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28,900</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(36,900)</w:t>
            </w:r>
          </w:p>
        </w:tc>
      </w:tr>
      <w:tr>
        <w:trPr>
          <w:trHeight w:val="168"/>
        </w:trPr>
        <w:tc>
          <w:tcPr>
            <w:tcW w:w="1940" w:type="dxa"/>
            <w:vAlign w:val="bottom"/>
          </w:tcPr>
          <w:p>
            <w:pPr>
              <w:spacing w:after="0"/>
              <w:rPr>
                <w:sz w:val="14"/>
                <w:szCs w:val="14"/>
                <w:color w:val="auto"/>
              </w:rPr>
            </w:pPr>
          </w:p>
        </w:tc>
        <w:tc>
          <w:tcPr>
            <w:tcW w:w="40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Provision</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$223,000</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$296,000</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$254,000</w:t>
            </w:r>
          </w:p>
        </w:tc>
      </w:tr>
    </w:tbl>
    <w:p>
      <w:pPr>
        <w:spacing w:after="0" w:line="237" w:lineRule="auto"/>
        <w:rPr>
          <w:sz w:val="20"/>
          <w:szCs w:val="20"/>
          <w:color w:val="auto"/>
        </w:rPr>
      </w:pPr>
      <w:r>
        <w:rPr>
          <w:rFonts w:ascii="Courier New" w:cs="Courier New" w:eastAsia="Courier New" w:hAnsi="Courier New"/>
          <w:sz w:val="15"/>
          <w:szCs w:val="15"/>
          <w:color w:val="auto"/>
        </w:rPr>
        <w:t>- --------------------------------------------------------------------------------</w:t>
      </w:r>
    </w:p>
    <w:p>
      <w:pPr>
        <w:spacing w:after="0" w:line="342"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foreign component of pre-tax income, arising principally from overseas sourcing operations, was $60.8 million, $40.9 million and $54.8 million in 1995, 1994 and 1993.</w:t>
      </w:r>
    </w:p>
    <w:p>
      <w:pPr>
        <w:spacing w:after="0" w:line="174" w:lineRule="exact"/>
        <w:rPr>
          <w:sz w:val="20"/>
          <w:szCs w:val="20"/>
          <w:color w:val="auto"/>
        </w:rPr>
      </w:pPr>
    </w:p>
    <w:p>
      <w:pPr>
        <w:ind w:right="3579" w:firstLine="262"/>
        <w:spacing w:after="0" w:line="235" w:lineRule="auto"/>
        <w:rPr>
          <w:sz w:val="20"/>
          <w:szCs w:val="20"/>
          <w:color w:val="auto"/>
        </w:rPr>
      </w:pPr>
      <w:r>
        <w:rPr>
          <w:rFonts w:ascii="Courier New" w:cs="Courier New" w:eastAsia="Courier New" w:hAnsi="Courier New"/>
          <w:sz w:val="15"/>
          <w:szCs w:val="15"/>
          <w:color w:val="auto"/>
        </w:rPr>
        <w:t>A reconciliation between the statutory Federal income tax rate and the effective income tax rate on pre-tax earnings excluding the non-taxable gain from sale of subsidiary stock follows: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left="2980"/>
        <w:spacing w:after="0"/>
        <w:tabs>
          <w:tab w:leader="none" w:pos="3840" w:val="left"/>
          <w:tab w:leader="none" w:pos="4720" w:val="left"/>
        </w:tabs>
        <w:rPr>
          <w:sz w:val="20"/>
          <w:szCs w:val="20"/>
          <w:color w:val="auto"/>
        </w:rPr>
      </w:pP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1994</w:t>
      </w:r>
      <w:r>
        <w:rPr>
          <w:sz w:val="20"/>
          <w:szCs w:val="20"/>
          <w:color w:val="auto"/>
        </w:rPr>
        <w:tab/>
      </w:r>
      <w:r>
        <w:rPr>
          <w:rFonts w:ascii="Courier New" w:cs="Courier New" w:eastAsia="Courier New" w:hAnsi="Courier New"/>
          <w:sz w:val="14"/>
          <w:szCs w:val="14"/>
          <w:color w:val="auto"/>
        </w:rPr>
        <w:t>1993</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Federal Income Tax Rate</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35.0%</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35.0%</w:t>
            </w:r>
          </w:p>
        </w:tc>
        <w:tc>
          <w:tcPr>
            <w:tcW w:w="2480" w:type="dxa"/>
            <w:vAlign w:val="bottom"/>
          </w:tcPr>
          <w:p>
            <w:pPr>
              <w:jc w:val="right"/>
              <w:ind w:right="1747"/>
              <w:spacing w:after="0"/>
              <w:rPr>
                <w:sz w:val="20"/>
                <w:szCs w:val="20"/>
                <w:color w:val="auto"/>
              </w:rPr>
            </w:pPr>
            <w:r>
              <w:rPr>
                <w:rFonts w:ascii="Courier New" w:cs="Courier New" w:eastAsia="Courier New" w:hAnsi="Courier New"/>
                <w:sz w:val="15"/>
                <w:szCs w:val="15"/>
                <w:color w:val="auto"/>
              </w:rPr>
              <w:t>35.0%</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Minority Interest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w:t>
            </w: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2480" w:type="dxa"/>
            <w:vAlign w:val="bottom"/>
          </w:tcPr>
          <w:p>
            <w:pPr>
              <w:jc w:val="right"/>
              <w:ind w:right="18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Income Tax, Net of</w:t>
            </w: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168"/>
        </w:trPr>
        <w:tc>
          <w:tcPr>
            <w:tcW w:w="2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Federal Income Tax Effect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4.5</w:t>
            </w: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4.2</w:t>
            </w:r>
          </w:p>
        </w:tc>
        <w:tc>
          <w:tcPr>
            <w:tcW w:w="2480" w:type="dxa"/>
            <w:vAlign w:val="bottom"/>
          </w:tcPr>
          <w:p>
            <w:pPr>
              <w:jc w:val="right"/>
              <w:ind w:right="1847"/>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Items, Net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w:t>
            </w: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w:t>
            </w:r>
          </w:p>
        </w:tc>
        <w:tc>
          <w:tcPr>
            <w:tcW w:w="2480" w:type="dxa"/>
            <w:vAlign w:val="bottom"/>
          </w:tcPr>
          <w:p>
            <w:pPr>
              <w:jc w:val="right"/>
              <w:ind w:right="184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2680" w:type="dxa"/>
            <w:vAlign w:val="bottom"/>
          </w:tcPr>
          <w:p>
            <w:pPr>
              <w:spacing w:after="0"/>
              <w:rPr>
                <w:sz w:val="14"/>
                <w:szCs w:val="14"/>
                <w:color w:val="auto"/>
              </w:rPr>
            </w:pPr>
          </w:p>
        </w:tc>
        <w:tc>
          <w:tcPr>
            <w:tcW w:w="43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8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41.7%</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39.8%</w:t>
            </w:r>
          </w:p>
        </w:tc>
        <w:tc>
          <w:tcPr>
            <w:tcW w:w="2480" w:type="dxa"/>
            <w:vAlign w:val="bottom"/>
          </w:tcPr>
          <w:p>
            <w:pPr>
              <w:jc w:val="right"/>
              <w:ind w:right="1747"/>
              <w:spacing w:after="0" w:line="168" w:lineRule="exact"/>
              <w:rPr>
                <w:sz w:val="20"/>
                <w:szCs w:val="20"/>
                <w:color w:val="auto"/>
              </w:rPr>
            </w:pPr>
            <w:r>
              <w:rPr>
                <w:rFonts w:ascii="Courier New" w:cs="Courier New" w:eastAsia="Courier New" w:hAnsi="Courier New"/>
                <w:sz w:val="15"/>
                <w:szCs w:val="15"/>
                <w:color w:val="auto"/>
              </w:rPr>
              <w:t>39.4%</w:t>
            </w:r>
          </w:p>
        </w:tc>
      </w:tr>
    </w:tbl>
    <w:p>
      <w:pPr>
        <w:spacing w:after="0" w:line="237" w:lineRule="auto"/>
        <w:rPr>
          <w:sz w:val="20"/>
          <w:szCs w:val="20"/>
          <w:color w:val="auto"/>
        </w:rPr>
      </w:pPr>
      <w:r>
        <w:rPr>
          <w:rFonts w:ascii="Courier New" w:cs="Courier New" w:eastAsia="Courier New" w:hAnsi="Courier New"/>
          <w:sz w:val="15"/>
          <w:szCs w:val="15"/>
          <w:color w:val="auto"/>
        </w:rPr>
        <w:t>- --------------------------------------------------------------------------------</w:t>
      </w:r>
    </w:p>
    <w:p>
      <w:pPr>
        <w:spacing w:after="0" w:line="342"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Income taxes payable included net current deferred tax assets of $109.5 million and $44.5 million at February 3, 1996 and January 28, 1995. The effect of temporary differences which give rise to deferred income tax balances was as follows (Thousands):</w:t>
      </w:r>
    </w:p>
    <w:p>
      <w:pPr>
        <w:spacing w:after="0" w:line="200" w:lineRule="exact"/>
        <w:rPr>
          <w:sz w:val="20"/>
          <w:szCs w:val="20"/>
          <w:color w:val="auto"/>
        </w:rPr>
      </w:pPr>
    </w:p>
    <w:p>
      <w:pPr>
        <w:spacing w:after="0" w:line="312" w:lineRule="exact"/>
        <w:rPr>
          <w:sz w:val="20"/>
          <w:szCs w:val="20"/>
          <w:color w:val="auto"/>
        </w:rPr>
      </w:pPr>
    </w:p>
    <w:p>
      <w:pPr>
        <w:ind w:left="180" w:hanging="170"/>
        <w:spacing w:after="0"/>
        <w:tabs>
          <w:tab w:leader="none" w:pos="180"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1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1995</w:t>
      </w:r>
      <w:r>
        <w:rPr>
          <w:rFonts w:ascii="Courier New" w:cs="Courier New" w:eastAsia="Courier New" w:hAnsi="Courier New"/>
          <w:sz w:val="14"/>
          <w:szCs w:val="14"/>
          <w:color w:val="auto"/>
        </w:rPr>
        <w:t>1994</w:t>
      </w:r>
    </w:p>
    <w:p>
      <w:pPr>
        <w:jc w:val="center"/>
        <w:ind w:left="1240"/>
        <w:spacing w:after="0" w:line="238" w:lineRule="auto"/>
        <w:tabs>
          <w:tab w:leader="none" w:pos="3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jc w:val="center"/>
        <w:ind w:left="1080"/>
        <w:spacing w:after="0"/>
        <w:tabs>
          <w:tab w:leader="none" w:pos="680" w:val="left"/>
          <w:tab w:leader="none" w:pos="680" w:val="left"/>
          <w:tab w:leader="none" w:pos="580" w:val="left"/>
          <w:tab w:leader="none" w:pos="680" w:val="left"/>
          <w:tab w:leader="none" w:pos="680" w:val="left"/>
        </w:tabs>
        <w:rPr>
          <w:sz w:val="20"/>
          <w:szCs w:val="20"/>
          <w:color w:val="auto"/>
        </w:rPr>
      </w:pPr>
      <w:r>
        <w:rPr>
          <w:rFonts w:ascii="Courier New" w:cs="Courier New" w:eastAsia="Courier New" w:hAnsi="Courier New"/>
          <w:sz w:val="15"/>
          <w:szCs w:val="15"/>
          <w:color w:val="auto"/>
        </w:rPr>
        <w:t>Assets</w:t>
      </w:r>
      <w:r>
        <w:rPr>
          <w:sz w:val="20"/>
          <w:szCs w:val="20"/>
          <w:color w:val="auto"/>
        </w:rPr>
        <w:tab/>
      </w:r>
      <w:r>
        <w:rPr>
          <w:rFonts w:ascii="Courier New" w:cs="Courier New" w:eastAsia="Courier New" w:hAnsi="Courier New"/>
          <w:sz w:val="15"/>
          <w:szCs w:val="15"/>
          <w:color w:val="auto"/>
        </w:rPr>
        <w:t>Liabilities</w:t>
      </w:r>
      <w:r>
        <w:rPr>
          <w:sz w:val="20"/>
          <w:szCs w:val="20"/>
          <w:color w:val="auto"/>
        </w:rPr>
        <w:tab/>
      </w: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5"/>
          <w:szCs w:val="15"/>
          <w:color w:val="auto"/>
        </w:rPr>
        <w:t>Assets</w:t>
      </w:r>
      <w:r>
        <w:rPr>
          <w:sz w:val="20"/>
          <w:szCs w:val="20"/>
          <w:color w:val="auto"/>
        </w:rPr>
        <w:tab/>
      </w:r>
      <w:r>
        <w:rPr>
          <w:rFonts w:ascii="Courier New" w:cs="Courier New" w:eastAsia="Courier New" w:hAnsi="Courier New"/>
          <w:sz w:val="15"/>
          <w:szCs w:val="15"/>
          <w:color w:val="auto"/>
        </w:rPr>
        <w:t>Liabilities</w:t>
      </w:r>
      <w:r>
        <w:rPr>
          <w:sz w:val="20"/>
          <w:szCs w:val="20"/>
          <w:color w:val="auto"/>
        </w:rPr>
        <w:tab/>
      </w:r>
      <w:r>
        <w:rPr>
          <w:rFonts w:ascii="Courier New" w:cs="Courier New" w:eastAsia="Courier New" w:hAnsi="Courier New"/>
          <w:sz w:val="14"/>
          <w:szCs w:val="14"/>
          <w:color w:val="auto"/>
        </w:rPr>
        <w:t>Total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Excess of Tax Over</w:t>
            </w: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Book Depreciation</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(39,190)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(39,190)</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$(156,208)</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$(156,208)</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Undistributed Earnings</w:t>
            </w: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 Foreign Affiliate</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(125,511)</w:t>
            </w:r>
          </w:p>
        </w:tc>
        <w:tc>
          <w:tcPr>
            <w:tcW w:w="3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(125,511)</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(109,350)</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(109,350)</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 in Affiliate</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(37,115)</w:t>
            </w:r>
          </w:p>
        </w:tc>
        <w:tc>
          <w:tcPr>
            <w:tcW w:w="3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(37,115)</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(28,056)</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(28,056)</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Income TAxes</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$22,875</w:t>
            </w:r>
          </w:p>
        </w:tc>
        <w:tc>
          <w:tcPr>
            <w:tcW w:w="14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22,875</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$12,595</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12,595</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Bad Debt Reserve</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18,678</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18,678</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Special and</w:t>
            </w: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Nonrecurring Items</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28,919</w:t>
            </w:r>
          </w:p>
        </w:tc>
        <w:tc>
          <w:tcPr>
            <w:tcW w:w="14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28,919</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18,912</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18,912</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28,571</w:t>
            </w:r>
          </w:p>
        </w:tc>
        <w:tc>
          <w:tcPr>
            <w:tcW w:w="14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(19,876)</w:t>
            </w:r>
          </w:p>
        </w:tc>
        <w:tc>
          <w:tcPr>
            <w:tcW w:w="3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8,695</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30,170</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(48,385)</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(18,215)</w:t>
            </w:r>
          </w:p>
        </w:tc>
      </w:tr>
      <w:tr>
        <w:trPr>
          <w:trHeight w:val="168"/>
        </w:trPr>
        <w:tc>
          <w:tcPr>
            <w:tcW w:w="2280" w:type="dxa"/>
            <w:vAlign w:val="bottom"/>
          </w:tcPr>
          <w:p>
            <w:pPr>
              <w:spacing w:after="0"/>
              <w:rPr>
                <w:sz w:val="14"/>
                <w:szCs w:val="14"/>
                <w:color w:val="auto"/>
              </w:rPr>
            </w:pPr>
          </w:p>
        </w:tc>
        <w:tc>
          <w:tcPr>
            <w:tcW w:w="7700" w:type="dxa"/>
            <w:vAlign w:val="bottom"/>
            <w:gridSpan w:val="7"/>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Deferred</w:t>
            </w: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Taxes</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$80,365</w:t>
            </w:r>
          </w:p>
        </w:tc>
        <w:tc>
          <w:tcPr>
            <w:tcW w:w="14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$(221,692)</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(141,327)</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$80,355</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$(341,999)</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$(261,644)</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455" w:right="1440" w:bottom="0" w:gutter="0" w:footer="0" w:header="0"/>
        </w:sectPr>
      </w:pPr>
    </w:p>
    <w:bookmarkStart w:id="148" w:name="page149"/>
    <w:bookmarkEnd w:id="148"/>
    <w:p>
      <w:pPr>
        <w:ind w:right="3759"/>
        <w:spacing w:after="0" w:line="234" w:lineRule="auto"/>
        <w:rPr>
          <w:sz w:val="20"/>
          <w:szCs w:val="20"/>
          <w:color w:val="auto"/>
        </w:rPr>
      </w:pPr>
      <w:r>
        <w:rPr>
          <w:rFonts w:ascii="Courier New" w:cs="Courier New" w:eastAsia="Courier New" w:hAnsi="Courier New"/>
          <w:sz w:val="15"/>
          <w:szCs w:val="15"/>
          <w:color w:val="auto"/>
        </w:rPr>
        <w:t>Income tax payments approximated $306.1 million, $320.9 million and $291.3 million for 1995, 1994 and 1993.</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58 The Limited, Inc.</w:t>
      </w:r>
    </w:p>
    <w:p>
      <w:pPr>
        <w:sectPr>
          <w:pgSz w:w="11900" w:h="16838" w:orient="portrait"/>
          <w:cols w:equalWidth="0" w:num="1">
            <w:col w:w="10239"/>
          </w:cols>
          <w:pgMar w:left="220" w:top="309" w:right="1440" w:bottom="1440" w:gutter="0" w:footer="0" w:header="0"/>
        </w:sectPr>
      </w:pPr>
    </w:p>
    <w:bookmarkStart w:id="149" w:name="page150"/>
    <w:bookmarkEnd w:id="149"/>
    <w:p>
      <w:pPr>
        <w:ind w:right="3499" w:firstLine="262"/>
        <w:spacing w:after="0" w:line="255" w:lineRule="auto"/>
        <w:rPr>
          <w:sz w:val="20"/>
          <w:szCs w:val="20"/>
          <w:color w:val="auto"/>
        </w:rPr>
      </w:pPr>
      <w:r>
        <w:rPr>
          <w:rFonts w:ascii="Courier New" w:cs="Courier New" w:eastAsia="Courier New" w:hAnsi="Courier New"/>
          <w:sz w:val="14"/>
          <w:szCs w:val="14"/>
          <w:color w:val="auto"/>
        </w:rPr>
        <w:t>The Internal Revenue Service has assessed the Company for additional taxes and interest for years 1989-1992. The assessment was based primarily on the treatment of transactions involving the Company's foreign operations and construction allowances. Although a $65 million deposit has been made to mitigate further interest being assessed, the Company strongly disagrees with the assessment and is vigorously contesting the matter. Management believes resolution of this matter will not have a material adverse effect on the Company's results of operations or financial condition.</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Contingent Stock Redemption Agreement</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In connection with the reconfiguration of the business, the Company purchased form shareholders via a self-tender offer, 85 million shares of The Limited Inc. stock for approximately $1.615 billion on March 18, 1996. Leslie H. Wexner, Chairman and CEO of the Company, as well as the Company's founder and principal shareholder, did not participate in the self-tender. However, the Company has entered into an agreement which provides The Wexner Children's Trust the opportunity, commencing on February 1, 1998, and for a period of three years there-after (the exercise period), to require the Company to redeem up to 18.75 million shares for a price per share equal to $18.75 (a price equal to the price per share paid in the self-tender less $.25 per share). Under certain circumstances, lenders to the Trust, if any, may exercise this opportunity, beginning February 1, 1997. The Company received the opportunity to redeem an equivalent number of shares from the Trust at $25.07 per share for a period beginning on August 1, 2001 and for six months thereafter. As a result of these events, the Company has transferred $351.6 million to temporary equity identified as Contingent Stock Redemption Agreement in the Consolidated Balance Sheet as of February 3, 1996. In addition, approximately $351.6 million has been designated as restricted cash to consummate either of the above rights. (See Note 6.) The terms of this agreement were approved by the Company's Board of Directors.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Stock Options and Restricted Stock</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Stock options are granted to officers and key employees based upon fair market value at the date of grant. In 1995, the Company established a stock option plan for officers and key associates of IBI. In connection with the IBI initial public offering, associates of IBI were permitted to exchange on a fair value basis 1995 The Limited, Inc. stock options for stock options granted by IBI. Cancellations during 1995 include 347,500 shares granted to IBI associates which were exchanged for options of IBI common stock. A summary of option activity for 1993, 1994 and 1995 follows: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jc w:val="right"/>
        <w:ind w:right="3319"/>
        <w:spacing w:after="0"/>
        <w:tabs>
          <w:tab w:leader="none" w:pos="1560" w:val="left"/>
        </w:tabs>
        <w:rPr>
          <w:sz w:val="20"/>
          <w:szCs w:val="20"/>
          <w:color w:val="auto"/>
        </w:rPr>
      </w:pPr>
      <w:r>
        <w:rPr>
          <w:rFonts w:ascii="Courier New" w:cs="Courier New" w:eastAsia="Courier New" w:hAnsi="Courier New"/>
          <w:sz w:val="15"/>
          <w:szCs w:val="15"/>
          <w:color w:val="auto"/>
        </w:rPr>
        <w:t>Number of</w:t>
      </w:r>
      <w:r>
        <w:rPr>
          <w:sz w:val="20"/>
          <w:szCs w:val="20"/>
          <w:color w:val="auto"/>
        </w:rPr>
        <w:tab/>
      </w:r>
      <w:r>
        <w:rPr>
          <w:rFonts w:ascii="Courier New" w:cs="Courier New" w:eastAsia="Courier New" w:hAnsi="Courier New"/>
          <w:sz w:val="14"/>
          <w:szCs w:val="14"/>
          <w:color w:val="auto"/>
        </w:rPr>
        <w:t>Weighted Average</w:t>
      </w:r>
    </w:p>
    <w:p>
      <w:pPr>
        <w:jc w:val="both"/>
        <w:ind w:left="4120"/>
        <w:spacing w:after="0" w:line="237" w:lineRule="auto"/>
        <w:tabs>
          <w:tab w:leader="none" w:pos="4980"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Option Price Per Share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Outstanding Options, January 30, 1993</w:t>
            </w:r>
          </w:p>
        </w:tc>
        <w:tc>
          <w:tcPr>
            <w:tcW w:w="200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5,514,000</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$18.57</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Activity During 1993: Granted</w:t>
            </w:r>
          </w:p>
        </w:tc>
        <w:tc>
          <w:tcPr>
            <w:tcW w:w="200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2,457,000</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21.74</w:t>
            </w:r>
          </w:p>
        </w:tc>
      </w:tr>
      <w:tr>
        <w:trPr>
          <w:trHeight w:val="168"/>
        </w:trPr>
        <w:tc>
          <w:tcPr>
            <w:tcW w:w="3560" w:type="dxa"/>
            <w:vAlign w:val="bottom"/>
          </w:tcPr>
          <w:p>
            <w:pPr>
              <w:ind w:left="1940"/>
              <w:spacing w:after="0" w:line="168" w:lineRule="exact"/>
              <w:rPr>
                <w:sz w:val="20"/>
                <w:szCs w:val="20"/>
                <w:color w:val="auto"/>
              </w:rPr>
            </w:pPr>
            <w:r>
              <w:rPr>
                <w:rFonts w:ascii="Courier New" w:cs="Courier New" w:eastAsia="Courier New" w:hAnsi="Courier New"/>
                <w:sz w:val="15"/>
                <w:szCs w:val="15"/>
                <w:color w:val="auto"/>
              </w:rPr>
              <w:t>Exercised</w:t>
            </w:r>
          </w:p>
        </w:tc>
        <w:tc>
          <w:tcPr>
            <w:tcW w:w="200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(431,000)</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12.22</w:t>
            </w:r>
          </w:p>
        </w:tc>
      </w:tr>
      <w:tr>
        <w:trPr>
          <w:trHeight w:val="168"/>
        </w:trPr>
        <w:tc>
          <w:tcPr>
            <w:tcW w:w="3560" w:type="dxa"/>
            <w:vAlign w:val="bottom"/>
          </w:tcPr>
          <w:p>
            <w:pPr>
              <w:ind w:left="1940"/>
              <w:spacing w:after="0" w:line="168" w:lineRule="exact"/>
              <w:rPr>
                <w:sz w:val="20"/>
                <w:szCs w:val="20"/>
                <w:color w:val="auto"/>
              </w:rPr>
            </w:pPr>
            <w:r>
              <w:rPr>
                <w:rFonts w:ascii="Courier New" w:cs="Courier New" w:eastAsia="Courier New" w:hAnsi="Courier New"/>
                <w:sz w:val="15"/>
                <w:szCs w:val="15"/>
                <w:color w:val="auto"/>
              </w:rPr>
              <w:t>Canceled</w:t>
            </w:r>
          </w:p>
        </w:tc>
        <w:tc>
          <w:tcPr>
            <w:tcW w:w="200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(357,000)</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22.32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Outstanding Options, January 29, 1994</w:t>
            </w:r>
          </w:p>
        </w:tc>
        <w:tc>
          <w:tcPr>
            <w:tcW w:w="200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7,183,000</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$19.87</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Activity During 1994: Granted</w:t>
            </w:r>
          </w:p>
        </w:tc>
        <w:tc>
          <w:tcPr>
            <w:tcW w:w="200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2,122,000</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17.19</w:t>
            </w:r>
          </w:p>
        </w:tc>
      </w:tr>
      <w:tr>
        <w:trPr>
          <w:trHeight w:val="168"/>
        </w:trPr>
        <w:tc>
          <w:tcPr>
            <w:tcW w:w="3560" w:type="dxa"/>
            <w:vAlign w:val="bottom"/>
          </w:tcPr>
          <w:p>
            <w:pPr>
              <w:ind w:left="1940"/>
              <w:spacing w:after="0" w:line="168" w:lineRule="exact"/>
              <w:rPr>
                <w:sz w:val="20"/>
                <w:szCs w:val="20"/>
                <w:color w:val="auto"/>
              </w:rPr>
            </w:pPr>
            <w:r>
              <w:rPr>
                <w:rFonts w:ascii="Courier New" w:cs="Courier New" w:eastAsia="Courier New" w:hAnsi="Courier New"/>
                <w:sz w:val="15"/>
                <w:szCs w:val="15"/>
                <w:color w:val="auto"/>
              </w:rPr>
              <w:t>Exercised</w:t>
            </w:r>
          </w:p>
        </w:tc>
        <w:tc>
          <w:tcPr>
            <w:tcW w:w="200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(393,000)</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11.44</w:t>
            </w:r>
          </w:p>
        </w:tc>
      </w:tr>
      <w:tr>
        <w:trPr>
          <w:trHeight w:val="168"/>
        </w:trPr>
        <w:tc>
          <w:tcPr>
            <w:tcW w:w="3560" w:type="dxa"/>
            <w:vAlign w:val="bottom"/>
          </w:tcPr>
          <w:p>
            <w:pPr>
              <w:ind w:left="1940"/>
              <w:spacing w:after="0" w:line="168" w:lineRule="exact"/>
              <w:rPr>
                <w:sz w:val="20"/>
                <w:szCs w:val="20"/>
                <w:color w:val="auto"/>
              </w:rPr>
            </w:pPr>
            <w:r>
              <w:rPr>
                <w:rFonts w:ascii="Courier New" w:cs="Courier New" w:eastAsia="Courier New" w:hAnsi="Courier New"/>
                <w:sz w:val="15"/>
                <w:szCs w:val="15"/>
                <w:color w:val="auto"/>
              </w:rPr>
              <w:t>Canceled</w:t>
            </w:r>
          </w:p>
        </w:tc>
        <w:tc>
          <w:tcPr>
            <w:tcW w:w="200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(498,000)</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21.49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20"/>
                <w:szCs w:val="20"/>
                <w:color w:val="auto"/>
              </w:rPr>
            </w:pPr>
            <w:r>
              <w:rPr>
                <w:rFonts w:ascii="Courier New" w:cs="Courier New" w:eastAsia="Courier New" w:hAnsi="Courier New"/>
                <w:sz w:val="15"/>
                <w:szCs w:val="15"/>
                <w:color w:val="auto"/>
              </w:rPr>
              <w:t>Outstanding Options, January 28, 1995</w:t>
            </w:r>
          </w:p>
        </w:tc>
        <w:tc>
          <w:tcPr>
            <w:tcW w:w="206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8,414,000</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$19.56</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Activity During 1995: Granted</w:t>
            </w:r>
          </w:p>
        </w:tc>
        <w:tc>
          <w:tcPr>
            <w:tcW w:w="206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2,196,000</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17.81</w:t>
            </w:r>
          </w:p>
        </w:tc>
      </w:tr>
      <w:tr>
        <w:trPr>
          <w:trHeight w:val="168"/>
        </w:trPr>
        <w:tc>
          <w:tcPr>
            <w:tcW w:w="3500" w:type="dxa"/>
            <w:vAlign w:val="bottom"/>
          </w:tcPr>
          <w:p>
            <w:pPr>
              <w:ind w:left="1940"/>
              <w:spacing w:after="0" w:line="168" w:lineRule="exact"/>
              <w:rPr>
                <w:sz w:val="20"/>
                <w:szCs w:val="20"/>
                <w:color w:val="auto"/>
              </w:rPr>
            </w:pPr>
            <w:r>
              <w:rPr>
                <w:rFonts w:ascii="Courier New" w:cs="Courier New" w:eastAsia="Courier New" w:hAnsi="Courier New"/>
                <w:sz w:val="15"/>
                <w:szCs w:val="15"/>
                <w:color w:val="auto"/>
              </w:rPr>
              <w:t>Exercised</w:t>
            </w:r>
          </w:p>
        </w:tc>
        <w:tc>
          <w:tcPr>
            <w:tcW w:w="206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(280,000)</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12.43</w:t>
            </w:r>
          </w:p>
        </w:tc>
      </w:tr>
      <w:tr>
        <w:trPr>
          <w:trHeight w:val="168"/>
        </w:trPr>
        <w:tc>
          <w:tcPr>
            <w:tcW w:w="3500" w:type="dxa"/>
            <w:vAlign w:val="bottom"/>
          </w:tcPr>
          <w:p>
            <w:pPr>
              <w:ind w:left="1940"/>
              <w:spacing w:after="0" w:line="168" w:lineRule="exact"/>
              <w:rPr>
                <w:sz w:val="20"/>
                <w:szCs w:val="20"/>
                <w:color w:val="auto"/>
              </w:rPr>
            </w:pPr>
            <w:r>
              <w:rPr>
                <w:rFonts w:ascii="Courier New" w:cs="Courier New" w:eastAsia="Courier New" w:hAnsi="Courier New"/>
                <w:sz w:val="15"/>
                <w:szCs w:val="15"/>
                <w:color w:val="auto"/>
              </w:rPr>
              <w:t>Cancelled</w:t>
            </w:r>
          </w:p>
        </w:tc>
        <w:tc>
          <w:tcPr>
            <w:tcW w:w="206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(1,188,000)</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Outstanding Options, February 3, 1996</w:t>
            </w:r>
          </w:p>
        </w:tc>
        <w:tc>
          <w:tcPr>
            <w:tcW w:w="196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9,142,000</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$19.32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had approximately .9 million shares available for grant for The Limited, Inc. stock options at February 3, 1996 as compared to 2.2 million shares available at January 28, 1995 and 5.3 million shares available at January 29, 1994. Approximately 9.1 million shares of the Company's common stock were reserved for outstanding options, of which 4.8 million were exercisable as of February 3, 1996.</w:t>
      </w:r>
    </w:p>
    <w:p>
      <w:pPr>
        <w:spacing w:after="0" w:line="175" w:lineRule="exact"/>
        <w:rPr>
          <w:sz w:val="20"/>
          <w:szCs w:val="20"/>
          <w:color w:val="auto"/>
        </w:rPr>
      </w:pPr>
    </w:p>
    <w:p>
      <w:pPr>
        <w:ind w:right="3319" w:firstLine="262"/>
        <w:spacing w:after="0" w:line="256" w:lineRule="auto"/>
        <w:rPr>
          <w:sz w:val="20"/>
          <w:szCs w:val="20"/>
          <w:color w:val="auto"/>
        </w:rPr>
      </w:pPr>
      <w:r>
        <w:rPr>
          <w:rFonts w:ascii="Courier New" w:cs="Courier New" w:eastAsia="Courier New" w:hAnsi="Courier New"/>
          <w:sz w:val="14"/>
          <w:szCs w:val="14"/>
          <w:color w:val="auto"/>
        </w:rPr>
        <w:t>In 1995 and 1994, approximately 569,000 and 848,000 restricted shares of the Company's common stock were granted to certain officers and key associates. The Market value of the shares at the date of grant amounted to $10.0 million in 1995 and $16.7 million in 1994 and is recorded within treasury stock in the</w:t>
      </w:r>
    </w:p>
    <w:p>
      <w:pPr>
        <w:spacing w:after="0" w:line="326" w:lineRule="exact"/>
        <w:rPr>
          <w:sz w:val="20"/>
          <w:szCs w:val="20"/>
          <w:color w:val="auto"/>
        </w:rPr>
      </w:pPr>
    </w:p>
    <w:p>
      <w:pPr>
        <w:ind w:left="5260"/>
        <w:spacing w:after="0"/>
        <w:rPr>
          <w:sz w:val="20"/>
          <w:szCs w:val="20"/>
          <w:color w:val="auto"/>
        </w:rPr>
      </w:pPr>
      <w:r>
        <w:rPr>
          <w:rFonts w:ascii="Courier New" w:cs="Courier New" w:eastAsia="Courier New" w:hAnsi="Courier New"/>
          <w:sz w:val="15"/>
          <w:szCs w:val="15"/>
          <w:color w:val="auto"/>
        </w:rPr>
        <w:t>The Limited, Inc. 59</w:t>
      </w:r>
    </w:p>
    <w:p>
      <w:pPr>
        <w:sectPr>
          <w:pgSz w:w="11900" w:h="16838" w:orient="portrait"/>
          <w:cols w:equalWidth="0" w:num="1">
            <w:col w:w="10239"/>
          </w:cols>
          <w:pgMar w:left="220" w:top="455" w:right="1440" w:bottom="1440" w:gutter="0" w:footer="0" w:header="0"/>
        </w:sectPr>
      </w:pPr>
    </w:p>
    <w:bookmarkStart w:id="150" w:name="page151"/>
    <w:bookmarkEnd w:id="150"/>
    <w:p>
      <w:pPr>
        <w:ind w:right="3239"/>
        <w:spacing w:after="0" w:line="236" w:lineRule="auto"/>
        <w:rPr>
          <w:sz w:val="20"/>
          <w:szCs w:val="20"/>
          <w:color w:val="auto"/>
        </w:rPr>
      </w:pPr>
      <w:r>
        <w:rPr>
          <w:rFonts w:ascii="Courier New" w:cs="Courier New" w:eastAsia="Courier New" w:hAnsi="Courier New"/>
          <w:sz w:val="15"/>
          <w:szCs w:val="15"/>
          <w:color w:val="auto"/>
        </w:rPr>
        <w:t>accompanying Consolidated Financial Statements. The market value is being amortized as compensation expense over the vesting period which ranges from four to ten years. Compensation expense of $9.1 million, $7.3 million and $1.3 million was recorded in 1995, 1994 and 1993. In 1995, 129,000 restricted shares which had been granted to IBI associates were canceled and exchanged, on a fair value basis, for IBI restricted stock.</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Retirement Benefits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sponsors a defined contribution retirement plan. Participation in this plan is available to all associates who have completed 1,000 or more hours of service with the Company during certain 12-month periods and attained the age of 21. Company contributions to this plan are based on a percentage of the associates' annual compensation. The cost of this plan was $30.5 million in 1995, $26.7 million in 1994 and $25.9 million in 1993.</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Disclosures About Fair Value of Financial Instruments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following methods and assumptions were used to estimate the fair value of each class of financial instruments for which it is practicable to estimate that value: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Current assets, current liabilities and restricted cash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8"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carrying value of cash equivalents, restricted cash, short-term borrowings, accounts payable and accrued expenses approximates fair value because of their short maturity. The carrying amount of the credit card receivables approximates fair value due to the short maturity and because the average interest rate approximates current market origination rates.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Long-term debt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8"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The fair value of the Company's long-term debt is estimated based on the quoted market prices for the same or similar issues or on the current rates offered to the Company for debt of the same remaining maturities.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rate swap agreement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8"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The fair value of interest rate swaps is the estimated amount that the Company would receive or pay to terminate the swap agreements at the reporting date, taking into account current interest rates and the current creditworthiness of the swap counterparties.</w:t>
      </w:r>
    </w:p>
    <w:p>
      <w:pPr>
        <w:spacing w:after="0" w:line="175" w:lineRule="exact"/>
        <w:rPr>
          <w:sz w:val="20"/>
          <w:szCs w:val="20"/>
          <w:color w:val="auto"/>
        </w:rPr>
      </w:pPr>
    </w:p>
    <w:p>
      <w:pPr>
        <w:ind w:right="3759" w:firstLine="262"/>
        <w:spacing w:after="0" w:line="234" w:lineRule="auto"/>
        <w:rPr>
          <w:sz w:val="20"/>
          <w:szCs w:val="20"/>
          <w:color w:val="auto"/>
        </w:rPr>
      </w:pPr>
      <w:r>
        <w:rPr>
          <w:rFonts w:ascii="Courier New" w:cs="Courier New" w:eastAsia="Courier New" w:hAnsi="Courier New"/>
          <w:sz w:val="15"/>
          <w:szCs w:val="15"/>
          <w:color w:val="auto"/>
        </w:rPr>
        <w:t>The estimated fair values of the Company's financial instruments are as follows (Thousands):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80" w:hanging="170"/>
        <w:spacing w:after="0"/>
        <w:tabs>
          <w:tab w:leader="none" w:pos="180"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36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19951994</w:t>
      </w:r>
    </w:p>
    <w:p>
      <w:pPr>
        <w:ind w:left="2720"/>
        <w:spacing w:after="0" w:line="238" w:lineRule="auto"/>
        <w:tabs>
          <w:tab w:leader="none" w:pos="48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2720"/>
        <w:spacing w:after="0" w:line="237" w:lineRule="auto"/>
        <w:tabs>
          <w:tab w:leader="none" w:pos="3920" w:val="left"/>
          <w:tab w:leader="none" w:pos="4880" w:val="left"/>
          <w:tab w:leader="none" w:pos="6280" w:val="left"/>
        </w:tabs>
        <w:rPr>
          <w:sz w:val="20"/>
          <w:szCs w:val="20"/>
          <w:color w:val="auto"/>
        </w:rPr>
      </w:pPr>
      <w:r>
        <w:rPr>
          <w:rFonts w:ascii="Courier New" w:cs="Courier New" w:eastAsia="Courier New" w:hAnsi="Courier New"/>
          <w:sz w:val="15"/>
          <w:szCs w:val="15"/>
          <w:color w:val="auto"/>
        </w:rPr>
        <w:t>Carrying</w:t>
      </w:r>
      <w:r>
        <w:rPr>
          <w:sz w:val="20"/>
          <w:szCs w:val="20"/>
          <w:color w:val="auto"/>
        </w:rPr>
        <w:tab/>
      </w:r>
      <w:r>
        <w:rPr>
          <w:rFonts w:ascii="Courier New" w:cs="Courier New" w:eastAsia="Courier New" w:hAnsi="Courier New"/>
          <w:sz w:val="15"/>
          <w:szCs w:val="15"/>
          <w:color w:val="auto"/>
        </w:rPr>
        <w:t>Fair</w:t>
      </w:r>
      <w:r>
        <w:rPr>
          <w:sz w:val="20"/>
          <w:szCs w:val="20"/>
          <w:color w:val="auto"/>
        </w:rPr>
        <w:tab/>
      </w:r>
      <w:r>
        <w:rPr>
          <w:rFonts w:ascii="Courier New" w:cs="Courier New" w:eastAsia="Courier New" w:hAnsi="Courier New"/>
          <w:sz w:val="15"/>
          <w:szCs w:val="15"/>
          <w:color w:val="auto"/>
        </w:rPr>
        <w:t>Carrying</w:t>
      </w:r>
      <w:r>
        <w:rPr>
          <w:sz w:val="20"/>
          <w:szCs w:val="20"/>
          <w:color w:val="auto"/>
        </w:rPr>
        <w:tab/>
      </w:r>
      <w:r>
        <w:rPr>
          <w:rFonts w:ascii="Courier New" w:cs="Courier New" w:eastAsia="Courier New" w:hAnsi="Courier New"/>
          <w:sz w:val="15"/>
          <w:szCs w:val="15"/>
          <w:color w:val="auto"/>
        </w:rPr>
        <w:t>Fair</w:t>
      </w:r>
    </w:p>
    <w:p>
      <w:pPr>
        <w:ind w:left="2800"/>
        <w:spacing w:after="0"/>
        <w:tabs>
          <w:tab w:leader="none" w:pos="3920" w:val="left"/>
          <w:tab w:leader="none" w:pos="4980" w:val="left"/>
          <w:tab w:leader="none" w:pos="6200" w:val="left"/>
        </w:tabs>
        <w:rPr>
          <w:sz w:val="20"/>
          <w:szCs w:val="20"/>
          <w:color w:val="auto"/>
        </w:rPr>
      </w:pPr>
      <w:r>
        <w:rPr>
          <w:rFonts w:ascii="Courier New" w:cs="Courier New" w:eastAsia="Courier New" w:hAnsi="Courier New"/>
          <w:sz w:val="15"/>
          <w:szCs w:val="15"/>
          <w:color w:val="auto"/>
        </w:rPr>
        <w:t>Amount</w:t>
      </w:r>
      <w:r>
        <w:rPr>
          <w:sz w:val="20"/>
          <w:szCs w:val="20"/>
          <w:color w:val="auto"/>
        </w:rPr>
        <w:tab/>
      </w:r>
      <w:r>
        <w:rPr>
          <w:rFonts w:ascii="Courier New" w:cs="Courier New" w:eastAsia="Courier New" w:hAnsi="Courier New"/>
          <w:sz w:val="15"/>
          <w:szCs w:val="15"/>
          <w:color w:val="auto"/>
        </w:rPr>
        <w:t>Value</w:t>
      </w:r>
      <w:r>
        <w:rPr>
          <w:sz w:val="20"/>
          <w:szCs w:val="20"/>
          <w:color w:val="auto"/>
        </w:rPr>
        <w:tab/>
      </w:r>
      <w:r>
        <w:rPr>
          <w:rFonts w:ascii="Courier New" w:cs="Courier New" w:eastAsia="Courier New" w:hAnsi="Courier New"/>
          <w:sz w:val="15"/>
          <w:szCs w:val="15"/>
          <w:color w:val="auto"/>
        </w:rPr>
        <w:t>Amount</w:t>
      </w:r>
      <w:r>
        <w:rPr>
          <w:sz w:val="20"/>
          <w:szCs w:val="20"/>
          <w:color w:val="auto"/>
        </w:rPr>
        <w:tab/>
      </w:r>
      <w:r>
        <w:rPr>
          <w:rFonts w:ascii="Courier New" w:cs="Courier New" w:eastAsia="Courier New" w:hAnsi="Courier New"/>
          <w:sz w:val="14"/>
          <w:szCs w:val="14"/>
          <w:color w:val="auto"/>
        </w:rPr>
        <w:t>Value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(650,000)</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$(645,180)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(650,000)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3"/>
              </w:rPr>
              <w:t>(650,540)</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Rate Swaps</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(793)</w:t>
            </w: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(10,194)</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(886)</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(5,970)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 Quarterly Financial Data (Unaudited)</w:t>
      </w:r>
    </w:p>
    <w:p>
      <w:pPr>
        <w:spacing w:after="0" w:line="173"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Summarized quarterly financial results for 1995 and 1994 follow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2980"/>
        <w:spacing w:after="0"/>
        <w:tabs>
          <w:tab w:leader="none" w:pos="4100" w:val="left"/>
          <w:tab w:leader="none" w:pos="5240" w:val="left"/>
          <w:tab w:leader="none" w:pos="6380" w:val="left"/>
        </w:tabs>
        <w:rPr>
          <w:sz w:val="20"/>
          <w:szCs w:val="20"/>
          <w:color w:val="auto"/>
        </w:rPr>
      </w:pPr>
      <w:r>
        <w:rPr>
          <w:rFonts w:ascii="Courier New" w:cs="Courier New" w:eastAsia="Courier New" w:hAnsi="Courier New"/>
          <w:sz w:val="15"/>
          <w:szCs w:val="15"/>
          <w:color w:val="auto"/>
        </w:rPr>
        <w:t>First</w:t>
      </w:r>
      <w:r>
        <w:rPr>
          <w:sz w:val="20"/>
          <w:szCs w:val="20"/>
          <w:color w:val="auto"/>
        </w:rPr>
        <w:tab/>
      </w:r>
      <w:r>
        <w:rPr>
          <w:rFonts w:ascii="Courier New" w:cs="Courier New" w:eastAsia="Courier New" w:hAnsi="Courier New"/>
          <w:sz w:val="15"/>
          <w:szCs w:val="15"/>
          <w:color w:val="auto"/>
        </w:rPr>
        <w:t>Second</w:t>
      </w:r>
      <w:r>
        <w:rPr>
          <w:sz w:val="20"/>
          <w:szCs w:val="20"/>
          <w:color w:val="auto"/>
        </w:rPr>
        <w:tab/>
      </w:r>
      <w:r>
        <w:rPr>
          <w:rFonts w:ascii="Courier New" w:cs="Courier New" w:eastAsia="Courier New" w:hAnsi="Courier New"/>
          <w:sz w:val="15"/>
          <w:szCs w:val="15"/>
          <w:color w:val="auto"/>
        </w:rPr>
        <w:t>Third</w:t>
      </w:r>
      <w:r>
        <w:rPr>
          <w:sz w:val="20"/>
          <w:szCs w:val="20"/>
          <w:color w:val="auto"/>
        </w:rPr>
        <w:tab/>
      </w:r>
      <w:r>
        <w:rPr>
          <w:rFonts w:ascii="Courier New" w:cs="Courier New" w:eastAsia="Courier New" w:hAnsi="Courier New"/>
          <w:sz w:val="14"/>
          <w:szCs w:val="14"/>
          <w:color w:val="auto"/>
        </w:rPr>
        <w:t>Fourth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rPr>
              <w:t>1995 Quarter</w:t>
            </w: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Sales</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1,588,134</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1,718,643</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$1,803,295</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$2,771,365</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Income</w:t>
            </w:r>
          </w:p>
        </w:tc>
        <w:tc>
          <w:tcPr>
            <w:tcW w:w="4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402,666</w:t>
            </w:r>
          </w:p>
        </w:tc>
        <w:tc>
          <w:tcPr>
            <w:tcW w:w="2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423,696</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452,958</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808,212</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4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39,211</w:t>
            </w:r>
          </w:p>
        </w:tc>
        <w:tc>
          <w:tcPr>
            <w:tcW w:w="2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48,762</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657,313</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216,225</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Per Share</w:t>
            </w:r>
          </w:p>
        </w:tc>
        <w:tc>
          <w:tcPr>
            <w:tcW w:w="4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0.11</w:t>
            </w:r>
          </w:p>
        </w:tc>
        <w:tc>
          <w:tcPr>
            <w:tcW w:w="2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0.14</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1.83</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0.60</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Per Share</w:t>
            </w: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2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(Excluding Gain on</w:t>
            </w: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2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Sale of Subsidiary</w:t>
            </w: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2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Stock)</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0.11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0.14</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0.12</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0.50</w:t>
            </w:r>
          </w:p>
        </w:tc>
      </w:tr>
    </w:tbl>
    <w:p>
      <w:pPr>
        <w:spacing w:after="0" w:line="5" w:lineRule="exact"/>
        <w:rPr>
          <w:sz w:val="20"/>
          <w:szCs w:val="20"/>
          <w:color w:val="auto"/>
        </w:rPr>
      </w:pPr>
    </w:p>
    <w:p>
      <w:pPr>
        <w:ind w:left="180" w:hanging="170"/>
        <w:spacing w:after="0"/>
        <w:tabs>
          <w:tab w:leader="none" w:pos="180"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1994 Quarter</w:t>
      </w:r>
    </w:p>
    <w:tbl>
      <w:tblPr>
        <w:tblLayout w:type="fixed"/>
        <w:tblInd w:w="0" w:type="dxa"/>
        <w:tblCellMar>
          <w:top w:w="0" w:type="dxa"/>
          <w:left w:w="0" w:type="dxa"/>
          <w:bottom w:w="0" w:type="dxa"/>
          <w:right w:w="0" w:type="dxa"/>
        </w:tblCellMar>
      </w:tblPr>
      <w:tr>
        <w:trPr>
          <w:trHeight w:val="169"/>
        </w:trPr>
        <w:tc>
          <w:tcPr>
            <w:tcW w:w="2160" w:type="dxa"/>
            <w:vAlign w:val="bottom"/>
            <w:gridSpan w:val="2"/>
          </w:tcPr>
          <w:p>
            <w:pPr>
              <w:spacing w:after="0" w:line="169" w:lineRule="exact"/>
              <w:rPr>
                <w:sz w:val="20"/>
                <w:szCs w:val="20"/>
                <w:color w:val="auto"/>
              </w:rPr>
            </w:pPr>
            <w:r>
              <w:rPr>
                <w:rFonts w:ascii="Courier New" w:cs="Courier New" w:eastAsia="Courier New" w:hAnsi="Courier New"/>
                <w:sz w:val="15"/>
                <w:szCs w:val="15"/>
                <w:color w:val="auto"/>
              </w:rPr>
              <w:t>Net Sales</w:t>
            </w:r>
          </w:p>
        </w:tc>
        <w:tc>
          <w:tcPr>
            <w:tcW w:w="48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w w:val="93"/>
              </w:rPr>
              <w:t>1,481,628</w:t>
            </w:r>
          </w:p>
        </w:tc>
        <w:tc>
          <w:tcPr>
            <w:tcW w:w="2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9" w:lineRule="exact"/>
              <w:rPr>
                <w:sz w:val="20"/>
                <w:szCs w:val="20"/>
                <w:color w:val="auto"/>
              </w:rPr>
            </w:pPr>
            <w:r>
              <w:rPr>
                <w:rFonts w:ascii="Courier New" w:cs="Courier New" w:eastAsia="Courier New" w:hAnsi="Courier New"/>
                <w:sz w:val="15"/>
                <w:szCs w:val="15"/>
                <w:color w:val="auto"/>
                <w:w w:val="93"/>
              </w:rPr>
              <w:t>1,585,392</w:t>
            </w:r>
          </w:p>
        </w:tc>
        <w:tc>
          <w:tcPr>
            <w:tcW w:w="1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9" w:lineRule="exact"/>
              <w:rPr>
                <w:sz w:val="20"/>
                <w:szCs w:val="20"/>
                <w:color w:val="auto"/>
              </w:rPr>
            </w:pPr>
            <w:r>
              <w:rPr>
                <w:rFonts w:ascii="Courier New" w:cs="Courier New" w:eastAsia="Courier New" w:hAnsi="Courier New"/>
                <w:sz w:val="15"/>
                <w:szCs w:val="15"/>
                <w:color w:val="auto"/>
                <w:w w:val="96"/>
              </w:rPr>
              <w:t>1,715,716</w:t>
            </w:r>
          </w:p>
        </w:tc>
        <w:tc>
          <w:tcPr>
            <w:tcW w:w="28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w w:val="93"/>
              </w:rPr>
              <w:t>2,538,596</w:t>
            </w:r>
          </w:p>
        </w:tc>
      </w:tr>
      <w:tr>
        <w:trPr>
          <w:trHeight w:val="168"/>
        </w:trPr>
        <w:tc>
          <w:tcPr>
            <w:tcW w:w="21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Gross Income</w:t>
            </w:r>
          </w:p>
        </w:tc>
        <w:tc>
          <w:tcPr>
            <w:tcW w:w="4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384,931</w:t>
            </w:r>
          </w:p>
        </w:tc>
        <w:tc>
          <w:tcPr>
            <w:tcW w:w="2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402,666</w:t>
            </w:r>
          </w:p>
        </w:tc>
        <w:tc>
          <w:tcPr>
            <w:tcW w:w="1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495,295</w:t>
            </w:r>
          </w:p>
        </w:tc>
        <w:tc>
          <w:tcPr>
            <w:tcW w:w="2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831,471</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Net</w:t>
            </w:r>
          </w:p>
        </w:tc>
        <w:tc>
          <w:tcPr>
            <w:tcW w:w="1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Income</w:t>
            </w:r>
          </w:p>
        </w:tc>
        <w:tc>
          <w:tcPr>
            <w:tcW w:w="4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47,276</w:t>
            </w:r>
          </w:p>
        </w:tc>
        <w:tc>
          <w:tcPr>
            <w:tcW w:w="26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53,832</w:t>
            </w:r>
          </w:p>
        </w:tc>
        <w:tc>
          <w:tcPr>
            <w:tcW w:w="1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90,490</w:t>
            </w:r>
          </w:p>
        </w:tc>
        <w:tc>
          <w:tcPr>
            <w:tcW w:w="2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256,745</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Net</w:t>
            </w:r>
          </w:p>
        </w:tc>
        <w:tc>
          <w:tcPr>
            <w:tcW w:w="1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Income Per Share</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0.13</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0.15</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0.25</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0.72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624" w:right="1440" w:bottom="185" w:gutter="0" w:footer="0" w:header="0"/>
        </w:sectPr>
      </w:pPr>
    </w:p>
    <w:bookmarkStart w:id="151" w:name="page152"/>
    <w:bookmarkEnd w:id="151"/>
    <w:p>
      <w:pPr>
        <w:spacing w:after="0"/>
        <w:rPr>
          <w:sz w:val="20"/>
          <w:szCs w:val="20"/>
          <w:color w:val="auto"/>
        </w:rPr>
      </w:pPr>
      <w:r>
        <w:rPr>
          <w:rFonts w:ascii="Courier New" w:cs="Courier New" w:eastAsia="Courier New" w:hAnsi="Courier New"/>
          <w:sz w:val="14"/>
          <w:szCs w:val="14"/>
          <w:color w:val="auto"/>
        </w:rPr>
        <w:t>60 The Limited, Inc.</w:t>
      </w:r>
    </w:p>
    <w:p>
      <w:pPr>
        <w:sectPr>
          <w:pgSz w:w="11900" w:h="16838" w:orient="portrait"/>
          <w:cols w:equalWidth="0" w:num="1">
            <w:col w:w="10239"/>
          </w:cols>
          <w:pgMar w:left="220" w:top="141" w:right="1440" w:bottom="1440" w:gutter="0" w:footer="0" w:header="0"/>
        </w:sectPr>
      </w:pPr>
    </w:p>
    <w:bookmarkStart w:id="152" w:name="page153"/>
    <w:bookmarkEnd w:id="152"/>
    <w:p>
      <w:pPr>
        <w:spacing w:after="0"/>
        <w:rPr>
          <w:sz w:val="20"/>
          <w:szCs w:val="20"/>
          <w:color w:val="auto"/>
        </w:rPr>
      </w:pPr>
      <w:r>
        <w:rPr>
          <w:rFonts w:ascii="Courier New" w:cs="Courier New" w:eastAsia="Courier New" w:hAnsi="Courier New"/>
          <w:sz w:val="15"/>
          <w:szCs w:val="15"/>
          <w:color w:val="auto"/>
        </w:rPr>
        <w:t>Market Price and Dividend Information</w:t>
      </w:r>
    </w:p>
    <w:p>
      <w:pPr>
        <w:spacing w:after="0" w:line="200" w:lineRule="exact"/>
        <w:rPr>
          <w:sz w:val="20"/>
          <w:szCs w:val="20"/>
          <w:color w:val="auto"/>
        </w:rPr>
      </w:pPr>
    </w:p>
    <w:p>
      <w:pPr>
        <w:spacing w:after="0" w:line="309" w:lineRule="exact"/>
        <w:rPr>
          <w:sz w:val="20"/>
          <w:szCs w:val="20"/>
          <w:color w:val="auto"/>
        </w:rPr>
      </w:pPr>
    </w:p>
    <w:p>
      <w:pPr>
        <w:ind w:left="180" w:hanging="170"/>
        <w:spacing w:after="0"/>
        <w:tabs>
          <w:tab w:leader="none" w:pos="180"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5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Cash Dividend</w:t>
      </w:r>
    </w:p>
    <w:p>
      <w:pPr>
        <w:ind w:left="3080"/>
        <w:spacing w:after="0"/>
        <w:tabs>
          <w:tab w:leader="none" w:pos="4880" w:val="left"/>
        </w:tabs>
        <w:rPr>
          <w:sz w:val="20"/>
          <w:szCs w:val="20"/>
          <w:color w:val="auto"/>
        </w:rPr>
      </w:pPr>
      <w:r>
        <w:rPr>
          <w:rFonts w:ascii="Courier New" w:cs="Courier New" w:eastAsia="Courier New" w:hAnsi="Courier New"/>
          <w:sz w:val="15"/>
          <w:szCs w:val="15"/>
          <w:color w:val="auto"/>
        </w:rPr>
        <w:t>Market Price</w:t>
      </w:r>
      <w:r>
        <w:rPr>
          <w:sz w:val="20"/>
          <w:szCs w:val="20"/>
          <w:color w:val="auto"/>
        </w:rPr>
        <w:tab/>
      </w:r>
      <w:r>
        <w:rPr>
          <w:rFonts w:ascii="Courier New" w:cs="Courier New" w:eastAsia="Courier New" w:hAnsi="Courier New"/>
          <w:sz w:val="14"/>
          <w:szCs w:val="14"/>
          <w:color w:val="auto"/>
        </w:rPr>
        <w:t>Per Share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80" w:type="dxa"/>
            <w:vAlign w:val="bottom"/>
            <w:gridSpan w:val="2"/>
          </w:tcPr>
          <w:p>
            <w:pPr>
              <w:spacing w:after="0"/>
              <w:rPr>
                <w:sz w:val="20"/>
                <w:szCs w:val="20"/>
                <w:color w:val="auto"/>
              </w:rPr>
            </w:pPr>
            <w:r>
              <w:rPr>
                <w:rFonts w:ascii="Courier New" w:cs="Courier New" w:eastAsia="Courier New" w:hAnsi="Courier New"/>
                <w:sz w:val="15"/>
                <w:szCs w:val="15"/>
                <w:color w:val="auto"/>
              </w:rPr>
              <w:t>Fiscal Year 1995</w:t>
            </w:r>
          </w:p>
        </w:tc>
        <w:tc>
          <w:tcPr>
            <w:tcW w:w="820" w:type="dxa"/>
            <w:vAlign w:val="bottom"/>
          </w:tcPr>
          <w:p>
            <w:pPr>
              <w:spacing w:after="0"/>
              <w:rPr>
                <w:sz w:val="14"/>
                <w:szCs w:val="14"/>
                <w:color w:val="auto"/>
              </w:rPr>
            </w:pPr>
          </w:p>
        </w:tc>
        <w:tc>
          <w:tcPr>
            <w:tcW w:w="66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4"/>
              </w:rPr>
              <w:t>High</w:t>
            </w:r>
          </w:p>
        </w:tc>
        <w:tc>
          <w:tcPr>
            <w:tcW w:w="620" w:type="dxa"/>
            <w:vAlign w:val="bottom"/>
          </w:tcPr>
          <w:p>
            <w:pPr>
              <w:spacing w:after="0"/>
              <w:rPr>
                <w:sz w:val="14"/>
                <w:szCs w:val="14"/>
                <w:color w:val="auto"/>
              </w:rPr>
            </w:pP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rPr>
              <w:t>Low</w:t>
            </w:r>
          </w:p>
        </w:tc>
        <w:tc>
          <w:tcPr>
            <w:tcW w:w="840" w:type="dxa"/>
            <w:vAlign w:val="bottom"/>
          </w:tcPr>
          <w:p>
            <w:pPr>
              <w:spacing w:after="0"/>
              <w:rPr>
                <w:sz w:val="14"/>
                <w:szCs w:val="14"/>
                <w:color w:val="auto"/>
              </w:rPr>
            </w:pPr>
          </w:p>
        </w:tc>
      </w:tr>
      <w:tr>
        <w:trPr>
          <w:trHeight w:val="168"/>
        </w:trPr>
        <w:tc>
          <w:tcPr>
            <w:tcW w:w="1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4th Quarter</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w:t>
            </w: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w:t>
            </w:r>
          </w:p>
        </w:tc>
        <w:tc>
          <w:tcPr>
            <w:tcW w:w="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1/4</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1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3rd Quarter</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w:t>
            </w: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w:t>
            </w:r>
          </w:p>
        </w:tc>
        <w:tc>
          <w:tcPr>
            <w:tcW w:w="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7/8</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2nd</w:t>
            </w:r>
          </w:p>
        </w:tc>
        <w:tc>
          <w:tcPr>
            <w:tcW w:w="1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Quarter</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w:t>
            </w: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7/8</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c>
          <w:tcPr>
            <w:tcW w:w="78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1st</w:t>
            </w:r>
          </w:p>
        </w:tc>
        <w:tc>
          <w:tcPr>
            <w:tcW w:w="1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Quarter</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w:t>
            </w: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c>
          <w:tcPr>
            <w:tcW w:w="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5/8</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r>
    </w:tbl>
    <w:p>
      <w:pPr>
        <w:spacing w:after="0" w:line="5" w:lineRule="exact"/>
        <w:rPr>
          <w:sz w:val="20"/>
          <w:szCs w:val="20"/>
          <w:color w:val="auto"/>
        </w:rPr>
      </w:pPr>
    </w:p>
    <w:p>
      <w:pPr>
        <w:ind w:left="180" w:hanging="170"/>
        <w:spacing w:after="0"/>
        <w:tabs>
          <w:tab w:leader="none" w:pos="180"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Fiscal Year 1994</w:t>
      </w:r>
    </w:p>
    <w:tbl>
      <w:tblPr>
        <w:tblLayout w:type="fixed"/>
        <w:tblInd w:w="0" w:type="dxa"/>
        <w:tblCellMar>
          <w:top w:w="0" w:type="dxa"/>
          <w:left w:w="0" w:type="dxa"/>
          <w:bottom w:w="0" w:type="dxa"/>
          <w:right w:w="0" w:type="dxa"/>
        </w:tblCellMar>
      </w:tblPr>
      <w:tr>
        <w:trPr>
          <w:trHeight w:val="169"/>
        </w:trPr>
        <w:tc>
          <w:tcPr>
            <w:tcW w:w="1760" w:type="dxa"/>
            <w:vAlign w:val="bottom"/>
            <w:gridSpan w:val="2"/>
          </w:tcPr>
          <w:p>
            <w:pPr>
              <w:spacing w:after="0" w:line="169" w:lineRule="exact"/>
              <w:rPr>
                <w:sz w:val="20"/>
                <w:szCs w:val="20"/>
                <w:color w:val="auto"/>
              </w:rPr>
            </w:pPr>
            <w:r>
              <w:rPr>
                <w:rFonts w:ascii="Courier New" w:cs="Courier New" w:eastAsia="Courier New" w:hAnsi="Courier New"/>
                <w:sz w:val="15"/>
                <w:szCs w:val="15"/>
                <w:color w:val="auto"/>
              </w:rPr>
              <w:t>4th Quarter</w:t>
            </w:r>
          </w:p>
        </w:tc>
        <w:tc>
          <w:tcPr>
            <w:tcW w:w="110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$21</w:t>
            </w:r>
          </w:p>
        </w:tc>
        <w:tc>
          <w:tcPr>
            <w:tcW w:w="600" w:type="dxa"/>
            <w:vAlign w:val="bottom"/>
          </w:tcPr>
          <w:p>
            <w:pPr>
              <w:jc w:val="right"/>
              <w:ind w:right="227"/>
              <w:spacing w:after="0" w:line="169" w:lineRule="exact"/>
              <w:rPr>
                <w:sz w:val="20"/>
                <w:szCs w:val="20"/>
                <w:color w:val="auto"/>
              </w:rPr>
            </w:pPr>
            <w:r>
              <w:rPr>
                <w:rFonts w:ascii="Courier New" w:cs="Courier New" w:eastAsia="Courier New" w:hAnsi="Courier New"/>
                <w:sz w:val="15"/>
                <w:szCs w:val="15"/>
                <w:color w:val="auto"/>
              </w:rPr>
              <w:t>3/8</w:t>
            </w:r>
          </w:p>
        </w:tc>
        <w:tc>
          <w:tcPr>
            <w:tcW w:w="62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$16</w:t>
            </w:r>
          </w:p>
        </w:tc>
        <w:tc>
          <w:tcPr>
            <w:tcW w:w="780" w:type="dxa"/>
            <w:vAlign w:val="bottom"/>
          </w:tcPr>
          <w:p>
            <w:pPr>
              <w:jc w:val="right"/>
              <w:ind w:right="407"/>
              <w:spacing w:after="0" w:line="169" w:lineRule="exact"/>
              <w:rPr>
                <w:sz w:val="20"/>
                <w:szCs w:val="20"/>
                <w:color w:val="auto"/>
              </w:rPr>
            </w:pPr>
            <w:r>
              <w:rPr>
                <w:rFonts w:ascii="Courier New" w:cs="Courier New" w:eastAsia="Courier New" w:hAnsi="Courier New"/>
                <w:sz w:val="15"/>
                <w:szCs w:val="15"/>
                <w:color w:val="auto"/>
              </w:rPr>
              <w:t>7/8</w:t>
            </w:r>
          </w:p>
        </w:tc>
        <w:tc>
          <w:tcPr>
            <w:tcW w:w="84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$.09</w:t>
            </w:r>
          </w:p>
        </w:tc>
      </w:tr>
      <w:tr>
        <w:trPr>
          <w:trHeight w:val="168"/>
        </w:trPr>
        <w:tc>
          <w:tcPr>
            <w:tcW w:w="17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3rd Quarter</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w:t>
            </w:r>
          </w:p>
        </w:tc>
        <w:tc>
          <w:tcPr>
            <w:tcW w:w="6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5/8</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w:t>
            </w:r>
          </w:p>
        </w:tc>
        <w:tc>
          <w:tcPr>
            <w:tcW w:w="7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1/4</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.09</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2nd</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Quarter</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c>
          <w:tcPr>
            <w:tcW w:w="6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c>
          <w:tcPr>
            <w:tcW w:w="7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7/8</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.09</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1st</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Quarter</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w:t>
            </w:r>
          </w:p>
        </w:tc>
        <w:tc>
          <w:tcPr>
            <w:tcW w:w="6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c>
          <w:tcPr>
            <w:tcW w:w="7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3/4</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Company's common stock is traded on the New York Stock Exchange ("LTD") and the London Stock Exchange. On February 3, 1996, there were 74,895 shareholders of record. However, when including active associates who participate in the Company's stock purchase plan, associates who own shares through Company sponsored retirement plans and others holding shares in broker accounts under street name, the Company estimates the shareholder base at approximately 128,000.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w:t>
      </w:r>
    </w:p>
    <w:p>
      <w:pPr>
        <w:spacing w:after="0" w:line="237" w:lineRule="auto"/>
        <w:rPr>
          <w:sz w:val="20"/>
          <w:szCs w:val="20"/>
          <w:color w:val="auto"/>
        </w:rPr>
      </w:pPr>
      <w:r>
        <w:rPr>
          <w:rFonts w:ascii="Courier New" w:cs="Courier New" w:eastAsia="Courier New" w:hAnsi="Courier New"/>
          <w:sz w:val="15"/>
          <w:szCs w:val="15"/>
          <w:color w:val="auto"/>
        </w:rPr>
        <w:t>and Shareholders of</w:t>
      </w:r>
    </w:p>
    <w:p>
      <w:pPr>
        <w:spacing w:after="0" w:line="238" w:lineRule="auto"/>
        <w:rPr>
          <w:sz w:val="20"/>
          <w:szCs w:val="20"/>
          <w:color w:val="auto"/>
        </w:rPr>
      </w:pPr>
      <w:r>
        <w:rPr>
          <w:rFonts w:ascii="Courier New" w:cs="Courier New" w:eastAsia="Courier New" w:hAnsi="Courier New"/>
          <w:sz w:val="15"/>
          <w:szCs w:val="15"/>
          <w:color w:val="auto"/>
        </w:rPr>
        <w:t>The Limited, Inc.</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We have audited the accompanying consolidated balance sheets of The Limited, Inc. and subsidiaries as of February 3, 1996 and January 28, 1995, and the related consolidated statements of income, shareholders' equity, and cash flows for each of the three fiscal years in the period ended February 3, 1996 (appearing on pages 49 through 61). These financial statements are the responsibility of the Company's management. Our responsibility is to express an opinion on these financial statements based on our audits.</w:t>
      </w:r>
    </w:p>
    <w:p>
      <w:pPr>
        <w:spacing w:after="0" w:line="176" w:lineRule="exact"/>
        <w:rPr>
          <w:sz w:val="20"/>
          <w:szCs w:val="20"/>
          <w:color w:val="auto"/>
        </w:rPr>
      </w:pPr>
    </w:p>
    <w:p>
      <w:pPr>
        <w:ind w:right="3239" w:firstLine="262"/>
        <w:spacing w:after="0" w:line="255"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6" w:lineRule="exact"/>
        <w:rPr>
          <w:sz w:val="20"/>
          <w:szCs w:val="20"/>
          <w:color w:val="auto"/>
        </w:rPr>
      </w:pPr>
    </w:p>
    <w:p>
      <w:pPr>
        <w:ind w:right="3239" w:firstLine="262"/>
        <w:spacing w:after="0" w:line="236"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consolidated financial position of The Limited, Inc. and subsidiaries as of February 3, 1996 and January 28, 1995 and the consolidated results of their operations and their cash flows for each of the three fiscal years in the period ended February 3, 1996 in conformity with generally accepted accounting principles.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Coopers &amp; Lybrand L.L.P.</w:t>
      </w:r>
    </w:p>
    <w:p>
      <w:pPr>
        <w:spacing w:after="0" w:line="237" w:lineRule="auto"/>
        <w:rPr>
          <w:sz w:val="20"/>
          <w:szCs w:val="20"/>
          <w:color w:val="auto"/>
        </w:rPr>
      </w:pPr>
      <w:r>
        <w:rPr>
          <w:rFonts w:ascii="Courier New" w:cs="Courier New" w:eastAsia="Courier New" w:hAnsi="Courier New"/>
          <w:sz w:val="15"/>
          <w:szCs w:val="15"/>
          <w:color w:val="auto"/>
        </w:rPr>
        <w:t>Columbus, Ohio</w:t>
      </w:r>
    </w:p>
    <w:p>
      <w:pPr>
        <w:spacing w:after="0" w:line="5"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February 26, 1996, except for paragraph 11 in Note 1 and Note 9, as to which the date is March 18, 1996.</w:t>
      </w:r>
    </w:p>
    <w:p>
      <w:pPr>
        <w:spacing w:after="0" w:line="335" w:lineRule="exact"/>
        <w:rPr>
          <w:sz w:val="20"/>
          <w:szCs w:val="20"/>
          <w:color w:val="auto"/>
        </w:rPr>
      </w:pPr>
    </w:p>
    <w:p>
      <w:pPr>
        <w:ind w:left="5260"/>
        <w:spacing w:after="0"/>
        <w:rPr>
          <w:sz w:val="20"/>
          <w:szCs w:val="20"/>
          <w:color w:val="auto"/>
        </w:rPr>
      </w:pPr>
      <w:r>
        <w:rPr>
          <w:rFonts w:ascii="Courier New" w:cs="Courier New" w:eastAsia="Courier New" w:hAnsi="Courier New"/>
          <w:sz w:val="15"/>
          <w:szCs w:val="15"/>
          <w:color w:val="auto"/>
        </w:rPr>
        <w:t>[PHOTO APPEARS HERE]</w:t>
      </w:r>
    </w:p>
    <w:p>
      <w:pPr>
        <w:spacing w:after="0" w:line="200" w:lineRule="exact"/>
        <w:rPr>
          <w:sz w:val="20"/>
          <w:szCs w:val="20"/>
          <w:color w:val="auto"/>
        </w:rPr>
      </w:pPr>
    </w:p>
    <w:p>
      <w:pPr>
        <w:spacing w:after="0" w:line="303" w:lineRule="exact"/>
        <w:rPr>
          <w:sz w:val="20"/>
          <w:szCs w:val="20"/>
          <w:color w:val="auto"/>
        </w:rPr>
      </w:pPr>
    </w:p>
    <w:p>
      <w:pPr>
        <w:ind w:left="5260"/>
        <w:spacing w:after="0"/>
        <w:rPr>
          <w:sz w:val="20"/>
          <w:szCs w:val="20"/>
          <w:color w:val="auto"/>
        </w:rPr>
      </w:pPr>
      <w:r>
        <w:rPr>
          <w:rFonts w:ascii="Courier New" w:cs="Courier New" w:eastAsia="Courier New" w:hAnsi="Courier New"/>
          <w:sz w:val="15"/>
          <w:szCs w:val="15"/>
          <w:color w:val="auto"/>
        </w:rPr>
        <w:t>The Limited, Inc. 61</w:t>
      </w:r>
    </w:p>
    <w:p>
      <w:pPr>
        <w:sectPr>
          <w:pgSz w:w="11900" w:h="16838" w:orient="portrait"/>
          <w:cols w:equalWidth="0" w:num="1">
            <w:col w:w="10239"/>
          </w:cols>
          <w:pgMar w:left="220" w:top="449" w:right="1440" w:bottom="1440" w:gutter="0" w:footer="0" w:header="0"/>
        </w:sectPr>
      </w:pPr>
    </w:p>
    <w:bookmarkStart w:id="153" w:name="page154"/>
    <w:bookmarkEnd w:id="153"/>
    <w:p>
      <w:pPr>
        <w:jc w:val="right"/>
        <w:ind w:right="3239"/>
        <w:spacing w:after="0"/>
        <w:rPr>
          <w:sz w:val="20"/>
          <w:szCs w:val="20"/>
          <w:color w:val="auto"/>
        </w:rPr>
      </w:pPr>
      <w:r>
        <w:rPr>
          <w:rFonts w:ascii="Courier New" w:cs="Courier New" w:eastAsia="Courier New" w:hAnsi="Courier New"/>
          <w:sz w:val="15"/>
          <w:szCs w:val="15"/>
          <w:color w:val="auto"/>
        </w:rPr>
        <w:t>EXHIBIT 21</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SUBSIDIARIES OF THE REGISTRANT</w:t>
      </w:r>
    </w:p>
    <w:p>
      <w:pPr>
        <w:sectPr>
          <w:pgSz w:w="11900" w:h="16838" w:orient="portrait"/>
          <w:cols w:equalWidth="0" w:num="1">
            <w:col w:w="10239"/>
          </w:cols>
          <w:pgMar w:left="220" w:top="47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Subsidiaries (a)</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Jurisdiction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Incorporation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0"/>
          <w:szCs w:val="20"/>
          <w:color w:val="auto"/>
        </w:rPr>
      </w:pPr>
    </w:p>
    <w:p>
      <w:pPr>
        <w:sectPr>
          <w:pgSz w:w="11900" w:h="16838" w:orient="portrait"/>
          <w:cols w:equalWidth="0" w:num="2">
            <w:col w:w="3480" w:space="720"/>
            <w:col w:w="6039"/>
          </w:cols>
          <w:pgMar w:left="220" w:top="47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Express, Inc. (b)</w:t>
      </w:r>
    </w:p>
    <w:p>
      <w:pPr>
        <w:spacing w:after="0" w:line="237" w:lineRule="auto"/>
        <w:rPr>
          <w:sz w:val="20"/>
          <w:szCs w:val="20"/>
          <w:color w:val="auto"/>
        </w:rPr>
      </w:pPr>
      <w:r>
        <w:rPr>
          <w:rFonts w:ascii="Courier New" w:cs="Courier New" w:eastAsia="Courier New" w:hAnsi="Courier New"/>
          <w:sz w:val="15"/>
          <w:szCs w:val="15"/>
          <w:color w:val="auto"/>
        </w:rPr>
        <w:t>Lerner New York, Inc. (c)</w:t>
      </w:r>
    </w:p>
    <w:p>
      <w:pPr>
        <w:spacing w:after="0" w:line="238" w:lineRule="auto"/>
        <w:rPr>
          <w:sz w:val="20"/>
          <w:szCs w:val="20"/>
          <w:color w:val="auto"/>
        </w:rPr>
      </w:pPr>
      <w:r>
        <w:rPr>
          <w:rFonts w:ascii="Courier New" w:cs="Courier New" w:eastAsia="Courier New" w:hAnsi="Courier New"/>
          <w:sz w:val="15"/>
          <w:szCs w:val="15"/>
          <w:color w:val="auto"/>
        </w:rPr>
        <w:t>Lane Bryant, Inc. (d)</w:t>
      </w:r>
    </w:p>
    <w:p>
      <w:pPr>
        <w:spacing w:after="0" w:line="237" w:lineRule="auto"/>
        <w:rPr>
          <w:sz w:val="20"/>
          <w:szCs w:val="20"/>
          <w:color w:val="auto"/>
        </w:rPr>
      </w:pPr>
      <w:r>
        <w:rPr>
          <w:rFonts w:ascii="Courier New" w:cs="Courier New" w:eastAsia="Courier New" w:hAnsi="Courier New"/>
          <w:sz w:val="15"/>
          <w:szCs w:val="15"/>
          <w:color w:val="auto"/>
        </w:rPr>
        <w:t>The Limited London-Paris-New York, Inc. (e)</w:t>
      </w:r>
    </w:p>
    <w:p>
      <w:pPr>
        <w:spacing w:after="0" w:line="238" w:lineRule="auto"/>
        <w:rPr>
          <w:sz w:val="20"/>
          <w:szCs w:val="20"/>
          <w:color w:val="auto"/>
        </w:rPr>
      </w:pPr>
      <w:r>
        <w:rPr>
          <w:rFonts w:ascii="Courier New" w:cs="Courier New" w:eastAsia="Courier New" w:hAnsi="Courier New"/>
          <w:sz w:val="15"/>
          <w:szCs w:val="15"/>
          <w:color w:val="auto"/>
        </w:rPr>
        <w:t>Henri Bendel, Inc. (f)</w:t>
      </w:r>
    </w:p>
    <w:p>
      <w:pPr>
        <w:spacing w:after="0" w:line="237" w:lineRule="auto"/>
        <w:rPr>
          <w:sz w:val="20"/>
          <w:szCs w:val="20"/>
          <w:color w:val="auto"/>
        </w:rPr>
      </w:pPr>
      <w:r>
        <w:rPr>
          <w:rFonts w:ascii="Courier New" w:cs="Courier New" w:eastAsia="Courier New" w:hAnsi="Courier New"/>
          <w:sz w:val="15"/>
          <w:szCs w:val="15"/>
          <w:color w:val="auto"/>
        </w:rPr>
        <w:t>Structure, Inc. (g)</w:t>
      </w:r>
    </w:p>
    <w:p>
      <w:pPr>
        <w:spacing w:after="0" w:line="238" w:lineRule="auto"/>
        <w:rPr>
          <w:sz w:val="20"/>
          <w:szCs w:val="20"/>
          <w:color w:val="auto"/>
        </w:rPr>
      </w:pPr>
      <w:r>
        <w:rPr>
          <w:rFonts w:ascii="Courier New" w:cs="Courier New" w:eastAsia="Courier New" w:hAnsi="Courier New"/>
          <w:sz w:val="15"/>
          <w:szCs w:val="15"/>
          <w:color w:val="auto"/>
        </w:rPr>
        <w:t>Abercrombie &amp; Fitch, Inc. (h)</w:t>
      </w:r>
    </w:p>
    <w:p>
      <w:pPr>
        <w:spacing w:after="0" w:line="237" w:lineRule="auto"/>
        <w:rPr>
          <w:sz w:val="20"/>
          <w:szCs w:val="20"/>
          <w:color w:val="auto"/>
        </w:rPr>
      </w:pPr>
      <w:r>
        <w:rPr>
          <w:rFonts w:ascii="Courier New" w:cs="Courier New" w:eastAsia="Courier New" w:hAnsi="Courier New"/>
          <w:sz w:val="15"/>
          <w:szCs w:val="15"/>
          <w:color w:val="auto"/>
        </w:rPr>
        <w:t>Limited Too, Inc. (i)</w:t>
      </w:r>
    </w:p>
    <w:p>
      <w:pPr>
        <w:spacing w:after="0" w:line="238" w:lineRule="auto"/>
        <w:rPr>
          <w:sz w:val="20"/>
          <w:szCs w:val="20"/>
          <w:color w:val="auto"/>
        </w:rPr>
      </w:pPr>
      <w:r>
        <w:rPr>
          <w:rFonts w:ascii="Courier New" w:cs="Courier New" w:eastAsia="Courier New" w:hAnsi="Courier New"/>
          <w:sz w:val="15"/>
          <w:szCs w:val="15"/>
          <w:color w:val="auto"/>
        </w:rPr>
        <w:t>Galyan's Trading Co., Inc. (j)</w:t>
      </w:r>
    </w:p>
    <w:p>
      <w:pPr>
        <w:spacing w:after="0" w:line="238" w:lineRule="auto"/>
        <w:rPr>
          <w:sz w:val="20"/>
          <w:szCs w:val="20"/>
          <w:color w:val="auto"/>
        </w:rPr>
      </w:pPr>
      <w:r>
        <w:rPr>
          <w:rFonts w:ascii="Courier New" w:cs="Courier New" w:eastAsia="Courier New" w:hAnsi="Courier New"/>
          <w:sz w:val="15"/>
          <w:szCs w:val="15"/>
          <w:color w:val="auto"/>
        </w:rPr>
        <w:t>Mast Industries, Inc. (k)</w:t>
      </w:r>
    </w:p>
    <w:p>
      <w:pPr>
        <w:spacing w:after="0" w:line="237" w:lineRule="auto"/>
        <w:rPr>
          <w:sz w:val="20"/>
          <w:szCs w:val="20"/>
          <w:color w:val="auto"/>
        </w:rPr>
      </w:pPr>
      <w:r>
        <w:rPr>
          <w:rFonts w:ascii="Courier New" w:cs="Courier New" w:eastAsia="Courier New" w:hAnsi="Courier New"/>
          <w:sz w:val="15"/>
          <w:szCs w:val="15"/>
          <w:color w:val="auto"/>
        </w:rPr>
        <w:t>Mast Industries (Far East) Limited (l)</w:t>
      </w:r>
    </w:p>
    <w:p>
      <w:pPr>
        <w:spacing w:after="0" w:line="238" w:lineRule="auto"/>
        <w:rPr>
          <w:sz w:val="20"/>
          <w:szCs w:val="20"/>
          <w:color w:val="auto"/>
        </w:rPr>
      </w:pPr>
      <w:r>
        <w:rPr>
          <w:rFonts w:ascii="Courier New" w:cs="Courier New" w:eastAsia="Courier New" w:hAnsi="Courier New"/>
          <w:sz w:val="15"/>
          <w:szCs w:val="15"/>
          <w:color w:val="auto"/>
        </w:rPr>
        <w:t>Limited Distribution Services, Inc. (m)</w:t>
      </w:r>
    </w:p>
    <w:p>
      <w:pPr>
        <w:spacing w:after="0" w:line="237" w:lineRule="auto"/>
        <w:rPr>
          <w:sz w:val="20"/>
          <w:szCs w:val="20"/>
          <w:color w:val="auto"/>
        </w:rPr>
      </w:pPr>
      <w:r>
        <w:rPr>
          <w:rFonts w:ascii="Courier New" w:cs="Courier New" w:eastAsia="Courier New" w:hAnsi="Courier New"/>
          <w:sz w:val="15"/>
          <w:szCs w:val="15"/>
          <w:color w:val="auto"/>
        </w:rPr>
        <w:t>Limited Service Corporation (n)</w:t>
      </w:r>
    </w:p>
    <w:p>
      <w:pPr>
        <w:spacing w:after="0" w:line="238" w:lineRule="auto"/>
        <w:rPr>
          <w:sz w:val="20"/>
          <w:szCs w:val="20"/>
          <w:color w:val="auto"/>
        </w:rPr>
      </w:pPr>
      <w:r>
        <w:rPr>
          <w:rFonts w:ascii="Courier New" w:cs="Courier New" w:eastAsia="Courier New" w:hAnsi="Courier New"/>
          <w:sz w:val="15"/>
          <w:szCs w:val="15"/>
          <w:color w:val="auto"/>
        </w:rPr>
        <w:t>Womanco Service Corporation (o)</w:t>
      </w:r>
    </w:p>
    <w:p>
      <w:pPr>
        <w:spacing w:after="0" w:line="237" w:lineRule="auto"/>
        <w:rPr>
          <w:sz w:val="20"/>
          <w:szCs w:val="20"/>
          <w:color w:val="auto"/>
        </w:rPr>
      </w:pPr>
      <w:r>
        <w:rPr>
          <w:rFonts w:ascii="Courier New" w:cs="Courier New" w:eastAsia="Courier New" w:hAnsi="Courier New"/>
          <w:sz w:val="15"/>
          <w:szCs w:val="15"/>
          <w:color w:val="auto"/>
        </w:rPr>
        <w:t>Victoria's Secret Stores, Inc. (p)</w:t>
      </w:r>
    </w:p>
    <w:p>
      <w:pPr>
        <w:spacing w:after="0" w:line="238" w:lineRule="auto"/>
        <w:rPr>
          <w:sz w:val="20"/>
          <w:szCs w:val="20"/>
          <w:color w:val="auto"/>
        </w:rPr>
      </w:pPr>
      <w:r>
        <w:rPr>
          <w:rFonts w:ascii="Courier New" w:cs="Courier New" w:eastAsia="Courier New" w:hAnsi="Courier New"/>
          <w:sz w:val="15"/>
          <w:szCs w:val="15"/>
          <w:color w:val="auto"/>
        </w:rPr>
        <w:t>Victoria's Secret Catalogue, Inc. (q)</w:t>
      </w:r>
    </w:p>
    <w:p>
      <w:pPr>
        <w:spacing w:after="0" w:line="238" w:lineRule="auto"/>
        <w:rPr>
          <w:sz w:val="20"/>
          <w:szCs w:val="20"/>
          <w:color w:val="auto"/>
        </w:rPr>
      </w:pPr>
      <w:r>
        <w:rPr>
          <w:rFonts w:ascii="Courier New" w:cs="Courier New" w:eastAsia="Courier New" w:hAnsi="Courier New"/>
          <w:sz w:val="15"/>
          <w:szCs w:val="15"/>
          <w:color w:val="auto"/>
        </w:rPr>
        <w:t>Bath &amp; Body Works, Inc. (r)</w:t>
      </w:r>
    </w:p>
    <w:p>
      <w:pPr>
        <w:spacing w:after="0" w:line="237" w:lineRule="auto"/>
        <w:rPr>
          <w:sz w:val="20"/>
          <w:szCs w:val="20"/>
          <w:color w:val="auto"/>
        </w:rPr>
      </w:pPr>
      <w:r>
        <w:rPr>
          <w:rFonts w:ascii="Courier New" w:cs="Courier New" w:eastAsia="Courier New" w:hAnsi="Courier New"/>
          <w:sz w:val="15"/>
          <w:szCs w:val="15"/>
          <w:color w:val="auto"/>
        </w:rPr>
        <w:t>Cacique, Inc. (s)</w:t>
      </w:r>
    </w:p>
    <w:p>
      <w:pPr>
        <w:spacing w:after="0" w:line="238" w:lineRule="auto"/>
        <w:rPr>
          <w:sz w:val="20"/>
          <w:szCs w:val="20"/>
          <w:color w:val="auto"/>
        </w:rPr>
      </w:pPr>
      <w:r>
        <w:rPr>
          <w:rFonts w:ascii="Courier New" w:cs="Courier New" w:eastAsia="Courier New" w:hAnsi="Courier New"/>
          <w:sz w:val="15"/>
          <w:szCs w:val="15"/>
          <w:color w:val="auto"/>
        </w:rPr>
        <w:t>Penhaligon's Limited (t)</w:t>
      </w:r>
    </w:p>
    <w:p>
      <w:pPr>
        <w:spacing w:after="0" w:line="237" w:lineRule="auto"/>
        <w:rPr>
          <w:sz w:val="20"/>
          <w:szCs w:val="20"/>
          <w:color w:val="auto"/>
        </w:rPr>
      </w:pPr>
      <w:r>
        <w:rPr>
          <w:rFonts w:ascii="Courier New" w:cs="Courier New" w:eastAsia="Courier New" w:hAnsi="Courier New"/>
          <w:sz w:val="15"/>
          <w:szCs w:val="15"/>
          <w:color w:val="auto"/>
        </w:rPr>
        <w:t>Gryphon Development, Inc. (u)</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Intimate Brands, Inc. Service Corporation (v)</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Intimate Brands, Inc. (w)</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Delaware</w:t>
      </w:r>
    </w:p>
    <w:p>
      <w:pPr>
        <w:spacing w:after="0" w:line="237" w:lineRule="auto"/>
        <w:rPr>
          <w:sz w:val="20"/>
          <w:szCs w:val="20"/>
          <w:color w:val="auto"/>
        </w:rPr>
      </w:pPr>
      <w:r>
        <w:rPr>
          <w:rFonts w:ascii="Courier New" w:cs="Courier New" w:eastAsia="Courier New" w:hAnsi="Courier New"/>
          <w:sz w:val="15"/>
          <w:szCs w:val="15"/>
          <w:color w:val="auto"/>
        </w:rPr>
        <w:t>Delaware</w:t>
      </w:r>
    </w:p>
    <w:p>
      <w:pPr>
        <w:spacing w:after="0" w:line="238" w:lineRule="auto"/>
        <w:rPr>
          <w:sz w:val="20"/>
          <w:szCs w:val="20"/>
          <w:color w:val="auto"/>
        </w:rPr>
      </w:pPr>
      <w:r>
        <w:rPr>
          <w:rFonts w:ascii="Courier New" w:cs="Courier New" w:eastAsia="Courier New" w:hAnsi="Courier New"/>
          <w:sz w:val="15"/>
          <w:szCs w:val="15"/>
          <w:color w:val="auto"/>
        </w:rPr>
        <w:t>Delaware</w:t>
      </w:r>
    </w:p>
    <w:p>
      <w:pPr>
        <w:spacing w:after="0" w:line="237" w:lineRule="auto"/>
        <w:rPr>
          <w:sz w:val="20"/>
          <w:szCs w:val="20"/>
          <w:color w:val="auto"/>
        </w:rPr>
      </w:pPr>
      <w:r>
        <w:rPr>
          <w:rFonts w:ascii="Courier New" w:cs="Courier New" w:eastAsia="Courier New" w:hAnsi="Courier New"/>
          <w:sz w:val="15"/>
          <w:szCs w:val="15"/>
          <w:color w:val="auto"/>
        </w:rPr>
        <w:t>Delaware</w:t>
      </w:r>
    </w:p>
    <w:p>
      <w:pPr>
        <w:spacing w:after="0" w:line="238" w:lineRule="auto"/>
        <w:rPr>
          <w:sz w:val="20"/>
          <w:szCs w:val="20"/>
          <w:color w:val="auto"/>
        </w:rPr>
      </w:pPr>
      <w:r>
        <w:rPr>
          <w:rFonts w:ascii="Courier New" w:cs="Courier New" w:eastAsia="Courier New" w:hAnsi="Courier New"/>
          <w:sz w:val="15"/>
          <w:szCs w:val="15"/>
          <w:color w:val="auto"/>
        </w:rPr>
        <w:t>Delaware</w:t>
      </w:r>
    </w:p>
    <w:p>
      <w:pPr>
        <w:spacing w:after="0" w:line="237" w:lineRule="auto"/>
        <w:rPr>
          <w:sz w:val="20"/>
          <w:szCs w:val="20"/>
          <w:color w:val="auto"/>
        </w:rPr>
      </w:pPr>
      <w:r>
        <w:rPr>
          <w:rFonts w:ascii="Courier New" w:cs="Courier New" w:eastAsia="Courier New" w:hAnsi="Courier New"/>
          <w:sz w:val="15"/>
          <w:szCs w:val="15"/>
          <w:color w:val="auto"/>
        </w:rPr>
        <w:t>Delaware</w:t>
      </w:r>
    </w:p>
    <w:p>
      <w:pPr>
        <w:spacing w:after="0" w:line="238" w:lineRule="auto"/>
        <w:rPr>
          <w:sz w:val="20"/>
          <w:szCs w:val="20"/>
          <w:color w:val="auto"/>
        </w:rPr>
      </w:pPr>
      <w:r>
        <w:rPr>
          <w:rFonts w:ascii="Courier New" w:cs="Courier New" w:eastAsia="Courier New" w:hAnsi="Courier New"/>
          <w:sz w:val="15"/>
          <w:szCs w:val="15"/>
          <w:color w:val="auto"/>
        </w:rPr>
        <w:t>Delaware</w:t>
      </w:r>
    </w:p>
    <w:p>
      <w:pPr>
        <w:spacing w:after="0" w:line="237" w:lineRule="auto"/>
        <w:rPr>
          <w:sz w:val="20"/>
          <w:szCs w:val="20"/>
          <w:color w:val="auto"/>
        </w:rPr>
      </w:pPr>
      <w:r>
        <w:rPr>
          <w:rFonts w:ascii="Courier New" w:cs="Courier New" w:eastAsia="Courier New" w:hAnsi="Courier New"/>
          <w:sz w:val="15"/>
          <w:szCs w:val="15"/>
          <w:color w:val="auto"/>
        </w:rPr>
        <w:t>Delaware</w:t>
      </w:r>
    </w:p>
    <w:p>
      <w:pPr>
        <w:spacing w:after="0" w:line="238" w:lineRule="auto"/>
        <w:rPr>
          <w:sz w:val="20"/>
          <w:szCs w:val="20"/>
          <w:color w:val="auto"/>
        </w:rPr>
      </w:pPr>
      <w:r>
        <w:rPr>
          <w:rFonts w:ascii="Courier New" w:cs="Courier New" w:eastAsia="Courier New" w:hAnsi="Courier New"/>
          <w:sz w:val="15"/>
          <w:szCs w:val="15"/>
          <w:color w:val="auto"/>
        </w:rPr>
        <w:t>Indiana</w:t>
      </w:r>
    </w:p>
    <w:p>
      <w:pPr>
        <w:spacing w:after="0" w:line="238" w:lineRule="auto"/>
        <w:rPr>
          <w:sz w:val="20"/>
          <w:szCs w:val="20"/>
          <w:color w:val="auto"/>
        </w:rPr>
      </w:pPr>
      <w:r>
        <w:rPr>
          <w:rFonts w:ascii="Courier New" w:cs="Courier New" w:eastAsia="Courier New" w:hAnsi="Courier New"/>
          <w:sz w:val="15"/>
          <w:szCs w:val="15"/>
          <w:color w:val="auto"/>
        </w:rPr>
        <w:t>Delaware</w:t>
      </w:r>
    </w:p>
    <w:p>
      <w:pPr>
        <w:spacing w:after="0" w:line="237" w:lineRule="auto"/>
        <w:rPr>
          <w:sz w:val="20"/>
          <w:szCs w:val="20"/>
          <w:color w:val="auto"/>
        </w:rPr>
      </w:pPr>
      <w:r>
        <w:rPr>
          <w:rFonts w:ascii="Courier New" w:cs="Courier New" w:eastAsia="Courier New" w:hAnsi="Courier New"/>
          <w:sz w:val="15"/>
          <w:szCs w:val="15"/>
          <w:color w:val="auto"/>
        </w:rPr>
        <w:t>Hong Kong</w:t>
      </w:r>
    </w:p>
    <w:p>
      <w:pPr>
        <w:spacing w:after="0" w:line="238" w:lineRule="auto"/>
        <w:rPr>
          <w:sz w:val="20"/>
          <w:szCs w:val="20"/>
          <w:color w:val="auto"/>
        </w:rPr>
      </w:pPr>
      <w:r>
        <w:rPr>
          <w:rFonts w:ascii="Courier New" w:cs="Courier New" w:eastAsia="Courier New" w:hAnsi="Courier New"/>
          <w:sz w:val="15"/>
          <w:szCs w:val="15"/>
          <w:color w:val="auto"/>
        </w:rPr>
        <w:t>Delaware</w:t>
      </w:r>
    </w:p>
    <w:p>
      <w:pPr>
        <w:spacing w:after="0" w:line="237" w:lineRule="auto"/>
        <w:rPr>
          <w:sz w:val="20"/>
          <w:szCs w:val="20"/>
          <w:color w:val="auto"/>
        </w:rPr>
      </w:pPr>
      <w:r>
        <w:rPr>
          <w:rFonts w:ascii="Courier New" w:cs="Courier New" w:eastAsia="Courier New" w:hAnsi="Courier New"/>
          <w:sz w:val="15"/>
          <w:szCs w:val="15"/>
          <w:color w:val="auto"/>
        </w:rPr>
        <w:t>Delaware</w:t>
      </w:r>
    </w:p>
    <w:p>
      <w:pPr>
        <w:spacing w:after="0" w:line="238" w:lineRule="auto"/>
        <w:rPr>
          <w:sz w:val="20"/>
          <w:szCs w:val="20"/>
          <w:color w:val="auto"/>
        </w:rPr>
      </w:pPr>
      <w:r>
        <w:rPr>
          <w:rFonts w:ascii="Courier New" w:cs="Courier New" w:eastAsia="Courier New" w:hAnsi="Courier New"/>
          <w:sz w:val="15"/>
          <w:szCs w:val="15"/>
          <w:color w:val="auto"/>
        </w:rPr>
        <w:t>Delaware</w:t>
      </w:r>
    </w:p>
    <w:p>
      <w:pPr>
        <w:spacing w:after="0" w:line="237" w:lineRule="auto"/>
        <w:rPr>
          <w:sz w:val="20"/>
          <w:szCs w:val="20"/>
          <w:color w:val="auto"/>
        </w:rPr>
      </w:pPr>
      <w:r>
        <w:rPr>
          <w:rFonts w:ascii="Courier New" w:cs="Courier New" w:eastAsia="Courier New" w:hAnsi="Courier New"/>
          <w:sz w:val="15"/>
          <w:szCs w:val="15"/>
          <w:color w:val="auto"/>
        </w:rPr>
        <w:t>Delaware</w:t>
      </w:r>
    </w:p>
    <w:p>
      <w:pPr>
        <w:spacing w:after="0" w:line="238" w:lineRule="auto"/>
        <w:rPr>
          <w:sz w:val="20"/>
          <w:szCs w:val="20"/>
          <w:color w:val="auto"/>
        </w:rPr>
      </w:pPr>
      <w:r>
        <w:rPr>
          <w:rFonts w:ascii="Courier New" w:cs="Courier New" w:eastAsia="Courier New" w:hAnsi="Courier New"/>
          <w:sz w:val="15"/>
          <w:szCs w:val="15"/>
          <w:color w:val="auto"/>
        </w:rPr>
        <w:t>Delaware</w:t>
      </w:r>
    </w:p>
    <w:p>
      <w:pPr>
        <w:spacing w:after="0" w:line="238" w:lineRule="auto"/>
        <w:rPr>
          <w:sz w:val="20"/>
          <w:szCs w:val="20"/>
          <w:color w:val="auto"/>
        </w:rPr>
      </w:pPr>
      <w:r>
        <w:rPr>
          <w:rFonts w:ascii="Courier New" w:cs="Courier New" w:eastAsia="Courier New" w:hAnsi="Courier New"/>
          <w:sz w:val="15"/>
          <w:szCs w:val="15"/>
          <w:color w:val="auto"/>
        </w:rPr>
        <w:t>Delaware</w:t>
      </w:r>
    </w:p>
    <w:p>
      <w:pPr>
        <w:spacing w:after="0" w:line="237" w:lineRule="auto"/>
        <w:rPr>
          <w:sz w:val="20"/>
          <w:szCs w:val="20"/>
          <w:color w:val="auto"/>
        </w:rPr>
      </w:pPr>
      <w:r>
        <w:rPr>
          <w:rFonts w:ascii="Courier New" w:cs="Courier New" w:eastAsia="Courier New" w:hAnsi="Courier New"/>
          <w:sz w:val="15"/>
          <w:szCs w:val="15"/>
          <w:color w:val="auto"/>
        </w:rPr>
        <w:t>Delaware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Kingdom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237" w:lineRule="auto"/>
        <w:rPr>
          <w:sz w:val="20"/>
          <w:szCs w:val="20"/>
          <w:color w:val="auto"/>
        </w:rPr>
      </w:pPr>
      <w:r>
        <w:rPr>
          <w:rFonts w:ascii="Courier New" w:cs="Courier New" w:eastAsia="Courier New" w:hAnsi="Courier New"/>
          <w:sz w:val="15"/>
          <w:szCs w:val="15"/>
          <w:color w:val="auto"/>
        </w:rPr>
        <w:t>Delaware</w:t>
      </w:r>
    </w:p>
    <w:p>
      <w:pPr>
        <w:spacing w:after="0" w:line="238" w:lineRule="auto"/>
        <w:rPr>
          <w:sz w:val="20"/>
          <w:szCs w:val="20"/>
          <w:color w:val="auto"/>
        </w:rPr>
      </w:pPr>
      <w:r>
        <w:rPr>
          <w:rFonts w:ascii="Courier New" w:cs="Courier New" w:eastAsia="Courier New" w:hAnsi="Courier New"/>
          <w:sz w:val="15"/>
          <w:szCs w:val="15"/>
          <w:color w:val="auto"/>
        </w:rPr>
        <w:t>Delaware</w:t>
      </w:r>
    </w:p>
    <w:p>
      <w:pPr>
        <w:spacing w:after="0" w:line="367" w:lineRule="exact"/>
        <w:rPr>
          <w:sz w:val="20"/>
          <w:szCs w:val="20"/>
          <w:color w:val="auto"/>
        </w:rPr>
      </w:pPr>
    </w:p>
    <w:p>
      <w:pPr>
        <w:sectPr>
          <w:pgSz w:w="11900" w:h="16838" w:orient="portrait"/>
          <w:cols w:equalWidth="0" w:num="2">
            <w:col w:w="3940" w:space="260"/>
            <w:col w:w="6039"/>
          </w:cols>
          <w:pgMar w:left="220" w:top="471" w:right="1440" w:bottom="1440" w:gutter="0" w:footer="0" w:header="0"/>
          <w:type w:val="continuous"/>
        </w:sectPr>
      </w:pPr>
    </w:p>
    <w:p>
      <w:pPr>
        <w:spacing w:after="0" w:line="142" w:lineRule="exact"/>
        <w:rPr>
          <w:sz w:val="20"/>
          <w:szCs w:val="20"/>
          <w:color w:val="auto"/>
        </w:rPr>
      </w:pPr>
    </w:p>
    <w:p>
      <w:pPr>
        <w:ind w:left="540" w:right="3499" w:hanging="530"/>
        <w:spacing w:after="0" w:line="258" w:lineRule="auto"/>
        <w:tabs>
          <w:tab w:leader="none" w:pos="54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names of certain subsidiaries are omitted since such unnamed subsidiaries, considered in the aggregate as a single subsidiary, would not constitute a significant subsidiary as of February 3, 1996.</w:t>
      </w:r>
    </w:p>
    <w:p>
      <w:pPr>
        <w:spacing w:after="0" w:line="161" w:lineRule="exact"/>
        <w:rPr>
          <w:rFonts w:ascii="Courier New" w:cs="Courier New" w:eastAsia="Courier New" w:hAnsi="Courier New"/>
          <w:sz w:val="14"/>
          <w:szCs w:val="14"/>
          <w:color w:val="auto"/>
        </w:rPr>
      </w:pPr>
    </w:p>
    <w:p>
      <w:pPr>
        <w:ind w:left="540" w:right="3399" w:hanging="530"/>
        <w:spacing w:after="0" w:line="235" w:lineRule="auto"/>
        <w:tabs>
          <w:tab w:leader="none" w:pos="54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Express, Inc. is a wholly-owned subsidiary of Express Holding Corporation, a Delaware corporation and a wholly-owned subsidiary of the registrant.</w:t>
      </w:r>
    </w:p>
    <w:p>
      <w:pPr>
        <w:spacing w:after="0" w:line="173" w:lineRule="exact"/>
        <w:rPr>
          <w:rFonts w:ascii="Courier New" w:cs="Courier New" w:eastAsia="Courier New" w:hAnsi="Courier New"/>
          <w:sz w:val="15"/>
          <w:szCs w:val="15"/>
          <w:color w:val="auto"/>
        </w:rPr>
      </w:pPr>
    </w:p>
    <w:p>
      <w:pPr>
        <w:ind w:left="440" w:right="3499" w:hanging="430"/>
        <w:spacing w:after="0" w:line="235" w:lineRule="auto"/>
        <w:tabs>
          <w:tab w:leader="none" w:pos="44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Lerner New York, Inc. is a wholly-owned subsidiary of Lerner Holding Corporation, a Delaware corporation and a wholly-owned subsidiary of the registrant.</w:t>
      </w:r>
    </w:p>
    <w:p>
      <w:pPr>
        <w:spacing w:after="0" w:line="173" w:lineRule="exact"/>
        <w:rPr>
          <w:rFonts w:ascii="Courier New" w:cs="Courier New" w:eastAsia="Courier New" w:hAnsi="Courier New"/>
          <w:sz w:val="15"/>
          <w:szCs w:val="15"/>
          <w:color w:val="auto"/>
        </w:rPr>
      </w:pPr>
    </w:p>
    <w:p>
      <w:pPr>
        <w:ind w:left="440" w:right="3499" w:hanging="430"/>
        <w:spacing w:after="0" w:line="235" w:lineRule="auto"/>
        <w:tabs>
          <w:tab w:leader="none" w:pos="44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Lane Bryant, Inc. is a wholly-owned subsidiary of Lane Bryant Holding Corporation, a Delaware corporation and a wholly-owned subsidiary of the registrant.</w:t>
      </w:r>
    </w:p>
    <w:p>
      <w:pPr>
        <w:spacing w:after="0" w:line="173" w:lineRule="exact"/>
        <w:rPr>
          <w:rFonts w:ascii="Courier New" w:cs="Courier New" w:eastAsia="Courier New" w:hAnsi="Courier New"/>
          <w:sz w:val="15"/>
          <w:szCs w:val="15"/>
          <w:color w:val="auto"/>
        </w:rPr>
      </w:pPr>
    </w:p>
    <w:p>
      <w:pPr>
        <w:ind w:left="440" w:right="3239" w:hanging="430"/>
        <w:spacing w:after="0" w:line="235" w:lineRule="auto"/>
        <w:tabs>
          <w:tab w:leader="none" w:pos="44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Limited London-Paris-New York, Inc. is a wholly-owned subsidiary of LIM Holding Corporation, a Delaware corporation and a wholly-owned subsidiary of the registrant.</w:t>
      </w:r>
    </w:p>
    <w:p>
      <w:pPr>
        <w:spacing w:after="0" w:line="173" w:lineRule="exact"/>
        <w:rPr>
          <w:rFonts w:ascii="Courier New" w:cs="Courier New" w:eastAsia="Courier New" w:hAnsi="Courier New"/>
          <w:sz w:val="15"/>
          <w:szCs w:val="15"/>
          <w:color w:val="auto"/>
        </w:rPr>
      </w:pPr>
    </w:p>
    <w:p>
      <w:pPr>
        <w:ind w:left="440" w:right="3499" w:hanging="430"/>
        <w:spacing w:after="0" w:line="235" w:lineRule="auto"/>
        <w:tabs>
          <w:tab w:leader="none" w:pos="44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Henri Bendel, Inc. is a wholly-owned subsidiary of Henri Bendel Holding Corporation, a Delaware corporation and a wholly-owned subsidiary of the registrant.</w:t>
      </w:r>
    </w:p>
    <w:p>
      <w:pPr>
        <w:spacing w:after="0" w:line="173" w:lineRule="exact"/>
        <w:rPr>
          <w:rFonts w:ascii="Courier New" w:cs="Courier New" w:eastAsia="Courier New" w:hAnsi="Courier New"/>
          <w:sz w:val="15"/>
          <w:szCs w:val="15"/>
          <w:color w:val="auto"/>
        </w:rPr>
      </w:pPr>
    </w:p>
    <w:p>
      <w:pPr>
        <w:ind w:left="440" w:right="3499" w:hanging="430"/>
        <w:spacing w:after="0" w:line="235" w:lineRule="auto"/>
        <w:tabs>
          <w:tab w:leader="none" w:pos="44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Structure, Inc. is a wholly-owned subsidiary of Structure Holding Corporation, a Delaware corporation and a wholly-owned subsidiary of the registrant.</w:t>
      </w:r>
    </w:p>
    <w:p>
      <w:pPr>
        <w:spacing w:after="0" w:line="173" w:lineRule="exact"/>
        <w:rPr>
          <w:rFonts w:ascii="Courier New" w:cs="Courier New" w:eastAsia="Courier New" w:hAnsi="Courier New"/>
          <w:sz w:val="15"/>
          <w:szCs w:val="15"/>
          <w:color w:val="auto"/>
        </w:rPr>
      </w:pPr>
    </w:p>
    <w:p>
      <w:pPr>
        <w:ind w:left="440" w:right="3579" w:hanging="430"/>
        <w:spacing w:after="0" w:line="235" w:lineRule="auto"/>
        <w:tabs>
          <w:tab w:leader="none" w:pos="44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Abercrombie &amp; Fitch, Inc. is a wholly-owned subsidiary of Abercrombie &amp; Fitch Holding Corporation, a Delaware corporation and a wholly-owned subsidiary of the registrant.</w:t>
      </w:r>
    </w:p>
    <w:p>
      <w:pPr>
        <w:sectPr>
          <w:pgSz w:w="11900" w:h="16838" w:orient="portrait"/>
          <w:cols w:equalWidth="0" w:num="1">
            <w:col w:w="10239"/>
          </w:cols>
          <w:pgMar w:left="220" w:top="471" w:right="1440" w:bottom="1440" w:gutter="0" w:footer="0" w:header="0"/>
          <w:type w:val="continuous"/>
        </w:sectPr>
      </w:pPr>
    </w:p>
    <w:bookmarkStart w:id="154" w:name="page155"/>
    <w:bookmarkEnd w:id="154"/>
    <w:p>
      <w:pPr>
        <w:ind w:left="430" w:right="3499" w:hanging="430"/>
        <w:spacing w:after="0" w:line="235" w:lineRule="auto"/>
        <w:tabs>
          <w:tab w:leader="none" w:pos="43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Limited Too, Inc. is a wholly-owned subsidiary of Limited Too Holding Corporation, a Delaware corporation and a wholly-owned subsidiary of the registrant.</w:t>
      </w:r>
    </w:p>
    <w:p>
      <w:pPr>
        <w:spacing w:after="0" w:line="173" w:lineRule="exact"/>
        <w:rPr>
          <w:rFonts w:ascii="Courier New" w:cs="Courier New" w:eastAsia="Courier New" w:hAnsi="Courier New"/>
          <w:sz w:val="15"/>
          <w:szCs w:val="15"/>
          <w:color w:val="auto"/>
        </w:rPr>
      </w:pPr>
    </w:p>
    <w:p>
      <w:pPr>
        <w:ind w:left="430" w:right="3239" w:hanging="430"/>
        <w:spacing w:after="0" w:line="235" w:lineRule="auto"/>
        <w:tabs>
          <w:tab w:leader="none" w:pos="43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Galyan's Trading Co., Inc. is a wholly-owned subsidiary of Galyan's Holding Corporation, a Delaware corporation and a wholly-owned subsidiary of the registrant.</w:t>
      </w:r>
    </w:p>
    <w:p>
      <w:pPr>
        <w:spacing w:after="0" w:line="173" w:lineRule="exact"/>
        <w:rPr>
          <w:rFonts w:ascii="Courier New" w:cs="Courier New" w:eastAsia="Courier New" w:hAnsi="Courier New"/>
          <w:sz w:val="15"/>
          <w:szCs w:val="15"/>
          <w:color w:val="auto"/>
        </w:rPr>
      </w:pPr>
    </w:p>
    <w:p>
      <w:pPr>
        <w:ind w:left="430" w:right="3499" w:hanging="430"/>
        <w:spacing w:after="0" w:line="235" w:lineRule="auto"/>
        <w:tabs>
          <w:tab w:leader="none" w:pos="43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Mast Industries, Inc. is a wholly-owned subsidiary of Mast Holding Corporation, a Delaware corporation and a wholly-owned subsidiary of the registrant.</w:t>
      </w:r>
    </w:p>
    <w:p>
      <w:pPr>
        <w:spacing w:after="0" w:line="173" w:lineRule="exact"/>
        <w:rPr>
          <w:rFonts w:ascii="Courier New" w:cs="Courier New" w:eastAsia="Courier New" w:hAnsi="Courier New"/>
          <w:sz w:val="15"/>
          <w:szCs w:val="15"/>
          <w:color w:val="auto"/>
        </w:rPr>
      </w:pPr>
    </w:p>
    <w:p>
      <w:pPr>
        <w:ind w:left="430" w:right="3579" w:hanging="430"/>
        <w:spacing w:after="0" w:line="234" w:lineRule="auto"/>
        <w:tabs>
          <w:tab w:leader="none" w:pos="43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Mast Industries (Far East) Limited is a wholly-owned subsidiary of Mast Industries, Inc.</w:t>
      </w:r>
    </w:p>
    <w:p>
      <w:pPr>
        <w:spacing w:after="0" w:line="173" w:lineRule="exact"/>
        <w:rPr>
          <w:rFonts w:ascii="Courier New" w:cs="Courier New" w:eastAsia="Courier New" w:hAnsi="Courier New"/>
          <w:sz w:val="15"/>
          <w:szCs w:val="15"/>
          <w:color w:val="auto"/>
        </w:rPr>
      </w:pPr>
    </w:p>
    <w:p>
      <w:pPr>
        <w:ind w:left="430" w:right="3319" w:hanging="430"/>
        <w:spacing w:after="0" w:line="235" w:lineRule="auto"/>
        <w:tabs>
          <w:tab w:leader="none" w:pos="43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Limited Distribution Services, Inc. is a wholly-owned subsidiary of LTDSP, Inc., a Delaware corporation and a wholly-owned subsidiary of the registrant.</w:t>
      </w:r>
    </w:p>
    <w:p>
      <w:pPr>
        <w:spacing w:after="0" w:line="173" w:lineRule="exact"/>
        <w:rPr>
          <w:rFonts w:ascii="Courier New" w:cs="Courier New" w:eastAsia="Courier New" w:hAnsi="Courier New"/>
          <w:sz w:val="15"/>
          <w:szCs w:val="15"/>
          <w:color w:val="auto"/>
        </w:rPr>
      </w:pPr>
    </w:p>
    <w:p>
      <w:pPr>
        <w:ind w:left="430" w:hanging="430"/>
        <w:spacing w:after="0"/>
        <w:tabs>
          <w:tab w:leader="none" w:pos="43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Limited Service Corporation is a wholly-owned subsidiary of the registrant.</w:t>
      </w:r>
    </w:p>
    <w:p>
      <w:pPr>
        <w:spacing w:after="0" w:line="177" w:lineRule="exact"/>
        <w:rPr>
          <w:rFonts w:ascii="Courier New" w:cs="Courier New" w:eastAsia="Courier New" w:hAnsi="Courier New"/>
          <w:sz w:val="14"/>
          <w:szCs w:val="14"/>
          <w:color w:val="auto"/>
        </w:rPr>
      </w:pPr>
    </w:p>
    <w:p>
      <w:pPr>
        <w:ind w:left="430" w:hanging="430"/>
        <w:spacing w:after="0"/>
        <w:tabs>
          <w:tab w:leader="none" w:pos="43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Womanco Service Corporation is a wholly-owned subsidiary of the registrant.</w:t>
      </w:r>
    </w:p>
    <w:p>
      <w:pPr>
        <w:spacing w:after="0" w:line="177" w:lineRule="exact"/>
        <w:rPr>
          <w:rFonts w:ascii="Courier New" w:cs="Courier New" w:eastAsia="Courier New" w:hAnsi="Courier New"/>
          <w:sz w:val="14"/>
          <w:szCs w:val="14"/>
          <w:color w:val="auto"/>
        </w:rPr>
      </w:pPr>
    </w:p>
    <w:p>
      <w:pPr>
        <w:ind w:left="430" w:right="3399" w:hanging="430"/>
        <w:spacing w:after="0" w:line="235" w:lineRule="auto"/>
        <w:tabs>
          <w:tab w:leader="none" w:pos="43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Victoria's Secret Stores, Inc. is a wholly-owned subsidiary of Victoria's Secret Stores Holding Corporation, a Delaware corporation, which is a wholly-owned subsidiary of Intimate Brands, Inc., a Delaware corporation and a majority owned subsidiary of the Company.</w:t>
      </w:r>
    </w:p>
    <w:p>
      <w:pPr>
        <w:spacing w:after="0" w:line="175" w:lineRule="exact"/>
        <w:rPr>
          <w:rFonts w:ascii="Courier New" w:cs="Courier New" w:eastAsia="Courier New" w:hAnsi="Courier New"/>
          <w:sz w:val="15"/>
          <w:szCs w:val="15"/>
          <w:color w:val="auto"/>
        </w:rPr>
      </w:pPr>
    </w:p>
    <w:p>
      <w:pPr>
        <w:ind w:left="430" w:right="3499" w:hanging="430"/>
        <w:spacing w:after="0" w:line="256" w:lineRule="auto"/>
        <w:tabs>
          <w:tab w:leader="none" w:pos="43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Victoria's Secret Catalogue, Inc. is a wholly-owned subsidiary of Victoria's Secret Catalogue Holding Corporation, a Delaware corporation, which is a wholly-owned subsidiary of Intimate Brands, Inc., a Delaware corporation and a majority owned subsidiary of the Company.</w:t>
      </w:r>
    </w:p>
    <w:p>
      <w:pPr>
        <w:spacing w:after="0" w:line="164" w:lineRule="exact"/>
        <w:rPr>
          <w:rFonts w:ascii="Courier New" w:cs="Courier New" w:eastAsia="Courier New" w:hAnsi="Courier New"/>
          <w:sz w:val="14"/>
          <w:szCs w:val="14"/>
          <w:color w:val="auto"/>
        </w:rPr>
      </w:pPr>
    </w:p>
    <w:p>
      <w:pPr>
        <w:ind w:left="430" w:right="3399" w:hanging="430"/>
        <w:spacing w:after="0" w:line="235" w:lineRule="auto"/>
        <w:tabs>
          <w:tab w:leader="none" w:pos="43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Bath &amp; Body Works, Inc. is a wholly-owned subsidiary of Bath &amp; Body Works Holding Corporation, a Delaware corporation, which is a wholly-owned subsidiary of Intimate Brands, Inc., a Delaware corporation and a majority owned subsidiary of the Company.</w:t>
      </w:r>
    </w:p>
    <w:p>
      <w:pPr>
        <w:spacing w:after="0" w:line="175" w:lineRule="exact"/>
        <w:rPr>
          <w:rFonts w:ascii="Courier New" w:cs="Courier New" w:eastAsia="Courier New" w:hAnsi="Courier New"/>
          <w:sz w:val="15"/>
          <w:szCs w:val="15"/>
          <w:color w:val="auto"/>
        </w:rPr>
      </w:pPr>
    </w:p>
    <w:p>
      <w:pPr>
        <w:ind w:left="430" w:right="3319" w:hanging="430"/>
        <w:spacing w:after="0" w:line="235" w:lineRule="auto"/>
        <w:tabs>
          <w:tab w:leader="none" w:pos="43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Cacique, Inc. is a wholly-owned subsidiary of Cacique Holding Corporation, a Delaware corporation, which is a wholly-owned subsidiary of Intimate Brands, Inc., a Delaware corporation and a majority owned subsidiary of the Company.</w:t>
      </w:r>
    </w:p>
    <w:p>
      <w:pPr>
        <w:spacing w:after="0" w:line="175" w:lineRule="exact"/>
        <w:rPr>
          <w:rFonts w:ascii="Courier New" w:cs="Courier New" w:eastAsia="Courier New" w:hAnsi="Courier New"/>
          <w:sz w:val="15"/>
          <w:szCs w:val="15"/>
          <w:color w:val="auto"/>
        </w:rPr>
      </w:pPr>
    </w:p>
    <w:p>
      <w:pPr>
        <w:ind w:left="430" w:right="3399" w:hanging="430"/>
        <w:spacing w:after="0" w:line="235" w:lineRule="auto"/>
        <w:tabs>
          <w:tab w:leader="none" w:pos="43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Penhaligon's Limited is a wholly-owned subsidiary of Penhal Investments, Inc., a Delaware corporation, which is a wholly-owned subsidiary of Intimate Brands, Inc., a Delaware corporation and a majority owned subsidiary of the Company.</w:t>
      </w:r>
    </w:p>
    <w:p>
      <w:pPr>
        <w:spacing w:after="0" w:line="175" w:lineRule="exact"/>
        <w:rPr>
          <w:rFonts w:ascii="Courier New" w:cs="Courier New" w:eastAsia="Courier New" w:hAnsi="Courier New"/>
          <w:sz w:val="15"/>
          <w:szCs w:val="15"/>
          <w:color w:val="auto"/>
        </w:rPr>
      </w:pPr>
    </w:p>
    <w:p>
      <w:pPr>
        <w:ind w:left="430" w:right="3239" w:hanging="430"/>
        <w:spacing w:after="0" w:line="235" w:lineRule="auto"/>
        <w:tabs>
          <w:tab w:leader="none" w:pos="43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Gryphon Development, Inc. is a wholly-owned subsidiary of Gryphon Holding Corporation., a Delaware corporation, which is a wholly-owned subsidiary of Intimate Brands, Inc., a Delaware corporation and a majority owned subsidiary of the Company.</w:t>
      </w:r>
    </w:p>
    <w:p>
      <w:pPr>
        <w:spacing w:after="0" w:line="175" w:lineRule="exact"/>
        <w:rPr>
          <w:rFonts w:ascii="Courier New" w:cs="Courier New" w:eastAsia="Courier New" w:hAnsi="Courier New"/>
          <w:sz w:val="15"/>
          <w:szCs w:val="15"/>
          <w:color w:val="auto"/>
        </w:rPr>
      </w:pPr>
    </w:p>
    <w:p>
      <w:pPr>
        <w:ind w:left="430" w:right="3579" w:hanging="430"/>
        <w:spacing w:after="0" w:line="235" w:lineRule="auto"/>
        <w:tabs>
          <w:tab w:leader="none" w:pos="43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Intimate Brands Service Corporation is a wholly-owned subsidiary of the Intimate Brands, Inc., a Delaware corporation and a majority owned subsidiary of the Company.</w:t>
      </w:r>
    </w:p>
    <w:p>
      <w:pPr>
        <w:spacing w:after="0" w:line="167" w:lineRule="exact"/>
        <w:rPr>
          <w:rFonts w:ascii="Courier New" w:cs="Courier New" w:eastAsia="Courier New" w:hAnsi="Courier New"/>
          <w:sz w:val="15"/>
          <w:szCs w:val="15"/>
          <w:color w:val="auto"/>
        </w:rPr>
      </w:pPr>
    </w:p>
    <w:p>
      <w:pPr>
        <w:ind w:left="430" w:hanging="430"/>
        <w:spacing w:after="0"/>
        <w:tabs>
          <w:tab w:leader="none" w:pos="43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Intimate Brands, Inc. is a majority owned subsidiary of the Company.</w:t>
      </w:r>
    </w:p>
    <w:p>
      <w:pPr>
        <w:sectPr>
          <w:pgSz w:w="11900" w:h="16838" w:orient="portrait"/>
          <w:cols w:equalWidth="0" w:num="1">
            <w:col w:w="10229"/>
          </w:cols>
          <w:pgMar w:left="230" w:top="624" w:right="1440" w:bottom="1440" w:gutter="0" w:footer="0" w:header="0"/>
        </w:sectPr>
      </w:pPr>
    </w:p>
    <w:bookmarkStart w:id="155" w:name="page156"/>
    <w:bookmarkEnd w:id="155"/>
    <w:p>
      <w:pPr>
        <w:jc w:val="right"/>
        <w:ind w:right="3319"/>
        <w:spacing w:after="0"/>
        <w:rPr>
          <w:sz w:val="20"/>
          <w:szCs w:val="20"/>
          <w:color w:val="auto"/>
        </w:rPr>
      </w:pPr>
      <w:r>
        <w:rPr>
          <w:rFonts w:ascii="Courier New" w:cs="Courier New" w:eastAsia="Courier New" w:hAnsi="Courier New"/>
          <w:sz w:val="15"/>
          <w:szCs w:val="15"/>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200" w:lineRule="exact"/>
        <w:rPr>
          <w:sz w:val="20"/>
          <w:szCs w:val="20"/>
          <w:color w:val="auto"/>
        </w:rPr>
      </w:pPr>
    </w:p>
    <w:p>
      <w:pPr>
        <w:spacing w:after="0" w:line="309"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We consent to the incorporation by reference in the registration statements of The Limited, Inc. on Form S-8, Registration Nos. 33-18533, 33-25005, 2-92277, 33-24829, 33-24507, 33-24828, 2-95788, 2-88919, 33-24518, 33-6965, 33-14049, 33-22844, 33-44041, 33-49871 and the registration statements on Form S-3, Registration Nos. 33-20788, 33-31540, 33-43832 and 33-53366 of our report dated February 26, 1996, except for paragraph 11 in Note 1 and Note 9, as to which the date is March 18, 1996, on our audits of the consolidated financial statements and financial statement schedule of The Limited, Inc. and Subsidiaries as of February 3, 1996, and January 28, 1995, and for the fiscal years ended February 3, 1996, January 28, 1995, and January 29, 1994, which report is included in this Annual Report on Form 10-K.</w:t>
      </w:r>
    </w:p>
    <w:p>
      <w:pPr>
        <w:spacing w:after="0" w:line="200" w:lineRule="exact"/>
        <w:rPr>
          <w:sz w:val="20"/>
          <w:szCs w:val="20"/>
          <w:color w:val="auto"/>
        </w:rPr>
      </w:pPr>
    </w:p>
    <w:p>
      <w:pPr>
        <w:spacing w:after="0" w:line="310" w:lineRule="exact"/>
        <w:rPr>
          <w:sz w:val="20"/>
          <w:szCs w:val="20"/>
          <w:color w:val="auto"/>
        </w:rPr>
      </w:pPr>
    </w:p>
    <w:p>
      <w:pPr>
        <w:jc w:val="center"/>
        <w:ind w:right="-280"/>
        <w:spacing w:after="0"/>
        <w:rPr>
          <w:sz w:val="20"/>
          <w:szCs w:val="20"/>
          <w:color w:val="auto"/>
        </w:rPr>
      </w:pPr>
      <w:r>
        <w:rPr>
          <w:rFonts w:ascii="Courier New" w:cs="Courier New" w:eastAsia="Courier New" w:hAnsi="Courier New"/>
          <w:sz w:val="15"/>
          <w:szCs w:val="15"/>
          <w:color w:val="auto"/>
        </w:rPr>
        <w:t>COOPERS &amp; LYBRAND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Columbus, Ohio</w:t>
      </w:r>
    </w:p>
    <w:p>
      <w:pPr>
        <w:spacing w:after="0" w:line="237" w:lineRule="auto"/>
        <w:rPr>
          <w:sz w:val="20"/>
          <w:szCs w:val="20"/>
          <w:color w:val="auto"/>
        </w:rPr>
      </w:pPr>
      <w:r>
        <w:rPr>
          <w:rFonts w:ascii="Courier New" w:cs="Courier New" w:eastAsia="Courier New" w:hAnsi="Courier New"/>
          <w:sz w:val="15"/>
          <w:szCs w:val="15"/>
          <w:color w:val="auto"/>
        </w:rPr>
        <w:t>May 1, 1996</w:t>
      </w:r>
    </w:p>
    <w:p>
      <w:pPr>
        <w:sectPr>
          <w:pgSz w:w="11900" w:h="16838" w:orient="portrait"/>
          <w:cols w:equalWidth="0" w:num="1">
            <w:col w:w="10239"/>
          </w:cols>
          <w:pgMar w:left="220" w:top="471" w:right="1440" w:bottom="1440" w:gutter="0" w:footer="0" w:header="0"/>
        </w:sectPr>
      </w:pPr>
    </w:p>
    <w:bookmarkStart w:id="156" w:name="page157"/>
    <w:bookmarkEnd w:id="156"/>
    <w:p>
      <w:pPr>
        <w:jc w:val="right"/>
        <w:ind w:right="3239"/>
        <w:spacing w:after="0"/>
        <w:rPr>
          <w:sz w:val="20"/>
          <w:szCs w:val="20"/>
          <w:color w:val="auto"/>
        </w:rPr>
      </w:pPr>
      <w:r>
        <w:rPr>
          <w:rFonts w:ascii="Courier New" w:cs="Courier New" w:eastAsia="Courier New" w:hAnsi="Courier New"/>
          <w:sz w:val="15"/>
          <w:szCs w:val="15"/>
          <w:color w:val="auto"/>
        </w:rPr>
        <w:t>EXHIBIT 24</w:t>
      </w:r>
    </w:p>
    <w:p>
      <w:pPr>
        <w:spacing w:after="0" w:line="5" w:lineRule="exact"/>
        <w:rPr>
          <w:sz w:val="20"/>
          <w:szCs w:val="20"/>
          <w:color w:val="auto"/>
        </w:rPr>
      </w:pPr>
    </w:p>
    <w:p>
      <w:pPr>
        <w:ind w:left="61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8"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POWER OF ATTORNEY</w:t>
      </w:r>
    </w:p>
    <w:p>
      <w:pPr>
        <w:jc w:val="center"/>
        <w:ind w:right="3319"/>
        <w:spacing w:after="0" w:line="237" w:lineRule="auto"/>
        <w:rPr>
          <w:sz w:val="20"/>
          <w:szCs w:val="20"/>
          <w:color w:val="auto"/>
        </w:rPr>
      </w:pPr>
      <w:r>
        <w:rPr>
          <w:rFonts w:ascii="Courier New" w:cs="Courier New" w:eastAsia="Courier New" w:hAnsi="Courier New"/>
          <w:sz w:val="15"/>
          <w:szCs w:val="15"/>
          <w:color w:val="auto"/>
        </w:rPr>
        <w:t>OFFICERS AND DIRECTORS OF</w:t>
      </w:r>
    </w:p>
    <w:p>
      <w:pPr>
        <w:jc w:val="center"/>
        <w:ind w:right="3319"/>
        <w:spacing w:after="0" w:line="238" w:lineRule="auto"/>
        <w:rPr>
          <w:sz w:val="20"/>
          <w:szCs w:val="20"/>
          <w:color w:val="auto"/>
        </w:rPr>
      </w:pPr>
      <w:r>
        <w:rPr>
          <w:rFonts w:ascii="Courier New" w:cs="Courier New" w:eastAsia="Courier New" w:hAnsi="Courier New"/>
          <w:sz w:val="15"/>
          <w:szCs w:val="15"/>
          <w:color w:val="auto"/>
        </w:rPr>
        <w:t>THE LIMITED, INC.</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undersigned officer and/or director of The Limited, Inc., a Delaware corporation, which anticipates filing an Annual Report on Form 10-K for its 1995 fiscal year under the provisions of the Securities Exchange Act of 1934 with the Securities and Exchange Commission, Washington, D.C., hereby constitutes and appoints Leslie H. Wexner and Kenneth B. Gilman, and each of them, with full powers of substitution and resubstitution, as attorney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32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EXECUTED as of the 26th day of January, 1996.</w:t>
      </w:r>
    </w:p>
    <w:p>
      <w:pPr>
        <w:spacing w:after="0" w:line="200" w:lineRule="exact"/>
        <w:rPr>
          <w:sz w:val="20"/>
          <w:szCs w:val="20"/>
          <w:color w:val="auto"/>
        </w:rPr>
      </w:pPr>
    </w:p>
    <w:p>
      <w:pPr>
        <w:spacing w:after="0" w:line="30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/s/ LESLIE H. WEXNER</w:t>
      </w:r>
    </w:p>
    <w:p>
      <w:pPr>
        <w:ind w:left="280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Leslie H. Wexner</w:t>
      </w:r>
    </w:p>
    <w:p>
      <w:pPr>
        <w:sectPr>
          <w:pgSz w:w="11900" w:h="16838" w:orient="portrait"/>
          <w:cols w:equalWidth="0" w:num="1">
            <w:col w:w="10239"/>
          </w:cols>
          <w:pgMar w:left="220" w:top="472" w:right="1440" w:bottom="1440" w:gutter="0" w:footer="0" w:header="0"/>
        </w:sectPr>
      </w:pPr>
    </w:p>
    <w:bookmarkStart w:id="157" w:name="page158"/>
    <w:bookmarkEnd w:id="157"/>
    <w:p>
      <w:pPr>
        <w:jc w:val="center"/>
        <w:ind w:right="3319"/>
        <w:spacing w:after="0"/>
        <w:rPr>
          <w:sz w:val="20"/>
          <w:szCs w:val="20"/>
          <w:color w:val="auto"/>
        </w:rPr>
      </w:pPr>
      <w:r>
        <w:rPr>
          <w:rFonts w:ascii="Courier New" w:cs="Courier New" w:eastAsia="Courier New" w:hAnsi="Courier New"/>
          <w:sz w:val="15"/>
          <w:szCs w:val="15"/>
          <w:color w:val="auto"/>
        </w:rPr>
        <w:t>POWER OF ATTORNEY</w:t>
      </w:r>
    </w:p>
    <w:p>
      <w:pPr>
        <w:jc w:val="center"/>
        <w:ind w:right="3319"/>
        <w:spacing w:after="0" w:line="237" w:lineRule="auto"/>
        <w:rPr>
          <w:sz w:val="20"/>
          <w:szCs w:val="20"/>
          <w:color w:val="auto"/>
        </w:rPr>
      </w:pPr>
      <w:r>
        <w:rPr>
          <w:rFonts w:ascii="Courier New" w:cs="Courier New" w:eastAsia="Courier New" w:hAnsi="Courier New"/>
          <w:sz w:val="15"/>
          <w:szCs w:val="15"/>
          <w:color w:val="auto"/>
        </w:rPr>
        <w:t>OFFICERS AND DIRECTORS OF</w:t>
      </w:r>
    </w:p>
    <w:p>
      <w:pPr>
        <w:jc w:val="center"/>
        <w:ind w:right="3319"/>
        <w:spacing w:after="0" w:line="238" w:lineRule="auto"/>
        <w:rPr>
          <w:sz w:val="20"/>
          <w:szCs w:val="20"/>
          <w:color w:val="auto"/>
        </w:rPr>
      </w:pPr>
      <w:r>
        <w:rPr>
          <w:rFonts w:ascii="Courier New" w:cs="Courier New" w:eastAsia="Courier New" w:hAnsi="Courier New"/>
          <w:sz w:val="15"/>
          <w:szCs w:val="15"/>
          <w:color w:val="auto"/>
        </w:rPr>
        <w:t>THE LIMITED, INC.</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undersigned officer and/or director of The Limited, Inc., a Delaware corporation, which anticipates filing an Annual Report on Form 10-K for its 1995 fiscal year under the provisions of the Securities Exchange Act of 1934 with the Securities and Exchange Commission, Washington, D.C., hereby constitutes and appoints Leslie H. Wexner and Kenneth B. Gilman, and each of them, with full powers of substitution and resubstitution, as attorney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32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EXECUTED as of the 26th day of January, 1996.</w:t>
      </w:r>
    </w:p>
    <w:p>
      <w:pPr>
        <w:spacing w:after="0" w:line="200" w:lineRule="exact"/>
        <w:rPr>
          <w:sz w:val="20"/>
          <w:szCs w:val="20"/>
          <w:color w:val="auto"/>
        </w:rPr>
      </w:pPr>
    </w:p>
    <w:p>
      <w:pPr>
        <w:spacing w:after="0" w:line="30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/s/ KENNETH B. GILMAN</w:t>
      </w:r>
    </w:p>
    <w:p>
      <w:pPr>
        <w:ind w:left="280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Kenneth B. Gilman</w:t>
      </w:r>
    </w:p>
    <w:p>
      <w:pPr>
        <w:sectPr>
          <w:pgSz w:w="11900" w:h="16838" w:orient="portrait"/>
          <w:cols w:equalWidth="0" w:num="1">
            <w:col w:w="10239"/>
          </w:cols>
          <w:pgMar w:left="220" w:top="617" w:right="1440" w:bottom="1440" w:gutter="0" w:footer="0" w:header="0"/>
        </w:sectPr>
      </w:pPr>
    </w:p>
    <w:bookmarkStart w:id="158" w:name="page159"/>
    <w:bookmarkEnd w:id="158"/>
    <w:p>
      <w:pPr>
        <w:jc w:val="center"/>
        <w:ind w:right="3319"/>
        <w:spacing w:after="0"/>
        <w:rPr>
          <w:sz w:val="20"/>
          <w:szCs w:val="20"/>
          <w:color w:val="auto"/>
        </w:rPr>
      </w:pPr>
      <w:r>
        <w:rPr>
          <w:rFonts w:ascii="Courier New" w:cs="Courier New" w:eastAsia="Courier New" w:hAnsi="Courier New"/>
          <w:sz w:val="15"/>
          <w:szCs w:val="15"/>
          <w:color w:val="auto"/>
        </w:rPr>
        <w:t>POWER OF ATTORNEY</w:t>
      </w:r>
    </w:p>
    <w:p>
      <w:pPr>
        <w:jc w:val="center"/>
        <w:ind w:right="3319"/>
        <w:spacing w:after="0" w:line="237" w:lineRule="auto"/>
        <w:rPr>
          <w:sz w:val="20"/>
          <w:szCs w:val="20"/>
          <w:color w:val="auto"/>
        </w:rPr>
      </w:pPr>
      <w:r>
        <w:rPr>
          <w:rFonts w:ascii="Courier New" w:cs="Courier New" w:eastAsia="Courier New" w:hAnsi="Courier New"/>
          <w:sz w:val="15"/>
          <w:szCs w:val="15"/>
          <w:color w:val="auto"/>
        </w:rPr>
        <w:t>OFFICERS AND DIRECTORS OF</w:t>
      </w:r>
    </w:p>
    <w:p>
      <w:pPr>
        <w:jc w:val="center"/>
        <w:ind w:right="3319"/>
        <w:spacing w:after="0" w:line="238" w:lineRule="auto"/>
        <w:rPr>
          <w:sz w:val="20"/>
          <w:szCs w:val="20"/>
          <w:color w:val="auto"/>
        </w:rPr>
      </w:pPr>
      <w:r>
        <w:rPr>
          <w:rFonts w:ascii="Courier New" w:cs="Courier New" w:eastAsia="Courier New" w:hAnsi="Courier New"/>
          <w:sz w:val="15"/>
          <w:szCs w:val="15"/>
          <w:color w:val="auto"/>
        </w:rPr>
        <w:t>THE LIMITED, INC.</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undersigned officer and/or director of The Limited, Inc., a Delaware corporation, which anticipates filing an Annual Report on Form 10-K for its 1995 fiscal year under the provisions of the Securities Exchange Act of 1934 with the Securities and Exchange Commission, Washington, D.C., hereby constitutes and appoints Leslie H. Wexner and Kenneth B. Gilman, and each of them, with full powers of substitution and resubstitution, as attorney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32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EXECUTED as of the 26th day of January, 1996.</w:t>
      </w:r>
    </w:p>
    <w:p>
      <w:pPr>
        <w:spacing w:after="0" w:line="200" w:lineRule="exact"/>
        <w:rPr>
          <w:sz w:val="20"/>
          <w:szCs w:val="20"/>
          <w:color w:val="auto"/>
        </w:rPr>
      </w:pPr>
    </w:p>
    <w:p>
      <w:pPr>
        <w:spacing w:after="0" w:line="30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/s/ BELLA WEXNER</w:t>
      </w:r>
    </w:p>
    <w:p>
      <w:pPr>
        <w:ind w:left="280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Bella Wexner</w:t>
      </w:r>
    </w:p>
    <w:p>
      <w:pPr>
        <w:sectPr>
          <w:pgSz w:w="11900" w:h="16838" w:orient="portrait"/>
          <w:cols w:equalWidth="0" w:num="1">
            <w:col w:w="10239"/>
          </w:cols>
          <w:pgMar w:left="220" w:top="617" w:right="1440" w:bottom="1440" w:gutter="0" w:footer="0" w:header="0"/>
        </w:sectPr>
      </w:pPr>
    </w:p>
    <w:bookmarkStart w:id="159" w:name="page160"/>
    <w:bookmarkEnd w:id="159"/>
    <w:p>
      <w:pPr>
        <w:jc w:val="center"/>
        <w:ind w:right="3319"/>
        <w:spacing w:after="0"/>
        <w:rPr>
          <w:sz w:val="20"/>
          <w:szCs w:val="20"/>
          <w:color w:val="auto"/>
        </w:rPr>
      </w:pPr>
      <w:r>
        <w:rPr>
          <w:rFonts w:ascii="Courier New" w:cs="Courier New" w:eastAsia="Courier New" w:hAnsi="Courier New"/>
          <w:sz w:val="15"/>
          <w:szCs w:val="15"/>
          <w:color w:val="auto"/>
        </w:rPr>
        <w:t>POWER OF ATTORNEY</w:t>
      </w:r>
    </w:p>
    <w:p>
      <w:pPr>
        <w:jc w:val="center"/>
        <w:ind w:right="3319"/>
        <w:spacing w:after="0" w:line="237" w:lineRule="auto"/>
        <w:rPr>
          <w:sz w:val="20"/>
          <w:szCs w:val="20"/>
          <w:color w:val="auto"/>
        </w:rPr>
      </w:pPr>
      <w:r>
        <w:rPr>
          <w:rFonts w:ascii="Courier New" w:cs="Courier New" w:eastAsia="Courier New" w:hAnsi="Courier New"/>
          <w:sz w:val="15"/>
          <w:szCs w:val="15"/>
          <w:color w:val="auto"/>
        </w:rPr>
        <w:t>OFFICERS AND DIRECTORS OF</w:t>
      </w:r>
    </w:p>
    <w:p>
      <w:pPr>
        <w:jc w:val="center"/>
        <w:ind w:right="3319"/>
        <w:spacing w:after="0" w:line="238" w:lineRule="auto"/>
        <w:rPr>
          <w:sz w:val="20"/>
          <w:szCs w:val="20"/>
          <w:color w:val="auto"/>
        </w:rPr>
      </w:pPr>
      <w:r>
        <w:rPr>
          <w:rFonts w:ascii="Courier New" w:cs="Courier New" w:eastAsia="Courier New" w:hAnsi="Courier New"/>
          <w:sz w:val="15"/>
          <w:szCs w:val="15"/>
          <w:color w:val="auto"/>
        </w:rPr>
        <w:t>THE LIMITED, INC.</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undersigned officer and/or director of The Limited, Inc., a Delaware corporation, which anticipates filing an Annual Report on Form 10-K for its 1995 fiscal year under the provisions of the Securities Exchange Act of 1934 with the Securities and Exchange Commission, Washington, D.C., hereby constitutes and appoints Leslie H. Wexner and Kenneth B. Gilman, and each of them, with full powers of substitution and resubstitution, as attorney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32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EXECUTED as of the 26th day of January, 1996.</w:t>
      </w:r>
    </w:p>
    <w:p>
      <w:pPr>
        <w:spacing w:after="0" w:line="200" w:lineRule="exact"/>
        <w:rPr>
          <w:sz w:val="20"/>
          <w:szCs w:val="20"/>
          <w:color w:val="auto"/>
        </w:rPr>
      </w:pPr>
    </w:p>
    <w:p>
      <w:pPr>
        <w:spacing w:after="0" w:line="30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/s/ MICHAEL A. WEISS</w:t>
      </w:r>
    </w:p>
    <w:p>
      <w:pPr>
        <w:ind w:left="280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Michael A. Weiss</w:t>
      </w:r>
    </w:p>
    <w:p>
      <w:pPr>
        <w:sectPr>
          <w:pgSz w:w="11900" w:h="16838" w:orient="portrait"/>
          <w:cols w:equalWidth="0" w:num="1">
            <w:col w:w="10239"/>
          </w:cols>
          <w:pgMar w:left="220" w:top="617" w:right="1440" w:bottom="1440" w:gutter="0" w:footer="0" w:header="0"/>
        </w:sectPr>
      </w:pPr>
    </w:p>
    <w:bookmarkStart w:id="160" w:name="page161"/>
    <w:bookmarkEnd w:id="160"/>
    <w:p>
      <w:pPr>
        <w:jc w:val="center"/>
        <w:ind w:right="3319"/>
        <w:spacing w:after="0"/>
        <w:rPr>
          <w:sz w:val="20"/>
          <w:szCs w:val="20"/>
          <w:color w:val="auto"/>
        </w:rPr>
      </w:pPr>
      <w:r>
        <w:rPr>
          <w:rFonts w:ascii="Courier New" w:cs="Courier New" w:eastAsia="Courier New" w:hAnsi="Courier New"/>
          <w:sz w:val="15"/>
          <w:szCs w:val="15"/>
          <w:color w:val="auto"/>
        </w:rPr>
        <w:t>POWER OF ATTORNEY</w:t>
      </w:r>
    </w:p>
    <w:p>
      <w:pPr>
        <w:jc w:val="center"/>
        <w:ind w:right="3319"/>
        <w:spacing w:after="0" w:line="237" w:lineRule="auto"/>
        <w:rPr>
          <w:sz w:val="20"/>
          <w:szCs w:val="20"/>
          <w:color w:val="auto"/>
        </w:rPr>
      </w:pPr>
      <w:r>
        <w:rPr>
          <w:rFonts w:ascii="Courier New" w:cs="Courier New" w:eastAsia="Courier New" w:hAnsi="Courier New"/>
          <w:sz w:val="15"/>
          <w:szCs w:val="15"/>
          <w:color w:val="auto"/>
        </w:rPr>
        <w:t>OFFICERS AND DIRECTORS OF</w:t>
      </w:r>
    </w:p>
    <w:p>
      <w:pPr>
        <w:jc w:val="center"/>
        <w:ind w:right="3319"/>
        <w:spacing w:after="0" w:line="238" w:lineRule="auto"/>
        <w:rPr>
          <w:sz w:val="20"/>
          <w:szCs w:val="20"/>
          <w:color w:val="auto"/>
        </w:rPr>
      </w:pPr>
      <w:r>
        <w:rPr>
          <w:rFonts w:ascii="Courier New" w:cs="Courier New" w:eastAsia="Courier New" w:hAnsi="Courier New"/>
          <w:sz w:val="15"/>
          <w:szCs w:val="15"/>
          <w:color w:val="auto"/>
        </w:rPr>
        <w:t>THE LIMITED, INC.</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undersigned officer and/or director of The Limited, Inc., a Delaware corporation, which anticipates filing an Annual Report on Form 10-K for its 1995 fiscal year under the provisions of the Securities Exchange Act of 1934 with the Securities and Exchange Commission, Washington, D.C., hereby constitutes and appoints Leslie H. Wexner and Kenneth B. Gilman, and each of them, with full powers of substitution and resubstitution, as attorney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32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EXECUTED as of the 26th day of January, 1996.</w:t>
      </w:r>
    </w:p>
    <w:p>
      <w:pPr>
        <w:spacing w:after="0" w:line="200" w:lineRule="exact"/>
        <w:rPr>
          <w:sz w:val="20"/>
          <w:szCs w:val="20"/>
          <w:color w:val="auto"/>
        </w:rPr>
      </w:pPr>
    </w:p>
    <w:p>
      <w:pPr>
        <w:spacing w:after="0" w:line="30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/s/ MARTIN TRUST</w:t>
      </w:r>
    </w:p>
    <w:p>
      <w:pPr>
        <w:ind w:left="280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Martin Trust</w:t>
      </w:r>
    </w:p>
    <w:p>
      <w:pPr>
        <w:sectPr>
          <w:pgSz w:w="11900" w:h="16838" w:orient="portrait"/>
          <w:cols w:equalWidth="0" w:num="1">
            <w:col w:w="10239"/>
          </w:cols>
          <w:pgMar w:left="220" w:top="617" w:right="1440" w:bottom="1440" w:gutter="0" w:footer="0" w:header="0"/>
        </w:sectPr>
      </w:pPr>
    </w:p>
    <w:bookmarkStart w:id="161" w:name="page162"/>
    <w:bookmarkEnd w:id="161"/>
    <w:p>
      <w:pPr>
        <w:jc w:val="center"/>
        <w:ind w:right="3319"/>
        <w:spacing w:after="0"/>
        <w:rPr>
          <w:sz w:val="20"/>
          <w:szCs w:val="20"/>
          <w:color w:val="auto"/>
        </w:rPr>
      </w:pPr>
      <w:r>
        <w:rPr>
          <w:rFonts w:ascii="Courier New" w:cs="Courier New" w:eastAsia="Courier New" w:hAnsi="Courier New"/>
          <w:sz w:val="15"/>
          <w:szCs w:val="15"/>
          <w:color w:val="auto"/>
        </w:rPr>
        <w:t>POWER OF ATTORNEY</w:t>
      </w:r>
    </w:p>
    <w:p>
      <w:pPr>
        <w:jc w:val="center"/>
        <w:ind w:right="3319"/>
        <w:spacing w:after="0" w:line="237" w:lineRule="auto"/>
        <w:rPr>
          <w:sz w:val="20"/>
          <w:szCs w:val="20"/>
          <w:color w:val="auto"/>
        </w:rPr>
      </w:pPr>
      <w:r>
        <w:rPr>
          <w:rFonts w:ascii="Courier New" w:cs="Courier New" w:eastAsia="Courier New" w:hAnsi="Courier New"/>
          <w:sz w:val="15"/>
          <w:szCs w:val="15"/>
          <w:color w:val="auto"/>
        </w:rPr>
        <w:t>OFFICERS AND DIRECTORS OF</w:t>
      </w:r>
    </w:p>
    <w:p>
      <w:pPr>
        <w:jc w:val="center"/>
        <w:ind w:right="3319"/>
        <w:spacing w:after="0" w:line="238" w:lineRule="auto"/>
        <w:rPr>
          <w:sz w:val="20"/>
          <w:szCs w:val="20"/>
          <w:color w:val="auto"/>
        </w:rPr>
      </w:pPr>
      <w:r>
        <w:rPr>
          <w:rFonts w:ascii="Courier New" w:cs="Courier New" w:eastAsia="Courier New" w:hAnsi="Courier New"/>
          <w:sz w:val="15"/>
          <w:szCs w:val="15"/>
          <w:color w:val="auto"/>
        </w:rPr>
        <w:t>THE LIMITED, INC.</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undersigned officer and/or director of The Limited, Inc., a Delaware corporation, which anticipates filing an Annual Report on Form 10-K for its 1995 fiscal year under the provisions of the Securities Exchange Act of 1934 with the Securities and Exchange Commission, Washington, D.C., hereby constitutes and appoints Leslie H. Wexner and Kenneth B. Gilman, and each of them, with full powers of substitution and resubstitution, as attorney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32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EXECUTED as of the 26th day of January, 1996.</w:t>
      </w:r>
    </w:p>
    <w:p>
      <w:pPr>
        <w:spacing w:after="0" w:line="200" w:lineRule="exact"/>
        <w:rPr>
          <w:sz w:val="20"/>
          <w:szCs w:val="20"/>
          <w:color w:val="auto"/>
        </w:rPr>
      </w:pPr>
    </w:p>
    <w:p>
      <w:pPr>
        <w:spacing w:after="0" w:line="30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/s/ EUGENE M. FREEDMAN</w:t>
      </w:r>
    </w:p>
    <w:p>
      <w:pPr>
        <w:ind w:left="280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Eugene M. Freedman</w:t>
      </w:r>
    </w:p>
    <w:p>
      <w:pPr>
        <w:sectPr>
          <w:pgSz w:w="11900" w:h="16838" w:orient="portrait"/>
          <w:cols w:equalWidth="0" w:num="1">
            <w:col w:w="10239"/>
          </w:cols>
          <w:pgMar w:left="220" w:top="617" w:right="1440" w:bottom="1440" w:gutter="0" w:footer="0" w:header="0"/>
        </w:sectPr>
      </w:pPr>
    </w:p>
    <w:bookmarkStart w:id="162" w:name="page163"/>
    <w:bookmarkEnd w:id="162"/>
    <w:p>
      <w:pPr>
        <w:jc w:val="center"/>
        <w:ind w:right="3319"/>
        <w:spacing w:after="0"/>
        <w:rPr>
          <w:sz w:val="20"/>
          <w:szCs w:val="20"/>
          <w:color w:val="auto"/>
        </w:rPr>
      </w:pPr>
      <w:r>
        <w:rPr>
          <w:rFonts w:ascii="Courier New" w:cs="Courier New" w:eastAsia="Courier New" w:hAnsi="Courier New"/>
          <w:sz w:val="15"/>
          <w:szCs w:val="15"/>
          <w:color w:val="auto"/>
        </w:rPr>
        <w:t>POWER OF ATTORNEY</w:t>
      </w:r>
    </w:p>
    <w:p>
      <w:pPr>
        <w:jc w:val="center"/>
        <w:ind w:right="3319"/>
        <w:spacing w:after="0" w:line="237" w:lineRule="auto"/>
        <w:rPr>
          <w:sz w:val="20"/>
          <w:szCs w:val="20"/>
          <w:color w:val="auto"/>
        </w:rPr>
      </w:pPr>
      <w:r>
        <w:rPr>
          <w:rFonts w:ascii="Courier New" w:cs="Courier New" w:eastAsia="Courier New" w:hAnsi="Courier New"/>
          <w:sz w:val="15"/>
          <w:szCs w:val="15"/>
          <w:color w:val="auto"/>
        </w:rPr>
        <w:t>OFFICERS AND DIRECTORS OF</w:t>
      </w:r>
    </w:p>
    <w:p>
      <w:pPr>
        <w:jc w:val="center"/>
        <w:ind w:right="3319"/>
        <w:spacing w:after="0" w:line="238" w:lineRule="auto"/>
        <w:rPr>
          <w:sz w:val="20"/>
          <w:szCs w:val="20"/>
          <w:color w:val="auto"/>
        </w:rPr>
      </w:pPr>
      <w:r>
        <w:rPr>
          <w:rFonts w:ascii="Courier New" w:cs="Courier New" w:eastAsia="Courier New" w:hAnsi="Courier New"/>
          <w:sz w:val="15"/>
          <w:szCs w:val="15"/>
          <w:color w:val="auto"/>
        </w:rPr>
        <w:t>THE LIMITED, INC.</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undersigned officer and/or director of The Limited, Inc., a Delaware corporation, which anticipates filing an Annual Report on Form 10-K for its 1995 fiscal year under the provisions of the Securities Exchange Act of 1934 with the Securities and Exchange Commission, Washington, D.C., hereby constitutes and appoints Leslie H. Wexner and Kenneth B. Gilman, and each of them, with full powers of substitution and resubstitution, as attorney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32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EXECUTED as of the 26th day of January, 1996.</w:t>
      </w:r>
    </w:p>
    <w:p>
      <w:pPr>
        <w:spacing w:after="0" w:line="200" w:lineRule="exact"/>
        <w:rPr>
          <w:sz w:val="20"/>
          <w:szCs w:val="20"/>
          <w:color w:val="auto"/>
        </w:rPr>
      </w:pPr>
    </w:p>
    <w:p>
      <w:pPr>
        <w:spacing w:after="0" w:line="30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/s/ E. GORDON GEE</w:t>
      </w:r>
    </w:p>
    <w:p>
      <w:pPr>
        <w:ind w:left="280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E. Gordon Gee</w:t>
      </w:r>
    </w:p>
    <w:p>
      <w:pPr>
        <w:sectPr>
          <w:pgSz w:w="11900" w:h="16838" w:orient="portrait"/>
          <w:cols w:equalWidth="0" w:num="1">
            <w:col w:w="10239"/>
          </w:cols>
          <w:pgMar w:left="220" w:top="617" w:right="1440" w:bottom="1440" w:gutter="0" w:footer="0" w:header="0"/>
        </w:sectPr>
      </w:pPr>
    </w:p>
    <w:bookmarkStart w:id="163" w:name="page164"/>
    <w:bookmarkEnd w:id="163"/>
    <w:p>
      <w:pPr>
        <w:jc w:val="center"/>
        <w:ind w:right="3319"/>
        <w:spacing w:after="0"/>
        <w:rPr>
          <w:sz w:val="20"/>
          <w:szCs w:val="20"/>
          <w:color w:val="auto"/>
        </w:rPr>
      </w:pPr>
      <w:r>
        <w:rPr>
          <w:rFonts w:ascii="Courier New" w:cs="Courier New" w:eastAsia="Courier New" w:hAnsi="Courier New"/>
          <w:sz w:val="15"/>
          <w:szCs w:val="15"/>
          <w:color w:val="auto"/>
        </w:rPr>
        <w:t>POWER OF ATTORNEY</w:t>
      </w:r>
    </w:p>
    <w:p>
      <w:pPr>
        <w:jc w:val="center"/>
        <w:ind w:right="3319"/>
        <w:spacing w:after="0" w:line="237" w:lineRule="auto"/>
        <w:rPr>
          <w:sz w:val="20"/>
          <w:szCs w:val="20"/>
          <w:color w:val="auto"/>
        </w:rPr>
      </w:pPr>
      <w:r>
        <w:rPr>
          <w:rFonts w:ascii="Courier New" w:cs="Courier New" w:eastAsia="Courier New" w:hAnsi="Courier New"/>
          <w:sz w:val="15"/>
          <w:szCs w:val="15"/>
          <w:color w:val="auto"/>
        </w:rPr>
        <w:t>OFFICERS AND DIRECTORS OF</w:t>
      </w:r>
    </w:p>
    <w:p>
      <w:pPr>
        <w:jc w:val="center"/>
        <w:ind w:right="3319"/>
        <w:spacing w:after="0" w:line="238" w:lineRule="auto"/>
        <w:rPr>
          <w:sz w:val="20"/>
          <w:szCs w:val="20"/>
          <w:color w:val="auto"/>
        </w:rPr>
      </w:pPr>
      <w:r>
        <w:rPr>
          <w:rFonts w:ascii="Courier New" w:cs="Courier New" w:eastAsia="Courier New" w:hAnsi="Courier New"/>
          <w:sz w:val="15"/>
          <w:szCs w:val="15"/>
          <w:color w:val="auto"/>
        </w:rPr>
        <w:t>THE LIMITED, INC.</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undersigned officer and/or director of The Limited, Inc., a Delaware corporation, which anticipates filing an Annual Report on Form 10-K for its 1995 fiscal year under the provisions of the Securities Exchange Act of 1934 with the Securities and Exchange Commission, Washington, D.C., hereby constitutes and appoints Leslie H. Wexner and Kenneth B. Gilman, and each of them, with full powers of substitution and resubstitution, as attorney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32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EXECUTED as of the 26th day of January, 1996.</w:t>
      </w:r>
    </w:p>
    <w:p>
      <w:pPr>
        <w:spacing w:after="0" w:line="200" w:lineRule="exact"/>
        <w:rPr>
          <w:sz w:val="20"/>
          <w:szCs w:val="20"/>
          <w:color w:val="auto"/>
        </w:rPr>
      </w:pPr>
    </w:p>
    <w:p>
      <w:pPr>
        <w:spacing w:after="0" w:line="30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/s/ THOMAS G. HOPKINS</w:t>
      </w:r>
    </w:p>
    <w:p>
      <w:pPr>
        <w:ind w:left="280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Thomas G. Hopkins</w:t>
      </w:r>
    </w:p>
    <w:p>
      <w:pPr>
        <w:sectPr>
          <w:pgSz w:w="11900" w:h="16838" w:orient="portrait"/>
          <w:cols w:equalWidth="0" w:num="1">
            <w:col w:w="10239"/>
          </w:cols>
          <w:pgMar w:left="220" w:top="617" w:right="1440" w:bottom="1440" w:gutter="0" w:footer="0" w:header="0"/>
        </w:sectPr>
      </w:pPr>
    </w:p>
    <w:bookmarkStart w:id="164" w:name="page165"/>
    <w:bookmarkEnd w:id="164"/>
    <w:p>
      <w:pPr>
        <w:jc w:val="center"/>
        <w:ind w:right="3319"/>
        <w:spacing w:after="0"/>
        <w:rPr>
          <w:sz w:val="20"/>
          <w:szCs w:val="20"/>
          <w:color w:val="auto"/>
        </w:rPr>
      </w:pPr>
      <w:r>
        <w:rPr>
          <w:rFonts w:ascii="Courier New" w:cs="Courier New" w:eastAsia="Courier New" w:hAnsi="Courier New"/>
          <w:sz w:val="15"/>
          <w:szCs w:val="15"/>
          <w:color w:val="auto"/>
        </w:rPr>
        <w:t>POWER OF ATTORNEY</w:t>
      </w:r>
    </w:p>
    <w:p>
      <w:pPr>
        <w:jc w:val="center"/>
        <w:ind w:right="3319"/>
        <w:spacing w:after="0" w:line="237" w:lineRule="auto"/>
        <w:rPr>
          <w:sz w:val="20"/>
          <w:szCs w:val="20"/>
          <w:color w:val="auto"/>
        </w:rPr>
      </w:pPr>
      <w:r>
        <w:rPr>
          <w:rFonts w:ascii="Courier New" w:cs="Courier New" w:eastAsia="Courier New" w:hAnsi="Courier New"/>
          <w:sz w:val="15"/>
          <w:szCs w:val="15"/>
          <w:color w:val="auto"/>
        </w:rPr>
        <w:t>OFFICERS AND DIRECTORS OF</w:t>
      </w:r>
    </w:p>
    <w:p>
      <w:pPr>
        <w:jc w:val="center"/>
        <w:ind w:right="3319"/>
        <w:spacing w:after="0" w:line="238" w:lineRule="auto"/>
        <w:rPr>
          <w:sz w:val="20"/>
          <w:szCs w:val="20"/>
          <w:color w:val="auto"/>
        </w:rPr>
      </w:pPr>
      <w:r>
        <w:rPr>
          <w:rFonts w:ascii="Courier New" w:cs="Courier New" w:eastAsia="Courier New" w:hAnsi="Courier New"/>
          <w:sz w:val="15"/>
          <w:szCs w:val="15"/>
          <w:color w:val="auto"/>
        </w:rPr>
        <w:t>THE LIMITED, INC.</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undersigned officer and/or director of The Limited, Inc., a Delaware corporation, which anticipates filing an Annual Report on Form 10-K for its 1995 fiscal year under the provisions of the Securities Exchange Act of 1934 with the Securities and Exchange Commission, Washington, D.C., hereby constitutes and appoints Leslie H. Wexner and Kenneth B. Gilman, and each of them, with full powers of substitution and resubstitution, as attorney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32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EXECUTED as of the 26th day of January, 1996.</w:t>
      </w:r>
    </w:p>
    <w:p>
      <w:pPr>
        <w:spacing w:after="0" w:line="200" w:lineRule="exact"/>
        <w:rPr>
          <w:sz w:val="20"/>
          <w:szCs w:val="20"/>
          <w:color w:val="auto"/>
        </w:rPr>
      </w:pPr>
    </w:p>
    <w:p>
      <w:pPr>
        <w:spacing w:after="0" w:line="30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/s/ DAVID T. KOLLAT</w:t>
      </w:r>
    </w:p>
    <w:p>
      <w:pPr>
        <w:ind w:left="280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David T. Kollat</w:t>
      </w:r>
    </w:p>
    <w:p>
      <w:pPr>
        <w:sectPr>
          <w:pgSz w:w="11900" w:h="16838" w:orient="portrait"/>
          <w:cols w:equalWidth="0" w:num="1">
            <w:col w:w="10239"/>
          </w:cols>
          <w:pgMar w:left="220" w:top="617" w:right="1440" w:bottom="1440" w:gutter="0" w:footer="0" w:header="0"/>
        </w:sectPr>
      </w:pPr>
    </w:p>
    <w:bookmarkStart w:id="165" w:name="page166"/>
    <w:bookmarkEnd w:id="165"/>
    <w:p>
      <w:pPr>
        <w:jc w:val="center"/>
        <w:ind w:right="3319"/>
        <w:spacing w:after="0"/>
        <w:rPr>
          <w:sz w:val="20"/>
          <w:szCs w:val="20"/>
          <w:color w:val="auto"/>
        </w:rPr>
      </w:pPr>
      <w:r>
        <w:rPr>
          <w:rFonts w:ascii="Courier New" w:cs="Courier New" w:eastAsia="Courier New" w:hAnsi="Courier New"/>
          <w:sz w:val="15"/>
          <w:szCs w:val="15"/>
          <w:color w:val="auto"/>
        </w:rPr>
        <w:t>POWER OF ATTORNEY</w:t>
      </w:r>
    </w:p>
    <w:p>
      <w:pPr>
        <w:jc w:val="center"/>
        <w:ind w:right="3319"/>
        <w:spacing w:after="0" w:line="237" w:lineRule="auto"/>
        <w:rPr>
          <w:sz w:val="20"/>
          <w:szCs w:val="20"/>
          <w:color w:val="auto"/>
        </w:rPr>
      </w:pPr>
      <w:r>
        <w:rPr>
          <w:rFonts w:ascii="Courier New" w:cs="Courier New" w:eastAsia="Courier New" w:hAnsi="Courier New"/>
          <w:sz w:val="15"/>
          <w:szCs w:val="15"/>
          <w:color w:val="auto"/>
        </w:rPr>
        <w:t>OFFICERS AND DIRECTORS OF</w:t>
      </w:r>
    </w:p>
    <w:p>
      <w:pPr>
        <w:jc w:val="center"/>
        <w:ind w:right="3319"/>
        <w:spacing w:after="0" w:line="238" w:lineRule="auto"/>
        <w:rPr>
          <w:sz w:val="20"/>
          <w:szCs w:val="20"/>
          <w:color w:val="auto"/>
        </w:rPr>
      </w:pPr>
      <w:r>
        <w:rPr>
          <w:rFonts w:ascii="Courier New" w:cs="Courier New" w:eastAsia="Courier New" w:hAnsi="Courier New"/>
          <w:sz w:val="15"/>
          <w:szCs w:val="15"/>
          <w:color w:val="auto"/>
        </w:rPr>
        <w:t>THE LIMITED, INC.</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undersigned officer and/or director of The Limited, Inc., a Delaware corporation, which anticipates filing an Annual Report on Form 10-K for its 1995 fiscal year under the provisions of the Securities Exchange Act of 1934 with the Securities and Exchange Commission, Washington, D.C., hereby constitutes and appoints Leslie H. Wexner and Kenneth B. Gilman, and each of them, with full powers of substitution and resubstitution, as attorney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32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EXECUTED as of the 26th day of January, 1996.</w:t>
      </w:r>
    </w:p>
    <w:p>
      <w:pPr>
        <w:spacing w:after="0" w:line="200" w:lineRule="exact"/>
        <w:rPr>
          <w:sz w:val="20"/>
          <w:szCs w:val="20"/>
          <w:color w:val="auto"/>
        </w:rPr>
      </w:pPr>
    </w:p>
    <w:p>
      <w:pPr>
        <w:spacing w:after="0" w:line="30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/s/ CLAUDINE MALONE</w:t>
      </w:r>
    </w:p>
    <w:p>
      <w:pPr>
        <w:ind w:left="280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Claudine Malone</w:t>
      </w:r>
    </w:p>
    <w:p>
      <w:pPr>
        <w:sectPr>
          <w:pgSz w:w="11900" w:h="16838" w:orient="portrait"/>
          <w:cols w:equalWidth="0" w:num="1">
            <w:col w:w="10239"/>
          </w:cols>
          <w:pgMar w:left="220" w:top="617" w:right="1440" w:bottom="1440" w:gutter="0" w:footer="0" w:header="0"/>
        </w:sectPr>
      </w:pPr>
    </w:p>
    <w:bookmarkStart w:id="166" w:name="page167"/>
    <w:bookmarkEnd w:id="166"/>
    <w:p>
      <w:pPr>
        <w:jc w:val="center"/>
        <w:ind w:right="3319"/>
        <w:spacing w:after="0"/>
        <w:rPr>
          <w:sz w:val="20"/>
          <w:szCs w:val="20"/>
          <w:color w:val="auto"/>
        </w:rPr>
      </w:pPr>
      <w:r>
        <w:rPr>
          <w:rFonts w:ascii="Courier New" w:cs="Courier New" w:eastAsia="Courier New" w:hAnsi="Courier New"/>
          <w:sz w:val="15"/>
          <w:szCs w:val="15"/>
          <w:color w:val="auto"/>
        </w:rPr>
        <w:t>POWER OF ATTORNEY</w:t>
      </w:r>
    </w:p>
    <w:p>
      <w:pPr>
        <w:jc w:val="center"/>
        <w:ind w:right="3319"/>
        <w:spacing w:after="0" w:line="237" w:lineRule="auto"/>
        <w:rPr>
          <w:sz w:val="20"/>
          <w:szCs w:val="20"/>
          <w:color w:val="auto"/>
        </w:rPr>
      </w:pPr>
      <w:r>
        <w:rPr>
          <w:rFonts w:ascii="Courier New" w:cs="Courier New" w:eastAsia="Courier New" w:hAnsi="Courier New"/>
          <w:sz w:val="15"/>
          <w:szCs w:val="15"/>
          <w:color w:val="auto"/>
        </w:rPr>
        <w:t>OFFICERS AND DIRECTORS OF</w:t>
      </w:r>
    </w:p>
    <w:p>
      <w:pPr>
        <w:jc w:val="center"/>
        <w:ind w:right="3319"/>
        <w:spacing w:after="0" w:line="238" w:lineRule="auto"/>
        <w:rPr>
          <w:sz w:val="20"/>
          <w:szCs w:val="20"/>
          <w:color w:val="auto"/>
        </w:rPr>
      </w:pPr>
      <w:r>
        <w:rPr>
          <w:rFonts w:ascii="Courier New" w:cs="Courier New" w:eastAsia="Courier New" w:hAnsi="Courier New"/>
          <w:sz w:val="15"/>
          <w:szCs w:val="15"/>
          <w:color w:val="auto"/>
        </w:rPr>
        <w:t>THE LIMITED, INC.</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undersigned officer and/or director of The Limited, Inc., a Delaware corporation, which anticipates filing an Annual Report on Form 10-K for its 1995 fiscal year under the provisions of the Securities Exchange Act of 1934 with the Securities and Exchange Commission, Washington, D.C., hereby constitutes and appoints Leslie H. Wexner and Kenneth B. Gilman, and each of them, with full powers of substitution and resubstitution, as attorney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32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EXECUTED as of the 26th day of January, 1996.</w:t>
      </w:r>
    </w:p>
    <w:p>
      <w:pPr>
        <w:spacing w:after="0" w:line="200" w:lineRule="exact"/>
        <w:rPr>
          <w:sz w:val="20"/>
          <w:szCs w:val="20"/>
          <w:color w:val="auto"/>
        </w:rPr>
      </w:pPr>
    </w:p>
    <w:p>
      <w:pPr>
        <w:spacing w:after="0" w:line="30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/s/ DONALD B. SHACKELFORD</w:t>
      </w:r>
    </w:p>
    <w:p>
      <w:pPr>
        <w:ind w:left="280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Donald B. Shackelford</w:t>
      </w:r>
    </w:p>
    <w:p>
      <w:pPr>
        <w:sectPr>
          <w:pgSz w:w="11900" w:h="16838" w:orient="portrait"/>
          <w:cols w:equalWidth="0" w:num="1">
            <w:col w:w="10239"/>
          </w:cols>
          <w:pgMar w:left="220" w:top="617" w:right="1440" w:bottom="1440" w:gutter="0" w:footer="0" w:header="0"/>
        </w:sectPr>
      </w:pPr>
    </w:p>
    <w:bookmarkStart w:id="167" w:name="page168"/>
    <w:bookmarkEnd w:id="167"/>
    <w:p>
      <w:pPr>
        <w:jc w:val="center"/>
        <w:ind w:right="3319"/>
        <w:spacing w:after="0"/>
        <w:rPr>
          <w:sz w:val="20"/>
          <w:szCs w:val="20"/>
          <w:color w:val="auto"/>
        </w:rPr>
      </w:pPr>
      <w:r>
        <w:rPr>
          <w:rFonts w:ascii="Courier New" w:cs="Courier New" w:eastAsia="Courier New" w:hAnsi="Courier New"/>
          <w:sz w:val="15"/>
          <w:szCs w:val="15"/>
          <w:color w:val="auto"/>
        </w:rPr>
        <w:t>POWER OF ATTORNEY</w:t>
      </w:r>
    </w:p>
    <w:p>
      <w:pPr>
        <w:jc w:val="center"/>
        <w:ind w:right="3319"/>
        <w:spacing w:after="0" w:line="237" w:lineRule="auto"/>
        <w:rPr>
          <w:sz w:val="20"/>
          <w:szCs w:val="20"/>
          <w:color w:val="auto"/>
        </w:rPr>
      </w:pPr>
      <w:r>
        <w:rPr>
          <w:rFonts w:ascii="Courier New" w:cs="Courier New" w:eastAsia="Courier New" w:hAnsi="Courier New"/>
          <w:sz w:val="15"/>
          <w:szCs w:val="15"/>
          <w:color w:val="auto"/>
        </w:rPr>
        <w:t>OFFICERS AND DIRECTORS OF</w:t>
      </w:r>
    </w:p>
    <w:p>
      <w:pPr>
        <w:jc w:val="center"/>
        <w:ind w:right="3319"/>
        <w:spacing w:after="0" w:line="238" w:lineRule="auto"/>
        <w:rPr>
          <w:sz w:val="20"/>
          <w:szCs w:val="20"/>
          <w:color w:val="auto"/>
        </w:rPr>
      </w:pPr>
      <w:r>
        <w:rPr>
          <w:rFonts w:ascii="Courier New" w:cs="Courier New" w:eastAsia="Courier New" w:hAnsi="Courier New"/>
          <w:sz w:val="15"/>
          <w:szCs w:val="15"/>
          <w:color w:val="auto"/>
        </w:rPr>
        <w:t>THE LIMITED, INC.</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undersigned officer and/or director of The Limited, Inc., a Delaware corporation, which anticipates filing an Annual Report on Form 10-K for its 1995 fiscal year under the provisions of the Securities Exchange Act of 1934 with the Securities and Exchange Commission, Washington, D.C., hereby constitutes and appoints Leslie H. Wexner and Kenneth B. Gilman, and each of them, with full powers of substitution and resubstitution, as attorney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32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EXECUTED as of the 26th day of January, 1996.</w:t>
      </w:r>
    </w:p>
    <w:p>
      <w:pPr>
        <w:spacing w:after="0" w:line="200" w:lineRule="exact"/>
        <w:rPr>
          <w:sz w:val="20"/>
          <w:szCs w:val="20"/>
          <w:color w:val="auto"/>
        </w:rPr>
      </w:pPr>
    </w:p>
    <w:p>
      <w:pPr>
        <w:spacing w:after="0" w:line="30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/s/ ALLAN R. TESSLER</w:t>
      </w:r>
    </w:p>
    <w:p>
      <w:pPr>
        <w:ind w:left="280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Allan R. Tessler</w:t>
      </w:r>
    </w:p>
    <w:p>
      <w:pPr>
        <w:sectPr>
          <w:pgSz w:w="11900" w:h="16838" w:orient="portrait"/>
          <w:cols w:equalWidth="0" w:num="1">
            <w:col w:w="10239"/>
          </w:cols>
          <w:pgMar w:left="220" w:top="617" w:right="1440" w:bottom="1440" w:gutter="0" w:footer="0" w:header="0"/>
        </w:sectPr>
      </w:pPr>
    </w:p>
    <w:bookmarkStart w:id="168" w:name="page169"/>
    <w:bookmarkEnd w:id="168"/>
    <w:p>
      <w:pPr>
        <w:jc w:val="center"/>
        <w:ind w:right="3319"/>
        <w:spacing w:after="0"/>
        <w:rPr>
          <w:sz w:val="20"/>
          <w:szCs w:val="20"/>
          <w:color w:val="auto"/>
        </w:rPr>
      </w:pPr>
      <w:r>
        <w:rPr>
          <w:rFonts w:ascii="Courier New" w:cs="Courier New" w:eastAsia="Courier New" w:hAnsi="Courier New"/>
          <w:sz w:val="15"/>
          <w:szCs w:val="15"/>
          <w:color w:val="auto"/>
        </w:rPr>
        <w:t>POWER OF ATTORNEY</w:t>
      </w:r>
    </w:p>
    <w:p>
      <w:pPr>
        <w:jc w:val="center"/>
        <w:ind w:right="3319"/>
        <w:spacing w:after="0" w:line="237" w:lineRule="auto"/>
        <w:rPr>
          <w:sz w:val="20"/>
          <w:szCs w:val="20"/>
          <w:color w:val="auto"/>
        </w:rPr>
      </w:pPr>
      <w:r>
        <w:rPr>
          <w:rFonts w:ascii="Courier New" w:cs="Courier New" w:eastAsia="Courier New" w:hAnsi="Courier New"/>
          <w:sz w:val="15"/>
          <w:szCs w:val="15"/>
          <w:color w:val="auto"/>
        </w:rPr>
        <w:t>OFFICERS AND DIRECTORS OF</w:t>
      </w:r>
    </w:p>
    <w:p>
      <w:pPr>
        <w:jc w:val="center"/>
        <w:ind w:right="3319"/>
        <w:spacing w:after="0" w:line="238" w:lineRule="auto"/>
        <w:rPr>
          <w:sz w:val="20"/>
          <w:szCs w:val="20"/>
          <w:color w:val="auto"/>
        </w:rPr>
      </w:pPr>
      <w:r>
        <w:rPr>
          <w:rFonts w:ascii="Courier New" w:cs="Courier New" w:eastAsia="Courier New" w:hAnsi="Courier New"/>
          <w:sz w:val="15"/>
          <w:szCs w:val="15"/>
          <w:color w:val="auto"/>
        </w:rPr>
        <w:t>THE LIMITED, INC.</w:t>
      </w:r>
    </w:p>
    <w:p>
      <w:pPr>
        <w:spacing w:after="0" w:line="200" w:lineRule="exact"/>
        <w:rPr>
          <w:sz w:val="20"/>
          <w:szCs w:val="20"/>
          <w:color w:val="auto"/>
        </w:rPr>
      </w:pPr>
    </w:p>
    <w:p>
      <w:pPr>
        <w:spacing w:after="0" w:line="30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undersigned officer and/or director of The Limited, Inc., a Delaware corporation, which anticipates filing an Annual Report on Form 10-K for its 1995 fiscal year under the provisions of the Securities Exchange Act of 1934 with the Securities and Exchange Commission, Washington, D.C., hereby constitutes and appoints Leslie H. Wexner and Kenneth B. Gilman, and each of them, with full powers of substitution and resubstitution, as attorney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32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EXECUTED as of the 26th day of January, 1996.</w:t>
      </w:r>
    </w:p>
    <w:p>
      <w:pPr>
        <w:spacing w:after="0" w:line="200" w:lineRule="exact"/>
        <w:rPr>
          <w:sz w:val="20"/>
          <w:szCs w:val="20"/>
          <w:color w:val="auto"/>
        </w:rPr>
      </w:pPr>
    </w:p>
    <w:p>
      <w:pPr>
        <w:spacing w:after="0" w:line="30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/s/ RAYMOND ZIMMERMAN</w:t>
      </w:r>
    </w:p>
    <w:p>
      <w:pPr>
        <w:ind w:left="280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Raymond Zimmerman</w:t>
      </w:r>
    </w:p>
    <w:p>
      <w:pPr>
        <w:sectPr>
          <w:pgSz w:w="11900" w:h="16838" w:orient="portrait"/>
          <w:cols w:equalWidth="0" w:num="1">
            <w:col w:w="10239"/>
          </w:cols>
          <w:pgMar w:left="220" w:top="617" w:right="1440" w:bottom="1440" w:gutter="0" w:footer="0" w:header="0"/>
        </w:sectPr>
      </w:pPr>
    </w:p>
    <w:bookmarkStart w:id="169" w:name="page170"/>
    <w:bookmarkEnd w:id="169"/>
    <w:p>
      <w:pPr>
        <w:spacing w:after="0" w:line="238" w:lineRule="auto"/>
        <w:rPr>
          <w:sz w:val="20"/>
          <w:szCs w:val="20"/>
          <w:color w:val="auto"/>
        </w:rPr>
      </w:pPr>
    </w:p>
    <w:p>
      <w:pPr>
        <w:sectPr>
          <w:pgSz w:w="11900" w:h="16838" w:orient="portrait"/>
          <w:cols w:equalWidth="1" w:num="1" w:space="0"/>
          <w:pgMar w:left="1440" w:top="1440" w:right="1440" w:bottom="875" w:gutter="0" w:footer="0" w:header="0"/>
        </w:sectPr>
      </w:pPr>
    </w:p>
    <w:bookmarkStart w:id="170" w:name="page171"/>
    <w:bookmarkEnd w:id="170"/>
    <w:p>
      <w:pPr>
        <w:ind w:left="60"/>
        <w:spacing w:after="0"/>
        <w:rPr>
          <w:sz w:val="20"/>
          <w:szCs w:val="20"/>
          <w:color w:val="auto"/>
        </w:rPr>
      </w:pPr>
      <w:r>
        <w:rPr>
          <w:rFonts w:ascii="Courier New" w:cs="Courier New" w:eastAsia="Courier New" w:hAnsi="Courier New"/>
          <w:sz w:val="15"/>
          <w:szCs w:val="15"/>
          <w:color w:val="auto"/>
        </w:rPr>
        <w:t>5</w:t>
      </w:r>
    </w:p>
    <w:p>
      <w:pPr>
        <w:spacing w:after="0" w:line="173" w:lineRule="exact"/>
        <w:rPr>
          <w:sz w:val="20"/>
          <w:szCs w:val="20"/>
          <w:color w:val="auto"/>
        </w:rPr>
      </w:pPr>
    </w:p>
    <w:p>
      <w:pPr>
        <w:ind w:right="3219"/>
        <w:spacing w:after="0" w:line="235" w:lineRule="auto"/>
        <w:rPr>
          <w:sz w:val="20"/>
          <w:szCs w:val="20"/>
          <w:color w:val="auto"/>
        </w:rPr>
      </w:pPr>
      <w:r>
        <w:rPr>
          <w:rFonts w:ascii="Courier New" w:cs="Courier New" w:eastAsia="Courier New" w:hAnsi="Courier New"/>
          <w:sz w:val="15"/>
          <w:szCs w:val="15"/>
          <w:color w:val="auto"/>
        </w:rPr>
        <w:t>This schedule contains summary financial information extracted from the Consolidated Financial Statements of The Limited, Inc. and Subsidiaries for the year ended February 3, 1996 and is qualified in its entirety by reference to such financial statements.</w:t>
      </w:r>
    </w:p>
    <w:p>
      <w:pPr>
        <w:spacing w:after="0" w:line="169" w:lineRule="exact"/>
        <w:rPr>
          <w:sz w:val="20"/>
          <w:szCs w:val="20"/>
          <w:color w:val="auto"/>
        </w:rPr>
      </w:pPr>
    </w:p>
    <w:p>
      <w:pPr>
        <w:ind w:left="140"/>
        <w:spacing w:after="0"/>
        <w:rPr>
          <w:sz w:val="20"/>
          <w:szCs w:val="20"/>
          <w:color w:val="auto"/>
        </w:rPr>
      </w:pPr>
      <w:r>
        <w:rPr>
          <w:rFonts w:ascii="Courier New" w:cs="Courier New" w:eastAsia="Courier New" w:hAnsi="Courier New"/>
          <w:sz w:val="15"/>
          <w:szCs w:val="15"/>
          <w:color w:val="auto"/>
        </w:rPr>
        <w:t>1,000</w:t>
      </w:r>
    </w:p>
    <w:p>
      <w:pPr>
        <w:spacing w:after="0" w:line="335"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YEAR</w:t>
      </w:r>
    </w:p>
    <w:p>
      <w:pPr>
        <w:ind w:left="2240"/>
        <w:spacing w:after="0" w:line="237" w:lineRule="auto"/>
        <w:rPr>
          <w:sz w:val="20"/>
          <w:szCs w:val="20"/>
          <w:color w:val="auto"/>
        </w:rPr>
      </w:pPr>
      <w:r>
        <w:rPr>
          <w:rFonts w:ascii="Courier New" w:cs="Courier New" w:eastAsia="Courier New" w:hAnsi="Courier New"/>
          <w:sz w:val="15"/>
          <w:szCs w:val="15"/>
          <w:color w:val="auto"/>
        </w:rPr>
        <w:t>FEB-03-1996</w:t>
      </w:r>
    </w:p>
    <w:p>
      <w:pPr>
        <w:ind w:left="2500"/>
        <w:spacing w:after="0" w:line="238" w:lineRule="auto"/>
        <w:rPr>
          <w:sz w:val="20"/>
          <w:szCs w:val="20"/>
          <w:color w:val="auto"/>
        </w:rPr>
      </w:pPr>
      <w:r>
        <w:rPr>
          <w:rFonts w:ascii="Courier New" w:cs="Courier New" w:eastAsia="Courier New" w:hAnsi="Courier New"/>
          <w:sz w:val="15"/>
          <w:szCs w:val="15"/>
          <w:color w:val="auto"/>
        </w:rPr>
        <w:t>JAN-29-1995</w:t>
      </w:r>
    </w:p>
    <w:p>
      <w:pPr>
        <w:ind w:left="2680"/>
        <w:spacing w:after="0" w:line="237" w:lineRule="auto"/>
        <w:rPr>
          <w:sz w:val="20"/>
          <w:szCs w:val="20"/>
          <w:color w:val="auto"/>
        </w:rPr>
      </w:pPr>
      <w:r>
        <w:rPr>
          <w:rFonts w:ascii="Courier New" w:cs="Courier New" w:eastAsia="Courier New" w:hAnsi="Courier New"/>
          <w:sz w:val="15"/>
          <w:szCs w:val="15"/>
          <w:color w:val="auto"/>
        </w:rPr>
        <w:t>FEB-03-1996</w:t>
      </w:r>
    </w:p>
    <w:p>
      <w:pPr>
        <w:ind w:left="3380"/>
        <w:spacing w:after="0" w:line="238" w:lineRule="auto"/>
        <w:rPr>
          <w:sz w:val="20"/>
          <w:szCs w:val="20"/>
          <w:color w:val="auto"/>
        </w:rPr>
      </w:pPr>
      <w:r>
        <w:rPr>
          <w:rFonts w:ascii="Courier New" w:cs="Courier New" w:eastAsia="Courier New" w:hAnsi="Courier New"/>
          <w:sz w:val="15"/>
          <w:szCs w:val="15"/>
          <w:color w:val="auto"/>
        </w:rPr>
        <w:t>1,645,731</w:t>
      </w:r>
    </w:p>
    <w:p>
      <w:pPr>
        <w:ind w:left="3560"/>
        <w:spacing w:after="0" w:line="237" w:lineRule="auto"/>
        <w:rPr>
          <w:sz w:val="20"/>
          <w:szCs w:val="20"/>
          <w:color w:val="auto"/>
        </w:rPr>
      </w:pPr>
      <w:r>
        <w:rPr>
          <w:rFonts w:ascii="Courier New" w:cs="Courier New" w:eastAsia="Courier New" w:hAnsi="Courier New"/>
          <w:sz w:val="15"/>
          <w:szCs w:val="15"/>
          <w:color w:val="auto"/>
        </w:rPr>
        <w:t>0</w:t>
      </w:r>
    </w:p>
    <w:p>
      <w:pPr>
        <w:ind w:left="3040"/>
        <w:spacing w:after="0" w:line="238" w:lineRule="auto"/>
        <w:rPr>
          <w:sz w:val="20"/>
          <w:szCs w:val="20"/>
          <w:color w:val="auto"/>
        </w:rPr>
      </w:pPr>
      <w:r>
        <w:rPr>
          <w:rFonts w:ascii="Courier New" w:cs="Courier New" w:eastAsia="Courier New" w:hAnsi="Courier New"/>
          <w:sz w:val="15"/>
          <w:szCs w:val="15"/>
          <w:color w:val="auto"/>
        </w:rPr>
        <w:t>77,516</w:t>
      </w:r>
    </w:p>
    <w:p>
      <w:pPr>
        <w:ind w:left="3560"/>
        <w:spacing w:after="0" w:line="237" w:lineRule="auto"/>
        <w:rPr>
          <w:sz w:val="20"/>
          <w:szCs w:val="20"/>
          <w:color w:val="auto"/>
        </w:rPr>
      </w:pPr>
      <w:r>
        <w:rPr>
          <w:rFonts w:ascii="Courier New" w:cs="Courier New" w:eastAsia="Courier New" w:hAnsi="Courier New"/>
          <w:sz w:val="15"/>
          <w:szCs w:val="15"/>
          <w:color w:val="auto"/>
        </w:rPr>
        <w:t>0</w:t>
      </w:r>
    </w:p>
    <w:p>
      <w:pPr>
        <w:ind w:left="3120"/>
        <w:spacing w:after="0" w:line="238" w:lineRule="auto"/>
        <w:rPr>
          <w:sz w:val="20"/>
          <w:szCs w:val="20"/>
          <w:color w:val="auto"/>
        </w:rPr>
      </w:pPr>
      <w:r>
        <w:rPr>
          <w:rFonts w:ascii="Courier New" w:cs="Courier New" w:eastAsia="Courier New" w:hAnsi="Courier New"/>
          <w:sz w:val="15"/>
          <w:szCs w:val="15"/>
          <w:color w:val="auto"/>
        </w:rPr>
        <w:t>958,953</w:t>
      </w:r>
    </w:p>
    <w:p>
      <w:pPr>
        <w:ind w:left="2500"/>
        <w:spacing w:after="0" w:line="238" w:lineRule="auto"/>
        <w:rPr>
          <w:sz w:val="20"/>
          <w:szCs w:val="20"/>
          <w:color w:val="auto"/>
        </w:rPr>
      </w:pPr>
      <w:r>
        <w:rPr>
          <w:rFonts w:ascii="Courier New" w:cs="Courier New" w:eastAsia="Courier New" w:hAnsi="Courier New"/>
          <w:sz w:val="15"/>
          <w:szCs w:val="15"/>
          <w:color w:val="auto"/>
        </w:rPr>
        <w:t>2,800,032</w:t>
      </w:r>
    </w:p>
    <w:p>
      <w:pPr>
        <w:ind w:left="3380"/>
        <w:spacing w:after="0" w:line="237" w:lineRule="auto"/>
        <w:rPr>
          <w:sz w:val="20"/>
          <w:szCs w:val="20"/>
          <w:color w:val="auto"/>
        </w:rPr>
      </w:pPr>
      <w:r>
        <w:rPr>
          <w:rFonts w:ascii="Courier New" w:cs="Courier New" w:eastAsia="Courier New" w:hAnsi="Courier New"/>
          <w:sz w:val="15"/>
          <w:szCs w:val="15"/>
          <w:color w:val="auto"/>
        </w:rPr>
        <w:t>3,018,757</w:t>
      </w:r>
    </w:p>
    <w:p>
      <w:pPr>
        <w:ind w:left="2680"/>
        <w:spacing w:after="0" w:line="238" w:lineRule="auto"/>
        <w:rPr>
          <w:sz w:val="20"/>
          <w:szCs w:val="20"/>
          <w:color w:val="auto"/>
        </w:rPr>
      </w:pPr>
      <w:r>
        <w:rPr>
          <w:rFonts w:ascii="Courier New" w:cs="Courier New" w:eastAsia="Courier New" w:hAnsi="Courier New"/>
          <w:sz w:val="15"/>
          <w:szCs w:val="15"/>
          <w:color w:val="auto"/>
        </w:rPr>
        <w:t>1,277,301</w:t>
      </w:r>
    </w:p>
    <w:p>
      <w:pPr>
        <w:ind w:left="2680"/>
        <w:spacing w:after="0" w:line="237" w:lineRule="auto"/>
        <w:rPr>
          <w:sz w:val="20"/>
          <w:szCs w:val="20"/>
          <w:color w:val="auto"/>
        </w:rPr>
      </w:pPr>
      <w:r>
        <w:rPr>
          <w:rFonts w:ascii="Courier New" w:cs="Courier New" w:eastAsia="Courier New" w:hAnsi="Courier New"/>
          <w:sz w:val="15"/>
          <w:szCs w:val="15"/>
          <w:color w:val="auto"/>
        </w:rPr>
        <w:t>5,266,563</w:t>
      </w:r>
    </w:p>
    <w:p>
      <w:pPr>
        <w:ind w:left="2240"/>
        <w:spacing w:after="0" w:line="238" w:lineRule="auto"/>
        <w:rPr>
          <w:sz w:val="20"/>
          <w:szCs w:val="20"/>
          <w:color w:val="auto"/>
        </w:rPr>
      </w:pPr>
      <w:r>
        <w:rPr>
          <w:rFonts w:ascii="Courier New" w:cs="Courier New" w:eastAsia="Courier New" w:hAnsi="Courier New"/>
          <w:sz w:val="15"/>
          <w:szCs w:val="15"/>
          <w:color w:val="auto"/>
        </w:rPr>
        <w:t>716,575</w:t>
      </w:r>
    </w:p>
    <w:p>
      <w:pPr>
        <w:ind w:left="3460"/>
        <w:spacing w:after="0" w:line="237" w:lineRule="auto"/>
        <w:rPr>
          <w:sz w:val="20"/>
          <w:szCs w:val="20"/>
          <w:color w:val="auto"/>
        </w:rPr>
      </w:pPr>
      <w:r>
        <w:rPr>
          <w:rFonts w:ascii="Courier New" w:cs="Courier New" w:eastAsia="Courier New" w:hAnsi="Courier New"/>
          <w:sz w:val="15"/>
          <w:szCs w:val="15"/>
          <w:color w:val="auto"/>
        </w:rPr>
        <w:t>650,000</w:t>
      </w:r>
    </w:p>
    <w:p>
      <w:pPr>
        <w:ind w:left="3380"/>
        <w:spacing w:after="0" w:line="238" w:lineRule="auto"/>
        <w:rPr>
          <w:sz w:val="20"/>
          <w:szCs w:val="20"/>
          <w:color w:val="auto"/>
        </w:rPr>
      </w:pPr>
      <w:r>
        <w:rPr>
          <w:rFonts w:ascii="Courier New" w:cs="Courier New" w:eastAsia="Courier New" w:hAnsi="Courier New"/>
          <w:sz w:val="15"/>
          <w:szCs w:val="15"/>
          <w:color w:val="auto"/>
        </w:rPr>
        <w:t>180,352</w:t>
      </w:r>
    </w:p>
    <w:p>
      <w:pPr>
        <w:ind w:left="2760"/>
        <w:spacing w:after="0" w:line="238" w:lineRule="auto"/>
        <w:rPr>
          <w:sz w:val="20"/>
          <w:szCs w:val="20"/>
          <w:color w:val="auto"/>
        </w:rPr>
      </w:pPr>
      <w:r>
        <w:rPr>
          <w:rFonts w:ascii="Courier New" w:cs="Courier New" w:eastAsia="Courier New" w:hAnsi="Courier New"/>
          <w:sz w:val="15"/>
          <w:szCs w:val="15"/>
          <w:color w:val="auto"/>
        </w:rPr>
        <w:t>0</w:t>
      </w:r>
    </w:p>
    <w:p>
      <w:pPr>
        <w:ind w:left="3640"/>
        <w:spacing w:after="0" w:line="237" w:lineRule="auto"/>
        <w:rPr>
          <w:sz w:val="20"/>
          <w:szCs w:val="20"/>
          <w:color w:val="auto"/>
        </w:rPr>
      </w:pPr>
      <w:r>
        <w:rPr>
          <w:rFonts w:ascii="Courier New" w:cs="Courier New" w:eastAsia="Courier New" w:hAnsi="Courier New"/>
          <w:sz w:val="15"/>
          <w:szCs w:val="15"/>
          <w:color w:val="auto"/>
        </w:rPr>
        <w:t>0</w:t>
      </w:r>
    </w:p>
    <w:p>
      <w:pPr>
        <w:ind w:left="3040"/>
        <w:spacing w:after="0" w:line="238" w:lineRule="auto"/>
        <w:rPr>
          <w:sz w:val="20"/>
          <w:szCs w:val="20"/>
          <w:color w:val="auto"/>
        </w:rPr>
      </w:pPr>
      <w:r>
        <w:rPr>
          <w:rFonts w:ascii="Courier New" w:cs="Courier New" w:eastAsia="Courier New" w:hAnsi="Courier New"/>
          <w:sz w:val="15"/>
          <w:szCs w:val="15"/>
          <w:color w:val="auto"/>
        </w:rPr>
        <w:t>3,020,689</w:t>
      </w:r>
    </w:p>
    <w:p>
      <w:pPr>
        <w:ind w:left="1280"/>
        <w:spacing w:after="0" w:line="237" w:lineRule="auto"/>
        <w:rPr>
          <w:sz w:val="20"/>
          <w:szCs w:val="20"/>
          <w:color w:val="auto"/>
        </w:rPr>
      </w:pPr>
      <w:r>
        <w:rPr>
          <w:rFonts w:ascii="Courier New" w:cs="Courier New" w:eastAsia="Courier New" w:hAnsi="Courier New"/>
          <w:sz w:val="15"/>
          <w:szCs w:val="15"/>
          <w:color w:val="auto"/>
        </w:rPr>
        <w:t>5,266,563</w:t>
      </w:r>
    </w:p>
    <w:p>
      <w:pPr>
        <w:ind w:left="3300"/>
        <w:spacing w:after="0" w:line="238" w:lineRule="auto"/>
        <w:rPr>
          <w:sz w:val="20"/>
          <w:szCs w:val="20"/>
          <w:color w:val="auto"/>
        </w:rPr>
      </w:pPr>
      <w:r>
        <w:rPr>
          <w:rFonts w:ascii="Courier New" w:cs="Courier New" w:eastAsia="Courier New" w:hAnsi="Courier New"/>
          <w:sz w:val="15"/>
          <w:szCs w:val="15"/>
          <w:color w:val="auto"/>
        </w:rPr>
        <w:t>7,881,437</w:t>
      </w:r>
    </w:p>
    <w:p>
      <w:pPr>
        <w:ind w:left="2500"/>
        <w:spacing w:after="0" w:line="237" w:lineRule="auto"/>
        <w:rPr>
          <w:sz w:val="20"/>
          <w:szCs w:val="20"/>
          <w:color w:val="auto"/>
        </w:rPr>
      </w:pPr>
      <w:r>
        <w:rPr>
          <w:rFonts w:ascii="Courier New" w:cs="Courier New" w:eastAsia="Courier New" w:hAnsi="Courier New"/>
          <w:sz w:val="15"/>
          <w:szCs w:val="15"/>
          <w:color w:val="auto"/>
        </w:rPr>
        <w:t>7,881,437</w:t>
      </w:r>
    </w:p>
    <w:p>
      <w:pPr>
        <w:ind w:left="3460"/>
        <w:spacing w:after="0" w:line="238" w:lineRule="auto"/>
        <w:rPr>
          <w:sz w:val="20"/>
          <w:szCs w:val="20"/>
          <w:color w:val="auto"/>
        </w:rPr>
      </w:pPr>
      <w:r>
        <w:rPr>
          <w:rFonts w:ascii="Courier New" w:cs="Courier New" w:eastAsia="Courier New" w:hAnsi="Courier New"/>
          <w:sz w:val="15"/>
          <w:szCs w:val="15"/>
          <w:color w:val="auto"/>
        </w:rPr>
        <w:t>5,793,905</w:t>
      </w:r>
    </w:p>
    <w:p>
      <w:pPr>
        <w:ind w:left="2760"/>
        <w:spacing w:after="0" w:line="238" w:lineRule="auto"/>
        <w:rPr>
          <w:sz w:val="20"/>
          <w:szCs w:val="20"/>
          <w:color w:val="auto"/>
        </w:rPr>
      </w:pPr>
      <w:r>
        <w:rPr>
          <w:rFonts w:ascii="Courier New" w:cs="Courier New" w:eastAsia="Courier New" w:hAnsi="Courier New"/>
          <w:sz w:val="15"/>
          <w:szCs w:val="15"/>
          <w:color w:val="auto"/>
        </w:rPr>
        <w:t>5,793,905</w:t>
      </w:r>
    </w:p>
    <w:p>
      <w:pPr>
        <w:ind w:left="2500"/>
        <w:spacing w:after="0" w:line="237" w:lineRule="auto"/>
        <w:rPr>
          <w:sz w:val="20"/>
          <w:szCs w:val="20"/>
          <w:color w:val="auto"/>
        </w:rPr>
      </w:pPr>
      <w:r>
        <w:rPr>
          <w:rFonts w:ascii="Courier New" w:cs="Courier New" w:eastAsia="Courier New" w:hAnsi="Courier New"/>
          <w:sz w:val="15"/>
          <w:szCs w:val="15"/>
          <w:color w:val="auto"/>
        </w:rPr>
        <w:t>1,475,497</w:t>
      </w:r>
    </w:p>
    <w:p>
      <w:pPr>
        <w:ind w:left="3200"/>
        <w:spacing w:after="0" w:line="238" w:lineRule="auto"/>
        <w:rPr>
          <w:sz w:val="20"/>
          <w:szCs w:val="20"/>
          <w:color w:val="auto"/>
        </w:rPr>
      </w:pPr>
      <w:r>
        <w:rPr>
          <w:rFonts w:ascii="Courier New" w:cs="Courier New" w:eastAsia="Courier New" w:hAnsi="Courier New"/>
          <w:sz w:val="15"/>
          <w:szCs w:val="15"/>
          <w:color w:val="auto"/>
        </w:rPr>
        <w:t>0</w:t>
      </w:r>
    </w:p>
    <w:p>
      <w:pPr>
        <w:ind w:left="2600"/>
        <w:spacing w:after="0" w:line="237" w:lineRule="auto"/>
        <w:rPr>
          <w:sz w:val="20"/>
          <w:szCs w:val="20"/>
          <w:color w:val="auto"/>
        </w:rPr>
      </w:pPr>
      <w:r>
        <w:rPr>
          <w:rFonts w:ascii="Courier New" w:cs="Courier New" w:eastAsia="Courier New" w:hAnsi="Courier New"/>
          <w:sz w:val="15"/>
          <w:szCs w:val="15"/>
          <w:color w:val="auto"/>
        </w:rPr>
        <w:t>77,537</w:t>
      </w:r>
    </w:p>
    <w:p>
      <w:pPr>
        <w:ind w:left="2600"/>
        <w:spacing w:after="0" w:line="238" w:lineRule="auto"/>
        <w:rPr>
          <w:sz w:val="20"/>
          <w:szCs w:val="20"/>
          <w:color w:val="auto"/>
        </w:rPr>
      </w:pPr>
      <w:r>
        <w:rPr>
          <w:rFonts w:ascii="Courier New" w:cs="Courier New" w:eastAsia="Courier New" w:hAnsi="Courier New"/>
          <w:sz w:val="15"/>
          <w:szCs w:val="15"/>
          <w:color w:val="auto"/>
        </w:rPr>
        <w:t>1,184,511</w:t>
      </w:r>
    </w:p>
    <w:p>
      <w:pPr>
        <w:ind w:left="3040"/>
        <w:spacing w:after="0" w:line="237" w:lineRule="auto"/>
        <w:rPr>
          <w:sz w:val="20"/>
          <w:szCs w:val="20"/>
          <w:color w:val="auto"/>
        </w:rPr>
      </w:pPr>
      <w:r>
        <w:rPr>
          <w:rFonts w:ascii="Courier New" w:cs="Courier New" w:eastAsia="Courier New" w:hAnsi="Courier New"/>
          <w:sz w:val="15"/>
          <w:szCs w:val="15"/>
          <w:color w:val="auto"/>
        </w:rPr>
        <w:t>223,000</w:t>
      </w:r>
    </w:p>
    <w:p>
      <w:pPr>
        <w:ind w:left="2420"/>
        <w:spacing w:after="0" w:line="238" w:lineRule="auto"/>
        <w:rPr>
          <w:sz w:val="20"/>
          <w:szCs w:val="20"/>
          <w:color w:val="auto"/>
        </w:rPr>
      </w:pPr>
      <w:r>
        <w:rPr>
          <w:rFonts w:ascii="Courier New" w:cs="Courier New" w:eastAsia="Courier New" w:hAnsi="Courier New"/>
          <w:sz w:val="15"/>
          <w:szCs w:val="15"/>
          <w:color w:val="auto"/>
        </w:rPr>
        <w:t>961,511</w:t>
      </w:r>
    </w:p>
    <w:p>
      <w:pPr>
        <w:ind w:left="3380"/>
        <w:spacing w:after="0" w:line="238" w:lineRule="auto"/>
        <w:rPr>
          <w:sz w:val="20"/>
          <w:szCs w:val="20"/>
          <w:color w:val="auto"/>
        </w:rPr>
      </w:pPr>
      <w:r>
        <w:rPr>
          <w:rFonts w:ascii="Courier New" w:cs="Courier New" w:eastAsia="Courier New" w:hAnsi="Courier New"/>
          <w:sz w:val="15"/>
          <w:szCs w:val="15"/>
          <w:color w:val="auto"/>
        </w:rPr>
        <w:t>0</w:t>
      </w:r>
    </w:p>
    <w:p>
      <w:pPr>
        <w:ind w:left="3300"/>
        <w:spacing w:after="0" w:line="237" w:lineRule="auto"/>
        <w:rPr>
          <w:sz w:val="20"/>
          <w:szCs w:val="20"/>
          <w:color w:val="auto"/>
        </w:rPr>
      </w:pPr>
      <w:r>
        <w:rPr>
          <w:rFonts w:ascii="Courier New" w:cs="Courier New" w:eastAsia="Courier New" w:hAnsi="Courier New"/>
          <w:sz w:val="15"/>
          <w:szCs w:val="15"/>
          <w:color w:val="auto"/>
        </w:rPr>
        <w:t>0</w:t>
      </w:r>
    </w:p>
    <w:p>
      <w:pPr>
        <w:ind w:left="3820"/>
        <w:spacing w:after="0" w:line="238" w:lineRule="auto"/>
        <w:rPr>
          <w:sz w:val="20"/>
          <w:szCs w:val="20"/>
          <w:color w:val="auto"/>
        </w:rPr>
      </w:pPr>
      <w:r>
        <w:rPr>
          <w:rFonts w:ascii="Courier New" w:cs="Courier New" w:eastAsia="Courier New" w:hAnsi="Courier New"/>
          <w:sz w:val="15"/>
          <w:szCs w:val="15"/>
          <w:color w:val="auto"/>
        </w:rPr>
        <w:t>0</w:t>
      </w:r>
    </w:p>
    <w:p>
      <w:pPr>
        <w:ind w:left="3040"/>
        <w:spacing w:after="0" w:line="237" w:lineRule="auto"/>
        <w:rPr>
          <w:sz w:val="20"/>
          <w:szCs w:val="20"/>
          <w:color w:val="auto"/>
        </w:rPr>
      </w:pPr>
      <w:r>
        <w:rPr>
          <w:rFonts w:ascii="Courier New" w:cs="Courier New" w:eastAsia="Courier New" w:hAnsi="Courier New"/>
          <w:sz w:val="15"/>
          <w:szCs w:val="15"/>
          <w:color w:val="auto"/>
        </w:rPr>
        <w:t>961,511</w:t>
      </w:r>
    </w:p>
    <w:p>
      <w:pPr>
        <w:ind w:left="3200"/>
        <w:spacing w:after="0" w:line="238" w:lineRule="auto"/>
        <w:rPr>
          <w:sz w:val="20"/>
          <w:szCs w:val="20"/>
          <w:color w:val="auto"/>
        </w:rPr>
      </w:pPr>
      <w:r>
        <w:rPr>
          <w:rFonts w:ascii="Courier New" w:cs="Courier New" w:eastAsia="Courier New" w:hAnsi="Courier New"/>
          <w:sz w:val="15"/>
          <w:szCs w:val="15"/>
          <w:color w:val="auto"/>
        </w:rPr>
        <w:t>2.68</w:t>
      </w:r>
    </w:p>
    <w:p>
      <w:pPr>
        <w:ind w:left="3200"/>
        <w:spacing w:after="0" w:line="237" w:lineRule="auto"/>
        <w:rPr>
          <w:sz w:val="20"/>
          <w:szCs w:val="20"/>
          <w:color w:val="auto"/>
        </w:rPr>
      </w:pPr>
      <w:r>
        <w:rPr>
          <w:rFonts w:ascii="Courier New" w:cs="Courier New" w:eastAsia="Courier New" w:hAnsi="Courier New"/>
          <w:sz w:val="15"/>
          <w:szCs w:val="15"/>
          <w:color w:val="auto"/>
        </w:rPr>
        <w:t>2.68</w:t>
      </w:r>
    </w:p>
    <w:p>
      <w:pPr>
        <w:sectPr>
          <w:pgSz w:w="11900" w:h="16838" w:orient="portrait"/>
          <w:cols w:equalWidth="0" w:num="1">
            <w:col w:w="10199"/>
          </w:cols>
          <w:pgMar w:left="260" w:top="135" w:right="1440" w:bottom="1440" w:gutter="0" w:footer="0" w:header="0"/>
        </w:sectPr>
      </w:pPr>
    </w:p>
    <w:bookmarkStart w:id="171" w:name="page172"/>
    <w:bookmarkEnd w:id="171"/>
    <w:p>
      <w:pPr>
        <w:jc w:val="right"/>
        <w:ind w:right="3239"/>
        <w:spacing w:after="0"/>
        <w:rPr>
          <w:sz w:val="20"/>
          <w:szCs w:val="20"/>
          <w:color w:val="auto"/>
        </w:rPr>
      </w:pPr>
      <w:r>
        <w:rPr>
          <w:rFonts w:ascii="Courier New" w:cs="Courier New" w:eastAsia="Courier New" w:hAnsi="Courier New"/>
          <w:sz w:val="15"/>
          <w:szCs w:val="15"/>
          <w:color w:val="auto"/>
        </w:rPr>
        <w:t>EXHIBIT 99</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REPORT OF INDEPENDENT PUBLIC ACCOUNTANTS</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Plan Administrator of The Limited,</w:t>
      </w:r>
    </w:p>
    <w:p>
      <w:pPr>
        <w:spacing w:after="0" w:line="237" w:lineRule="auto"/>
        <w:rPr>
          <w:sz w:val="20"/>
          <w:szCs w:val="20"/>
          <w:color w:val="auto"/>
        </w:rPr>
      </w:pPr>
      <w:r>
        <w:rPr>
          <w:rFonts w:ascii="Courier New" w:cs="Courier New" w:eastAsia="Courier New" w:hAnsi="Courier New"/>
          <w:sz w:val="15"/>
          <w:szCs w:val="15"/>
          <w:color w:val="auto"/>
        </w:rPr>
        <w:t>Inc. Savings and Retirement Plan: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have audited the accompanying statements of net assets available for benefits of The Limited, Inc. Savings and Retirement Plan as of December 31, 1995 and 1994, and the related statements of changes in net assets available for benefits for each of the three years in the period ended December 31, 1995. These financial statements are the responsibility of the Plan's management. Our responsibility is to express an opinion on these financial statements based on our audits.</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6"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net assets available for benefits of the Plan as of December 31, 1995 and 1994, and the changes in net assets available for benefits for each of the three years in the period ended December 31, 1995, in conformity with generally accepted accounting principles.</w:t>
      </w:r>
    </w:p>
    <w:p>
      <w:pPr>
        <w:spacing w:after="0" w:line="157"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/s/ Ary, Earman and Roepcke</w:t>
      </w:r>
    </w:p>
    <w:p>
      <w:pPr>
        <w:ind w:left="3940"/>
        <w:spacing w:after="0" w:line="237" w:lineRule="auto"/>
        <w:rPr>
          <w:sz w:val="20"/>
          <w:szCs w:val="20"/>
          <w:color w:val="auto"/>
        </w:rPr>
      </w:pPr>
      <w:r>
        <w:rPr>
          <w:rFonts w:ascii="Courier New" w:cs="Courier New" w:eastAsia="Courier New" w:hAnsi="Courier New"/>
          <w:sz w:val="15"/>
          <w:szCs w:val="15"/>
          <w:color w:val="auto"/>
        </w:rPr>
        <w:t>---------------------------------</w:t>
      </w:r>
    </w:p>
    <w:p>
      <w:pPr>
        <w:jc w:val="center"/>
        <w:ind w:right="-360"/>
        <w:spacing w:after="0" w:line="238" w:lineRule="auto"/>
        <w:rPr>
          <w:sz w:val="20"/>
          <w:szCs w:val="20"/>
          <w:color w:val="auto"/>
        </w:rPr>
      </w:pPr>
      <w:r>
        <w:rPr>
          <w:rFonts w:ascii="Courier New" w:cs="Courier New" w:eastAsia="Courier New" w:hAnsi="Courier New"/>
          <w:sz w:val="15"/>
          <w:szCs w:val="15"/>
          <w:color w:val="auto"/>
        </w:rPr>
        <w:t>Ary, Earman and Roepcke</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Columbus, Ohio,</w:t>
      </w:r>
    </w:p>
    <w:p>
      <w:pPr>
        <w:spacing w:after="0" w:line="237" w:lineRule="auto"/>
        <w:rPr>
          <w:sz w:val="20"/>
          <w:szCs w:val="20"/>
          <w:color w:val="auto"/>
        </w:rPr>
      </w:pPr>
      <w:r>
        <w:rPr>
          <w:rFonts w:ascii="Courier New" w:cs="Courier New" w:eastAsia="Courier New" w:hAnsi="Courier New"/>
          <w:sz w:val="15"/>
          <w:szCs w:val="15"/>
          <w:color w:val="auto"/>
        </w:rPr>
        <w:t>March 18, 1996.</w:t>
      </w:r>
    </w:p>
    <w:p>
      <w:pPr>
        <w:sectPr>
          <w:pgSz w:w="11900" w:h="16838" w:orient="portrait"/>
          <w:cols w:equalWidth="0" w:num="1">
            <w:col w:w="10239"/>
          </w:cols>
          <w:pgMar w:left="220" w:top="471" w:right="1440" w:bottom="1440" w:gutter="0" w:footer="0" w:header="0"/>
        </w:sectPr>
      </w:pPr>
    </w:p>
    <w:bookmarkStart w:id="172" w:name="page173"/>
    <w:bookmarkEnd w:id="172"/>
    <w:p>
      <w:pPr>
        <w:ind w:left="1500"/>
        <w:spacing w:after="0"/>
        <w:rPr>
          <w:sz w:val="20"/>
          <w:szCs w:val="20"/>
          <w:color w:val="auto"/>
        </w:rPr>
      </w:pPr>
      <w:r>
        <w:rPr>
          <w:rFonts w:ascii="Courier New" w:cs="Courier New" w:eastAsia="Courier New" w:hAnsi="Courier New"/>
          <w:sz w:val="15"/>
          <w:szCs w:val="15"/>
          <w:color w:val="auto"/>
        </w:rPr>
        <w:t>THE LIMITED, INC. SAVINGS AND RETIREMENT PLAN</w:t>
      </w:r>
    </w:p>
    <w:p>
      <w:pPr>
        <w:ind w:left="15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STATEMENT OF NET ASSETS AVAILABLE FOR BENEFITS</w:t>
      </w:r>
    </w:p>
    <w:p>
      <w:pPr>
        <w:ind w:left="15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DECEMBER 31, 1995</w:t>
      </w:r>
    </w:p>
    <w:p>
      <w:pPr>
        <w:ind w:left="2720"/>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Limited</w:t>
            </w:r>
          </w:p>
        </w:tc>
        <w:tc>
          <w:tcPr>
            <w:tcW w:w="220" w:type="dxa"/>
            <w:vAlign w:val="bottom"/>
          </w:tcPr>
          <w:p>
            <w:pPr>
              <w:spacing w:after="0"/>
              <w:rPr>
                <w:sz w:val="14"/>
                <w:szCs w:val="14"/>
                <w:color w:val="auto"/>
              </w:rPr>
            </w:pPr>
          </w:p>
        </w:tc>
        <w:tc>
          <w:tcPr>
            <w:tcW w:w="1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Fixed</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Wellington</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w:t>
            </w:r>
          </w:p>
        </w:tc>
        <w:tc>
          <w:tcPr>
            <w:tcW w:w="26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TOTAL</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Stock Fund</w:t>
            </w:r>
          </w:p>
        </w:tc>
        <w:tc>
          <w:tcPr>
            <w:tcW w:w="13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Income Fund</w:t>
            </w:r>
          </w:p>
        </w:tc>
        <w:tc>
          <w:tcPr>
            <w:tcW w:w="13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Indexed Fund</w:t>
            </w:r>
          </w:p>
        </w:tc>
        <w:tc>
          <w:tcPr>
            <w:tcW w:w="1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World Fund</w:t>
            </w:r>
          </w:p>
        </w:tc>
        <w:tc>
          <w:tcPr>
            <w:tcW w:w="30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Fund</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60" w:type="dxa"/>
            <w:vAlign w:val="bottom"/>
          </w:tcPr>
          <w:p>
            <w:pPr>
              <w:spacing w:after="0"/>
              <w:rPr>
                <w:sz w:val="14"/>
                <w:szCs w:val="14"/>
                <w:color w:val="auto"/>
              </w:rPr>
            </w:pPr>
          </w:p>
        </w:tc>
        <w:tc>
          <w:tcPr>
            <w:tcW w:w="7600" w:type="dxa"/>
            <w:vAlign w:val="bottom"/>
            <w:gridSpan w:val="10"/>
          </w:tcPr>
          <w:p>
            <w:pPr>
              <w:jc w:val="right"/>
              <w:spacing w:after="0" w:line="168" w:lineRule="exact"/>
              <w:rPr>
                <w:sz w:val="20"/>
                <w:szCs w:val="20"/>
                <w:color w:val="auto"/>
              </w:rPr>
            </w:pPr>
            <w:r>
              <w:rPr>
                <w:rFonts w:ascii="Courier New" w:cs="Courier New" w:eastAsia="Courier New" w:hAnsi="Courier New"/>
                <w:sz w:val="15"/>
                <w:szCs w:val="15"/>
                <w:color w:val="auto"/>
                <w:w w:val="97"/>
              </w:rPr>
              <w:t>------------   ------------   ------------   ------------   ------------   -----------</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Investments, at Fair Value:</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Determined by Quoted Market Price:</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Common Stock of The Limited, Inc.</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(Cost $36,237,327)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69,418,465</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$ 69,418,465</w:t>
            </w:r>
          </w:p>
        </w:tc>
        <w:tc>
          <w:tcPr>
            <w:tcW w:w="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Vanguard Indexed Mutual Fund</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(Cost $28,215,245)</w:t>
            </w:r>
          </w:p>
        </w:tc>
        <w:tc>
          <w:tcPr>
            <w:tcW w:w="2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36,781,237</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36,781,237</w:t>
            </w:r>
          </w:p>
        </w:tc>
        <w:tc>
          <w:tcPr>
            <w:tcW w:w="1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Vanguard World Mutual Fund</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(Cost $22,450,170)</w:t>
            </w:r>
          </w:p>
        </w:tc>
        <w:tc>
          <w:tcPr>
            <w:tcW w:w="2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28,568,077</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28,568,077</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Vanguard Wellington Fund</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(Cost $2,688,763)</w:t>
            </w:r>
          </w:p>
        </w:tc>
        <w:tc>
          <w:tcPr>
            <w:tcW w:w="2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2,810,545</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2,810,545</w:t>
            </w:r>
          </w:p>
        </w:tc>
      </w:tr>
      <w:tr>
        <w:trPr>
          <w:trHeight w:val="168"/>
        </w:trPr>
        <w:tc>
          <w:tcPr>
            <w:tcW w:w="36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Determined By Contract Value:</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Guaranteed Investment Contracts:</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Vanguard Investment Contract Trust</w:t>
            </w:r>
          </w:p>
        </w:tc>
        <w:tc>
          <w:tcPr>
            <w:tcW w:w="2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70,972,869</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70,972,869</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Metropolitan Life Insurance</w:t>
            </w:r>
          </w:p>
        </w:tc>
        <w:tc>
          <w:tcPr>
            <w:tcW w:w="2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7,064,772</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7,064,772</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Temporary Investments (Cost</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Approximates Fair Value)</w:t>
            </w:r>
          </w:p>
        </w:tc>
        <w:tc>
          <w:tcPr>
            <w:tcW w:w="2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29,917</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209</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29,708</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rPr>
                <w:sz w:val="14"/>
                <w:szCs w:val="14"/>
                <w:color w:val="auto"/>
              </w:rPr>
            </w:pPr>
          </w:p>
        </w:tc>
        <w:tc>
          <w:tcPr>
            <w:tcW w:w="13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Investments</w:t>
            </w:r>
          </w:p>
        </w:tc>
        <w:tc>
          <w:tcPr>
            <w:tcW w:w="2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215,645,882</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69,418,674</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78,067,349</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36,781,237</w:t>
            </w:r>
          </w:p>
        </w:tc>
        <w:tc>
          <w:tcPr>
            <w:tcW w:w="1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28,568,077</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2,810,545</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Contribution Receivable from Employers</w:t>
            </w:r>
          </w:p>
        </w:tc>
        <w:tc>
          <w:tcPr>
            <w:tcW w:w="260" w:type="dxa"/>
            <w:vAlign w:val="bottom"/>
          </w:tcPr>
          <w:p>
            <w:pPr>
              <w:spacing w:after="0"/>
              <w:rPr>
                <w:sz w:val="24"/>
                <w:szCs w:val="2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21,814,605</w:t>
            </w:r>
          </w:p>
        </w:tc>
        <w:tc>
          <w:tcPr>
            <w:tcW w:w="13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3,121,459</w:t>
            </w:r>
          </w:p>
        </w:tc>
        <w:tc>
          <w:tcPr>
            <w:tcW w:w="220" w:type="dxa"/>
            <w:vAlign w:val="bottom"/>
          </w:tcPr>
          <w:p>
            <w:pPr>
              <w:spacing w:after="0"/>
              <w:rPr>
                <w:sz w:val="24"/>
                <w:szCs w:val="2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10,109,934</w:t>
            </w:r>
          </w:p>
        </w:tc>
        <w:tc>
          <w:tcPr>
            <w:tcW w:w="220" w:type="dxa"/>
            <w:vAlign w:val="bottom"/>
          </w:tcPr>
          <w:p>
            <w:pPr>
              <w:spacing w:after="0"/>
              <w:rPr>
                <w:sz w:val="24"/>
                <w:szCs w:val="2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4,317,439</w:t>
            </w:r>
          </w:p>
        </w:tc>
        <w:tc>
          <w:tcPr>
            <w:tcW w:w="160" w:type="dxa"/>
            <w:vAlign w:val="bottom"/>
          </w:tcPr>
          <w:p>
            <w:pPr>
              <w:spacing w:after="0"/>
              <w:rPr>
                <w:sz w:val="24"/>
                <w:szCs w:val="2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3,491,987</w:t>
            </w:r>
          </w:p>
        </w:tc>
        <w:tc>
          <w:tcPr>
            <w:tcW w:w="300" w:type="dxa"/>
            <w:vAlign w:val="bottom"/>
          </w:tcPr>
          <w:p>
            <w:pPr>
              <w:spacing w:after="0"/>
              <w:rPr>
                <w:sz w:val="24"/>
                <w:szCs w:val="2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773,786</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Receivable from Employers for Withheld</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Participants' Contributions</w:t>
            </w:r>
          </w:p>
        </w:tc>
        <w:tc>
          <w:tcPr>
            <w:tcW w:w="2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1,417,49</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227,262</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522,163</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331,820</w:t>
            </w:r>
          </w:p>
        </w:tc>
        <w:tc>
          <w:tcPr>
            <w:tcW w:w="1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263,791</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72,461</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Due from Brokers</w:t>
            </w:r>
          </w:p>
        </w:tc>
        <w:tc>
          <w:tcPr>
            <w:tcW w:w="2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46,096</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46,096</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Interfund Transfers</w:t>
            </w:r>
          </w:p>
        </w:tc>
        <w:tc>
          <w:tcPr>
            <w:tcW w:w="2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(122,205)</w:t>
            </w:r>
          </w:p>
        </w:tc>
        <w:tc>
          <w:tcPr>
            <w:tcW w:w="220" w:type="dxa"/>
            <w:vAlign w:val="bottom"/>
          </w:tcPr>
          <w:p>
            <w:pPr>
              <w:spacing w:after="0"/>
              <w:rPr>
                <w:sz w:val="14"/>
                <w:szCs w:val="14"/>
                <w:color w:val="auto"/>
              </w:rPr>
            </w:pP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(6,207)</w:t>
            </w:r>
          </w:p>
        </w:tc>
        <w:tc>
          <w:tcPr>
            <w:tcW w:w="22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(50,186)</w:t>
            </w:r>
          </w:p>
        </w:tc>
        <w:tc>
          <w:tcPr>
            <w:tcW w:w="1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33,824</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144,774</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Interest and Dividends</w:t>
            </w:r>
          </w:p>
        </w:tc>
        <w:tc>
          <w:tcPr>
            <w:tcW w:w="2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3,174</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541</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1,760</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421</w:t>
            </w:r>
          </w:p>
        </w:tc>
        <w:tc>
          <w:tcPr>
            <w:tcW w:w="1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418</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2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976</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424</w:t>
            </w:r>
          </w:p>
        </w:tc>
        <w:tc>
          <w:tcPr>
            <w:tcW w:w="1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483</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69</w:t>
            </w:r>
          </w:p>
        </w:tc>
      </w:tr>
      <w:tr>
        <w:trPr>
          <w:trHeight w:val="168"/>
        </w:trPr>
        <w:tc>
          <w:tcPr>
            <w:tcW w:w="3600" w:type="dxa"/>
            <w:vAlign w:val="bottom"/>
          </w:tcPr>
          <w:p>
            <w:pPr>
              <w:spacing w:after="0"/>
              <w:rPr>
                <w:sz w:val="14"/>
                <w:szCs w:val="14"/>
                <w:color w:val="auto"/>
              </w:rPr>
            </w:pPr>
          </w:p>
        </w:tc>
        <w:tc>
          <w:tcPr>
            <w:tcW w:w="13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Assets</w:t>
            </w:r>
          </w:p>
        </w:tc>
        <w:tc>
          <w:tcPr>
            <w:tcW w:w="2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238,928,230</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72,691,827</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88,694,999</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41,381,155</w:t>
            </w:r>
          </w:p>
        </w:tc>
        <w:tc>
          <w:tcPr>
            <w:tcW w:w="1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32,358,580</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3,801,669</w:t>
            </w:r>
          </w:p>
        </w:tc>
      </w:tr>
      <w:tr>
        <w:trPr>
          <w:trHeight w:val="168"/>
        </w:trPr>
        <w:tc>
          <w:tcPr>
            <w:tcW w:w="3600" w:type="dxa"/>
            <w:vAlign w:val="bottom"/>
          </w:tcPr>
          <w:p>
            <w:pPr>
              <w:spacing w:after="0"/>
              <w:rPr>
                <w:sz w:val="14"/>
                <w:szCs w:val="14"/>
                <w:color w:val="auto"/>
              </w:rPr>
            </w:pPr>
          </w:p>
        </w:tc>
        <w:tc>
          <w:tcPr>
            <w:tcW w:w="13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260" w:type="dxa"/>
            <w:vAlign w:val="bottom"/>
          </w:tcPr>
          <w:p>
            <w:pPr>
              <w:spacing w:after="0"/>
              <w:rPr>
                <w:sz w:val="24"/>
                <w:szCs w:val="2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26,894</w:t>
            </w:r>
          </w:p>
        </w:tc>
        <w:tc>
          <w:tcPr>
            <w:tcW w:w="13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26,894</w:t>
            </w:r>
          </w:p>
        </w:tc>
        <w:tc>
          <w:tcPr>
            <w:tcW w:w="220" w:type="dxa"/>
            <w:vAlign w:val="bottom"/>
          </w:tcPr>
          <w:p>
            <w:pPr>
              <w:spacing w:after="0"/>
              <w:rPr>
                <w:sz w:val="24"/>
                <w:szCs w:val="2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24"/>
                <w:szCs w:val="2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4"/>
                <w:szCs w:val="2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Administrative Fees Payable</w:t>
            </w:r>
          </w:p>
        </w:tc>
        <w:tc>
          <w:tcPr>
            <w:tcW w:w="2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392,065</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129,381</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141,144</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66,651</w:t>
            </w:r>
          </w:p>
        </w:tc>
        <w:tc>
          <w:tcPr>
            <w:tcW w:w="1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50,968</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3,921</w:t>
            </w:r>
          </w:p>
        </w:tc>
      </w:tr>
      <w:tr>
        <w:trPr>
          <w:trHeight w:val="168"/>
        </w:trPr>
        <w:tc>
          <w:tcPr>
            <w:tcW w:w="3600" w:type="dxa"/>
            <w:vAlign w:val="bottom"/>
          </w:tcPr>
          <w:p>
            <w:pPr>
              <w:spacing w:after="0"/>
              <w:rPr>
                <w:sz w:val="14"/>
                <w:szCs w:val="14"/>
                <w:color w:val="auto"/>
              </w:rPr>
            </w:pPr>
          </w:p>
        </w:tc>
        <w:tc>
          <w:tcPr>
            <w:tcW w:w="13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2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418,959</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129,381</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168,038</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66,651</w:t>
            </w:r>
          </w:p>
        </w:tc>
        <w:tc>
          <w:tcPr>
            <w:tcW w:w="1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50,968</w:t>
            </w:r>
          </w:p>
        </w:tc>
        <w:tc>
          <w:tcPr>
            <w:tcW w:w="30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3,921</w:t>
            </w:r>
          </w:p>
        </w:tc>
      </w:tr>
      <w:tr>
        <w:trPr>
          <w:trHeight w:val="168"/>
        </w:trPr>
        <w:tc>
          <w:tcPr>
            <w:tcW w:w="3600" w:type="dxa"/>
            <w:vAlign w:val="bottom"/>
          </w:tcPr>
          <w:p>
            <w:pPr>
              <w:spacing w:after="0"/>
              <w:rPr>
                <w:sz w:val="14"/>
                <w:szCs w:val="14"/>
                <w:color w:val="auto"/>
              </w:rPr>
            </w:pPr>
          </w:p>
        </w:tc>
        <w:tc>
          <w:tcPr>
            <w:tcW w:w="13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ASSETS AVAILABLE FOR BENEFITS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238,509,271</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$ 72,562,446</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$ 88,526,961</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$ 41,314,504</w:t>
            </w:r>
          </w:p>
        </w:tc>
        <w:tc>
          <w:tcPr>
            <w:tcW w:w="12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$ 32,307,612</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$ 3,797,748</w:t>
            </w:r>
          </w:p>
        </w:tc>
      </w:tr>
      <w:tr>
        <w:trPr>
          <w:trHeight w:val="168"/>
        </w:trPr>
        <w:tc>
          <w:tcPr>
            <w:tcW w:w="3600" w:type="dxa"/>
            <w:vAlign w:val="bottom"/>
          </w:tcPr>
          <w:p>
            <w:pPr>
              <w:spacing w:after="0"/>
              <w:rPr>
                <w:sz w:val="14"/>
                <w:szCs w:val="14"/>
                <w:color w:val="auto"/>
              </w:rPr>
            </w:pPr>
          </w:p>
        </w:tc>
        <w:tc>
          <w:tcPr>
            <w:tcW w:w="13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this financial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w:t>
      </w:r>
    </w:p>
    <w:p>
      <w:pPr>
        <w:sectPr>
          <w:pgSz w:w="11900" w:h="16838" w:orient="portrait"/>
          <w:cols w:equalWidth="0" w:num="1">
            <w:col w:w="11460"/>
          </w:cols>
          <w:pgMar w:left="220" w:top="617" w:right="219" w:bottom="1440" w:gutter="0" w:footer="0" w:header="0"/>
        </w:sectPr>
      </w:pPr>
    </w:p>
    <w:bookmarkStart w:id="173" w:name="page174"/>
    <w:bookmarkEnd w:id="173"/>
    <w:p>
      <w:pPr>
        <w:ind w:left="1500"/>
        <w:spacing w:after="0"/>
        <w:rPr>
          <w:sz w:val="20"/>
          <w:szCs w:val="20"/>
          <w:color w:val="auto"/>
        </w:rPr>
      </w:pPr>
      <w:r>
        <w:rPr>
          <w:rFonts w:ascii="Courier New" w:cs="Courier New" w:eastAsia="Courier New" w:hAnsi="Courier New"/>
          <w:sz w:val="15"/>
          <w:szCs w:val="15"/>
          <w:color w:val="auto"/>
        </w:rPr>
        <w:t>THE LIMITED, INC. SAVINGS AND RETIREMENT PLAN</w:t>
      </w:r>
    </w:p>
    <w:p>
      <w:pPr>
        <w:ind w:left="15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STATEMENT OF NET ASSETS AVAILABLE FOR BENEFITS</w:t>
      </w:r>
    </w:p>
    <w:p>
      <w:pPr>
        <w:ind w:left="15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DECEMBER 31, 1994</w:t>
      </w:r>
    </w:p>
    <w:p>
      <w:pPr>
        <w:ind w:left="2720"/>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ind w:left="260"/>
              <w:spacing w:after="0"/>
              <w:rPr>
                <w:sz w:val="20"/>
                <w:szCs w:val="20"/>
                <w:color w:val="auto"/>
              </w:rPr>
            </w:pPr>
            <w:r>
              <w:rPr>
                <w:rFonts w:ascii="Courier New" w:cs="Courier New" w:eastAsia="Courier New" w:hAnsi="Courier New"/>
                <w:sz w:val="15"/>
                <w:szCs w:val="15"/>
                <w:color w:val="auto"/>
              </w:rPr>
              <w:t>Limited</w:t>
            </w:r>
          </w:p>
        </w:tc>
        <w:tc>
          <w:tcPr>
            <w:tcW w:w="220" w:type="dxa"/>
            <w:vAlign w:val="bottom"/>
          </w:tcPr>
          <w:p>
            <w:pPr>
              <w:spacing w:after="0"/>
              <w:rPr>
                <w:sz w:val="14"/>
                <w:szCs w:val="14"/>
                <w:color w:val="auto"/>
              </w:rPr>
            </w:pPr>
          </w:p>
        </w:tc>
        <w:tc>
          <w:tcPr>
            <w:tcW w:w="11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Fixed</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w:t>
            </w:r>
          </w:p>
        </w:tc>
        <w:tc>
          <w:tcPr>
            <w:tcW w:w="58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TOTAL</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Stock Fund</w:t>
            </w:r>
          </w:p>
        </w:tc>
        <w:tc>
          <w:tcPr>
            <w:tcW w:w="14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Income Fund</w:t>
            </w:r>
          </w:p>
        </w:tc>
        <w:tc>
          <w:tcPr>
            <w:tcW w:w="14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Indexed Fund</w:t>
            </w:r>
          </w:p>
        </w:tc>
        <w:tc>
          <w:tcPr>
            <w:tcW w:w="16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World Fund</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580" w:type="dxa"/>
            <w:vAlign w:val="bottom"/>
          </w:tcPr>
          <w:p>
            <w:pPr>
              <w:spacing w:after="0"/>
              <w:rPr>
                <w:sz w:val="14"/>
                <w:szCs w:val="14"/>
                <w:color w:val="auto"/>
              </w:rPr>
            </w:pP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220" w:type="dxa"/>
            <w:vAlign w:val="bottom"/>
          </w:tcPr>
          <w:p>
            <w:pPr>
              <w:spacing w:after="0"/>
              <w:rPr>
                <w:sz w:val="14"/>
                <w:szCs w:val="14"/>
                <w:color w:val="auto"/>
              </w:rPr>
            </w:pP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16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Investments, at Fair Value:</w:t>
            </w: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3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Determined by Quoted Market Price</w:t>
            </w:r>
          </w:p>
        </w:tc>
        <w:tc>
          <w:tcPr>
            <w:tcW w:w="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Common Stock of The Limited, Inc.</w:t>
            </w:r>
          </w:p>
        </w:tc>
        <w:tc>
          <w:tcPr>
            <w:tcW w:w="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9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(Cost $31,473,031)</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74,213,936</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$ 74,213,936</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Vanguard Indexed Mutual Fund</w:t>
            </w:r>
          </w:p>
        </w:tc>
        <w:tc>
          <w:tcPr>
            <w:tcW w:w="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9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(Cost $21,363,025)</w:t>
            </w:r>
          </w:p>
        </w:tc>
        <w:tc>
          <w:tcPr>
            <w:tcW w:w="58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22,393,334</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22,393,334</w:t>
            </w:r>
          </w:p>
        </w:tc>
        <w:tc>
          <w:tcPr>
            <w:tcW w:w="160" w:type="dxa"/>
            <w:vAlign w:val="bottom"/>
          </w:tcPr>
          <w:p>
            <w:pPr>
              <w:spacing w:after="0"/>
              <w:rPr>
                <w:sz w:val="14"/>
                <w:szCs w:val="14"/>
                <w:color w:val="auto"/>
              </w:rPr>
            </w:pP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Vanguard World Mutual Fund</w:t>
            </w:r>
          </w:p>
        </w:tc>
        <w:tc>
          <w:tcPr>
            <w:tcW w:w="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9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(Cost $16,934,527)</w:t>
            </w:r>
          </w:p>
        </w:tc>
        <w:tc>
          <w:tcPr>
            <w:tcW w:w="58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17,568,066</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17,568,066</w:t>
            </w:r>
          </w:p>
        </w:tc>
      </w:tr>
      <w:tr>
        <w:trPr>
          <w:trHeight w:val="168"/>
        </w:trPr>
        <w:tc>
          <w:tcPr>
            <w:tcW w:w="3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Determined By Contract Value:</w:t>
            </w:r>
          </w:p>
        </w:tc>
        <w:tc>
          <w:tcPr>
            <w:tcW w:w="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Guaranteed Investment Contracts:</w:t>
            </w:r>
          </w:p>
        </w:tc>
        <w:tc>
          <w:tcPr>
            <w:tcW w:w="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9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Vanguard Investment Contract Trust</w:t>
            </w:r>
          </w:p>
        </w:tc>
        <w:tc>
          <w:tcPr>
            <w:tcW w:w="58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54,831,553</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54,831,553</w:t>
            </w:r>
          </w:p>
        </w:tc>
        <w:tc>
          <w:tcPr>
            <w:tcW w:w="2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Metropolitan Life Insurance</w:t>
            </w:r>
          </w:p>
        </w:tc>
        <w:tc>
          <w:tcPr>
            <w:tcW w:w="58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12,983,134</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12,983,134</w:t>
            </w:r>
          </w:p>
        </w:tc>
        <w:tc>
          <w:tcPr>
            <w:tcW w:w="2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Temporary Investments (Cost</w:t>
            </w:r>
          </w:p>
        </w:tc>
        <w:tc>
          <w:tcPr>
            <w:tcW w:w="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Approximates Fair Value)</w:t>
            </w:r>
          </w:p>
        </w:tc>
        <w:tc>
          <w:tcPr>
            <w:tcW w:w="58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38,054</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10,693</w:t>
            </w:r>
          </w:p>
        </w:tc>
        <w:tc>
          <w:tcPr>
            <w:tcW w:w="2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21,013</w:t>
            </w:r>
          </w:p>
        </w:tc>
        <w:tc>
          <w:tcPr>
            <w:tcW w:w="2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3,000</w:t>
            </w:r>
          </w:p>
        </w:tc>
        <w:tc>
          <w:tcPr>
            <w:tcW w:w="160" w:type="dxa"/>
            <w:vAlign w:val="bottom"/>
          </w:tcPr>
          <w:p>
            <w:pPr>
              <w:spacing w:after="0"/>
              <w:rPr>
                <w:sz w:val="14"/>
                <w:szCs w:val="14"/>
                <w:color w:val="auto"/>
              </w:rPr>
            </w:pP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3,348</w:t>
            </w:r>
          </w:p>
        </w:tc>
      </w:tr>
      <w:tr>
        <w:trPr>
          <w:trHeight w:val="168"/>
        </w:trPr>
        <w:tc>
          <w:tcPr>
            <w:tcW w:w="3900" w:type="dxa"/>
            <w:vAlign w:val="bottom"/>
          </w:tcPr>
          <w:p>
            <w:pPr>
              <w:spacing w:after="0"/>
              <w:rPr>
                <w:sz w:val="14"/>
                <w:szCs w:val="14"/>
                <w:color w:val="auto"/>
              </w:rPr>
            </w:pPr>
          </w:p>
        </w:tc>
        <w:tc>
          <w:tcPr>
            <w:tcW w:w="18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Investments</w:t>
            </w:r>
          </w:p>
        </w:tc>
        <w:tc>
          <w:tcPr>
            <w:tcW w:w="58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182,028,077</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74,224,629</w:t>
            </w:r>
          </w:p>
        </w:tc>
        <w:tc>
          <w:tcPr>
            <w:tcW w:w="2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67,835,700</w:t>
            </w:r>
          </w:p>
        </w:tc>
        <w:tc>
          <w:tcPr>
            <w:tcW w:w="2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22,396,334</w:t>
            </w:r>
          </w:p>
        </w:tc>
        <w:tc>
          <w:tcPr>
            <w:tcW w:w="160" w:type="dxa"/>
            <w:vAlign w:val="bottom"/>
          </w:tcPr>
          <w:p>
            <w:pPr>
              <w:spacing w:after="0"/>
              <w:rPr>
                <w:sz w:val="14"/>
                <w:szCs w:val="14"/>
                <w:color w:val="auto"/>
              </w:rPr>
            </w:pP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17,571,414</w:t>
            </w: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Contribution Receivable from Employers</w:t>
            </w:r>
          </w:p>
        </w:tc>
        <w:tc>
          <w:tcPr>
            <w:tcW w:w="580" w:type="dxa"/>
            <w:vAlign w:val="bottom"/>
          </w:tcPr>
          <w:p>
            <w:pPr>
              <w:spacing w:after="0"/>
              <w:rPr>
                <w:sz w:val="24"/>
                <w:szCs w:val="24"/>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16,899,542</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2,706,921</w:t>
            </w:r>
          </w:p>
        </w:tc>
        <w:tc>
          <w:tcPr>
            <w:tcW w:w="220" w:type="dxa"/>
            <w:vAlign w:val="bottom"/>
          </w:tcPr>
          <w:p>
            <w:pPr>
              <w:spacing w:after="0"/>
              <w:rPr>
                <w:sz w:val="24"/>
                <w:szCs w:val="24"/>
                <w:color w:val="auto"/>
              </w:rPr>
            </w:pP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8,659,768</w:t>
            </w:r>
          </w:p>
        </w:tc>
        <w:tc>
          <w:tcPr>
            <w:tcW w:w="220" w:type="dxa"/>
            <w:vAlign w:val="bottom"/>
          </w:tcPr>
          <w:p>
            <w:pPr>
              <w:spacing w:after="0"/>
              <w:rPr>
                <w:sz w:val="24"/>
                <w:szCs w:val="24"/>
                <w:color w:val="auto"/>
              </w:rPr>
            </w:pP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3,198,332</w:t>
            </w:r>
          </w:p>
        </w:tc>
        <w:tc>
          <w:tcPr>
            <w:tcW w:w="160" w:type="dxa"/>
            <w:vAlign w:val="bottom"/>
          </w:tcPr>
          <w:p>
            <w:pPr>
              <w:spacing w:after="0"/>
              <w:rPr>
                <w:sz w:val="24"/>
                <w:szCs w:val="2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2,334,521</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Receivable from Employers for Withheld</w:t>
            </w:r>
          </w:p>
        </w:tc>
        <w:tc>
          <w:tcPr>
            <w:tcW w:w="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Participants' Contributions</w:t>
            </w:r>
          </w:p>
        </w:tc>
        <w:tc>
          <w:tcPr>
            <w:tcW w:w="58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936,072</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147,762</w:t>
            </w:r>
          </w:p>
        </w:tc>
        <w:tc>
          <w:tcPr>
            <w:tcW w:w="2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351,168</w:t>
            </w:r>
          </w:p>
        </w:tc>
        <w:tc>
          <w:tcPr>
            <w:tcW w:w="2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264,962</w:t>
            </w:r>
          </w:p>
        </w:tc>
        <w:tc>
          <w:tcPr>
            <w:tcW w:w="160" w:type="dxa"/>
            <w:vAlign w:val="bottom"/>
          </w:tcPr>
          <w:p>
            <w:pPr>
              <w:spacing w:after="0"/>
              <w:rPr>
                <w:sz w:val="14"/>
                <w:szCs w:val="14"/>
                <w:color w:val="auto"/>
              </w:rPr>
            </w:pP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172,180</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Due from Brokers</w:t>
            </w:r>
          </w:p>
        </w:tc>
        <w:tc>
          <w:tcPr>
            <w:tcW w:w="58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1,406,791</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1,406,791</w:t>
            </w:r>
          </w:p>
        </w:tc>
        <w:tc>
          <w:tcPr>
            <w:tcW w:w="2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Interfund Transfers</w:t>
            </w:r>
          </w:p>
        </w:tc>
        <w:tc>
          <w:tcPr>
            <w:tcW w:w="58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(916,433)</w:t>
            </w:r>
          </w:p>
        </w:tc>
        <w:tc>
          <w:tcPr>
            <w:tcW w:w="2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408,641</w:t>
            </w:r>
          </w:p>
        </w:tc>
        <w:tc>
          <w:tcPr>
            <w:tcW w:w="2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456,929</w:t>
            </w:r>
          </w:p>
        </w:tc>
        <w:tc>
          <w:tcPr>
            <w:tcW w:w="160" w:type="dxa"/>
            <w:vAlign w:val="bottom"/>
          </w:tcPr>
          <w:p>
            <w:pPr>
              <w:spacing w:after="0"/>
              <w:rPr>
                <w:sz w:val="14"/>
                <w:szCs w:val="14"/>
                <w:color w:val="auto"/>
              </w:rPr>
            </w:pP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50,863</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Interest and Dividends</w:t>
            </w:r>
          </w:p>
        </w:tc>
        <w:tc>
          <w:tcPr>
            <w:tcW w:w="58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2,622</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1,287</w:t>
            </w:r>
          </w:p>
        </w:tc>
        <w:tc>
          <w:tcPr>
            <w:tcW w:w="2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771</w:t>
            </w:r>
          </w:p>
        </w:tc>
        <w:tc>
          <w:tcPr>
            <w:tcW w:w="2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291</w:t>
            </w:r>
          </w:p>
        </w:tc>
        <w:tc>
          <w:tcPr>
            <w:tcW w:w="160" w:type="dxa"/>
            <w:vAlign w:val="bottom"/>
          </w:tcPr>
          <w:p>
            <w:pPr>
              <w:spacing w:after="0"/>
              <w:rPr>
                <w:sz w:val="14"/>
                <w:szCs w:val="14"/>
                <w:color w:val="auto"/>
              </w:rPr>
            </w:pP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273</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58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412</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412</w:t>
            </w:r>
          </w:p>
        </w:tc>
      </w:tr>
      <w:tr>
        <w:trPr>
          <w:trHeight w:val="168"/>
        </w:trPr>
        <w:tc>
          <w:tcPr>
            <w:tcW w:w="3900" w:type="dxa"/>
            <w:vAlign w:val="bottom"/>
          </w:tcPr>
          <w:p>
            <w:pPr>
              <w:spacing w:after="0"/>
              <w:rPr>
                <w:sz w:val="14"/>
                <w:szCs w:val="14"/>
                <w:color w:val="auto"/>
              </w:rPr>
            </w:pPr>
          </w:p>
        </w:tc>
        <w:tc>
          <w:tcPr>
            <w:tcW w:w="18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Assets</w:t>
            </w:r>
          </w:p>
        </w:tc>
        <w:tc>
          <w:tcPr>
            <w:tcW w:w="58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201,273,516</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77,570,957</w:t>
            </w:r>
          </w:p>
        </w:tc>
        <w:tc>
          <w:tcPr>
            <w:tcW w:w="2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77,256,048</w:t>
            </w:r>
          </w:p>
        </w:tc>
        <w:tc>
          <w:tcPr>
            <w:tcW w:w="2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26,316,848</w:t>
            </w:r>
          </w:p>
        </w:tc>
        <w:tc>
          <w:tcPr>
            <w:tcW w:w="160" w:type="dxa"/>
            <w:vAlign w:val="bottom"/>
          </w:tcPr>
          <w:p>
            <w:pPr>
              <w:spacing w:after="0"/>
              <w:rPr>
                <w:sz w:val="14"/>
                <w:szCs w:val="14"/>
                <w:color w:val="auto"/>
              </w:rPr>
            </w:pP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20,129,663</w:t>
            </w: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Administrative Fees Payable</w:t>
            </w:r>
          </w:p>
        </w:tc>
        <w:tc>
          <w:tcPr>
            <w:tcW w:w="580" w:type="dxa"/>
            <w:vAlign w:val="bottom"/>
          </w:tcPr>
          <w:p>
            <w:pPr>
              <w:spacing w:after="0"/>
              <w:rPr>
                <w:sz w:val="24"/>
                <w:szCs w:val="24"/>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372,240</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161,033</w:t>
            </w:r>
          </w:p>
        </w:tc>
        <w:tc>
          <w:tcPr>
            <w:tcW w:w="220" w:type="dxa"/>
            <w:vAlign w:val="bottom"/>
          </w:tcPr>
          <w:p>
            <w:pPr>
              <w:spacing w:after="0"/>
              <w:rPr>
                <w:sz w:val="24"/>
                <w:szCs w:val="24"/>
                <w:color w:val="auto"/>
              </w:rPr>
            </w:pP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134,051</w:t>
            </w:r>
          </w:p>
        </w:tc>
        <w:tc>
          <w:tcPr>
            <w:tcW w:w="220" w:type="dxa"/>
            <w:vAlign w:val="bottom"/>
          </w:tcPr>
          <w:p>
            <w:pPr>
              <w:spacing w:after="0"/>
              <w:rPr>
                <w:sz w:val="24"/>
                <w:szCs w:val="24"/>
                <w:color w:val="auto"/>
              </w:rPr>
            </w:pP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43,429</w:t>
            </w:r>
          </w:p>
        </w:tc>
        <w:tc>
          <w:tcPr>
            <w:tcW w:w="160" w:type="dxa"/>
            <w:vAlign w:val="bottom"/>
          </w:tcPr>
          <w:p>
            <w:pPr>
              <w:spacing w:after="0"/>
              <w:rPr>
                <w:sz w:val="24"/>
                <w:szCs w:val="2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33,727</w:t>
            </w:r>
          </w:p>
        </w:tc>
      </w:tr>
      <w:tr>
        <w:trPr>
          <w:trHeight w:val="168"/>
        </w:trPr>
        <w:tc>
          <w:tcPr>
            <w:tcW w:w="3900" w:type="dxa"/>
            <w:vAlign w:val="bottom"/>
          </w:tcPr>
          <w:p>
            <w:pPr>
              <w:spacing w:after="0"/>
              <w:rPr>
                <w:sz w:val="14"/>
                <w:szCs w:val="14"/>
                <w:color w:val="auto"/>
              </w:rPr>
            </w:pPr>
          </w:p>
        </w:tc>
        <w:tc>
          <w:tcPr>
            <w:tcW w:w="18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ASSETS AVAILABLE FOR BENEFITS</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200,901,276</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$ 77,409,924</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$ 77,121,997</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$ 26,273,419</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$ 20,095,936</w:t>
            </w:r>
          </w:p>
        </w:tc>
      </w:tr>
      <w:tr>
        <w:trPr>
          <w:trHeight w:val="168"/>
        </w:trPr>
        <w:tc>
          <w:tcPr>
            <w:tcW w:w="3900" w:type="dxa"/>
            <w:vAlign w:val="bottom"/>
          </w:tcPr>
          <w:p>
            <w:pPr>
              <w:spacing w:after="0"/>
              <w:rPr>
                <w:sz w:val="14"/>
                <w:szCs w:val="14"/>
                <w:color w:val="auto"/>
              </w:rPr>
            </w:pPr>
          </w:p>
        </w:tc>
        <w:tc>
          <w:tcPr>
            <w:tcW w:w="18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4180"/>
        <w:spacing w:after="0"/>
        <w:rPr>
          <w:sz w:val="20"/>
          <w:szCs w:val="20"/>
          <w:color w:val="auto"/>
        </w:rPr>
      </w:pPr>
      <w:r>
        <w:rPr>
          <w:rFonts w:ascii="Courier New" w:cs="Courier New" w:eastAsia="Courier New" w:hAnsi="Courier New"/>
          <w:sz w:val="15"/>
          <w:szCs w:val="15"/>
          <w:color w:val="auto"/>
        </w:rPr>
        <w:t>The accompanying notes are an integral part of this financial statement.</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1200"/>
          </w:cols>
          <w:pgMar w:left="220" w:top="617" w:right="479" w:bottom="1440" w:gutter="0" w:footer="0" w:header="0"/>
        </w:sectPr>
      </w:pPr>
    </w:p>
    <w:bookmarkStart w:id="174" w:name="page175"/>
    <w:bookmarkEnd w:id="174"/>
    <w:p>
      <w:pPr>
        <w:ind w:left="1400"/>
        <w:spacing w:after="0"/>
        <w:tabs>
          <w:tab w:leader="none" w:pos="3060" w:val="left"/>
        </w:tabs>
        <w:rPr>
          <w:sz w:val="20"/>
          <w:szCs w:val="20"/>
          <w:color w:val="auto"/>
        </w:rPr>
      </w:pPr>
      <w:r>
        <w:rPr>
          <w:rFonts w:ascii="Courier New" w:cs="Courier New" w:eastAsia="Courier New" w:hAnsi="Courier New"/>
          <w:sz w:val="15"/>
          <w:szCs w:val="15"/>
          <w:color w:val="auto"/>
        </w:rPr>
        <w:t>THE LIMITED, INC.</w:t>
      </w:r>
      <w:r>
        <w:rPr>
          <w:sz w:val="20"/>
          <w:szCs w:val="20"/>
          <w:color w:val="auto"/>
        </w:rPr>
        <w:tab/>
      </w:r>
      <w:r>
        <w:rPr>
          <w:rFonts w:ascii="Courier New" w:cs="Courier New" w:eastAsia="Courier New" w:hAnsi="Courier New"/>
          <w:sz w:val="14"/>
          <w:szCs w:val="14"/>
          <w:color w:val="auto"/>
        </w:rPr>
        <w:t>SAVINGS AND RETIREMENT PLAN</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STATEMENT OF CHANGES IN NET ASSETS AVAILABLE FOR BENEFITS</w:t>
      </w:r>
    </w:p>
    <w:p>
      <w:pPr>
        <w:ind w:left="9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FOR THE YEAR ENDED DECEMBER 31, 1995</w:t>
      </w:r>
    </w:p>
    <w:p>
      <w:pPr>
        <w:ind w:left="1940"/>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Limited</w:t>
            </w:r>
          </w:p>
        </w:tc>
        <w:tc>
          <w:tcPr>
            <w:tcW w:w="220" w:type="dxa"/>
            <w:vAlign w:val="bottom"/>
          </w:tcPr>
          <w:p>
            <w:pPr>
              <w:spacing w:after="0"/>
              <w:rPr>
                <w:sz w:val="14"/>
                <w:szCs w:val="14"/>
                <w:color w:val="auto"/>
              </w:rPr>
            </w:pPr>
          </w:p>
        </w:tc>
        <w:tc>
          <w:tcPr>
            <w:tcW w:w="1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Fixed</w:t>
            </w: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Wellington</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w:t>
            </w:r>
          </w:p>
        </w:tc>
        <w:tc>
          <w:tcPr>
            <w:tcW w:w="22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TOTAL</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Stock Fund</w:t>
            </w:r>
          </w:p>
        </w:tc>
        <w:tc>
          <w:tcPr>
            <w:tcW w:w="13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Income Fund</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Indexed Fund</w:t>
            </w: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World Fund</w:t>
            </w:r>
          </w:p>
        </w:tc>
        <w:tc>
          <w:tcPr>
            <w:tcW w:w="18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Fund</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20" w:type="dxa"/>
            <w:vAlign w:val="bottom"/>
          </w:tcPr>
          <w:p>
            <w:pPr>
              <w:spacing w:after="0"/>
              <w:rPr>
                <w:sz w:val="14"/>
                <w:szCs w:val="14"/>
                <w:color w:val="auto"/>
              </w:rPr>
            </w:pPr>
          </w:p>
        </w:tc>
        <w:tc>
          <w:tcPr>
            <w:tcW w:w="642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8"/>
              </w:rPr>
              <w:t>------------   ------------   ------------   ------------   ------------</w:t>
            </w:r>
          </w:p>
        </w:tc>
        <w:tc>
          <w:tcPr>
            <w:tcW w:w="18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3640" w:type="dxa"/>
            <w:vAlign w:val="bottom"/>
          </w:tcPr>
          <w:p>
            <w:pPr>
              <w:spacing w:after="0"/>
              <w:rPr>
                <w:sz w:val="20"/>
                <w:szCs w:val="20"/>
                <w:color w:val="auto"/>
              </w:rPr>
            </w:pPr>
            <w:r>
              <w:rPr>
                <w:rFonts w:ascii="Courier New" w:cs="Courier New" w:eastAsia="Courier New" w:hAnsi="Courier New"/>
                <w:sz w:val="15"/>
                <w:szCs w:val="15"/>
                <w:color w:val="auto"/>
              </w:rPr>
              <w:t>Investment Income:</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3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Increase (Decrease) in Net</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Unrealized Appreciation</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7,426,953</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(5,714,880)</w:t>
            </w:r>
          </w:p>
        </w:tc>
        <w:tc>
          <w:tcPr>
            <w:tcW w:w="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7,535,683</w:t>
            </w: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5,484,368</w:t>
            </w:r>
          </w:p>
        </w:tc>
        <w:tc>
          <w:tcPr>
            <w:tcW w:w="1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121,782</w:t>
            </w:r>
          </w:p>
        </w:tc>
      </w:tr>
      <w:tr>
        <w:trPr>
          <w:trHeight w:val="168"/>
        </w:trPr>
        <w:tc>
          <w:tcPr>
            <w:tcW w:w="3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Realized Gain on Sale of Securities</w:t>
            </w:r>
          </w:p>
        </w:tc>
        <w:tc>
          <w:tcPr>
            <w:tcW w:w="22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3,567,665</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1,581,946</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1,096,390</w:t>
            </w: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877,023</w:t>
            </w:r>
          </w:p>
        </w:tc>
        <w:tc>
          <w:tcPr>
            <w:tcW w:w="18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12,306</w:t>
            </w:r>
          </w:p>
        </w:tc>
      </w:tr>
      <w:tr>
        <w:trPr>
          <w:trHeight w:val="168"/>
        </w:trPr>
        <w:tc>
          <w:tcPr>
            <w:tcW w:w="3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Interest</w:t>
            </w:r>
          </w:p>
        </w:tc>
        <w:tc>
          <w:tcPr>
            <w:tcW w:w="22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4,771,693</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10,190</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4,752,866</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4,761</w:t>
            </w: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3,726</w:t>
            </w:r>
          </w:p>
        </w:tc>
        <w:tc>
          <w:tcPr>
            <w:tcW w:w="18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w:t>
            </w:r>
          </w:p>
        </w:tc>
      </w:tr>
      <w:tr>
        <w:trPr>
          <w:trHeight w:val="168"/>
        </w:trPr>
        <w:tc>
          <w:tcPr>
            <w:tcW w:w="3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Dividends</w:t>
            </w:r>
          </w:p>
        </w:tc>
        <w:tc>
          <w:tcPr>
            <w:tcW w:w="22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1,632,728</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1,632,728</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Mutual Funds' Earnings</w:t>
            </w:r>
          </w:p>
        </w:tc>
        <w:tc>
          <w:tcPr>
            <w:tcW w:w="22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2,054,249</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832,487</w:t>
            </w: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1,151,646</w:t>
            </w:r>
          </w:p>
        </w:tc>
        <w:tc>
          <w:tcPr>
            <w:tcW w:w="18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70,116</w:t>
            </w:r>
          </w:p>
        </w:tc>
      </w:tr>
      <w:tr>
        <w:trPr>
          <w:trHeight w:val="168"/>
        </w:trPr>
        <w:tc>
          <w:tcPr>
            <w:tcW w:w="364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Total Investment Income (Loss)</w:t>
            </w:r>
          </w:p>
        </w:tc>
        <w:tc>
          <w:tcPr>
            <w:tcW w:w="22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19,453,288</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(2,490,016)</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4,752,866</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9,469,321</w:t>
            </w: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7,516,763</w:t>
            </w:r>
          </w:p>
        </w:tc>
        <w:tc>
          <w:tcPr>
            <w:tcW w:w="18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204,354</w:t>
            </w:r>
          </w:p>
        </w:tc>
      </w:tr>
      <w:tr>
        <w:trPr>
          <w:trHeight w:val="168"/>
        </w:trPr>
        <w:tc>
          <w:tcPr>
            <w:tcW w:w="364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Contributions:</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Employers</w:t>
            </w:r>
          </w:p>
        </w:tc>
        <w:tc>
          <w:tcPr>
            <w:tcW w:w="22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29,943,002</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4,142,615</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13,472,869</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6,246,002</w:t>
            </w: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4,928,087</w:t>
            </w:r>
          </w:p>
        </w:tc>
        <w:tc>
          <w:tcPr>
            <w:tcW w:w="18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1,153,429</w:t>
            </w:r>
          </w:p>
        </w:tc>
      </w:tr>
      <w:tr>
        <w:trPr>
          <w:trHeight w:val="168"/>
        </w:trPr>
        <w:tc>
          <w:tcPr>
            <w:tcW w:w="3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Participants</w:t>
            </w:r>
          </w:p>
        </w:tc>
        <w:tc>
          <w:tcPr>
            <w:tcW w:w="22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13,909,162</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2,380,938</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4,899,509</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3,466,763</w:t>
            </w: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2,694,626</w:t>
            </w:r>
          </w:p>
        </w:tc>
        <w:tc>
          <w:tcPr>
            <w:tcW w:w="18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467,326</w:t>
            </w:r>
          </w:p>
        </w:tc>
      </w:tr>
      <w:tr>
        <w:trPr>
          <w:trHeight w:val="168"/>
        </w:trPr>
        <w:tc>
          <w:tcPr>
            <w:tcW w:w="364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Total Contributions</w:t>
            </w:r>
          </w:p>
        </w:tc>
        <w:tc>
          <w:tcPr>
            <w:tcW w:w="22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43,852,164</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6,523,553</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18,372,378</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9,712,765</w:t>
            </w: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7,622,713</w:t>
            </w:r>
          </w:p>
        </w:tc>
        <w:tc>
          <w:tcPr>
            <w:tcW w:w="18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1,620,755</w:t>
            </w:r>
          </w:p>
        </w:tc>
      </w:tr>
      <w:tr>
        <w:trPr>
          <w:trHeight w:val="168"/>
        </w:trPr>
        <w:tc>
          <w:tcPr>
            <w:tcW w:w="364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Interfund Transfers</w:t>
            </w:r>
          </w:p>
        </w:tc>
        <w:tc>
          <w:tcPr>
            <w:tcW w:w="22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(775,658)</w:t>
            </w:r>
          </w:p>
        </w:tc>
        <w:tc>
          <w:tcPr>
            <w:tcW w:w="220" w:type="dxa"/>
            <w:vAlign w:val="bottom"/>
          </w:tcPr>
          <w:p>
            <w:pPr>
              <w:spacing w:after="0"/>
              <w:rPr>
                <w:sz w:val="14"/>
                <w:szCs w:val="14"/>
                <w:color w:val="auto"/>
              </w:rPr>
            </w:pP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(1,604,380)</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(28,051)</w:t>
            </w: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378,900</w:t>
            </w:r>
          </w:p>
        </w:tc>
        <w:tc>
          <w:tcPr>
            <w:tcW w:w="18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2,029,189</w:t>
            </w:r>
          </w:p>
        </w:tc>
      </w:tr>
      <w:tr>
        <w:trPr>
          <w:trHeight w:val="168"/>
        </w:trPr>
        <w:tc>
          <w:tcPr>
            <w:tcW w:w="364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Administrative Expense</w:t>
            </w:r>
          </w:p>
        </w:tc>
        <w:tc>
          <w:tcPr>
            <w:tcW w:w="22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(1,017,651)</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(384,338)</w:t>
            </w:r>
          </w:p>
        </w:tc>
        <w:tc>
          <w:tcPr>
            <w:tcW w:w="220" w:type="dxa"/>
            <w:vAlign w:val="bottom"/>
          </w:tcPr>
          <w:p>
            <w:pPr>
              <w:spacing w:after="0"/>
              <w:rPr>
                <w:sz w:val="14"/>
                <w:szCs w:val="14"/>
                <w:color w:val="auto"/>
              </w:rPr>
            </w:pP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(357,753)</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(153,254)</w:t>
            </w:r>
          </w:p>
        </w:tc>
        <w:tc>
          <w:tcPr>
            <w:tcW w:w="1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(117,880)</w:t>
            </w:r>
          </w:p>
        </w:tc>
        <w:tc>
          <w:tcPr>
            <w:tcW w:w="18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(4,426)</w:t>
            </w:r>
          </w:p>
        </w:tc>
      </w:tr>
      <w:tr>
        <w:trPr>
          <w:trHeight w:val="168"/>
        </w:trPr>
        <w:tc>
          <w:tcPr>
            <w:tcW w:w="364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Benefits to Participants</w:t>
            </w:r>
          </w:p>
        </w:tc>
        <w:tc>
          <w:tcPr>
            <w:tcW w:w="22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(24,679,806)</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(7,721,019)</w:t>
            </w:r>
          </w:p>
        </w:tc>
        <w:tc>
          <w:tcPr>
            <w:tcW w:w="220" w:type="dxa"/>
            <w:vAlign w:val="bottom"/>
          </w:tcPr>
          <w:p>
            <w:pPr>
              <w:spacing w:after="0"/>
              <w:rPr>
                <w:sz w:val="14"/>
                <w:szCs w:val="14"/>
                <w:color w:val="auto"/>
              </w:rPr>
            </w:pP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(9,758,147)</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(3,959,696)</w:t>
            </w:r>
          </w:p>
        </w:tc>
        <w:tc>
          <w:tcPr>
            <w:tcW w:w="1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(3,188,820)</w:t>
            </w:r>
          </w:p>
        </w:tc>
        <w:tc>
          <w:tcPr>
            <w:tcW w:w="18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(52,124)</w:t>
            </w:r>
          </w:p>
        </w:tc>
      </w:tr>
      <w:tr>
        <w:trPr>
          <w:trHeight w:val="168"/>
        </w:trPr>
        <w:tc>
          <w:tcPr>
            <w:tcW w:w="364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Increase (Decrease) in Net Assets</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Available for Benefits</w:t>
            </w:r>
          </w:p>
        </w:tc>
        <w:tc>
          <w:tcPr>
            <w:tcW w:w="22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37,607,995</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(4,847,478)</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11,404,964</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15,041,085</w:t>
            </w: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12,211,676</w:t>
            </w:r>
          </w:p>
        </w:tc>
        <w:tc>
          <w:tcPr>
            <w:tcW w:w="18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3,797,748</w:t>
            </w:r>
          </w:p>
        </w:tc>
      </w:tr>
      <w:tr>
        <w:trPr>
          <w:trHeight w:val="336"/>
        </w:trPr>
        <w:tc>
          <w:tcPr>
            <w:tcW w:w="3640" w:type="dxa"/>
            <w:vAlign w:val="bottom"/>
          </w:tcPr>
          <w:p>
            <w:pPr>
              <w:spacing w:after="0"/>
              <w:rPr>
                <w:sz w:val="20"/>
                <w:szCs w:val="20"/>
                <w:color w:val="auto"/>
              </w:rPr>
            </w:pPr>
            <w:r>
              <w:rPr>
                <w:rFonts w:ascii="Courier New" w:cs="Courier New" w:eastAsia="Courier New" w:hAnsi="Courier New"/>
                <w:sz w:val="15"/>
                <w:szCs w:val="15"/>
                <w:color w:val="auto"/>
              </w:rPr>
              <w:t>Beginning Net Assets Available for</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Benefits</w:t>
            </w:r>
          </w:p>
        </w:tc>
        <w:tc>
          <w:tcPr>
            <w:tcW w:w="22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200,901,276</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77,409,924</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77,121,997</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26,273,419</w:t>
            </w: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20,095,936</w:t>
            </w:r>
          </w:p>
        </w:tc>
        <w:tc>
          <w:tcPr>
            <w:tcW w:w="18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40" w:type="dxa"/>
            <w:vAlign w:val="bottom"/>
          </w:tcPr>
          <w:p>
            <w:pPr>
              <w:spacing w:after="0"/>
              <w:rPr>
                <w:sz w:val="24"/>
                <w:szCs w:val="24"/>
                <w:color w:val="auto"/>
              </w:rPr>
            </w:pPr>
          </w:p>
        </w:tc>
        <w:tc>
          <w:tcPr>
            <w:tcW w:w="13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Ending Net Assets Available for Benefits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238,509,271</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$ 72,562,446</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$ 88,526,961</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$ 41,314,504</w:t>
            </w: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$ 32,307,612</w:t>
            </w:r>
          </w:p>
        </w:tc>
        <w:tc>
          <w:tcPr>
            <w:tcW w:w="1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3,797,748</w:t>
            </w:r>
          </w:p>
        </w:tc>
      </w:tr>
      <w:tr>
        <w:trPr>
          <w:trHeight w:val="168"/>
        </w:trPr>
        <w:tc>
          <w:tcPr>
            <w:tcW w:w="3640" w:type="dxa"/>
            <w:vAlign w:val="bottom"/>
          </w:tcPr>
          <w:p>
            <w:pPr>
              <w:spacing w:after="0"/>
              <w:rPr>
                <w:sz w:val="14"/>
                <w:szCs w:val="14"/>
                <w:color w:val="auto"/>
              </w:rPr>
            </w:pP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bl>
    <w:p>
      <w:pPr>
        <w:spacing w:after="0" w:line="335" w:lineRule="exact"/>
        <w:rPr>
          <w:sz w:val="20"/>
          <w:szCs w:val="20"/>
          <w:color w:val="auto"/>
        </w:rPr>
      </w:pPr>
    </w:p>
    <w:p>
      <w:pPr>
        <w:jc w:val="center"/>
        <w:ind w:right="4440"/>
        <w:spacing w:after="0"/>
        <w:rPr>
          <w:sz w:val="20"/>
          <w:szCs w:val="20"/>
          <w:color w:val="auto"/>
        </w:rPr>
      </w:pPr>
      <w:r>
        <w:rPr>
          <w:rFonts w:ascii="Courier New" w:cs="Courier New" w:eastAsia="Courier New" w:hAnsi="Courier New"/>
          <w:sz w:val="15"/>
          <w:szCs w:val="15"/>
          <w:color w:val="auto"/>
        </w:rPr>
        <w:t>The accompanying notes are an integral part of this financial statement.</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1460"/>
          </w:cols>
          <w:pgMar w:left="220" w:top="617" w:right="219" w:bottom="1440" w:gutter="0" w:footer="0" w:header="0"/>
        </w:sectPr>
      </w:pPr>
    </w:p>
    <w:bookmarkStart w:id="175" w:name="page176"/>
    <w:bookmarkEnd w:id="175"/>
    <w:p>
      <w:pPr>
        <w:ind w:left="1400"/>
        <w:spacing w:after="0"/>
        <w:tabs>
          <w:tab w:leader="none" w:pos="3060" w:val="left"/>
        </w:tabs>
        <w:rPr>
          <w:sz w:val="20"/>
          <w:szCs w:val="20"/>
          <w:color w:val="auto"/>
        </w:rPr>
      </w:pPr>
      <w:r>
        <w:rPr>
          <w:rFonts w:ascii="Courier New" w:cs="Courier New" w:eastAsia="Courier New" w:hAnsi="Courier New"/>
          <w:sz w:val="15"/>
          <w:szCs w:val="15"/>
          <w:color w:val="auto"/>
        </w:rPr>
        <w:t>THE LIMITED, INC.</w:t>
      </w:r>
      <w:r>
        <w:rPr>
          <w:sz w:val="20"/>
          <w:szCs w:val="20"/>
          <w:color w:val="auto"/>
        </w:rPr>
        <w:tab/>
      </w:r>
      <w:r>
        <w:rPr>
          <w:rFonts w:ascii="Courier New" w:cs="Courier New" w:eastAsia="Courier New" w:hAnsi="Courier New"/>
          <w:sz w:val="14"/>
          <w:szCs w:val="14"/>
          <w:color w:val="auto"/>
        </w:rPr>
        <w:t>SAVINGS AND RETIREMENT PLAN</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STATEMENT OF CHANGES IN NET ASSETS AVAILABLE FOR BENEFITS</w:t>
      </w:r>
    </w:p>
    <w:p>
      <w:pPr>
        <w:ind w:left="9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FOR THE YEAR ENDED DECEMBER 31, 1994</w:t>
      </w:r>
    </w:p>
    <w:p>
      <w:pPr>
        <w:ind w:left="1940"/>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ind w:left="260"/>
              <w:spacing w:after="0"/>
              <w:rPr>
                <w:sz w:val="20"/>
                <w:szCs w:val="20"/>
                <w:color w:val="auto"/>
              </w:rPr>
            </w:pPr>
            <w:r>
              <w:rPr>
                <w:rFonts w:ascii="Courier New" w:cs="Courier New" w:eastAsia="Courier New" w:hAnsi="Courier New"/>
                <w:sz w:val="15"/>
                <w:szCs w:val="15"/>
                <w:color w:val="auto"/>
              </w:rPr>
              <w:t>Limited</w:t>
            </w:r>
          </w:p>
        </w:tc>
        <w:tc>
          <w:tcPr>
            <w:tcW w:w="16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Fixed</w:t>
            </w: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w:t>
            </w:r>
          </w:p>
        </w:tc>
        <w:tc>
          <w:tcPr>
            <w:tcW w:w="54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TOTAL</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Stock Fund</w:t>
            </w:r>
          </w:p>
        </w:tc>
        <w:tc>
          <w:tcPr>
            <w:tcW w:w="14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Income Fund</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Indexed Fund</w:t>
            </w:r>
          </w:p>
        </w:tc>
        <w:tc>
          <w:tcPr>
            <w:tcW w:w="16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World Fund</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540" w:type="dxa"/>
            <w:vAlign w:val="bottom"/>
          </w:tcPr>
          <w:p>
            <w:pPr>
              <w:spacing w:after="0"/>
              <w:rPr>
                <w:sz w:val="14"/>
                <w:szCs w:val="14"/>
                <w:color w:val="auto"/>
              </w:rPr>
            </w:pP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Investment Income:</w:t>
            </w: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3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Increase (Decrease) in Net</w:t>
            </w: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Unrealized Appreciation</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1,716,786</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1,918,510</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(568,121)</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366,397</w:t>
            </w:r>
          </w:p>
        </w:tc>
      </w:tr>
      <w:tr>
        <w:trPr>
          <w:trHeight w:val="168"/>
        </w:trPr>
        <w:tc>
          <w:tcPr>
            <w:tcW w:w="3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Realized Gain on Sale of Securities</w:t>
            </w:r>
          </w:p>
        </w:tc>
        <w:tc>
          <w:tcPr>
            <w:tcW w:w="54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3,033,768</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2,781,458</w:t>
            </w:r>
          </w:p>
        </w:tc>
        <w:tc>
          <w:tcPr>
            <w:tcW w:w="160" w:type="dxa"/>
            <w:vAlign w:val="bottom"/>
          </w:tcPr>
          <w:p>
            <w:pPr>
              <w:spacing w:after="0"/>
              <w:rPr>
                <w:sz w:val="14"/>
                <w:szCs w:val="14"/>
                <w:color w:val="auto"/>
              </w:rPr>
            </w:pP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206,695</w:t>
            </w:r>
          </w:p>
        </w:tc>
        <w:tc>
          <w:tcPr>
            <w:tcW w:w="160" w:type="dxa"/>
            <w:vAlign w:val="bottom"/>
          </w:tcPr>
          <w:p>
            <w:pPr>
              <w:spacing w:after="0"/>
              <w:rPr>
                <w:sz w:val="14"/>
                <w:szCs w:val="14"/>
                <w:color w:val="auto"/>
              </w:rPr>
            </w:pP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45,615</w:t>
            </w:r>
          </w:p>
        </w:tc>
      </w:tr>
      <w:tr>
        <w:trPr>
          <w:trHeight w:val="168"/>
        </w:trPr>
        <w:tc>
          <w:tcPr>
            <w:tcW w:w="3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Interest</w:t>
            </w:r>
          </w:p>
        </w:tc>
        <w:tc>
          <w:tcPr>
            <w:tcW w:w="54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4,123,855</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9,181</w:t>
            </w:r>
          </w:p>
        </w:tc>
        <w:tc>
          <w:tcPr>
            <w:tcW w:w="160" w:type="dxa"/>
            <w:vAlign w:val="bottom"/>
          </w:tcPr>
          <w:p>
            <w:pPr>
              <w:spacing w:after="0"/>
              <w:rPr>
                <w:sz w:val="14"/>
                <w:szCs w:val="14"/>
                <w:color w:val="auto"/>
              </w:rPr>
            </w:pP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4,110,632</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2,223</w:t>
            </w:r>
          </w:p>
        </w:tc>
        <w:tc>
          <w:tcPr>
            <w:tcW w:w="160" w:type="dxa"/>
            <w:vAlign w:val="bottom"/>
          </w:tcPr>
          <w:p>
            <w:pPr>
              <w:spacing w:after="0"/>
              <w:rPr>
                <w:sz w:val="14"/>
                <w:szCs w:val="14"/>
                <w:color w:val="auto"/>
              </w:rPr>
            </w:pP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1,819</w:t>
            </w:r>
          </w:p>
        </w:tc>
      </w:tr>
      <w:tr>
        <w:trPr>
          <w:trHeight w:val="168"/>
        </w:trPr>
        <w:tc>
          <w:tcPr>
            <w:tcW w:w="3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Dividends</w:t>
            </w:r>
          </w:p>
        </w:tc>
        <w:tc>
          <w:tcPr>
            <w:tcW w:w="54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1,575,897</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1,575,897</w:t>
            </w:r>
          </w:p>
        </w:tc>
        <w:tc>
          <w:tcPr>
            <w:tcW w:w="160" w:type="dxa"/>
            <w:vAlign w:val="bottom"/>
          </w:tcPr>
          <w:p>
            <w:pPr>
              <w:spacing w:after="0"/>
              <w:rPr>
                <w:sz w:val="14"/>
                <w:szCs w:val="14"/>
                <w:color w:val="auto"/>
              </w:rPr>
            </w:pP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Mutual Funds' Earnings</w:t>
            </w:r>
          </w:p>
        </w:tc>
        <w:tc>
          <w:tcPr>
            <w:tcW w:w="54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864,642</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661,477</w:t>
            </w:r>
          </w:p>
        </w:tc>
        <w:tc>
          <w:tcPr>
            <w:tcW w:w="160" w:type="dxa"/>
            <w:vAlign w:val="bottom"/>
          </w:tcPr>
          <w:p>
            <w:pPr>
              <w:spacing w:after="0"/>
              <w:rPr>
                <w:sz w:val="14"/>
                <w:szCs w:val="14"/>
                <w:color w:val="auto"/>
              </w:rPr>
            </w:pP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203,165</w:t>
            </w:r>
          </w:p>
        </w:tc>
      </w:tr>
      <w:tr>
        <w:trPr>
          <w:trHeight w:val="168"/>
        </w:trPr>
        <w:tc>
          <w:tcPr>
            <w:tcW w:w="3940" w:type="dxa"/>
            <w:vAlign w:val="bottom"/>
          </w:tcPr>
          <w:p>
            <w:pPr>
              <w:spacing w:after="0"/>
              <w:rPr>
                <w:sz w:val="14"/>
                <w:szCs w:val="14"/>
                <w:color w:val="auto"/>
              </w:rPr>
            </w:pPr>
          </w:p>
        </w:tc>
        <w:tc>
          <w:tcPr>
            <w:tcW w:w="17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Total Investment Income</w:t>
            </w:r>
          </w:p>
        </w:tc>
        <w:tc>
          <w:tcPr>
            <w:tcW w:w="54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11,314,948</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6,285,046</w:t>
            </w:r>
          </w:p>
        </w:tc>
        <w:tc>
          <w:tcPr>
            <w:tcW w:w="160" w:type="dxa"/>
            <w:vAlign w:val="bottom"/>
          </w:tcPr>
          <w:p>
            <w:pPr>
              <w:spacing w:after="0"/>
              <w:rPr>
                <w:sz w:val="14"/>
                <w:szCs w:val="14"/>
                <w:color w:val="auto"/>
              </w:rPr>
            </w:pP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4,110,632</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302,274</w:t>
            </w:r>
          </w:p>
        </w:tc>
        <w:tc>
          <w:tcPr>
            <w:tcW w:w="160" w:type="dxa"/>
            <w:vAlign w:val="bottom"/>
          </w:tcPr>
          <w:p>
            <w:pPr>
              <w:spacing w:after="0"/>
              <w:rPr>
                <w:sz w:val="14"/>
                <w:szCs w:val="14"/>
                <w:color w:val="auto"/>
              </w:rPr>
            </w:pP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616,996</w:t>
            </w:r>
          </w:p>
        </w:tc>
      </w:tr>
      <w:tr>
        <w:trPr>
          <w:trHeight w:val="168"/>
        </w:trPr>
        <w:tc>
          <w:tcPr>
            <w:tcW w:w="3940" w:type="dxa"/>
            <w:vAlign w:val="bottom"/>
          </w:tcPr>
          <w:p>
            <w:pPr>
              <w:spacing w:after="0"/>
              <w:rPr>
                <w:sz w:val="14"/>
                <w:szCs w:val="14"/>
                <w:color w:val="auto"/>
              </w:rPr>
            </w:pPr>
          </w:p>
        </w:tc>
        <w:tc>
          <w:tcPr>
            <w:tcW w:w="17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Contributions:</w:t>
            </w: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Employers</w:t>
            </w:r>
          </w:p>
        </w:tc>
        <w:tc>
          <w:tcPr>
            <w:tcW w:w="54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23,236,673</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4,220,346</w:t>
            </w:r>
          </w:p>
        </w:tc>
        <w:tc>
          <w:tcPr>
            <w:tcW w:w="160" w:type="dxa"/>
            <w:vAlign w:val="bottom"/>
          </w:tcPr>
          <w:p>
            <w:pPr>
              <w:spacing w:after="0"/>
              <w:rPr>
                <w:sz w:val="14"/>
                <w:szCs w:val="14"/>
                <w:color w:val="auto"/>
              </w:rPr>
            </w:pP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11,221,074</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4,509,396</w:t>
            </w:r>
          </w:p>
        </w:tc>
        <w:tc>
          <w:tcPr>
            <w:tcW w:w="160" w:type="dxa"/>
            <w:vAlign w:val="bottom"/>
          </w:tcPr>
          <w:p>
            <w:pPr>
              <w:spacing w:after="0"/>
              <w:rPr>
                <w:sz w:val="14"/>
                <w:szCs w:val="14"/>
                <w:color w:val="auto"/>
              </w:rPr>
            </w:pP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3,285,857</w:t>
            </w: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Participants</w:t>
            </w:r>
          </w:p>
        </w:tc>
        <w:tc>
          <w:tcPr>
            <w:tcW w:w="54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10,745,605</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2,466,228</w:t>
            </w:r>
          </w:p>
        </w:tc>
        <w:tc>
          <w:tcPr>
            <w:tcW w:w="160" w:type="dxa"/>
            <w:vAlign w:val="bottom"/>
          </w:tcPr>
          <w:p>
            <w:pPr>
              <w:spacing w:after="0"/>
              <w:rPr>
                <w:sz w:val="14"/>
                <w:szCs w:val="14"/>
                <w:color w:val="auto"/>
              </w:rPr>
            </w:pP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3,919,556</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2,532,832</w:t>
            </w:r>
          </w:p>
        </w:tc>
        <w:tc>
          <w:tcPr>
            <w:tcW w:w="160" w:type="dxa"/>
            <w:vAlign w:val="bottom"/>
          </w:tcPr>
          <w:p>
            <w:pPr>
              <w:spacing w:after="0"/>
              <w:rPr>
                <w:sz w:val="14"/>
                <w:szCs w:val="14"/>
                <w:color w:val="auto"/>
              </w:rPr>
            </w:pP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1,826,989</w:t>
            </w:r>
          </w:p>
        </w:tc>
      </w:tr>
      <w:tr>
        <w:trPr>
          <w:trHeight w:val="168"/>
        </w:trPr>
        <w:tc>
          <w:tcPr>
            <w:tcW w:w="3940" w:type="dxa"/>
            <w:vAlign w:val="bottom"/>
          </w:tcPr>
          <w:p>
            <w:pPr>
              <w:spacing w:after="0"/>
              <w:rPr>
                <w:sz w:val="14"/>
                <w:szCs w:val="14"/>
                <w:color w:val="auto"/>
              </w:rPr>
            </w:pPr>
          </w:p>
        </w:tc>
        <w:tc>
          <w:tcPr>
            <w:tcW w:w="17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Total Contributions</w:t>
            </w:r>
          </w:p>
        </w:tc>
        <w:tc>
          <w:tcPr>
            <w:tcW w:w="54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33,982,278</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6,686,574</w:t>
            </w:r>
          </w:p>
        </w:tc>
        <w:tc>
          <w:tcPr>
            <w:tcW w:w="160" w:type="dxa"/>
            <w:vAlign w:val="bottom"/>
          </w:tcPr>
          <w:p>
            <w:pPr>
              <w:spacing w:after="0"/>
              <w:rPr>
                <w:sz w:val="14"/>
                <w:szCs w:val="14"/>
                <w:color w:val="auto"/>
              </w:rPr>
            </w:pP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15,140,630</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7,042,228</w:t>
            </w:r>
          </w:p>
        </w:tc>
        <w:tc>
          <w:tcPr>
            <w:tcW w:w="160" w:type="dxa"/>
            <w:vAlign w:val="bottom"/>
          </w:tcPr>
          <w:p>
            <w:pPr>
              <w:spacing w:after="0"/>
              <w:rPr>
                <w:sz w:val="14"/>
                <w:szCs w:val="14"/>
                <w:color w:val="auto"/>
              </w:rPr>
            </w:pP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5,112,846</w:t>
            </w:r>
          </w:p>
        </w:tc>
      </w:tr>
      <w:tr>
        <w:trPr>
          <w:trHeight w:val="168"/>
        </w:trPr>
        <w:tc>
          <w:tcPr>
            <w:tcW w:w="3940" w:type="dxa"/>
            <w:vAlign w:val="bottom"/>
          </w:tcPr>
          <w:p>
            <w:pPr>
              <w:spacing w:after="0"/>
              <w:rPr>
                <w:sz w:val="14"/>
                <w:szCs w:val="14"/>
                <w:color w:val="auto"/>
              </w:rPr>
            </w:pPr>
          </w:p>
        </w:tc>
        <w:tc>
          <w:tcPr>
            <w:tcW w:w="17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Transfer of Participants' Account</w:t>
            </w: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Balances to Former Affiliate's Plan</w:t>
            </w:r>
          </w:p>
        </w:tc>
        <w:tc>
          <w:tcPr>
            <w:tcW w:w="54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(37,482)</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w:t>
            </w:r>
          </w:p>
        </w:tc>
        <w:tc>
          <w:tcPr>
            <w:tcW w:w="160" w:type="dxa"/>
            <w:vAlign w:val="bottom"/>
          </w:tcPr>
          <w:p>
            <w:pPr>
              <w:spacing w:after="0"/>
              <w:rPr>
                <w:sz w:val="14"/>
                <w:szCs w:val="14"/>
                <w:color w:val="auto"/>
              </w:rPr>
            </w:pP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(37,468)</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rPr>
                <w:sz w:val="14"/>
                <w:szCs w:val="14"/>
                <w:color w:val="auto"/>
              </w:rPr>
            </w:pPr>
          </w:p>
        </w:tc>
        <w:tc>
          <w:tcPr>
            <w:tcW w:w="17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Interfund Transfers</w:t>
            </w:r>
          </w:p>
        </w:tc>
        <w:tc>
          <w:tcPr>
            <w:tcW w:w="54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(1,149,559)</w:t>
            </w:r>
          </w:p>
        </w:tc>
        <w:tc>
          <w:tcPr>
            <w:tcW w:w="160" w:type="dxa"/>
            <w:vAlign w:val="bottom"/>
          </w:tcPr>
          <w:p>
            <w:pPr>
              <w:spacing w:after="0"/>
              <w:rPr>
                <w:sz w:val="14"/>
                <w:szCs w:val="14"/>
                <w:color w:val="auto"/>
              </w:rPr>
            </w:pP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231,825</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879,225</w:t>
            </w:r>
          </w:p>
        </w:tc>
        <w:tc>
          <w:tcPr>
            <w:tcW w:w="160" w:type="dxa"/>
            <w:vAlign w:val="bottom"/>
          </w:tcPr>
          <w:p>
            <w:pPr>
              <w:spacing w:after="0"/>
              <w:rPr>
                <w:sz w:val="14"/>
                <w:szCs w:val="14"/>
                <w:color w:val="auto"/>
              </w:rPr>
            </w:pP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38,509</w:t>
            </w:r>
          </w:p>
        </w:tc>
      </w:tr>
      <w:tr>
        <w:trPr>
          <w:trHeight w:val="168"/>
        </w:trPr>
        <w:tc>
          <w:tcPr>
            <w:tcW w:w="3940" w:type="dxa"/>
            <w:vAlign w:val="bottom"/>
          </w:tcPr>
          <w:p>
            <w:pPr>
              <w:spacing w:after="0"/>
              <w:rPr>
                <w:sz w:val="14"/>
                <w:szCs w:val="14"/>
                <w:color w:val="auto"/>
              </w:rPr>
            </w:pPr>
          </w:p>
        </w:tc>
        <w:tc>
          <w:tcPr>
            <w:tcW w:w="17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Administrative Expense</w:t>
            </w:r>
          </w:p>
        </w:tc>
        <w:tc>
          <w:tcPr>
            <w:tcW w:w="54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(755,565)</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(335,032)</w:t>
            </w:r>
          </w:p>
        </w:tc>
        <w:tc>
          <w:tcPr>
            <w:tcW w:w="160" w:type="dxa"/>
            <w:vAlign w:val="bottom"/>
          </w:tcPr>
          <w:p>
            <w:pPr>
              <w:spacing w:after="0"/>
              <w:rPr>
                <w:sz w:val="14"/>
                <w:szCs w:val="14"/>
                <w:color w:val="auto"/>
              </w:rPr>
            </w:pP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(270,359)</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(84,273</w:t>
            </w:r>
          </w:p>
        </w:tc>
        <w:tc>
          <w:tcPr>
            <w:tcW w:w="16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(65,901)</w:t>
            </w:r>
          </w:p>
        </w:tc>
      </w:tr>
      <w:tr>
        <w:trPr>
          <w:trHeight w:val="168"/>
        </w:trPr>
        <w:tc>
          <w:tcPr>
            <w:tcW w:w="3940" w:type="dxa"/>
            <w:vAlign w:val="bottom"/>
          </w:tcPr>
          <w:p>
            <w:pPr>
              <w:spacing w:after="0"/>
              <w:rPr>
                <w:sz w:val="14"/>
                <w:szCs w:val="14"/>
                <w:color w:val="auto"/>
              </w:rPr>
            </w:pPr>
          </w:p>
        </w:tc>
        <w:tc>
          <w:tcPr>
            <w:tcW w:w="17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Benefits to Participants</w:t>
            </w:r>
          </w:p>
        </w:tc>
        <w:tc>
          <w:tcPr>
            <w:tcW w:w="54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(29,091,678)</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(13,430,138)</w:t>
            </w:r>
          </w:p>
        </w:tc>
        <w:tc>
          <w:tcPr>
            <w:tcW w:w="160" w:type="dxa"/>
            <w:vAlign w:val="bottom"/>
          </w:tcPr>
          <w:p>
            <w:pPr>
              <w:spacing w:after="0"/>
              <w:rPr>
                <w:sz w:val="14"/>
                <w:szCs w:val="14"/>
                <w:color w:val="auto"/>
              </w:rPr>
            </w:pP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(11,480,188)</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(2,305,551)</w:t>
            </w:r>
          </w:p>
        </w:tc>
        <w:tc>
          <w:tcPr>
            <w:tcW w:w="16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(1,875,801)</w:t>
            </w:r>
          </w:p>
        </w:tc>
      </w:tr>
      <w:tr>
        <w:trPr>
          <w:trHeight w:val="168"/>
        </w:trPr>
        <w:tc>
          <w:tcPr>
            <w:tcW w:w="3940" w:type="dxa"/>
            <w:vAlign w:val="bottom"/>
          </w:tcPr>
          <w:p>
            <w:pPr>
              <w:spacing w:after="0"/>
              <w:rPr>
                <w:sz w:val="14"/>
                <w:szCs w:val="14"/>
                <w:color w:val="auto"/>
              </w:rPr>
            </w:pPr>
          </w:p>
        </w:tc>
        <w:tc>
          <w:tcPr>
            <w:tcW w:w="17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Increase (Decrease) in Net Assets</w:t>
            </w: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Available for Benefits</w:t>
            </w:r>
          </w:p>
        </w:tc>
        <w:tc>
          <w:tcPr>
            <w:tcW w:w="54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15,412,501</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(1,943,123)</w:t>
            </w:r>
          </w:p>
        </w:tc>
        <w:tc>
          <w:tcPr>
            <w:tcW w:w="160" w:type="dxa"/>
            <w:vAlign w:val="bottom"/>
          </w:tcPr>
          <w:p>
            <w:pPr>
              <w:spacing w:after="0"/>
              <w:rPr>
                <w:sz w:val="14"/>
                <w:szCs w:val="14"/>
                <w:color w:val="auto"/>
              </w:rPr>
            </w:pP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7,695,072</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5,833,903</w:t>
            </w:r>
          </w:p>
        </w:tc>
        <w:tc>
          <w:tcPr>
            <w:tcW w:w="160" w:type="dxa"/>
            <w:vAlign w:val="bottom"/>
          </w:tcPr>
          <w:p>
            <w:pPr>
              <w:spacing w:after="0"/>
              <w:rPr>
                <w:sz w:val="14"/>
                <w:szCs w:val="14"/>
                <w:color w:val="auto"/>
              </w:rPr>
            </w:pP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3,826,649</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Beginning Net Assets Available for</w:t>
            </w: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Benefits</w:t>
            </w:r>
          </w:p>
        </w:tc>
        <w:tc>
          <w:tcPr>
            <w:tcW w:w="54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185,488,775</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79,353,047</w:t>
            </w:r>
          </w:p>
        </w:tc>
        <w:tc>
          <w:tcPr>
            <w:tcW w:w="160" w:type="dxa"/>
            <w:vAlign w:val="bottom"/>
          </w:tcPr>
          <w:p>
            <w:pPr>
              <w:spacing w:after="0"/>
              <w:rPr>
                <w:sz w:val="14"/>
                <w:szCs w:val="14"/>
                <w:color w:val="auto"/>
              </w:rPr>
            </w:pP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69,426,925</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20,439,516</w:t>
            </w:r>
          </w:p>
        </w:tc>
        <w:tc>
          <w:tcPr>
            <w:tcW w:w="160" w:type="dxa"/>
            <w:vAlign w:val="bottom"/>
          </w:tcPr>
          <w:p>
            <w:pPr>
              <w:spacing w:after="0"/>
              <w:rPr>
                <w:sz w:val="14"/>
                <w:szCs w:val="14"/>
                <w:color w:val="auto"/>
              </w:rPr>
            </w:pP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16,269,287</w:t>
            </w:r>
          </w:p>
        </w:tc>
      </w:tr>
      <w:tr>
        <w:trPr>
          <w:trHeight w:val="168"/>
        </w:trPr>
        <w:tc>
          <w:tcPr>
            <w:tcW w:w="3940" w:type="dxa"/>
            <w:vAlign w:val="bottom"/>
          </w:tcPr>
          <w:p>
            <w:pPr>
              <w:spacing w:after="0"/>
              <w:rPr>
                <w:sz w:val="14"/>
                <w:szCs w:val="14"/>
                <w:color w:val="auto"/>
              </w:rPr>
            </w:pPr>
          </w:p>
        </w:tc>
        <w:tc>
          <w:tcPr>
            <w:tcW w:w="17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Ending Net Assets Available for Benefits</w:t>
            </w: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94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200,901,276</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$ 77,409,924</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$ 77,121,997</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$ 26,273,419</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$ 20,095,936</w:t>
            </w:r>
          </w:p>
        </w:tc>
      </w:tr>
      <w:tr>
        <w:trPr>
          <w:trHeight w:val="168"/>
        </w:trPr>
        <w:tc>
          <w:tcPr>
            <w:tcW w:w="3940" w:type="dxa"/>
            <w:vAlign w:val="bottom"/>
          </w:tcPr>
          <w:p>
            <w:pPr>
              <w:spacing w:after="0"/>
              <w:rPr>
                <w:sz w:val="14"/>
                <w:szCs w:val="14"/>
                <w:color w:val="auto"/>
              </w:rPr>
            </w:pPr>
          </w:p>
        </w:tc>
        <w:tc>
          <w:tcPr>
            <w:tcW w:w="17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4180"/>
        <w:spacing w:after="0"/>
        <w:rPr>
          <w:sz w:val="20"/>
          <w:szCs w:val="20"/>
          <w:color w:val="auto"/>
        </w:rPr>
      </w:pPr>
      <w:r>
        <w:rPr>
          <w:rFonts w:ascii="Courier New" w:cs="Courier New" w:eastAsia="Courier New" w:hAnsi="Courier New"/>
          <w:sz w:val="15"/>
          <w:szCs w:val="15"/>
          <w:color w:val="auto"/>
        </w:rPr>
        <w:t>The accompanying notes are an integral part of this financial statement.</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1200"/>
          </w:cols>
          <w:pgMar w:left="220" w:top="617" w:right="479" w:bottom="1440" w:gutter="0" w:footer="0" w:header="0"/>
        </w:sectPr>
      </w:pPr>
    </w:p>
    <w:bookmarkStart w:id="176" w:name="page177"/>
    <w:bookmarkEnd w:id="176"/>
    <w:p>
      <w:pPr>
        <w:ind w:left="1400"/>
        <w:spacing w:after="0"/>
        <w:tabs>
          <w:tab w:leader="none" w:pos="3060" w:val="left"/>
        </w:tabs>
        <w:rPr>
          <w:sz w:val="20"/>
          <w:szCs w:val="20"/>
          <w:color w:val="auto"/>
        </w:rPr>
      </w:pPr>
      <w:r>
        <w:rPr>
          <w:rFonts w:ascii="Courier New" w:cs="Courier New" w:eastAsia="Courier New" w:hAnsi="Courier New"/>
          <w:sz w:val="15"/>
          <w:szCs w:val="15"/>
          <w:color w:val="auto"/>
        </w:rPr>
        <w:t>THE LIMITED, INC.</w:t>
      </w:r>
      <w:r>
        <w:rPr>
          <w:sz w:val="20"/>
          <w:szCs w:val="20"/>
          <w:color w:val="auto"/>
        </w:rPr>
        <w:tab/>
      </w:r>
      <w:r>
        <w:rPr>
          <w:rFonts w:ascii="Courier New" w:cs="Courier New" w:eastAsia="Courier New" w:hAnsi="Courier New"/>
          <w:sz w:val="14"/>
          <w:szCs w:val="14"/>
          <w:color w:val="auto"/>
        </w:rPr>
        <w:t>SAVINGS AND RETIREMENT PLAN</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STATEMENT OF CHANGES IN NET ASSETS AVAILABLE FOR BENEFITS</w:t>
      </w:r>
    </w:p>
    <w:p>
      <w:pPr>
        <w:ind w:left="9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FOR THE YEAR ENDED DECEMBER 31, 1993</w:t>
      </w:r>
    </w:p>
    <w:p>
      <w:pPr>
        <w:ind w:left="1940"/>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00" w:type="dxa"/>
            <w:vAlign w:val="bottom"/>
          </w:tcPr>
          <w:p>
            <w:pPr>
              <w:ind w:left="260"/>
              <w:spacing w:after="0"/>
              <w:rPr>
                <w:sz w:val="20"/>
                <w:szCs w:val="20"/>
                <w:color w:val="auto"/>
              </w:rPr>
            </w:pPr>
            <w:r>
              <w:rPr>
                <w:rFonts w:ascii="Courier New" w:cs="Courier New" w:eastAsia="Courier New" w:hAnsi="Courier New"/>
                <w:sz w:val="15"/>
                <w:szCs w:val="15"/>
                <w:color w:val="auto"/>
              </w:rPr>
              <w:t>Limited</w:t>
            </w:r>
          </w:p>
        </w:tc>
        <w:tc>
          <w:tcPr>
            <w:tcW w:w="16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Fixed</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w:t>
            </w:r>
          </w:p>
        </w:tc>
        <w:tc>
          <w:tcPr>
            <w:tcW w:w="17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Total</w:t>
            </w:r>
          </w:p>
        </w:tc>
        <w:tc>
          <w:tcPr>
            <w:tcW w:w="1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Stock Fund</w:t>
            </w:r>
          </w:p>
        </w:tc>
        <w:tc>
          <w:tcPr>
            <w:tcW w:w="160" w:type="dxa"/>
            <w:vAlign w:val="bottom"/>
          </w:tcPr>
          <w:p>
            <w:pPr>
              <w:spacing w:after="0"/>
              <w:rPr>
                <w:sz w:val="14"/>
                <w:szCs w:val="14"/>
                <w:color w:val="auto"/>
              </w:rPr>
            </w:pP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Income Fund</w:t>
            </w:r>
          </w:p>
        </w:tc>
        <w:tc>
          <w:tcPr>
            <w:tcW w:w="14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Indexed Fund</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World Fund</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Investment Income:</w:t>
            </w:r>
          </w:p>
        </w:tc>
        <w:tc>
          <w:tcPr>
            <w:tcW w:w="1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8"/>
        </w:trPr>
        <w:tc>
          <w:tcPr>
            <w:tcW w:w="3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Increase (Decrease) in Net</w:t>
            </w:r>
          </w:p>
        </w:tc>
        <w:tc>
          <w:tcPr>
            <w:tcW w:w="17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Unrealized Appreciation</w:t>
            </w:r>
          </w:p>
        </w:tc>
        <w:tc>
          <w:tcPr>
            <w:tcW w:w="1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$(51,165,802)</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$(51,222,621)</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537,811</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(480,992)</w:t>
            </w:r>
          </w:p>
        </w:tc>
      </w:tr>
      <w:tr>
        <w:trPr>
          <w:trHeight w:val="168"/>
        </w:trPr>
        <w:tc>
          <w:tcPr>
            <w:tcW w:w="3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Realized Gain on Sale of Securities</w:t>
            </w:r>
          </w:p>
        </w:tc>
        <w:tc>
          <w:tcPr>
            <w:tcW w:w="1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4,073,977</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3,367,169</w:t>
            </w:r>
          </w:p>
        </w:tc>
        <w:tc>
          <w:tcPr>
            <w:tcW w:w="160" w:type="dxa"/>
            <w:vAlign w:val="bottom"/>
          </w:tcPr>
          <w:p>
            <w:pPr>
              <w:spacing w:after="0"/>
              <w:rPr>
                <w:sz w:val="14"/>
                <w:szCs w:val="14"/>
                <w:color w:val="auto"/>
              </w:rPr>
            </w:pP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636,926</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69,882</w:t>
            </w:r>
          </w:p>
        </w:tc>
      </w:tr>
      <w:tr>
        <w:trPr>
          <w:trHeight w:val="168"/>
        </w:trPr>
        <w:tc>
          <w:tcPr>
            <w:tcW w:w="3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Interest</w:t>
            </w:r>
          </w:p>
        </w:tc>
        <w:tc>
          <w:tcPr>
            <w:tcW w:w="1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4,439,846</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6,689</w:t>
            </w:r>
          </w:p>
        </w:tc>
        <w:tc>
          <w:tcPr>
            <w:tcW w:w="160" w:type="dxa"/>
            <w:vAlign w:val="bottom"/>
          </w:tcPr>
          <w:p>
            <w:pPr>
              <w:spacing w:after="0"/>
              <w:rPr>
                <w:sz w:val="14"/>
                <w:szCs w:val="14"/>
                <w:color w:val="auto"/>
              </w:rPr>
            </w:pP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4,429,569</w:t>
            </w:r>
          </w:p>
        </w:tc>
        <w:tc>
          <w:tcPr>
            <w:tcW w:w="2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1,880</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1,708</w:t>
            </w:r>
          </w:p>
        </w:tc>
      </w:tr>
      <w:tr>
        <w:trPr>
          <w:trHeight w:val="168"/>
        </w:trPr>
        <w:tc>
          <w:tcPr>
            <w:tcW w:w="3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Dividends</w:t>
            </w:r>
          </w:p>
        </w:tc>
        <w:tc>
          <w:tcPr>
            <w:tcW w:w="1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1,783,025</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1,783,025</w:t>
            </w:r>
          </w:p>
        </w:tc>
        <w:tc>
          <w:tcPr>
            <w:tcW w:w="160" w:type="dxa"/>
            <w:vAlign w:val="bottom"/>
          </w:tcPr>
          <w:p>
            <w:pPr>
              <w:spacing w:after="0"/>
              <w:rPr>
                <w:sz w:val="14"/>
                <w:szCs w:val="14"/>
                <w:color w:val="auto"/>
              </w:rPr>
            </w:pP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Mutual Funds' Earnings</w:t>
            </w:r>
          </w:p>
        </w:tc>
        <w:tc>
          <w:tcPr>
            <w:tcW w:w="1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657,135</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464,994</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192,141</w:t>
            </w:r>
          </w:p>
        </w:tc>
      </w:tr>
      <w:tr>
        <w:trPr>
          <w:trHeight w:val="168"/>
        </w:trPr>
        <w:tc>
          <w:tcPr>
            <w:tcW w:w="3940" w:type="dxa"/>
            <w:vAlign w:val="bottom"/>
          </w:tcPr>
          <w:p>
            <w:pPr>
              <w:spacing w:after="0"/>
              <w:rPr>
                <w:sz w:val="14"/>
                <w:szCs w:val="14"/>
                <w:color w:val="auto"/>
              </w:rPr>
            </w:pPr>
          </w:p>
        </w:tc>
        <w:tc>
          <w:tcPr>
            <w:tcW w:w="1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Total Investment Income (Loss)</w:t>
            </w:r>
          </w:p>
        </w:tc>
        <w:tc>
          <w:tcPr>
            <w:tcW w:w="1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(40,211,819)</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(46,065,738)</w:t>
            </w:r>
          </w:p>
        </w:tc>
        <w:tc>
          <w:tcPr>
            <w:tcW w:w="160" w:type="dxa"/>
            <w:vAlign w:val="bottom"/>
          </w:tcPr>
          <w:p>
            <w:pPr>
              <w:spacing w:after="0"/>
              <w:rPr>
                <w:sz w:val="14"/>
                <w:szCs w:val="14"/>
                <w:color w:val="auto"/>
              </w:rPr>
            </w:pP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4,429,569</w:t>
            </w:r>
          </w:p>
        </w:tc>
        <w:tc>
          <w:tcPr>
            <w:tcW w:w="2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1,641,611</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(217,261)</w:t>
            </w:r>
          </w:p>
        </w:tc>
      </w:tr>
      <w:tr>
        <w:trPr>
          <w:trHeight w:val="168"/>
        </w:trPr>
        <w:tc>
          <w:tcPr>
            <w:tcW w:w="3940" w:type="dxa"/>
            <w:vAlign w:val="bottom"/>
          </w:tcPr>
          <w:p>
            <w:pPr>
              <w:spacing w:after="0"/>
              <w:rPr>
                <w:sz w:val="14"/>
                <w:szCs w:val="14"/>
                <w:color w:val="auto"/>
              </w:rPr>
            </w:pPr>
          </w:p>
        </w:tc>
        <w:tc>
          <w:tcPr>
            <w:tcW w:w="1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Contributions:</w:t>
            </w:r>
          </w:p>
        </w:tc>
        <w:tc>
          <w:tcPr>
            <w:tcW w:w="17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Employers</w:t>
            </w:r>
          </w:p>
        </w:tc>
        <w:tc>
          <w:tcPr>
            <w:tcW w:w="1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23,371,564</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5,561,152</w:t>
            </w:r>
          </w:p>
        </w:tc>
        <w:tc>
          <w:tcPr>
            <w:tcW w:w="160" w:type="dxa"/>
            <w:vAlign w:val="bottom"/>
          </w:tcPr>
          <w:p>
            <w:pPr>
              <w:spacing w:after="0"/>
              <w:rPr>
                <w:sz w:val="14"/>
                <w:szCs w:val="14"/>
                <w:color w:val="auto"/>
              </w:rPr>
            </w:pP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11,270,178</w:t>
            </w:r>
          </w:p>
        </w:tc>
        <w:tc>
          <w:tcPr>
            <w:tcW w:w="2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3,496,942</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3,043,292</w:t>
            </w:r>
          </w:p>
        </w:tc>
      </w:tr>
      <w:tr>
        <w:trPr>
          <w:trHeight w:val="168"/>
        </w:trPr>
        <w:tc>
          <w:tcPr>
            <w:tcW w:w="3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Participants</w:t>
            </w:r>
          </w:p>
        </w:tc>
        <w:tc>
          <w:tcPr>
            <w:tcW w:w="1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10,428,961</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3,098,271</w:t>
            </w:r>
          </w:p>
        </w:tc>
        <w:tc>
          <w:tcPr>
            <w:tcW w:w="160" w:type="dxa"/>
            <w:vAlign w:val="bottom"/>
          </w:tcPr>
          <w:p>
            <w:pPr>
              <w:spacing w:after="0"/>
              <w:rPr>
                <w:sz w:val="14"/>
                <w:szCs w:val="14"/>
                <w:color w:val="auto"/>
              </w:rPr>
            </w:pP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3,790,368</w:t>
            </w:r>
          </w:p>
        </w:tc>
        <w:tc>
          <w:tcPr>
            <w:tcW w:w="2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1,934,509</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1,605,813</w:t>
            </w:r>
          </w:p>
        </w:tc>
      </w:tr>
      <w:tr>
        <w:trPr>
          <w:trHeight w:val="168"/>
        </w:trPr>
        <w:tc>
          <w:tcPr>
            <w:tcW w:w="3940" w:type="dxa"/>
            <w:vAlign w:val="bottom"/>
          </w:tcPr>
          <w:p>
            <w:pPr>
              <w:spacing w:after="0"/>
              <w:rPr>
                <w:sz w:val="14"/>
                <w:szCs w:val="14"/>
                <w:color w:val="auto"/>
              </w:rPr>
            </w:pPr>
          </w:p>
        </w:tc>
        <w:tc>
          <w:tcPr>
            <w:tcW w:w="1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Total Contributions</w:t>
            </w:r>
          </w:p>
        </w:tc>
        <w:tc>
          <w:tcPr>
            <w:tcW w:w="17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33,800,525</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8,659,423</w:t>
            </w:r>
          </w:p>
        </w:tc>
        <w:tc>
          <w:tcPr>
            <w:tcW w:w="160" w:type="dxa"/>
            <w:vAlign w:val="bottom"/>
          </w:tcPr>
          <w:p>
            <w:pPr>
              <w:spacing w:after="0"/>
              <w:rPr>
                <w:sz w:val="24"/>
                <w:szCs w:val="2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15,060,546</w:t>
            </w:r>
          </w:p>
        </w:tc>
        <w:tc>
          <w:tcPr>
            <w:tcW w:w="220" w:type="dxa"/>
            <w:vAlign w:val="bottom"/>
          </w:tcPr>
          <w:p>
            <w:pPr>
              <w:spacing w:after="0"/>
              <w:rPr>
                <w:sz w:val="24"/>
                <w:szCs w:val="24"/>
                <w:color w:val="auto"/>
              </w:rPr>
            </w:pP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5,431,451</w:t>
            </w:r>
          </w:p>
        </w:tc>
        <w:tc>
          <w:tcPr>
            <w:tcW w:w="1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4,649,105</w:t>
            </w:r>
          </w:p>
        </w:tc>
      </w:tr>
      <w:tr>
        <w:trPr>
          <w:trHeight w:val="168"/>
        </w:trPr>
        <w:tc>
          <w:tcPr>
            <w:tcW w:w="3940" w:type="dxa"/>
            <w:vAlign w:val="bottom"/>
          </w:tcPr>
          <w:p>
            <w:pPr>
              <w:spacing w:after="0"/>
              <w:rPr>
                <w:sz w:val="14"/>
                <w:szCs w:val="14"/>
                <w:color w:val="auto"/>
              </w:rPr>
            </w:pPr>
          </w:p>
        </w:tc>
        <w:tc>
          <w:tcPr>
            <w:tcW w:w="1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Transfer of Participants' Account</w:t>
            </w:r>
          </w:p>
        </w:tc>
        <w:tc>
          <w:tcPr>
            <w:tcW w:w="17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Balances from Affiliated Plans</w:t>
            </w:r>
          </w:p>
        </w:tc>
        <w:tc>
          <w:tcPr>
            <w:tcW w:w="1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1,140,371</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514,198</w:t>
            </w:r>
          </w:p>
        </w:tc>
        <w:tc>
          <w:tcPr>
            <w:tcW w:w="2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422,367</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203,806</w:t>
            </w:r>
          </w:p>
        </w:tc>
      </w:tr>
      <w:tr>
        <w:trPr>
          <w:trHeight w:val="168"/>
        </w:trPr>
        <w:tc>
          <w:tcPr>
            <w:tcW w:w="3940" w:type="dxa"/>
            <w:vAlign w:val="bottom"/>
          </w:tcPr>
          <w:p>
            <w:pPr>
              <w:spacing w:after="0"/>
              <w:rPr>
                <w:sz w:val="14"/>
                <w:szCs w:val="14"/>
                <w:color w:val="auto"/>
              </w:rPr>
            </w:pPr>
          </w:p>
        </w:tc>
        <w:tc>
          <w:tcPr>
            <w:tcW w:w="1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Transfer of Participants' Account</w:t>
            </w:r>
          </w:p>
        </w:tc>
        <w:tc>
          <w:tcPr>
            <w:tcW w:w="17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Balances to Former Affiliate's Plan</w:t>
            </w:r>
          </w:p>
        </w:tc>
        <w:tc>
          <w:tcPr>
            <w:tcW w:w="1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(20,815,838)</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(5,390,244)</w:t>
            </w:r>
          </w:p>
        </w:tc>
        <w:tc>
          <w:tcPr>
            <w:tcW w:w="160" w:type="dxa"/>
            <w:vAlign w:val="bottom"/>
          </w:tcPr>
          <w:p>
            <w:pPr>
              <w:spacing w:after="0"/>
              <w:rPr>
                <w:sz w:val="14"/>
                <w:szCs w:val="14"/>
                <w:color w:val="auto"/>
              </w:rPr>
            </w:pP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(10,483,032)</w:t>
            </w:r>
          </w:p>
        </w:tc>
        <w:tc>
          <w:tcPr>
            <w:tcW w:w="22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(3,227,343)</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(1,715,219)</w:t>
            </w:r>
          </w:p>
        </w:tc>
      </w:tr>
      <w:tr>
        <w:trPr>
          <w:trHeight w:val="168"/>
        </w:trPr>
        <w:tc>
          <w:tcPr>
            <w:tcW w:w="3940" w:type="dxa"/>
            <w:vAlign w:val="bottom"/>
          </w:tcPr>
          <w:p>
            <w:pPr>
              <w:spacing w:after="0"/>
              <w:rPr>
                <w:sz w:val="14"/>
                <w:szCs w:val="14"/>
                <w:color w:val="auto"/>
              </w:rPr>
            </w:pPr>
          </w:p>
        </w:tc>
        <w:tc>
          <w:tcPr>
            <w:tcW w:w="1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Interfund Transfers</w:t>
            </w:r>
          </w:p>
        </w:tc>
        <w:tc>
          <w:tcPr>
            <w:tcW w:w="1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(4,461,978)</w:t>
            </w:r>
          </w:p>
        </w:tc>
        <w:tc>
          <w:tcPr>
            <w:tcW w:w="160" w:type="dxa"/>
            <w:vAlign w:val="bottom"/>
          </w:tcPr>
          <w:p>
            <w:pPr>
              <w:spacing w:after="0"/>
              <w:rPr>
                <w:sz w:val="14"/>
                <w:szCs w:val="14"/>
                <w:color w:val="auto"/>
              </w:rPr>
            </w:pP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1,028,778</w:t>
            </w:r>
          </w:p>
        </w:tc>
        <w:tc>
          <w:tcPr>
            <w:tcW w:w="2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3,401,455</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31,745</w:t>
            </w:r>
          </w:p>
        </w:tc>
      </w:tr>
      <w:tr>
        <w:trPr>
          <w:trHeight w:val="168"/>
        </w:trPr>
        <w:tc>
          <w:tcPr>
            <w:tcW w:w="3940" w:type="dxa"/>
            <w:vAlign w:val="bottom"/>
          </w:tcPr>
          <w:p>
            <w:pPr>
              <w:spacing w:after="0"/>
              <w:rPr>
                <w:sz w:val="14"/>
                <w:szCs w:val="14"/>
                <w:color w:val="auto"/>
              </w:rPr>
            </w:pPr>
          </w:p>
        </w:tc>
        <w:tc>
          <w:tcPr>
            <w:tcW w:w="1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Administrative Expense</w:t>
            </w:r>
          </w:p>
        </w:tc>
        <w:tc>
          <w:tcPr>
            <w:tcW w:w="1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(752,234)</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(354,091)</w:t>
            </w:r>
          </w:p>
        </w:tc>
        <w:tc>
          <w:tcPr>
            <w:tcW w:w="160" w:type="dxa"/>
            <w:vAlign w:val="bottom"/>
          </w:tcPr>
          <w:p>
            <w:pPr>
              <w:spacing w:after="0"/>
              <w:rPr>
                <w:sz w:val="14"/>
                <w:szCs w:val="14"/>
                <w:color w:val="auto"/>
              </w:rPr>
            </w:pP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(261,967)</w:t>
            </w:r>
          </w:p>
        </w:tc>
        <w:tc>
          <w:tcPr>
            <w:tcW w:w="22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(75,921)</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(60,255)</w:t>
            </w:r>
          </w:p>
        </w:tc>
      </w:tr>
      <w:tr>
        <w:trPr>
          <w:trHeight w:val="168"/>
        </w:trPr>
        <w:tc>
          <w:tcPr>
            <w:tcW w:w="3940" w:type="dxa"/>
            <w:vAlign w:val="bottom"/>
          </w:tcPr>
          <w:p>
            <w:pPr>
              <w:spacing w:after="0"/>
              <w:rPr>
                <w:sz w:val="14"/>
                <w:szCs w:val="14"/>
                <w:color w:val="auto"/>
              </w:rPr>
            </w:pPr>
          </w:p>
        </w:tc>
        <w:tc>
          <w:tcPr>
            <w:tcW w:w="1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Benefits to Participants</w:t>
            </w:r>
          </w:p>
        </w:tc>
        <w:tc>
          <w:tcPr>
            <w:tcW w:w="1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(39,043,060)</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(20,796,573)</w:t>
            </w:r>
          </w:p>
        </w:tc>
        <w:tc>
          <w:tcPr>
            <w:tcW w:w="160" w:type="dxa"/>
            <w:vAlign w:val="bottom"/>
          </w:tcPr>
          <w:p>
            <w:pPr>
              <w:spacing w:after="0"/>
              <w:rPr>
                <w:sz w:val="14"/>
                <w:szCs w:val="14"/>
                <w:color w:val="auto"/>
              </w:rPr>
            </w:pP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(13,029,735)</w:t>
            </w:r>
          </w:p>
        </w:tc>
        <w:tc>
          <w:tcPr>
            <w:tcW w:w="22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(2,847,422)</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(2,369,330)</w:t>
            </w:r>
          </w:p>
        </w:tc>
      </w:tr>
      <w:tr>
        <w:trPr>
          <w:trHeight w:val="168"/>
        </w:trPr>
        <w:tc>
          <w:tcPr>
            <w:tcW w:w="3940" w:type="dxa"/>
            <w:vAlign w:val="bottom"/>
          </w:tcPr>
          <w:p>
            <w:pPr>
              <w:spacing w:after="0"/>
              <w:rPr>
                <w:sz w:val="14"/>
                <w:szCs w:val="14"/>
                <w:color w:val="auto"/>
              </w:rPr>
            </w:pPr>
          </w:p>
        </w:tc>
        <w:tc>
          <w:tcPr>
            <w:tcW w:w="1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Increase (Decrease) in Net Assets</w:t>
            </w:r>
          </w:p>
        </w:tc>
        <w:tc>
          <w:tcPr>
            <w:tcW w:w="17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Available for Benefits</w:t>
            </w:r>
          </w:p>
        </w:tc>
        <w:tc>
          <w:tcPr>
            <w:tcW w:w="1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(65,882,055)</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(68,409,201)</w:t>
            </w:r>
          </w:p>
        </w:tc>
        <w:tc>
          <w:tcPr>
            <w:tcW w:w="160" w:type="dxa"/>
            <w:vAlign w:val="bottom"/>
          </w:tcPr>
          <w:p>
            <w:pPr>
              <w:spacing w:after="0"/>
              <w:rPr>
                <w:sz w:val="14"/>
                <w:szCs w:val="14"/>
                <w:color w:val="auto"/>
              </w:rPr>
            </w:pP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(2,741,643)</w:t>
            </w:r>
          </w:p>
        </w:tc>
        <w:tc>
          <w:tcPr>
            <w:tcW w:w="2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4,746,198</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522,591</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Beginning Net Assets Available for</w:t>
            </w:r>
          </w:p>
        </w:tc>
        <w:tc>
          <w:tcPr>
            <w:tcW w:w="1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8"/>
        </w:trPr>
        <w:tc>
          <w:tcPr>
            <w:tcW w:w="3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Benefits</w:t>
            </w:r>
          </w:p>
        </w:tc>
        <w:tc>
          <w:tcPr>
            <w:tcW w:w="1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251,370,830</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147,762,248</w:t>
            </w:r>
          </w:p>
        </w:tc>
        <w:tc>
          <w:tcPr>
            <w:tcW w:w="160" w:type="dxa"/>
            <w:vAlign w:val="bottom"/>
          </w:tcPr>
          <w:p>
            <w:pPr>
              <w:spacing w:after="0"/>
              <w:rPr>
                <w:sz w:val="14"/>
                <w:szCs w:val="14"/>
                <w:color w:val="auto"/>
              </w:rPr>
            </w:pP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72,168,568</w:t>
            </w:r>
          </w:p>
        </w:tc>
        <w:tc>
          <w:tcPr>
            <w:tcW w:w="2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15,693,318</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15,746,696</w:t>
            </w:r>
          </w:p>
        </w:tc>
      </w:tr>
      <w:tr>
        <w:trPr>
          <w:trHeight w:val="168"/>
        </w:trPr>
        <w:tc>
          <w:tcPr>
            <w:tcW w:w="3940" w:type="dxa"/>
            <w:vAlign w:val="bottom"/>
          </w:tcPr>
          <w:p>
            <w:pPr>
              <w:spacing w:after="0"/>
              <w:rPr>
                <w:sz w:val="14"/>
                <w:szCs w:val="14"/>
                <w:color w:val="auto"/>
              </w:rPr>
            </w:pPr>
          </w:p>
        </w:tc>
        <w:tc>
          <w:tcPr>
            <w:tcW w:w="1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Ending Net Assets Available for Benefits</w:t>
            </w:r>
          </w:p>
        </w:tc>
        <w:tc>
          <w:tcPr>
            <w:tcW w:w="1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$185,488,775</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$ 79,353,047</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$ 69,426,925</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$ 20,439,516</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$ 16,269,287</w:t>
            </w:r>
          </w:p>
        </w:tc>
      </w:tr>
      <w:tr>
        <w:trPr>
          <w:trHeight w:val="168"/>
        </w:trPr>
        <w:tc>
          <w:tcPr>
            <w:tcW w:w="3940" w:type="dxa"/>
            <w:vAlign w:val="bottom"/>
          </w:tcPr>
          <w:p>
            <w:pPr>
              <w:spacing w:after="0"/>
              <w:rPr>
                <w:sz w:val="14"/>
                <w:szCs w:val="14"/>
                <w:color w:val="auto"/>
              </w:rPr>
            </w:pPr>
          </w:p>
        </w:tc>
        <w:tc>
          <w:tcPr>
            <w:tcW w:w="1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4180"/>
        <w:spacing w:after="0"/>
        <w:rPr>
          <w:sz w:val="20"/>
          <w:szCs w:val="20"/>
          <w:color w:val="auto"/>
        </w:rPr>
      </w:pPr>
      <w:r>
        <w:rPr>
          <w:rFonts w:ascii="Courier New" w:cs="Courier New" w:eastAsia="Courier New" w:hAnsi="Courier New"/>
          <w:sz w:val="15"/>
          <w:szCs w:val="15"/>
          <w:color w:val="auto"/>
        </w:rPr>
        <w:t>The accompanying notes are an integral part of this financial statement.</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1200"/>
          </w:cols>
          <w:pgMar w:left="220" w:top="617" w:right="479" w:bottom="1440" w:gutter="0" w:footer="0" w:header="0"/>
        </w:sectPr>
      </w:pPr>
    </w:p>
    <w:bookmarkStart w:id="177" w:name="page178"/>
    <w:bookmarkEnd w:id="177"/>
    <w:p>
      <w:pPr>
        <w:ind w:left="1490"/>
        <w:spacing w:after="0"/>
        <w:rPr>
          <w:sz w:val="20"/>
          <w:szCs w:val="20"/>
          <w:color w:val="auto"/>
        </w:rPr>
      </w:pPr>
      <w:r>
        <w:rPr>
          <w:rFonts w:ascii="Courier New" w:cs="Courier New" w:eastAsia="Courier New" w:hAnsi="Courier New"/>
          <w:sz w:val="15"/>
          <w:szCs w:val="15"/>
          <w:color w:val="auto"/>
        </w:rPr>
        <w:t>THE LIMITED, INC. SAVINGS AND RETIREMENT PLAN</w:t>
      </w:r>
    </w:p>
    <w:p>
      <w:pPr>
        <w:ind w:left="149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2190"/>
        <w:spacing w:after="0"/>
        <w:rPr>
          <w:sz w:val="20"/>
          <w:szCs w:val="20"/>
          <w:color w:val="auto"/>
        </w:rPr>
      </w:pPr>
      <w:r>
        <w:rPr>
          <w:rFonts w:ascii="Courier New" w:cs="Courier New" w:eastAsia="Courier New" w:hAnsi="Courier New"/>
          <w:sz w:val="15"/>
          <w:szCs w:val="15"/>
          <w:color w:val="auto"/>
        </w:rPr>
        <w:t>NOTES TO FINANCIAL STATEMENTS</w:t>
      </w:r>
    </w:p>
    <w:p>
      <w:pPr>
        <w:ind w:left="219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430" w:hanging="430"/>
        <w:spacing w:after="0"/>
        <w:tabs>
          <w:tab w:leader="none" w:pos="43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DESCRIPTION OF THE PLAN</w:t>
      </w:r>
    </w:p>
    <w:p>
      <w:pPr>
        <w:ind w:left="43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ind w:left="4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General</w:t>
      </w:r>
    </w:p>
    <w:p>
      <w:pPr>
        <w:ind w:left="43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ind w:left="690" w:right="3239" w:hanging="262"/>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Limited, Inc. Savings and Retirement Plan (the "Plan") is a defined contribution plan covering certain employees of The Limited, Inc. and its affiliates (the "Employers") who are at least 21 years of age and have completed 1,000 or more hours of service during their first consecutive twelve months of employment or any calendar year beginning in or after their first consecutive twelve months of employment. Certain employees of the Employers, who are covered by a collective bargaining agreement, are not eligible to participate in the Plan. At December 31, 1995, there were 26,592 participants in the Plan.</w:t>
      </w:r>
    </w:p>
    <w:p>
      <w:pPr>
        <w:spacing w:after="0" w:line="165" w:lineRule="exact"/>
        <w:rPr>
          <w:rFonts w:ascii="Courier New" w:cs="Courier New" w:eastAsia="Courier New" w:hAnsi="Courier New"/>
          <w:sz w:val="15"/>
          <w:szCs w:val="15"/>
          <w:color w:val="auto"/>
        </w:rPr>
      </w:pPr>
    </w:p>
    <w:p>
      <w:pPr>
        <w:ind w:left="690" w:right="3239" w:hanging="262"/>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January 1, 1992, the plans of affiliates, except Fulcrum Management Group Savings and Retirement Plan, were merged and all assets and liabilities of the affiliate plans were pooled into the Plan. Effective January 1, 1993, the Fulcrum Management Group Savings and Retirement Plan was merged into the Plan.</w:t>
      </w:r>
    </w:p>
    <w:p>
      <w:pPr>
        <w:spacing w:after="0" w:line="173" w:lineRule="exact"/>
        <w:rPr>
          <w:rFonts w:ascii="Courier New" w:cs="Courier New" w:eastAsia="Courier New" w:hAnsi="Courier New"/>
          <w:sz w:val="15"/>
          <w:szCs w:val="15"/>
          <w:color w:val="auto"/>
        </w:rPr>
      </w:pPr>
    </w:p>
    <w:p>
      <w:pPr>
        <w:ind w:left="790" w:right="3319" w:hanging="350"/>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August 31, 1993, The Limited, Inc. sold 60% of its interest in Brylane, Inc. and transferred the assets and liabilities allocated to the employees of Brylane, Inc. and its affiliates to the Brylane L.P. Savings and Retirement Plan.</w:t>
      </w:r>
    </w:p>
    <w:p>
      <w:pPr>
        <w:spacing w:after="0" w:line="168" w:lineRule="exact"/>
        <w:rPr>
          <w:rFonts w:ascii="Courier New" w:cs="Courier New" w:eastAsia="Courier New" w:hAnsi="Courier New"/>
          <w:sz w:val="15"/>
          <w:szCs w:val="15"/>
          <w:color w:val="auto"/>
        </w:rPr>
      </w:pPr>
    </w:p>
    <w:p>
      <w:pPr>
        <w:ind w:left="4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description of the Plan provides only general information.</w:t>
      </w:r>
    </w:p>
    <w:p>
      <w:pPr>
        <w:spacing w:after="0" w:line="4" w:lineRule="exact"/>
        <w:rPr>
          <w:rFonts w:ascii="Courier New" w:cs="Courier New" w:eastAsia="Courier New" w:hAnsi="Courier New"/>
          <w:sz w:val="15"/>
          <w:szCs w:val="15"/>
          <w:color w:val="auto"/>
        </w:rPr>
      </w:pPr>
    </w:p>
    <w:p>
      <w:pPr>
        <w:ind w:left="690" w:right="375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Participants should refer to the Plan document for a more complete description of the Plan's provisions. The Plan is subject to the provisions of the Employee Retirement Income Security Act of 1974 (ERISA) as amended.</w:t>
      </w:r>
    </w:p>
    <w:p>
      <w:pPr>
        <w:spacing w:after="0" w:line="168" w:lineRule="exact"/>
        <w:rPr>
          <w:rFonts w:ascii="Courier New" w:cs="Courier New" w:eastAsia="Courier New" w:hAnsi="Courier New"/>
          <w:sz w:val="15"/>
          <w:szCs w:val="15"/>
          <w:color w:val="auto"/>
        </w:rPr>
      </w:pPr>
    </w:p>
    <w:p>
      <w:pPr>
        <w:ind w:left="4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w:t>
      </w:r>
    </w:p>
    <w:p>
      <w:pPr>
        <w:ind w:left="43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ind w:left="690" w:right="3319" w:hanging="262"/>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During 1994, the Plan was amended and restated effective as of January 1, 1992 to, among other things, (1) make certain changes in the design of the Plan to comply with the Internal Revenue code of 1986, as amended, and the Employee Retirement Income Security Act of 1974, as amended and</w:t>
      </w:r>
    </w:p>
    <w:p>
      <w:pPr>
        <w:ind w:left="1050" w:hanging="351"/>
        <w:spacing w:after="0" w:line="237" w:lineRule="auto"/>
        <w:tabs>
          <w:tab w:leader="none" w:pos="1050" w:val="left"/>
        </w:tabs>
        <w:numPr>
          <w:ilvl w:val="1"/>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 amendments previously made.</w:t>
      </w:r>
    </w:p>
    <w:p>
      <w:pPr>
        <w:spacing w:after="0" w:line="167" w:lineRule="exact"/>
        <w:rPr>
          <w:sz w:val="20"/>
          <w:szCs w:val="20"/>
          <w:color w:val="auto"/>
        </w:rPr>
      </w:pPr>
    </w:p>
    <w:p>
      <w:pPr>
        <w:ind w:left="430"/>
        <w:spacing w:after="0"/>
        <w:rPr>
          <w:sz w:val="20"/>
          <w:szCs w:val="20"/>
          <w:color w:val="auto"/>
        </w:rPr>
      </w:pPr>
      <w:r>
        <w:rPr>
          <w:rFonts w:ascii="Courier New" w:cs="Courier New" w:eastAsia="Courier New" w:hAnsi="Courier New"/>
          <w:sz w:val="15"/>
          <w:szCs w:val="15"/>
          <w:color w:val="auto"/>
        </w:rPr>
        <w:t>Contributions</w:t>
      </w:r>
    </w:p>
    <w:p>
      <w:pPr>
        <w:ind w:left="43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430"/>
        <w:spacing w:after="0"/>
        <w:rPr>
          <w:sz w:val="20"/>
          <w:szCs w:val="20"/>
          <w:color w:val="auto"/>
        </w:rPr>
      </w:pPr>
      <w:r>
        <w:rPr>
          <w:rFonts w:ascii="Courier New" w:cs="Courier New" w:eastAsia="Courier New" w:hAnsi="Courier New"/>
          <w:sz w:val="15"/>
          <w:szCs w:val="15"/>
          <w:color w:val="auto"/>
        </w:rPr>
        <w:t>Employer Contributions:</w:t>
      </w:r>
    </w:p>
    <w:p>
      <w:pPr>
        <w:spacing w:after="0" w:line="173" w:lineRule="exact"/>
        <w:rPr>
          <w:sz w:val="20"/>
          <w:szCs w:val="20"/>
          <w:color w:val="auto"/>
        </w:rPr>
      </w:pPr>
    </w:p>
    <w:p>
      <w:pPr>
        <w:ind w:left="690" w:right="3239" w:hanging="261"/>
        <w:spacing w:after="0" w:line="255" w:lineRule="auto"/>
        <w:rPr>
          <w:sz w:val="20"/>
          <w:szCs w:val="20"/>
          <w:color w:val="auto"/>
        </w:rPr>
      </w:pPr>
      <w:r>
        <w:rPr>
          <w:rFonts w:ascii="Courier New" w:cs="Courier New" w:eastAsia="Courier New" w:hAnsi="Courier New"/>
          <w:sz w:val="14"/>
          <w:szCs w:val="14"/>
          <w:color w:val="auto"/>
        </w:rPr>
        <w:t>The Employers may provide a non-service related retirement contribution of 4% of annual compensation up to the Social Security wage base and 7% of annual compensation after that and a service related retirement contribution of 1% of annual compensation for participants who have completed five or more years of vesting service as of the last day of the Plan year. Participants who complete 500 hours of service during the Plan year and are participants on the last day of the Plan year are eligible. The annual compensation of each participant taken into account under the Plan is limited to the maximum amount permitted under Section 401(a)(17) of the Internal Revenue Code. The annual compensation limit for the Plan year ended December 31, 1995, was $150,000.</w:t>
      </w:r>
    </w:p>
    <w:p>
      <w:pPr>
        <w:spacing w:after="0" w:line="165" w:lineRule="exact"/>
        <w:rPr>
          <w:sz w:val="20"/>
          <w:szCs w:val="20"/>
          <w:color w:val="auto"/>
        </w:rPr>
      </w:pPr>
    </w:p>
    <w:p>
      <w:pPr>
        <w:ind w:left="690" w:right="3679" w:hanging="261"/>
        <w:spacing w:after="0" w:line="235" w:lineRule="auto"/>
        <w:rPr>
          <w:sz w:val="20"/>
          <w:szCs w:val="20"/>
          <w:color w:val="auto"/>
        </w:rPr>
      </w:pPr>
      <w:r>
        <w:rPr>
          <w:rFonts w:ascii="Courier New" w:cs="Courier New" w:eastAsia="Courier New" w:hAnsi="Courier New"/>
          <w:sz w:val="15"/>
          <w:szCs w:val="15"/>
          <w:color w:val="auto"/>
        </w:rPr>
        <w:t>The Employers may provide a matching contribution of 100% of the participant's voluntary contributions up to 3% of the participant's total annual compensation.</w:t>
      </w:r>
    </w:p>
    <w:p>
      <w:pPr>
        <w:spacing w:after="0" w:line="167"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29"/>
          </w:cols>
          <w:pgMar w:left="230" w:top="617" w:right="1440" w:bottom="1440" w:gutter="0" w:footer="0" w:header="0"/>
        </w:sectPr>
      </w:pPr>
    </w:p>
    <w:bookmarkStart w:id="178" w:name="page179"/>
    <w:bookmarkEnd w:id="178"/>
    <w:p>
      <w:pPr>
        <w:spacing w:after="0"/>
        <w:rPr>
          <w:sz w:val="20"/>
          <w:szCs w:val="20"/>
          <w:color w:val="auto"/>
        </w:rPr>
      </w:pPr>
      <w:r>
        <w:rPr>
          <w:rFonts w:ascii="Courier New" w:cs="Courier New" w:eastAsia="Courier New" w:hAnsi="Courier New"/>
          <w:sz w:val="15"/>
          <w:szCs w:val="15"/>
          <w:color w:val="auto"/>
        </w:rPr>
        <w:t>Participant Voluntary Contributions: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participant may elect to make a voluntary tax-deferred contribution of</w:t>
      </w:r>
    </w:p>
    <w:p>
      <w:pPr>
        <w:ind w:left="260"/>
        <w:spacing w:after="0" w:line="237" w:lineRule="auto"/>
        <w:rPr>
          <w:sz w:val="20"/>
          <w:szCs w:val="20"/>
          <w:color w:val="auto"/>
        </w:rPr>
      </w:pPr>
      <w:r>
        <w:rPr>
          <w:rFonts w:ascii="Courier New" w:cs="Courier New" w:eastAsia="Courier New" w:hAnsi="Courier New"/>
          <w:sz w:val="15"/>
          <w:szCs w:val="15"/>
          <w:color w:val="auto"/>
        </w:rPr>
        <w:t>1% to 6% of his or her annual compensation up to the maximum permitted</w:t>
      </w:r>
    </w:p>
    <w:p>
      <w:pPr>
        <w:ind w:left="260"/>
        <w:spacing w:after="0" w:line="238" w:lineRule="auto"/>
        <w:rPr>
          <w:sz w:val="20"/>
          <w:szCs w:val="20"/>
          <w:color w:val="auto"/>
        </w:rPr>
      </w:pPr>
      <w:r>
        <w:rPr>
          <w:rFonts w:ascii="Courier New" w:cs="Courier New" w:eastAsia="Courier New" w:hAnsi="Courier New"/>
          <w:sz w:val="15"/>
          <w:szCs w:val="15"/>
          <w:color w:val="auto"/>
        </w:rPr>
        <w:t>under Section 402(g) of the Internal Revenue Code adjusted annually</w:t>
      </w:r>
    </w:p>
    <w:p>
      <w:pPr>
        <w:ind w:left="260"/>
        <w:spacing w:after="0" w:line="237" w:lineRule="auto"/>
        <w:rPr>
          <w:sz w:val="20"/>
          <w:szCs w:val="20"/>
          <w:color w:val="auto"/>
        </w:rPr>
      </w:pPr>
      <w:r>
        <w:rPr>
          <w:rFonts w:ascii="Courier New" w:cs="Courier New" w:eastAsia="Courier New" w:hAnsi="Courier New"/>
          <w:sz w:val="15"/>
          <w:szCs w:val="15"/>
          <w:color w:val="auto"/>
        </w:rPr>
        <w:t>($9,240 at December 31, 1995). This voluntary tax-deferred contribution</w:t>
      </w:r>
    </w:p>
    <w:p>
      <w:pPr>
        <w:ind w:left="260"/>
        <w:spacing w:after="0" w:line="238" w:lineRule="auto"/>
        <w:rPr>
          <w:sz w:val="20"/>
          <w:szCs w:val="20"/>
          <w:color w:val="auto"/>
        </w:rPr>
      </w:pPr>
      <w:r>
        <w:rPr>
          <w:rFonts w:ascii="Courier New" w:cs="Courier New" w:eastAsia="Courier New" w:hAnsi="Courier New"/>
          <w:sz w:val="15"/>
          <w:szCs w:val="15"/>
          <w:color w:val="auto"/>
        </w:rPr>
        <w:t>may be limited by Section 401(k) of the Internal Revenue Code.</w:t>
      </w:r>
    </w:p>
    <w:p>
      <w:pPr>
        <w:spacing w:after="0" w:line="173" w:lineRule="exact"/>
        <w:rPr>
          <w:sz w:val="20"/>
          <w:szCs w:val="20"/>
          <w:color w:val="auto"/>
        </w:rPr>
      </w:pPr>
    </w:p>
    <w:p>
      <w:pPr>
        <w:ind w:left="260" w:right="3239" w:hanging="261"/>
        <w:spacing w:after="0" w:line="236" w:lineRule="auto"/>
        <w:rPr>
          <w:sz w:val="20"/>
          <w:szCs w:val="20"/>
          <w:color w:val="auto"/>
        </w:rPr>
      </w:pPr>
      <w:r>
        <w:rPr>
          <w:rFonts w:ascii="Courier New" w:cs="Courier New" w:eastAsia="Courier New" w:hAnsi="Courier New"/>
          <w:sz w:val="15"/>
          <w:szCs w:val="15"/>
          <w:color w:val="auto"/>
        </w:rPr>
        <w:t>A participant earning annually more than $66,000, $66,000 and $64,245, for the years ended December 31, 1995, 1994 and 1993, respectively, may be limited to voluntary contributions to the Plan of less than 6% due to requirements of Section 401(k) of the Internal Revenue Code based on the current levels of participant voluntary contributions.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Vesting</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260" w:right="3499" w:hanging="261"/>
        <w:spacing w:after="0" w:line="235" w:lineRule="auto"/>
        <w:rPr>
          <w:sz w:val="20"/>
          <w:szCs w:val="20"/>
          <w:color w:val="auto"/>
        </w:rPr>
      </w:pPr>
      <w:r>
        <w:rPr>
          <w:rFonts w:ascii="Courier New" w:cs="Courier New" w:eastAsia="Courier New" w:hAnsi="Courier New"/>
          <w:sz w:val="15"/>
          <w:szCs w:val="15"/>
          <w:color w:val="auto"/>
        </w:rPr>
        <w:t>A participant is fully and immediately vested for voluntary and rollover contributions. A summary of vesting percentages in the Employers' contributions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2220" w:type="dxa"/>
            <w:vAlign w:val="bottom"/>
            <w:gridSpan w:val="2"/>
          </w:tcPr>
          <w:p>
            <w:pPr>
              <w:spacing w:after="0"/>
              <w:rPr>
                <w:sz w:val="20"/>
                <w:szCs w:val="20"/>
                <w:color w:val="auto"/>
              </w:rPr>
            </w:pPr>
            <w:r>
              <w:rPr>
                <w:rFonts w:ascii="Courier New" w:cs="Courier New" w:eastAsia="Courier New" w:hAnsi="Courier New"/>
                <w:sz w:val="15"/>
                <w:szCs w:val="15"/>
                <w:color w:val="auto"/>
              </w:rPr>
              <w:t>Years of Vested Service</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Percentage</w:t>
            </w:r>
          </w:p>
        </w:tc>
      </w:tr>
      <w:tr>
        <w:trPr>
          <w:trHeight w:val="168"/>
        </w:trPr>
        <w:tc>
          <w:tcPr>
            <w:tcW w:w="22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2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Less than 3 years</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68"/>
        </w:trPr>
        <w:tc>
          <w:tcPr>
            <w:tcW w:w="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3</w:t>
            </w:r>
          </w:p>
        </w:tc>
        <w:tc>
          <w:tcPr>
            <w:tcW w:w="1780" w:type="dxa"/>
            <w:vAlign w:val="bottom"/>
          </w:tcPr>
          <w:p>
            <w:pPr>
              <w:spacing w:after="0" w:line="168" w:lineRule="exact"/>
              <w:rPr>
                <w:sz w:val="20"/>
                <w:szCs w:val="20"/>
                <w:color w:val="auto"/>
              </w:rPr>
            </w:pPr>
            <w:r>
              <w:rPr>
                <w:rFonts w:ascii="Courier New" w:cs="Courier New" w:eastAsia="Courier New" w:hAnsi="Courier New"/>
                <w:sz w:val="15"/>
                <w:szCs w:val="15"/>
                <w:color w:val="auto"/>
              </w:rPr>
              <w:t>years</w:t>
            </w:r>
          </w:p>
        </w:tc>
        <w:tc>
          <w:tcPr>
            <w:tcW w:w="11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4</w:t>
            </w:r>
          </w:p>
        </w:tc>
        <w:tc>
          <w:tcPr>
            <w:tcW w:w="1780" w:type="dxa"/>
            <w:vAlign w:val="bottom"/>
          </w:tcPr>
          <w:p>
            <w:pPr>
              <w:spacing w:after="0" w:line="168" w:lineRule="exact"/>
              <w:rPr>
                <w:sz w:val="20"/>
                <w:szCs w:val="20"/>
                <w:color w:val="auto"/>
              </w:rPr>
            </w:pPr>
            <w:r>
              <w:rPr>
                <w:rFonts w:ascii="Courier New" w:cs="Courier New" w:eastAsia="Courier New" w:hAnsi="Courier New"/>
                <w:sz w:val="15"/>
                <w:szCs w:val="15"/>
                <w:color w:val="auto"/>
              </w:rPr>
              <w:t>years</w:t>
            </w:r>
          </w:p>
        </w:tc>
        <w:tc>
          <w:tcPr>
            <w:tcW w:w="11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5</w:t>
            </w:r>
          </w:p>
        </w:tc>
        <w:tc>
          <w:tcPr>
            <w:tcW w:w="1780" w:type="dxa"/>
            <w:vAlign w:val="bottom"/>
          </w:tcPr>
          <w:p>
            <w:pPr>
              <w:spacing w:after="0" w:line="168" w:lineRule="exact"/>
              <w:rPr>
                <w:sz w:val="20"/>
                <w:szCs w:val="20"/>
                <w:color w:val="auto"/>
              </w:rPr>
            </w:pPr>
            <w:r>
              <w:rPr>
                <w:rFonts w:ascii="Courier New" w:cs="Courier New" w:eastAsia="Courier New" w:hAnsi="Courier New"/>
                <w:sz w:val="15"/>
                <w:szCs w:val="15"/>
                <w:color w:val="auto"/>
              </w:rPr>
              <w:t>years</w:t>
            </w:r>
          </w:p>
        </w:tc>
        <w:tc>
          <w:tcPr>
            <w:tcW w:w="11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60</w:t>
            </w:r>
          </w:p>
        </w:tc>
      </w:tr>
      <w:tr>
        <w:trPr>
          <w:trHeight w:val="168"/>
        </w:trPr>
        <w:tc>
          <w:tcPr>
            <w:tcW w:w="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6</w:t>
            </w:r>
          </w:p>
        </w:tc>
        <w:tc>
          <w:tcPr>
            <w:tcW w:w="1780" w:type="dxa"/>
            <w:vAlign w:val="bottom"/>
          </w:tcPr>
          <w:p>
            <w:pPr>
              <w:spacing w:after="0" w:line="168" w:lineRule="exact"/>
              <w:rPr>
                <w:sz w:val="20"/>
                <w:szCs w:val="20"/>
                <w:color w:val="auto"/>
              </w:rPr>
            </w:pPr>
            <w:r>
              <w:rPr>
                <w:rFonts w:ascii="Courier New" w:cs="Courier New" w:eastAsia="Courier New" w:hAnsi="Courier New"/>
                <w:sz w:val="15"/>
                <w:szCs w:val="15"/>
                <w:color w:val="auto"/>
              </w:rPr>
              <w:t>years</w:t>
            </w:r>
          </w:p>
        </w:tc>
        <w:tc>
          <w:tcPr>
            <w:tcW w:w="11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80</w:t>
            </w:r>
          </w:p>
        </w:tc>
      </w:tr>
      <w:tr>
        <w:trPr>
          <w:trHeight w:val="168"/>
        </w:trPr>
        <w:tc>
          <w:tcPr>
            <w:tcW w:w="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7</w:t>
            </w:r>
          </w:p>
        </w:tc>
        <w:tc>
          <w:tcPr>
            <w:tcW w:w="1780" w:type="dxa"/>
            <w:vAlign w:val="bottom"/>
          </w:tcPr>
          <w:p>
            <w:pPr>
              <w:spacing w:after="0" w:line="168" w:lineRule="exact"/>
              <w:rPr>
                <w:sz w:val="20"/>
                <w:szCs w:val="20"/>
                <w:color w:val="auto"/>
              </w:rPr>
            </w:pPr>
            <w:r>
              <w:rPr>
                <w:rFonts w:ascii="Courier New" w:cs="Courier New" w:eastAsia="Courier New" w:hAnsi="Courier New"/>
                <w:sz w:val="15"/>
                <w:szCs w:val="15"/>
                <w:color w:val="auto"/>
              </w:rPr>
              <w:t>years</w:t>
            </w:r>
          </w:p>
        </w:tc>
        <w:tc>
          <w:tcPr>
            <w:tcW w:w="11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100</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 Of Benefits</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260" w:right="3239" w:hanging="261"/>
        <w:spacing w:after="0" w:line="255" w:lineRule="auto"/>
        <w:rPr>
          <w:sz w:val="20"/>
          <w:szCs w:val="20"/>
          <w:color w:val="auto"/>
        </w:rPr>
      </w:pPr>
      <w:r>
        <w:rPr>
          <w:rFonts w:ascii="Courier New" w:cs="Courier New" w:eastAsia="Courier New" w:hAnsi="Courier New"/>
          <w:sz w:val="14"/>
          <w:szCs w:val="14"/>
          <w:color w:val="auto"/>
        </w:rPr>
        <w:t>The full value of participants' accounts becomes payable upon retirement, disability, or death. Upon termination of employment for any other reason participants' accounts, to the extent vested, become payable. Those participants with vested account balances greater than $3,500 have the option of leaving their accounts invested in the Plan until age 65. All benefits will be paid as a lump-sum distribution. Those participants holding between five and one hundred shares of Employer Securities will have the option to receive such amount in whole shares of Employer Securities and cash for any fractional shares. Those participants holding one hundred or more shares of Employer Securities will receive whole shares of Employer securities and cash for any fractional shares. Participants have the option of having their benefit paid directly to an eligible retirement plan specified by the participant.</w:t>
      </w:r>
    </w:p>
    <w:p>
      <w:pPr>
        <w:spacing w:after="0" w:line="164" w:lineRule="exact"/>
        <w:rPr>
          <w:sz w:val="20"/>
          <w:szCs w:val="20"/>
          <w:color w:val="auto"/>
        </w:rPr>
      </w:pPr>
    </w:p>
    <w:p>
      <w:pPr>
        <w:ind w:left="260" w:right="3399" w:hanging="261"/>
        <w:spacing w:after="0" w:line="236" w:lineRule="auto"/>
        <w:rPr>
          <w:sz w:val="20"/>
          <w:szCs w:val="20"/>
          <w:color w:val="auto"/>
        </w:rPr>
      </w:pPr>
      <w:r>
        <w:rPr>
          <w:rFonts w:ascii="Courier New" w:cs="Courier New" w:eastAsia="Courier New" w:hAnsi="Courier New"/>
          <w:sz w:val="15"/>
          <w:szCs w:val="15"/>
          <w:color w:val="auto"/>
        </w:rPr>
        <w:t>A participant who is fully vested in his or her account and who has participated in the Plan for at least five years may obtain an in-service withdrawal from their account based on the percentage amounts designated by the Plan. A participant may also request a hardship distribution due to an immediate and heavy financial need based on the terms of the Plan.</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Amounts Allocated Participants Withdrawn from the Plan</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260" w:right="3399" w:hanging="174"/>
        <w:spacing w:after="0" w:line="235" w:lineRule="auto"/>
        <w:rPr>
          <w:sz w:val="20"/>
          <w:szCs w:val="20"/>
          <w:color w:val="auto"/>
        </w:rPr>
      </w:pPr>
      <w:r>
        <w:rPr>
          <w:rFonts w:ascii="Courier New" w:cs="Courier New" w:eastAsia="Courier New" w:hAnsi="Courier New"/>
          <w:sz w:val="15"/>
          <w:szCs w:val="15"/>
          <w:color w:val="auto"/>
        </w:rPr>
        <w:t>The vested portion of net assets available for benefits allocated to participants withdrawn from the plan as of December 31, 1995 and 1994, is set forth below:</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3"/>
              </w:rPr>
              <w:t>Fixed</w:t>
            </w: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1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Limited</w:t>
            </w:r>
          </w:p>
        </w:tc>
        <w:tc>
          <w:tcPr>
            <w:tcW w:w="22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2"/>
              </w:rPr>
              <w:t>Income</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Indexed</w:t>
            </w:r>
          </w:p>
        </w:tc>
        <w:tc>
          <w:tcPr>
            <w:tcW w:w="10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World</w:t>
            </w:r>
          </w:p>
        </w:tc>
        <w:tc>
          <w:tcPr>
            <w:tcW w:w="100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w w:val="95"/>
              </w:rPr>
              <w:t>Wellington</w:t>
            </w:r>
          </w:p>
        </w:tc>
      </w:tr>
      <w:tr>
        <w:trPr>
          <w:trHeight w:val="168"/>
        </w:trPr>
        <w:tc>
          <w:tcPr>
            <w:tcW w:w="1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Total</w:t>
            </w:r>
          </w:p>
        </w:tc>
        <w:tc>
          <w:tcPr>
            <w:tcW w:w="10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Stock Fund</w:t>
            </w:r>
          </w:p>
        </w:tc>
        <w:tc>
          <w:tcPr>
            <w:tcW w:w="22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Fund</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Fund</w:t>
            </w:r>
          </w:p>
        </w:tc>
        <w:tc>
          <w:tcPr>
            <w:tcW w:w="10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Fund</w:t>
            </w:r>
          </w:p>
        </w:tc>
        <w:tc>
          <w:tcPr>
            <w:tcW w:w="100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Fund</w:t>
            </w:r>
          </w:p>
        </w:tc>
      </w:tr>
      <w:tr>
        <w:trPr>
          <w:trHeight w:val="168"/>
        </w:trPr>
        <w:tc>
          <w:tcPr>
            <w:tcW w:w="1940" w:type="dxa"/>
            <w:vAlign w:val="bottom"/>
          </w:tcPr>
          <w:p>
            <w:pPr>
              <w:spacing w:after="0"/>
              <w:rPr>
                <w:sz w:val="14"/>
                <w:szCs w:val="14"/>
                <w:color w:val="auto"/>
              </w:rPr>
            </w:pP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00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December 31, 1995</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634,530</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54,393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301,337</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$128,645</w:t>
            </w: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7"/>
              </w:rPr>
              <w:t>$138,247</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11,908</w:t>
            </w: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December 31, 1994</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3,894,855</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1,796,254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1,321,029</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$452,849</w:t>
            </w: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7"/>
              </w:rPr>
              <w:t>$324,723</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841"/>
        </w:trPr>
        <w:tc>
          <w:tcPr>
            <w:tcW w:w="1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F-7</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9799"/>
          </w:cols>
          <w:pgMar w:left="660" w:top="617" w:right="1440" w:bottom="1440" w:gutter="0" w:footer="0" w:header="0"/>
        </w:sectPr>
      </w:pPr>
    </w:p>
    <w:bookmarkStart w:id="179" w:name="page180"/>
    <w:bookmarkEnd w:id="179"/>
    <w:p>
      <w:pPr>
        <w:ind w:left="430"/>
        <w:spacing w:after="0"/>
        <w:rPr>
          <w:sz w:val="20"/>
          <w:szCs w:val="20"/>
          <w:color w:val="auto"/>
        </w:rPr>
      </w:pPr>
      <w:r>
        <w:rPr>
          <w:rFonts w:ascii="Courier New" w:cs="Courier New" w:eastAsia="Courier New" w:hAnsi="Courier New"/>
          <w:sz w:val="15"/>
          <w:szCs w:val="15"/>
          <w:color w:val="auto"/>
        </w:rPr>
        <w:t>Forfeitures</w:t>
      </w:r>
    </w:p>
    <w:p>
      <w:pPr>
        <w:ind w:left="43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tbl>
      <w:tblPr>
        <w:tblLayout w:type="fixed"/>
        <w:tblInd w:w="430" w:type="dxa"/>
        <w:tblCellMar>
          <w:top w:w="0" w:type="dxa"/>
          <w:left w:w="0" w:type="dxa"/>
          <w:bottom w:w="0" w:type="dxa"/>
          <w:right w:w="0" w:type="dxa"/>
        </w:tblCellMar>
      </w:tblPr>
      <w:tr>
        <w:trPr>
          <w:trHeight w:val="170"/>
        </w:trPr>
        <w:tc>
          <w:tcPr>
            <w:tcW w:w="6620" w:type="dxa"/>
            <w:vAlign w:val="bottom"/>
            <w:gridSpan w:val="8"/>
          </w:tcPr>
          <w:p>
            <w:pPr>
              <w:spacing w:after="0"/>
              <w:rPr>
                <w:sz w:val="20"/>
                <w:szCs w:val="20"/>
                <w:color w:val="auto"/>
              </w:rPr>
            </w:pPr>
            <w:r>
              <w:rPr>
                <w:rFonts w:ascii="Courier New" w:cs="Courier New" w:eastAsia="Courier New" w:hAnsi="Courier New"/>
                <w:sz w:val="15"/>
                <w:szCs w:val="15"/>
                <w:color w:val="auto"/>
              </w:rPr>
              <w:t>Forfeitures are used to reduce the Employers' required contributions.</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560" w:type="dxa"/>
            <w:vAlign w:val="bottom"/>
            <w:gridSpan w:val="5"/>
          </w:tcPr>
          <w:p>
            <w:pPr>
              <w:ind w:left="260"/>
              <w:spacing w:after="0" w:line="168" w:lineRule="exact"/>
              <w:rPr>
                <w:sz w:val="20"/>
                <w:szCs w:val="20"/>
                <w:color w:val="auto"/>
              </w:rPr>
            </w:pPr>
            <w:r>
              <w:rPr>
                <w:rFonts w:ascii="Courier New" w:cs="Courier New" w:eastAsia="Courier New" w:hAnsi="Courier New"/>
                <w:sz w:val="15"/>
                <w:szCs w:val="15"/>
                <w:color w:val="auto"/>
                <w:w w:val="97"/>
              </w:rPr>
              <w:t>Utilized forfeitures for 1995, 1994 and 1993, are</w:t>
            </w:r>
          </w:p>
        </w:tc>
        <w:tc>
          <w:tcPr>
            <w:tcW w:w="206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set forth below:</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73"/>
        </w:trPr>
        <w:tc>
          <w:tcPr>
            <w:tcW w:w="1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ind w:left="180"/>
              <w:spacing w:after="0"/>
              <w:rPr>
                <w:sz w:val="20"/>
                <w:szCs w:val="20"/>
                <w:color w:val="auto"/>
              </w:rPr>
            </w:pPr>
            <w:r>
              <w:rPr>
                <w:rFonts w:ascii="Courier New" w:cs="Courier New" w:eastAsia="Courier New" w:hAnsi="Courier New"/>
                <w:sz w:val="15"/>
                <w:szCs w:val="15"/>
                <w:color w:val="auto"/>
                <w:w w:val="88"/>
              </w:rPr>
              <w:t>Fixed</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1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Limited</w:t>
            </w:r>
          </w:p>
        </w:tc>
        <w:tc>
          <w:tcPr>
            <w:tcW w:w="6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2"/>
              </w:rPr>
              <w:t>Income</w:t>
            </w:r>
          </w:p>
        </w:tc>
        <w:tc>
          <w:tcPr>
            <w:tcW w:w="5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Indexed</w:t>
            </w:r>
          </w:p>
        </w:tc>
        <w:tc>
          <w:tcPr>
            <w:tcW w:w="30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World</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Wellington</w:t>
            </w:r>
          </w:p>
        </w:tc>
      </w:tr>
      <w:tr>
        <w:trPr>
          <w:trHeight w:val="168"/>
        </w:trPr>
        <w:tc>
          <w:tcPr>
            <w:tcW w:w="1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Total</w:t>
            </w:r>
          </w:p>
        </w:tc>
        <w:tc>
          <w:tcPr>
            <w:tcW w:w="12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Stock Fund</w:t>
            </w:r>
          </w:p>
        </w:tc>
        <w:tc>
          <w:tcPr>
            <w:tcW w:w="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Fund</w:t>
            </w:r>
          </w:p>
        </w:tc>
        <w:tc>
          <w:tcPr>
            <w:tcW w:w="540" w:type="dxa"/>
            <w:vAlign w:val="bottom"/>
          </w:tcPr>
          <w:p>
            <w:pPr>
              <w:spacing w:after="0"/>
              <w:rPr>
                <w:sz w:val="14"/>
                <w:szCs w:val="14"/>
                <w:color w:val="auto"/>
              </w:rPr>
            </w:pPr>
          </w:p>
        </w:tc>
        <w:tc>
          <w:tcPr>
            <w:tcW w:w="9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Fund</w:t>
            </w:r>
          </w:p>
        </w:tc>
        <w:tc>
          <w:tcPr>
            <w:tcW w:w="30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Fund</w:t>
            </w:r>
          </w:p>
        </w:tc>
        <w:tc>
          <w:tcPr>
            <w:tcW w:w="26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88"/>
              </w:rPr>
              <w:t>Fund</w:t>
            </w:r>
          </w:p>
        </w:tc>
      </w:tr>
      <w:tr>
        <w:trPr>
          <w:trHeight w:val="168"/>
        </w:trPr>
        <w:tc>
          <w:tcPr>
            <w:tcW w:w="1880" w:type="dxa"/>
            <w:vAlign w:val="bottom"/>
          </w:tcPr>
          <w:p>
            <w:pPr>
              <w:spacing w:after="0"/>
              <w:rPr>
                <w:sz w:val="14"/>
                <w:szCs w:val="14"/>
                <w:color w:val="auto"/>
              </w:rPr>
            </w:pPr>
          </w:p>
        </w:tc>
        <w:tc>
          <w:tcPr>
            <w:tcW w:w="140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880" w:type="dxa"/>
            <w:vAlign w:val="bottom"/>
          </w:tcPr>
          <w:p>
            <w:pPr>
              <w:spacing w:after="0"/>
              <w:rPr>
                <w:sz w:val="20"/>
                <w:szCs w:val="20"/>
                <w:color w:val="auto"/>
              </w:rPr>
            </w:pPr>
            <w:r>
              <w:rPr>
                <w:rFonts w:ascii="Courier New" w:cs="Courier New" w:eastAsia="Courier New" w:hAnsi="Courier New"/>
                <w:sz w:val="15"/>
                <w:szCs w:val="15"/>
                <w:color w:val="auto"/>
              </w:rPr>
              <w:t>December 31, 1995</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2,604,742</w:t>
            </w:r>
          </w:p>
        </w:tc>
        <w:tc>
          <w:tcPr>
            <w:tcW w:w="12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$265,411</w:t>
            </w:r>
          </w:p>
        </w:tc>
        <w:tc>
          <w:tcPr>
            <w:tcW w:w="11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$1,691,327</w:t>
            </w:r>
          </w:p>
        </w:tc>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$352,056</w:t>
            </w:r>
          </w:p>
        </w:tc>
        <w:tc>
          <w:tcPr>
            <w:tcW w:w="100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$295,948</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6"/>
        </w:trPr>
        <w:tc>
          <w:tcPr>
            <w:tcW w:w="1880" w:type="dxa"/>
            <w:vAlign w:val="bottom"/>
          </w:tcPr>
          <w:p>
            <w:pPr>
              <w:spacing w:after="0"/>
              <w:rPr>
                <w:sz w:val="20"/>
                <w:szCs w:val="20"/>
                <w:color w:val="auto"/>
              </w:rPr>
            </w:pPr>
            <w:r>
              <w:rPr>
                <w:rFonts w:ascii="Courier New" w:cs="Courier New" w:eastAsia="Courier New" w:hAnsi="Courier New"/>
                <w:sz w:val="15"/>
                <w:szCs w:val="15"/>
                <w:color w:val="auto"/>
              </w:rPr>
              <w:t>December 31, 1994</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3,851,243</w:t>
            </w:r>
          </w:p>
        </w:tc>
        <w:tc>
          <w:tcPr>
            <w:tcW w:w="12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$536,323</w:t>
            </w:r>
          </w:p>
        </w:tc>
        <w:tc>
          <w:tcPr>
            <w:tcW w:w="11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$2,804,818</w:t>
            </w:r>
          </w:p>
        </w:tc>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$268,212</w:t>
            </w:r>
          </w:p>
        </w:tc>
        <w:tc>
          <w:tcPr>
            <w:tcW w:w="100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$241,890</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6"/>
        </w:trPr>
        <w:tc>
          <w:tcPr>
            <w:tcW w:w="1880" w:type="dxa"/>
            <w:vAlign w:val="bottom"/>
          </w:tcPr>
          <w:p>
            <w:pPr>
              <w:spacing w:after="0"/>
              <w:rPr>
                <w:sz w:val="20"/>
                <w:szCs w:val="20"/>
                <w:color w:val="auto"/>
              </w:rPr>
            </w:pPr>
            <w:r>
              <w:rPr>
                <w:rFonts w:ascii="Courier New" w:cs="Courier New" w:eastAsia="Courier New" w:hAnsi="Courier New"/>
                <w:sz w:val="15"/>
                <w:szCs w:val="15"/>
                <w:color w:val="auto"/>
              </w:rPr>
              <w:t>December 31, 1993</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2,362,621</w:t>
            </w:r>
          </w:p>
        </w:tc>
        <w:tc>
          <w:tcPr>
            <w:tcW w:w="12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$149,970</w:t>
            </w:r>
          </w:p>
        </w:tc>
        <w:tc>
          <w:tcPr>
            <w:tcW w:w="11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$1,946,329</w:t>
            </w:r>
          </w:p>
        </w:tc>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$126,859</w:t>
            </w:r>
          </w:p>
        </w:tc>
        <w:tc>
          <w:tcPr>
            <w:tcW w:w="100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$139,463</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673"/>
        </w:trPr>
        <w:tc>
          <w:tcPr>
            <w:tcW w:w="3280" w:type="dxa"/>
            <w:vAlign w:val="bottom"/>
            <w:gridSpan w:val="3"/>
          </w:tcPr>
          <w:p>
            <w:pPr>
              <w:spacing w:after="0"/>
              <w:rPr>
                <w:sz w:val="20"/>
                <w:szCs w:val="20"/>
                <w:color w:val="auto"/>
              </w:rPr>
            </w:pPr>
            <w:r>
              <w:rPr>
                <w:rFonts w:ascii="Courier New" w:cs="Courier New" w:eastAsia="Courier New" w:hAnsi="Courier New"/>
                <w:sz w:val="15"/>
                <w:szCs w:val="15"/>
                <w:color w:val="auto"/>
              </w:rPr>
              <w:t>Expenses and Unallocated Earnings</w:t>
            </w: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2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6620" w:type="dxa"/>
            <w:vAlign w:val="bottom"/>
            <w:gridSpan w:val="8"/>
          </w:tcPr>
          <w:p>
            <w:pPr>
              <w:spacing w:after="0"/>
              <w:rPr>
                <w:sz w:val="20"/>
                <w:szCs w:val="20"/>
                <w:color w:val="auto"/>
              </w:rPr>
            </w:pPr>
            <w:r>
              <w:rPr>
                <w:rFonts w:ascii="Courier New" w:cs="Courier New" w:eastAsia="Courier New" w:hAnsi="Courier New"/>
                <w:sz w:val="15"/>
                <w:szCs w:val="15"/>
                <w:color w:val="auto"/>
              </w:rPr>
              <w:t>Brokerage fees, transfer taxes, and other expenses incurred in connection</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6620" w:type="dxa"/>
            <w:vAlign w:val="bottom"/>
            <w:gridSpan w:val="8"/>
          </w:tcPr>
          <w:p>
            <w:pPr>
              <w:ind w:left="260"/>
              <w:spacing w:after="0" w:line="168" w:lineRule="exact"/>
              <w:rPr>
                <w:sz w:val="20"/>
                <w:szCs w:val="20"/>
                <w:color w:val="auto"/>
              </w:rPr>
            </w:pPr>
            <w:r>
              <w:rPr>
                <w:rFonts w:ascii="Courier New" w:cs="Courier New" w:eastAsia="Courier New" w:hAnsi="Courier New"/>
                <w:sz w:val="15"/>
                <w:szCs w:val="15"/>
                <w:color w:val="auto"/>
              </w:rPr>
              <w:t>with the investment of the Plan's assets will be added to the cost of</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620" w:type="dxa"/>
            <w:vAlign w:val="bottom"/>
            <w:gridSpan w:val="8"/>
          </w:tcPr>
          <w:p>
            <w:pPr>
              <w:ind w:left="260"/>
              <w:spacing w:after="0" w:line="168" w:lineRule="exact"/>
              <w:rPr>
                <w:sz w:val="20"/>
                <w:szCs w:val="20"/>
                <w:color w:val="auto"/>
              </w:rPr>
            </w:pPr>
            <w:r>
              <w:rPr>
                <w:rFonts w:ascii="Courier New" w:cs="Courier New" w:eastAsia="Courier New" w:hAnsi="Courier New"/>
                <w:sz w:val="15"/>
                <w:szCs w:val="15"/>
                <w:color w:val="auto"/>
                <w:w w:val="99"/>
              </w:rPr>
              <w:t>such investments or deducted from the proceeds thereof, as the case may</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620" w:type="dxa"/>
            <w:vAlign w:val="bottom"/>
            <w:gridSpan w:val="8"/>
          </w:tcPr>
          <w:p>
            <w:pPr>
              <w:ind w:left="260"/>
              <w:spacing w:after="0" w:line="168" w:lineRule="exact"/>
              <w:rPr>
                <w:sz w:val="20"/>
                <w:szCs w:val="20"/>
                <w:color w:val="auto"/>
              </w:rPr>
            </w:pPr>
            <w:r>
              <w:rPr>
                <w:rFonts w:ascii="Courier New" w:cs="Courier New" w:eastAsia="Courier New" w:hAnsi="Courier New"/>
                <w:sz w:val="15"/>
                <w:szCs w:val="15"/>
                <w:color w:val="auto"/>
                <w:w w:val="99"/>
              </w:rPr>
              <w:t>be. Administrative expenses of the Plan will be paid from the Plan from</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620" w:type="dxa"/>
            <w:vAlign w:val="bottom"/>
            <w:gridSpan w:val="8"/>
          </w:tcPr>
          <w:p>
            <w:pPr>
              <w:ind w:left="260"/>
              <w:spacing w:after="0" w:line="168" w:lineRule="exact"/>
              <w:rPr>
                <w:sz w:val="20"/>
                <w:szCs w:val="20"/>
                <w:color w:val="auto"/>
              </w:rPr>
            </w:pPr>
            <w:r>
              <w:rPr>
                <w:rFonts w:ascii="Courier New" w:cs="Courier New" w:eastAsia="Courier New" w:hAnsi="Courier New"/>
                <w:sz w:val="15"/>
                <w:szCs w:val="15"/>
                <w:color w:val="auto"/>
              </w:rPr>
              <w:t>earnings not allocated to participants' accounts. Unallocated earnings</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560" w:type="dxa"/>
            <w:vAlign w:val="bottom"/>
            <w:gridSpan w:val="5"/>
          </w:tcPr>
          <w:p>
            <w:pPr>
              <w:ind w:left="260"/>
              <w:spacing w:after="0" w:line="168" w:lineRule="exact"/>
              <w:rPr>
                <w:sz w:val="20"/>
                <w:szCs w:val="20"/>
                <w:color w:val="auto"/>
              </w:rPr>
            </w:pPr>
            <w:r>
              <w:rPr>
                <w:rFonts w:ascii="Courier New" w:cs="Courier New" w:eastAsia="Courier New" w:hAnsi="Courier New"/>
                <w:sz w:val="15"/>
                <w:szCs w:val="15"/>
                <w:color w:val="auto"/>
                <w:w w:val="97"/>
              </w:rPr>
              <w:t>being held as of December 31, 1995, 1994 and 1993</w:t>
            </w:r>
          </w:p>
        </w:tc>
        <w:tc>
          <w:tcPr>
            <w:tcW w:w="206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are set forth below:</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73"/>
        </w:trPr>
        <w:tc>
          <w:tcPr>
            <w:tcW w:w="1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Fixed</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1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Limited</w:t>
            </w:r>
          </w:p>
        </w:tc>
        <w:tc>
          <w:tcPr>
            <w:tcW w:w="6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2"/>
              </w:rPr>
              <w:t>Income</w:t>
            </w:r>
          </w:p>
        </w:tc>
        <w:tc>
          <w:tcPr>
            <w:tcW w:w="5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Indexed</w:t>
            </w:r>
          </w:p>
        </w:tc>
        <w:tc>
          <w:tcPr>
            <w:tcW w:w="30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World</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Wellington</w:t>
            </w:r>
          </w:p>
        </w:tc>
      </w:tr>
      <w:tr>
        <w:trPr>
          <w:trHeight w:val="168"/>
        </w:trPr>
        <w:tc>
          <w:tcPr>
            <w:tcW w:w="1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Total</w:t>
            </w:r>
          </w:p>
        </w:tc>
        <w:tc>
          <w:tcPr>
            <w:tcW w:w="12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Stock Fund</w:t>
            </w:r>
          </w:p>
        </w:tc>
        <w:tc>
          <w:tcPr>
            <w:tcW w:w="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Fund</w:t>
            </w:r>
          </w:p>
        </w:tc>
        <w:tc>
          <w:tcPr>
            <w:tcW w:w="540" w:type="dxa"/>
            <w:vAlign w:val="bottom"/>
          </w:tcPr>
          <w:p>
            <w:pPr>
              <w:spacing w:after="0"/>
              <w:rPr>
                <w:sz w:val="14"/>
                <w:szCs w:val="14"/>
                <w:color w:val="auto"/>
              </w:rPr>
            </w:pPr>
          </w:p>
        </w:tc>
        <w:tc>
          <w:tcPr>
            <w:tcW w:w="9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Fund</w:t>
            </w:r>
          </w:p>
        </w:tc>
        <w:tc>
          <w:tcPr>
            <w:tcW w:w="30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Fund</w:t>
            </w:r>
          </w:p>
        </w:tc>
        <w:tc>
          <w:tcPr>
            <w:tcW w:w="26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88"/>
              </w:rPr>
              <w:t>Fund</w:t>
            </w:r>
          </w:p>
        </w:tc>
      </w:tr>
      <w:tr>
        <w:trPr>
          <w:trHeight w:val="168"/>
        </w:trPr>
        <w:tc>
          <w:tcPr>
            <w:tcW w:w="1880" w:type="dxa"/>
            <w:vAlign w:val="bottom"/>
          </w:tcPr>
          <w:p>
            <w:pPr>
              <w:spacing w:after="0"/>
              <w:rPr>
                <w:sz w:val="14"/>
                <w:szCs w:val="14"/>
                <w:color w:val="auto"/>
              </w:rPr>
            </w:pPr>
          </w:p>
        </w:tc>
        <w:tc>
          <w:tcPr>
            <w:tcW w:w="140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1880" w:type="dxa"/>
            <w:vAlign w:val="bottom"/>
          </w:tcPr>
          <w:p>
            <w:pPr>
              <w:spacing w:after="0"/>
              <w:rPr>
                <w:sz w:val="20"/>
                <w:szCs w:val="20"/>
                <w:color w:val="auto"/>
              </w:rPr>
            </w:pPr>
            <w:r>
              <w:rPr>
                <w:rFonts w:ascii="Courier New" w:cs="Courier New" w:eastAsia="Courier New" w:hAnsi="Courier New"/>
                <w:sz w:val="15"/>
                <w:szCs w:val="15"/>
                <w:color w:val="auto"/>
              </w:rPr>
              <w:t>December 31, 1995</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51,827</w:t>
            </w:r>
          </w:p>
        </w:tc>
        <w:tc>
          <w:tcPr>
            <w:tcW w:w="5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$51,827</w:t>
            </w:r>
          </w:p>
        </w:tc>
        <w:tc>
          <w:tcPr>
            <w:tcW w:w="300" w:type="dxa"/>
            <w:vAlign w:val="bottom"/>
          </w:tcPr>
          <w:p>
            <w:pPr>
              <w:ind w:left="20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336"/>
        </w:trPr>
        <w:tc>
          <w:tcPr>
            <w:tcW w:w="1880" w:type="dxa"/>
            <w:vAlign w:val="bottom"/>
          </w:tcPr>
          <w:p>
            <w:pPr>
              <w:spacing w:after="0"/>
              <w:rPr>
                <w:sz w:val="20"/>
                <w:szCs w:val="20"/>
                <w:color w:val="auto"/>
              </w:rPr>
            </w:pPr>
            <w:r>
              <w:rPr>
                <w:rFonts w:ascii="Courier New" w:cs="Courier New" w:eastAsia="Courier New" w:hAnsi="Courier New"/>
                <w:sz w:val="15"/>
                <w:szCs w:val="15"/>
                <w:color w:val="auto"/>
              </w:rPr>
              <w:t>December 31, 1994</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50,232</w:t>
            </w:r>
          </w:p>
        </w:tc>
        <w:tc>
          <w:tcPr>
            <w:tcW w:w="5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$12,780</w:t>
            </w:r>
          </w:p>
        </w:tc>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$ 9,178</w:t>
            </w:r>
          </w:p>
        </w:tc>
        <w:tc>
          <w:tcPr>
            <w:tcW w:w="100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$28,274</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336"/>
        </w:trPr>
        <w:tc>
          <w:tcPr>
            <w:tcW w:w="1880" w:type="dxa"/>
            <w:vAlign w:val="bottom"/>
          </w:tcPr>
          <w:p>
            <w:pPr>
              <w:spacing w:after="0"/>
              <w:rPr>
                <w:sz w:val="20"/>
                <w:szCs w:val="20"/>
                <w:color w:val="auto"/>
              </w:rPr>
            </w:pPr>
            <w:r>
              <w:rPr>
                <w:rFonts w:ascii="Courier New" w:cs="Courier New" w:eastAsia="Courier New" w:hAnsi="Courier New"/>
                <w:sz w:val="15"/>
                <w:szCs w:val="15"/>
                <w:color w:val="auto"/>
              </w:rPr>
              <w:t>December 31, 1993</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275,002</w:t>
            </w:r>
          </w:p>
        </w:tc>
        <w:tc>
          <w:tcPr>
            <w:tcW w:w="12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$81,637</w:t>
            </w:r>
          </w:p>
        </w:tc>
        <w:tc>
          <w:tcPr>
            <w:tcW w:w="11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$39,835</w:t>
            </w:r>
          </w:p>
        </w:tc>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$77,486</w:t>
            </w:r>
          </w:p>
        </w:tc>
        <w:tc>
          <w:tcPr>
            <w:tcW w:w="100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$76,044</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673"/>
        </w:trPr>
        <w:tc>
          <w:tcPr>
            <w:tcW w:w="1880" w:type="dxa"/>
            <w:vAlign w:val="bottom"/>
          </w:tcPr>
          <w:p>
            <w:pPr>
              <w:spacing w:after="0"/>
              <w:rPr>
                <w:sz w:val="20"/>
                <w:szCs w:val="20"/>
                <w:color w:val="auto"/>
              </w:rPr>
            </w:pPr>
            <w:r>
              <w:rPr>
                <w:rFonts w:ascii="Courier New" w:cs="Courier New" w:eastAsia="Courier New" w:hAnsi="Courier New"/>
                <w:sz w:val="15"/>
                <w:szCs w:val="15"/>
                <w:color w:val="auto"/>
              </w:rPr>
              <w:t>Tax Determination</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18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4560" w:type="dxa"/>
            <w:vAlign w:val="bottom"/>
            <w:gridSpan w:val="5"/>
          </w:tcPr>
          <w:p>
            <w:pPr>
              <w:spacing w:after="0"/>
              <w:rPr>
                <w:sz w:val="20"/>
                <w:szCs w:val="20"/>
                <w:color w:val="auto"/>
              </w:rPr>
            </w:pPr>
            <w:r>
              <w:rPr>
                <w:rFonts w:ascii="Courier New" w:cs="Courier New" w:eastAsia="Courier New" w:hAnsi="Courier New"/>
                <w:sz w:val="15"/>
                <w:szCs w:val="15"/>
                <w:color w:val="auto"/>
                <w:w w:val="96"/>
              </w:rPr>
              <w:t>The Plan obtained its latest determination letter on</w:t>
            </w:r>
          </w:p>
        </w:tc>
        <w:tc>
          <w:tcPr>
            <w:tcW w:w="206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January 30, 1995, in</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6620" w:type="dxa"/>
            <w:vAlign w:val="bottom"/>
            <w:gridSpan w:val="8"/>
          </w:tcPr>
          <w:p>
            <w:pPr>
              <w:ind w:left="260"/>
              <w:spacing w:after="0" w:line="168" w:lineRule="exact"/>
              <w:rPr>
                <w:sz w:val="20"/>
                <w:szCs w:val="20"/>
                <w:color w:val="auto"/>
              </w:rPr>
            </w:pPr>
            <w:r>
              <w:rPr>
                <w:rFonts w:ascii="Courier New" w:cs="Courier New" w:eastAsia="Courier New" w:hAnsi="Courier New"/>
                <w:sz w:val="15"/>
                <w:szCs w:val="15"/>
                <w:color w:val="auto"/>
                <w:w w:val="99"/>
              </w:rPr>
              <w:t>which the Internal Revenue Service stated that the Plan, as amended and</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3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6"/>
              </w:rPr>
              <w:t>restated January 1, 1992</w:t>
            </w:r>
          </w:p>
        </w:tc>
        <w:tc>
          <w:tcPr>
            <w:tcW w:w="3340" w:type="dxa"/>
            <w:vAlign w:val="bottom"/>
            <w:gridSpan w:val="5"/>
          </w:tcPr>
          <w:p>
            <w:pPr>
              <w:ind w:left="100"/>
              <w:spacing w:after="0" w:line="168" w:lineRule="exact"/>
              <w:rPr>
                <w:sz w:val="20"/>
                <w:szCs w:val="20"/>
                <w:color w:val="auto"/>
              </w:rPr>
            </w:pPr>
            <w:r>
              <w:rPr>
                <w:rFonts w:ascii="Courier New" w:cs="Courier New" w:eastAsia="Courier New" w:hAnsi="Courier New"/>
                <w:sz w:val="15"/>
                <w:szCs w:val="15"/>
                <w:color w:val="auto"/>
                <w:w w:val="96"/>
              </w:rPr>
              <w:t>was in compliance with the applicable</w:t>
            </w: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620" w:type="dxa"/>
            <w:vAlign w:val="bottom"/>
            <w:gridSpan w:val="8"/>
          </w:tcPr>
          <w:p>
            <w:pPr>
              <w:ind w:left="260"/>
              <w:spacing w:after="0" w:line="168" w:lineRule="exact"/>
              <w:rPr>
                <w:sz w:val="20"/>
                <w:szCs w:val="20"/>
                <w:color w:val="auto"/>
              </w:rPr>
            </w:pPr>
            <w:r>
              <w:rPr>
                <w:rFonts w:ascii="Courier New" w:cs="Courier New" w:eastAsia="Courier New" w:hAnsi="Courier New"/>
                <w:sz w:val="15"/>
                <w:szCs w:val="15"/>
                <w:color w:val="auto"/>
              </w:rPr>
              <w:t>requirements of the Internal Revenue Code. Accordingly, the following</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560" w:type="dxa"/>
            <w:vAlign w:val="bottom"/>
            <w:gridSpan w:val="5"/>
          </w:tcPr>
          <w:p>
            <w:pPr>
              <w:ind w:left="260"/>
              <w:spacing w:after="0" w:line="168" w:lineRule="exact"/>
              <w:rPr>
                <w:sz w:val="20"/>
                <w:szCs w:val="20"/>
                <w:color w:val="auto"/>
              </w:rPr>
            </w:pPr>
            <w:r>
              <w:rPr>
                <w:rFonts w:ascii="Courier New" w:cs="Courier New" w:eastAsia="Courier New" w:hAnsi="Courier New"/>
                <w:sz w:val="15"/>
                <w:szCs w:val="15"/>
                <w:color w:val="auto"/>
                <w:w w:val="99"/>
              </w:rPr>
              <w:t>Federal income tax rules will apply to the Plan:</w:t>
            </w: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173" w:lineRule="exact"/>
        <w:rPr>
          <w:sz w:val="20"/>
          <w:szCs w:val="20"/>
          <w:color w:val="auto"/>
        </w:rPr>
      </w:pPr>
    </w:p>
    <w:p>
      <w:pPr>
        <w:ind w:left="970" w:right="3499"/>
        <w:spacing w:after="0" w:line="235" w:lineRule="auto"/>
        <w:rPr>
          <w:sz w:val="20"/>
          <w:szCs w:val="20"/>
          <w:color w:val="auto"/>
        </w:rPr>
      </w:pPr>
      <w:r>
        <w:rPr>
          <w:rFonts w:ascii="Courier New" w:cs="Courier New" w:eastAsia="Courier New" w:hAnsi="Courier New"/>
          <w:sz w:val="15"/>
          <w:szCs w:val="15"/>
          <w:color w:val="auto"/>
        </w:rPr>
        <w:t>Voluntary tax-deferred contributions made under the Plan by a participant and contributions made by the Employers to participant accounts are generally not taxable until such amounts are distributed.</w:t>
      </w:r>
    </w:p>
    <w:p>
      <w:pPr>
        <w:spacing w:after="0" w:line="175" w:lineRule="exact"/>
        <w:rPr>
          <w:sz w:val="20"/>
          <w:szCs w:val="20"/>
          <w:color w:val="auto"/>
        </w:rPr>
      </w:pPr>
    </w:p>
    <w:p>
      <w:pPr>
        <w:jc w:val="both"/>
        <w:ind w:left="970" w:right="3399"/>
        <w:spacing w:after="0" w:line="261" w:lineRule="auto"/>
        <w:rPr>
          <w:sz w:val="20"/>
          <w:szCs w:val="20"/>
          <w:color w:val="auto"/>
        </w:rPr>
      </w:pPr>
      <w:r>
        <w:rPr>
          <w:rFonts w:ascii="Courier New" w:cs="Courier New" w:eastAsia="Courier New" w:hAnsi="Courier New"/>
          <w:sz w:val="14"/>
          <w:szCs w:val="14"/>
          <w:color w:val="auto"/>
        </w:rPr>
        <w:t>The participants are not subject to Federal income tax on interest, dividends, or gains in their particular accounts until distributed.</w:t>
      </w:r>
    </w:p>
    <w:p>
      <w:pPr>
        <w:spacing w:after="0" w:line="160" w:lineRule="exact"/>
        <w:rPr>
          <w:sz w:val="20"/>
          <w:szCs w:val="20"/>
          <w:color w:val="auto"/>
        </w:rPr>
      </w:pPr>
    </w:p>
    <w:p>
      <w:pPr>
        <w:ind w:left="690" w:right="3759" w:hanging="261"/>
        <w:spacing w:after="0" w:line="234" w:lineRule="auto"/>
        <w:rPr>
          <w:sz w:val="20"/>
          <w:szCs w:val="20"/>
          <w:color w:val="auto"/>
        </w:rPr>
      </w:pPr>
      <w:r>
        <w:rPr>
          <w:rFonts w:ascii="Courier New" w:cs="Courier New" w:eastAsia="Courier New" w:hAnsi="Courier New"/>
          <w:sz w:val="15"/>
          <w:szCs w:val="15"/>
          <w:color w:val="auto"/>
        </w:rPr>
        <w:t>The foregoing is only a brief summary of certain tax implications and applies only to Federal tax regulations currently in effect.</w:t>
      </w:r>
    </w:p>
    <w:p>
      <w:pPr>
        <w:spacing w:after="0" w:line="167" w:lineRule="exact"/>
        <w:rPr>
          <w:sz w:val="20"/>
          <w:szCs w:val="20"/>
          <w:color w:val="auto"/>
        </w:rPr>
      </w:pPr>
    </w:p>
    <w:p>
      <w:pPr>
        <w:ind w:left="430" w:hanging="430"/>
        <w:spacing w:after="0"/>
        <w:tabs>
          <w:tab w:leader="none" w:pos="430"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ACCOUNTING POLICIES</w:t>
      </w:r>
    </w:p>
    <w:p>
      <w:pPr>
        <w:ind w:left="43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ind w:left="690" w:right="3239" w:hanging="262"/>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Plan's financial statements are prepared on the accrual basis of accounting. Assets of the Plan are valued at fair value. If available, quoted market prices are used to value investments. The amounts for investments that have no quoted market price are shown at their estimated fair value, which is determined based on yields equivalent for such securities or for securities of comparable maturi ty, quality, and type as obtained from market makers. Guaranteed investment contracts issued by insurance companies are valued at contract value. Contract value represents contributions made under the contract, and interest at the contract rate, less Plan withdrawals and administration expenses charged by the insurance companies.</w:t>
      </w:r>
    </w:p>
    <w:p>
      <w:pPr>
        <w:spacing w:after="0" w:line="164" w:lineRule="exact"/>
        <w:rPr>
          <w:rFonts w:ascii="Courier New" w:cs="Courier New" w:eastAsia="Courier New" w:hAnsi="Courier New"/>
          <w:sz w:val="15"/>
          <w:szCs w:val="15"/>
          <w:color w:val="auto"/>
        </w:rPr>
      </w:pPr>
    </w:p>
    <w:p>
      <w:pPr>
        <w:ind w:left="690" w:right="3579" w:hanging="262"/>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Realized gains or losses on the distribution or sale of securities represent the difference between the average cost of such securities held and the fair value on the date of distribution or sale.</w:t>
      </w:r>
    </w:p>
    <w:p>
      <w:pPr>
        <w:spacing w:after="0" w:line="323"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29"/>
          </w:cols>
          <w:pgMar w:left="230" w:top="617" w:right="1440" w:bottom="1021" w:gutter="0" w:footer="0" w:header="0"/>
        </w:sectPr>
      </w:pPr>
    </w:p>
    <w:bookmarkStart w:id="180" w:name="page181"/>
    <w:bookmarkEnd w:id="180"/>
    <w:p>
      <w:pPr>
        <w:ind w:left="430"/>
        <w:spacing w:after="0"/>
        <w:rPr>
          <w:sz w:val="20"/>
          <w:szCs w:val="20"/>
          <w:color w:val="auto"/>
        </w:rPr>
      </w:pPr>
      <w:r>
        <w:rPr>
          <w:rFonts w:ascii="Courier New" w:cs="Courier New" w:eastAsia="Courier New" w:hAnsi="Courier New"/>
          <w:sz w:val="15"/>
          <w:szCs w:val="15"/>
          <w:color w:val="auto"/>
        </w:rPr>
        <w:t>Estimates</w:t>
      </w:r>
    </w:p>
    <w:p>
      <w:pPr>
        <w:ind w:left="43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690" w:right="3399" w:hanging="261"/>
        <w:spacing w:after="0" w:line="236"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the plan administrator to make estimates and assumptions that affect certain reported amounts and disclosures. Accordingly, actual results may differ from those estimates.</w:t>
      </w:r>
    </w:p>
    <w:p>
      <w:pPr>
        <w:spacing w:after="0" w:line="167" w:lineRule="exact"/>
        <w:rPr>
          <w:sz w:val="20"/>
          <w:szCs w:val="20"/>
          <w:color w:val="auto"/>
        </w:rPr>
      </w:pPr>
    </w:p>
    <w:p>
      <w:pPr>
        <w:ind w:left="430"/>
        <w:spacing w:after="0"/>
        <w:rPr>
          <w:sz w:val="20"/>
          <w:szCs w:val="20"/>
          <w:color w:val="auto"/>
        </w:rPr>
      </w:pPr>
      <w:r>
        <w:rPr>
          <w:rFonts w:ascii="Courier New" w:cs="Courier New" w:eastAsia="Courier New" w:hAnsi="Courier New"/>
          <w:sz w:val="15"/>
          <w:szCs w:val="15"/>
          <w:color w:val="auto"/>
        </w:rPr>
        <w:t>INVESTMENTS</w:t>
      </w:r>
    </w:p>
    <w:p>
      <w:pPr>
        <w:ind w:left="43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tbl>
      <w:tblPr>
        <w:tblLayout w:type="fixed"/>
        <w:tblInd w:w="430" w:type="dxa"/>
        <w:tblCellMar>
          <w:top w:w="0" w:type="dxa"/>
          <w:left w:w="0" w:type="dxa"/>
          <w:bottom w:w="0" w:type="dxa"/>
          <w:right w:w="0" w:type="dxa"/>
        </w:tblCellMar>
      </w:tblPr>
      <w:tr>
        <w:trPr>
          <w:trHeight w:val="170"/>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w w:val="97"/>
              </w:rPr>
              <w:t>Net unrealized appreciation, equal to</w:t>
            </w:r>
          </w:p>
        </w:tc>
        <w:tc>
          <w:tcPr>
            <w:tcW w:w="320" w:type="dxa"/>
            <w:vAlign w:val="bottom"/>
          </w:tcPr>
          <w:p>
            <w:pPr>
              <w:ind w:left="60"/>
              <w:spacing w:after="0"/>
              <w:rPr>
                <w:sz w:val="20"/>
                <w:szCs w:val="20"/>
                <w:color w:val="auto"/>
              </w:rPr>
            </w:pPr>
            <w:r>
              <w:rPr>
                <w:rFonts w:ascii="Courier New" w:cs="Courier New" w:eastAsia="Courier New" w:hAnsi="Courier New"/>
                <w:sz w:val="15"/>
                <w:szCs w:val="15"/>
                <w:color w:val="auto"/>
                <w:w w:val="88"/>
              </w:rPr>
              <w:t>the</w:t>
            </w:r>
          </w:p>
        </w:tc>
        <w:tc>
          <w:tcPr>
            <w:tcW w:w="960" w:type="dxa"/>
            <w:vAlign w:val="bottom"/>
          </w:tcPr>
          <w:p>
            <w:pPr>
              <w:ind w:left="80"/>
              <w:spacing w:after="0"/>
              <w:rPr>
                <w:sz w:val="20"/>
                <w:szCs w:val="20"/>
                <w:color w:val="auto"/>
              </w:rPr>
            </w:pPr>
            <w:r>
              <w:rPr>
                <w:rFonts w:ascii="Courier New" w:cs="Courier New" w:eastAsia="Courier New" w:hAnsi="Courier New"/>
                <w:sz w:val="15"/>
                <w:szCs w:val="15"/>
                <w:color w:val="auto"/>
                <w:w w:val="95"/>
              </w:rPr>
              <w:t>difference</w:t>
            </w:r>
          </w:p>
        </w:tc>
        <w:tc>
          <w:tcPr>
            <w:tcW w:w="11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between cost</w:t>
            </w:r>
          </w:p>
        </w:tc>
        <w:tc>
          <w:tcPr>
            <w:tcW w:w="1000" w:type="dxa"/>
            <w:vAlign w:val="bottom"/>
          </w:tcPr>
          <w:p>
            <w:pPr>
              <w:ind w:left="80"/>
              <w:spacing w:after="0"/>
              <w:rPr>
                <w:sz w:val="20"/>
                <w:szCs w:val="20"/>
                <w:color w:val="auto"/>
              </w:rPr>
            </w:pPr>
            <w:r>
              <w:rPr>
                <w:rFonts w:ascii="Courier New" w:cs="Courier New" w:eastAsia="Courier New" w:hAnsi="Courier New"/>
                <w:sz w:val="15"/>
                <w:szCs w:val="15"/>
                <w:color w:val="auto"/>
              </w:rPr>
              <w:t>and</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28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8"/>
              </w:rPr>
              <w:t>fair value of all investments held</w:t>
            </w:r>
          </w:p>
        </w:tc>
        <w:tc>
          <w:tcPr>
            <w:tcW w:w="3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at</w:t>
            </w:r>
          </w:p>
        </w:tc>
        <w:tc>
          <w:tcPr>
            <w:tcW w:w="21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6"/>
              </w:rPr>
              <w:t>the applicable valuation</w:t>
            </w:r>
          </w:p>
        </w:tc>
        <w:tc>
          <w:tcPr>
            <w:tcW w:w="1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dates, is</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60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w w:val="97"/>
              </w:rPr>
              <w:t>recognized in determining the value of</w:t>
            </w:r>
          </w:p>
        </w:tc>
        <w:tc>
          <w:tcPr>
            <w:tcW w:w="3100" w:type="dxa"/>
            <w:vAlign w:val="bottom"/>
            <w:gridSpan w:val="4"/>
          </w:tcPr>
          <w:p>
            <w:pPr>
              <w:ind w:left="80"/>
              <w:spacing w:after="0" w:line="168" w:lineRule="exact"/>
              <w:rPr>
                <w:sz w:val="20"/>
                <w:szCs w:val="20"/>
                <w:color w:val="auto"/>
              </w:rPr>
            </w:pPr>
            <w:r>
              <w:rPr>
                <w:rFonts w:ascii="Courier New" w:cs="Courier New" w:eastAsia="Courier New" w:hAnsi="Courier New"/>
                <w:sz w:val="15"/>
                <w:szCs w:val="15"/>
                <w:color w:val="auto"/>
              </w:rPr>
              <w:t>each fund. The unrealized</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60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w w:val="99"/>
              </w:rPr>
              <w:t>appreciation as of December 31, 1995,</w:t>
            </w:r>
          </w:p>
        </w:tc>
        <w:tc>
          <w:tcPr>
            <w:tcW w:w="1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5"/>
              </w:rPr>
              <w:t>1994 and 1993</w:t>
            </w:r>
          </w:p>
        </w:tc>
        <w:tc>
          <w:tcPr>
            <w:tcW w:w="19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is set forth below:</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673"/>
        </w:trPr>
        <w:tc>
          <w:tcPr>
            <w:tcW w:w="18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Fixed</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1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Limited</w:t>
            </w: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Income</w:t>
            </w:r>
          </w:p>
        </w:tc>
        <w:tc>
          <w:tcPr>
            <w:tcW w:w="1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Indexed</w:t>
            </w:r>
          </w:p>
        </w:tc>
        <w:tc>
          <w:tcPr>
            <w:tcW w:w="220" w:type="dxa"/>
            <w:vAlign w:val="bottom"/>
          </w:tcPr>
          <w:p>
            <w:pPr>
              <w:spacing w:after="0"/>
              <w:rPr>
                <w:sz w:val="14"/>
                <w:szCs w:val="14"/>
                <w:color w:val="auto"/>
              </w:rPr>
            </w:pP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World</w:t>
            </w:r>
          </w:p>
        </w:tc>
        <w:tc>
          <w:tcPr>
            <w:tcW w:w="8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5"/>
              </w:rPr>
              <w:t>Wellington</w:t>
            </w:r>
          </w:p>
        </w:tc>
      </w:tr>
      <w:tr>
        <w:trPr>
          <w:trHeight w:val="168"/>
        </w:trPr>
        <w:tc>
          <w:tcPr>
            <w:tcW w:w="1880" w:type="dxa"/>
            <w:vAlign w:val="bottom"/>
          </w:tcPr>
          <w:p>
            <w:pPr>
              <w:spacing w:after="0"/>
              <w:rPr>
                <w:sz w:val="14"/>
                <w:szCs w:val="14"/>
                <w:color w:val="auto"/>
              </w:rPr>
            </w:pPr>
          </w:p>
        </w:tc>
        <w:tc>
          <w:tcPr>
            <w:tcW w:w="14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Total</w:t>
            </w:r>
          </w:p>
        </w:tc>
        <w:tc>
          <w:tcPr>
            <w:tcW w:w="12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Stock Fund</w:t>
            </w:r>
          </w:p>
        </w:tc>
        <w:tc>
          <w:tcPr>
            <w:tcW w:w="180" w:type="dxa"/>
            <w:vAlign w:val="bottom"/>
          </w:tcPr>
          <w:p>
            <w:pPr>
              <w:spacing w:after="0"/>
              <w:rPr>
                <w:sz w:val="14"/>
                <w:szCs w:val="14"/>
                <w:color w:val="auto"/>
              </w:rPr>
            </w:pPr>
          </w:p>
        </w:tc>
        <w:tc>
          <w:tcPr>
            <w:tcW w:w="9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88"/>
              </w:rPr>
              <w:t>Fund</w:t>
            </w:r>
          </w:p>
        </w:tc>
        <w:tc>
          <w:tcPr>
            <w:tcW w:w="10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Fund</w:t>
            </w:r>
          </w:p>
        </w:tc>
        <w:tc>
          <w:tcPr>
            <w:tcW w:w="220" w:type="dxa"/>
            <w:vAlign w:val="bottom"/>
          </w:tcPr>
          <w:p>
            <w:pPr>
              <w:spacing w:after="0"/>
              <w:rPr>
                <w:sz w:val="14"/>
                <w:szCs w:val="14"/>
                <w:color w:val="auto"/>
              </w:rPr>
            </w:pP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Fund</w:t>
            </w:r>
          </w:p>
        </w:tc>
        <w:tc>
          <w:tcPr>
            <w:tcW w:w="8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Fund</w:t>
            </w:r>
          </w:p>
        </w:tc>
      </w:tr>
      <w:tr>
        <w:trPr>
          <w:trHeight w:val="168"/>
        </w:trPr>
        <w:tc>
          <w:tcPr>
            <w:tcW w:w="1880" w:type="dxa"/>
            <w:vAlign w:val="bottom"/>
          </w:tcPr>
          <w:p>
            <w:pPr>
              <w:spacing w:after="0"/>
              <w:rPr>
                <w:sz w:val="14"/>
                <w:szCs w:val="14"/>
                <w:color w:val="auto"/>
              </w:rPr>
            </w:pPr>
          </w:p>
        </w:tc>
        <w:tc>
          <w:tcPr>
            <w:tcW w:w="14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w w:val="93"/>
              </w:rPr>
              <w:t>----------</w:t>
            </w:r>
          </w:p>
        </w:tc>
        <w:tc>
          <w:tcPr>
            <w:tcW w:w="10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1880" w:type="dxa"/>
            <w:vAlign w:val="bottom"/>
          </w:tcPr>
          <w:p>
            <w:pPr>
              <w:spacing w:after="0"/>
              <w:rPr>
                <w:sz w:val="20"/>
                <w:szCs w:val="20"/>
                <w:color w:val="auto"/>
              </w:rPr>
            </w:pPr>
            <w:r>
              <w:rPr>
                <w:rFonts w:ascii="Courier New" w:cs="Courier New" w:eastAsia="Courier New" w:hAnsi="Courier New"/>
                <w:sz w:val="15"/>
                <w:szCs w:val="15"/>
                <w:color w:val="auto"/>
              </w:rPr>
              <w:t>December 31, 1995</w:t>
            </w:r>
          </w:p>
        </w:tc>
        <w:tc>
          <w:tcPr>
            <w:tcW w:w="1400" w:type="dxa"/>
            <w:vAlign w:val="bottom"/>
          </w:tcPr>
          <w:p>
            <w:pPr>
              <w:ind w:left="400"/>
              <w:spacing w:after="0"/>
              <w:rPr>
                <w:sz w:val="20"/>
                <w:szCs w:val="20"/>
                <w:color w:val="auto"/>
              </w:rPr>
            </w:pPr>
            <w:r>
              <w:rPr>
                <w:rFonts w:ascii="Courier New" w:cs="Courier New" w:eastAsia="Courier New" w:hAnsi="Courier New"/>
                <w:sz w:val="15"/>
                <w:szCs w:val="15"/>
                <w:color w:val="auto"/>
                <w:w w:val="98"/>
              </w:rPr>
              <w:t>$47,986,819</w:t>
            </w:r>
          </w:p>
        </w:tc>
        <w:tc>
          <w:tcPr>
            <w:tcW w:w="12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$33,181,138</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80"/>
              <w:spacing w:after="0"/>
              <w:rPr>
                <w:sz w:val="20"/>
                <w:szCs w:val="20"/>
                <w:color w:val="auto"/>
              </w:rPr>
            </w:pPr>
            <w:r>
              <w:rPr>
                <w:rFonts w:ascii="Courier New" w:cs="Courier New" w:eastAsia="Courier New" w:hAnsi="Courier New"/>
                <w:sz w:val="15"/>
                <w:szCs w:val="15"/>
                <w:color w:val="auto"/>
                <w:w w:val="99"/>
              </w:rPr>
              <w:t>$8,565,992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3"/>
              </w:rPr>
              <w:t>6,117,907</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121,782</w:t>
            </w:r>
          </w:p>
        </w:tc>
      </w:tr>
      <w:tr>
        <w:trPr>
          <w:trHeight w:val="336"/>
        </w:trPr>
        <w:tc>
          <w:tcPr>
            <w:tcW w:w="1880" w:type="dxa"/>
            <w:vAlign w:val="bottom"/>
          </w:tcPr>
          <w:p>
            <w:pPr>
              <w:spacing w:after="0"/>
              <w:rPr>
                <w:sz w:val="20"/>
                <w:szCs w:val="20"/>
                <w:color w:val="auto"/>
              </w:rPr>
            </w:pPr>
            <w:r>
              <w:rPr>
                <w:rFonts w:ascii="Courier New" w:cs="Courier New" w:eastAsia="Courier New" w:hAnsi="Courier New"/>
                <w:sz w:val="15"/>
                <w:szCs w:val="15"/>
                <w:color w:val="auto"/>
              </w:rPr>
              <w:t>December 31, 1994</w:t>
            </w:r>
          </w:p>
        </w:tc>
        <w:tc>
          <w:tcPr>
            <w:tcW w:w="1400" w:type="dxa"/>
            <w:vAlign w:val="bottom"/>
          </w:tcPr>
          <w:p>
            <w:pPr>
              <w:ind w:left="400"/>
              <w:spacing w:after="0"/>
              <w:rPr>
                <w:sz w:val="20"/>
                <w:szCs w:val="20"/>
                <w:color w:val="auto"/>
              </w:rPr>
            </w:pPr>
            <w:r>
              <w:rPr>
                <w:rFonts w:ascii="Courier New" w:cs="Courier New" w:eastAsia="Courier New" w:hAnsi="Courier New"/>
                <w:sz w:val="15"/>
                <w:szCs w:val="15"/>
                <w:color w:val="auto"/>
                <w:w w:val="98"/>
              </w:rPr>
              <w:t>$44,404,753</w:t>
            </w:r>
          </w:p>
        </w:tc>
        <w:tc>
          <w:tcPr>
            <w:tcW w:w="12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$42,740,905</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80"/>
              <w:spacing w:after="0"/>
              <w:rPr>
                <w:sz w:val="20"/>
                <w:szCs w:val="20"/>
                <w:color w:val="auto"/>
              </w:rPr>
            </w:pPr>
            <w:r>
              <w:rPr>
                <w:rFonts w:ascii="Courier New" w:cs="Courier New" w:eastAsia="Courier New" w:hAnsi="Courier New"/>
                <w:sz w:val="15"/>
                <w:szCs w:val="15"/>
                <w:color w:val="auto"/>
                <w:w w:val="99"/>
              </w:rPr>
              <w:t>$1,030,309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633,539</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6"/>
        </w:trPr>
        <w:tc>
          <w:tcPr>
            <w:tcW w:w="1880" w:type="dxa"/>
            <w:vAlign w:val="bottom"/>
          </w:tcPr>
          <w:p>
            <w:pPr>
              <w:spacing w:after="0"/>
              <w:rPr>
                <w:sz w:val="20"/>
                <w:szCs w:val="20"/>
                <w:color w:val="auto"/>
              </w:rPr>
            </w:pPr>
            <w:r>
              <w:rPr>
                <w:rFonts w:ascii="Courier New" w:cs="Courier New" w:eastAsia="Courier New" w:hAnsi="Courier New"/>
                <w:sz w:val="15"/>
                <w:szCs w:val="15"/>
                <w:color w:val="auto"/>
              </w:rPr>
              <w:t>December 31, 1993</w:t>
            </w:r>
          </w:p>
        </w:tc>
        <w:tc>
          <w:tcPr>
            <w:tcW w:w="1400" w:type="dxa"/>
            <w:vAlign w:val="bottom"/>
          </w:tcPr>
          <w:p>
            <w:pPr>
              <w:ind w:left="400"/>
              <w:spacing w:after="0"/>
              <w:rPr>
                <w:sz w:val="20"/>
                <w:szCs w:val="20"/>
                <w:color w:val="auto"/>
              </w:rPr>
            </w:pPr>
            <w:r>
              <w:rPr>
                <w:rFonts w:ascii="Courier New" w:cs="Courier New" w:eastAsia="Courier New" w:hAnsi="Courier New"/>
                <w:sz w:val="15"/>
                <w:szCs w:val="15"/>
                <w:color w:val="auto"/>
                <w:w w:val="98"/>
              </w:rPr>
              <w:t>$50,241,890</w:t>
            </w:r>
          </w:p>
        </w:tc>
        <w:tc>
          <w:tcPr>
            <w:tcW w:w="12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$48,376,318</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80"/>
              <w:spacing w:after="0"/>
              <w:rPr>
                <w:sz w:val="20"/>
                <w:szCs w:val="20"/>
                <w:color w:val="auto"/>
              </w:rPr>
            </w:pPr>
            <w:r>
              <w:rPr>
                <w:rFonts w:ascii="Courier New" w:cs="Courier New" w:eastAsia="Courier New" w:hAnsi="Courier New"/>
                <w:sz w:val="15"/>
                <w:szCs w:val="15"/>
                <w:color w:val="auto"/>
                <w:w w:val="99"/>
              </w:rPr>
              <w:t>$1,598,430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267,142</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690" w:right="3499" w:hanging="261"/>
        <w:spacing w:after="0" w:line="234" w:lineRule="auto"/>
        <w:rPr>
          <w:sz w:val="20"/>
          <w:szCs w:val="20"/>
          <w:color w:val="auto"/>
        </w:rPr>
      </w:pPr>
      <w:r>
        <w:rPr>
          <w:rFonts w:ascii="Courier New" w:cs="Courier New" w:eastAsia="Courier New" w:hAnsi="Courier New"/>
          <w:sz w:val="15"/>
          <w:szCs w:val="15"/>
          <w:color w:val="auto"/>
        </w:rPr>
        <w:t>The Following is a summary of the net gain on securities sold during the periods ended December 31, 1995, 1994 and 1993:</w:t>
      </w:r>
    </w:p>
    <w:p>
      <w:pPr>
        <w:spacing w:after="0" w:line="200" w:lineRule="exact"/>
        <w:rPr>
          <w:sz w:val="20"/>
          <w:szCs w:val="20"/>
          <w:color w:val="auto"/>
        </w:rPr>
      </w:pPr>
    </w:p>
    <w:p>
      <w:pPr>
        <w:spacing w:after="0" w:line="303" w:lineRule="exact"/>
        <w:rPr>
          <w:sz w:val="20"/>
          <w:szCs w:val="20"/>
          <w:color w:val="auto"/>
        </w:rPr>
      </w:pPr>
    </w:p>
    <w:tbl>
      <w:tblPr>
        <w:tblLayout w:type="fixed"/>
        <w:tblInd w:w="430" w:type="dxa"/>
        <w:tblCellMar>
          <w:top w:w="0" w:type="dxa"/>
          <w:left w:w="0" w:type="dxa"/>
          <w:bottom w:w="0" w:type="dxa"/>
          <w:right w:w="0" w:type="dxa"/>
        </w:tblCellMar>
      </w:tblPr>
      <w:tr>
        <w:trPr>
          <w:trHeight w:val="170"/>
        </w:trPr>
        <w:tc>
          <w:tcPr>
            <w:tcW w:w="19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Fixed</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19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Limited</w:t>
            </w:r>
          </w:p>
        </w:tc>
        <w:tc>
          <w:tcPr>
            <w:tcW w:w="11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Income</w:t>
            </w:r>
          </w:p>
        </w:tc>
        <w:tc>
          <w:tcPr>
            <w:tcW w:w="11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Indexed</w:t>
            </w:r>
          </w:p>
        </w:tc>
        <w:tc>
          <w:tcPr>
            <w:tcW w:w="2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World</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Wellington</w:t>
            </w:r>
          </w:p>
        </w:tc>
      </w:tr>
      <w:tr>
        <w:trPr>
          <w:trHeight w:val="168"/>
        </w:trPr>
        <w:tc>
          <w:tcPr>
            <w:tcW w:w="1980" w:type="dxa"/>
            <w:vAlign w:val="bottom"/>
          </w:tcPr>
          <w:p>
            <w:pPr>
              <w:spacing w:after="0"/>
              <w:rPr>
                <w:sz w:val="14"/>
                <w:szCs w:val="14"/>
                <w:color w:val="auto"/>
              </w:rPr>
            </w:pP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Total</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Stock Fund</w:t>
            </w:r>
          </w:p>
        </w:tc>
        <w:tc>
          <w:tcPr>
            <w:tcW w:w="280" w:type="dxa"/>
            <w:vAlign w:val="bottom"/>
          </w:tcPr>
          <w:p>
            <w:pPr>
              <w:spacing w:after="0"/>
              <w:rPr>
                <w:sz w:val="14"/>
                <w:szCs w:val="14"/>
                <w:color w:val="auto"/>
              </w:rPr>
            </w:pPr>
          </w:p>
        </w:tc>
        <w:tc>
          <w:tcPr>
            <w:tcW w:w="9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88"/>
              </w:rPr>
              <w:t>Fund</w:t>
            </w:r>
          </w:p>
        </w:tc>
        <w:tc>
          <w:tcPr>
            <w:tcW w:w="220" w:type="dxa"/>
            <w:vAlign w:val="bottom"/>
          </w:tcPr>
          <w:p>
            <w:pPr>
              <w:spacing w:after="0"/>
              <w:rPr>
                <w:sz w:val="14"/>
                <w:szCs w:val="14"/>
                <w:color w:val="auto"/>
              </w:rPr>
            </w:pPr>
          </w:p>
        </w:tc>
        <w:tc>
          <w:tcPr>
            <w:tcW w:w="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Fund</w:t>
            </w:r>
          </w:p>
        </w:tc>
        <w:tc>
          <w:tcPr>
            <w:tcW w:w="2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Fund</w:t>
            </w:r>
          </w:p>
        </w:tc>
        <w:tc>
          <w:tcPr>
            <w:tcW w:w="340" w:type="dxa"/>
            <w:vAlign w:val="bottom"/>
          </w:tcPr>
          <w:p>
            <w:pPr>
              <w:spacing w:after="0"/>
              <w:rPr>
                <w:sz w:val="14"/>
                <w:szCs w:val="14"/>
                <w:color w:val="auto"/>
              </w:rPr>
            </w:pP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Fund</w:t>
            </w:r>
          </w:p>
        </w:tc>
      </w:tr>
      <w:tr>
        <w:trPr>
          <w:trHeight w:val="168"/>
        </w:trPr>
        <w:tc>
          <w:tcPr>
            <w:tcW w:w="198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980" w:type="dxa"/>
            <w:vAlign w:val="bottom"/>
          </w:tcPr>
          <w:p>
            <w:pPr>
              <w:spacing w:after="0"/>
              <w:rPr>
                <w:sz w:val="20"/>
                <w:szCs w:val="20"/>
                <w:color w:val="auto"/>
              </w:rPr>
            </w:pPr>
            <w:r>
              <w:rPr>
                <w:rFonts w:ascii="Courier New" w:cs="Courier New" w:eastAsia="Courier New" w:hAnsi="Courier New"/>
                <w:sz w:val="15"/>
                <w:szCs w:val="15"/>
                <w:color w:val="auto"/>
              </w:rPr>
              <w:t>Period Ended</w:t>
            </w:r>
          </w:p>
        </w:tc>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 1995</w:t>
            </w:r>
          </w:p>
        </w:tc>
        <w:tc>
          <w:tcPr>
            <w:tcW w:w="1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1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Proceeds</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$35,829,041</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$2,804,851</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$21,155,451</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$6,616,037</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$4,986,144</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$266,558</w:t>
            </w:r>
          </w:p>
        </w:tc>
      </w:tr>
      <w:tr>
        <w:trPr>
          <w:trHeight w:val="168"/>
        </w:trPr>
        <w:tc>
          <w:tcPr>
            <w:tcW w:w="1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Cost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32,261,376</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1,222,905</w:t>
            </w:r>
          </w:p>
        </w:tc>
        <w:tc>
          <w:tcPr>
            <w:tcW w:w="28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21,155,451</w:t>
            </w:r>
          </w:p>
        </w:tc>
        <w:tc>
          <w:tcPr>
            <w:tcW w:w="2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5,519,647</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4,109,121</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254,252</w:t>
            </w:r>
          </w:p>
        </w:tc>
      </w:tr>
      <w:tr>
        <w:trPr>
          <w:trHeight w:val="168"/>
        </w:trPr>
        <w:tc>
          <w:tcPr>
            <w:tcW w:w="198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Realized Gain</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$ 3,567,665</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$1,581,946</w:t>
            </w:r>
          </w:p>
        </w:tc>
        <w:tc>
          <w:tcPr>
            <w:tcW w:w="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$1,096,390</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877,023</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$ 12,306</w:t>
            </w:r>
          </w:p>
        </w:tc>
      </w:tr>
      <w:tr>
        <w:trPr>
          <w:trHeight w:val="168"/>
        </w:trPr>
        <w:tc>
          <w:tcPr>
            <w:tcW w:w="198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980" w:type="dxa"/>
            <w:vAlign w:val="bottom"/>
          </w:tcPr>
          <w:p>
            <w:pPr>
              <w:spacing w:after="0"/>
              <w:rPr>
                <w:sz w:val="20"/>
                <w:szCs w:val="20"/>
                <w:color w:val="auto"/>
              </w:rPr>
            </w:pPr>
            <w:r>
              <w:rPr>
                <w:rFonts w:ascii="Courier New" w:cs="Courier New" w:eastAsia="Courier New" w:hAnsi="Courier New"/>
                <w:sz w:val="15"/>
                <w:szCs w:val="15"/>
                <w:color w:val="auto"/>
              </w:rPr>
              <w:t>Period Ended</w:t>
            </w:r>
          </w:p>
        </w:tc>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 1994</w:t>
            </w:r>
          </w:p>
        </w:tc>
        <w:tc>
          <w:tcPr>
            <w:tcW w:w="1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1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Proceeds</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$26,357,549</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$4,926,530</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$14,779,530</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$3,511,736</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$3,139,753</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Cost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23,323,781</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2,145,072</w:t>
            </w:r>
          </w:p>
        </w:tc>
        <w:tc>
          <w:tcPr>
            <w:tcW w:w="28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14,779,530</w:t>
            </w:r>
          </w:p>
        </w:tc>
        <w:tc>
          <w:tcPr>
            <w:tcW w:w="2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3,305,041</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3,094,138</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98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Realized Gain</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$ 3,033,768</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$2,781,458</w:t>
            </w:r>
          </w:p>
        </w:tc>
        <w:tc>
          <w:tcPr>
            <w:tcW w:w="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206,695</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45,615</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98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980" w:type="dxa"/>
            <w:vAlign w:val="bottom"/>
          </w:tcPr>
          <w:p>
            <w:pPr>
              <w:spacing w:after="0"/>
              <w:rPr>
                <w:sz w:val="20"/>
                <w:szCs w:val="20"/>
                <w:color w:val="auto"/>
              </w:rPr>
            </w:pPr>
            <w:r>
              <w:rPr>
                <w:rFonts w:ascii="Courier New" w:cs="Courier New" w:eastAsia="Courier New" w:hAnsi="Courier New"/>
                <w:sz w:val="15"/>
                <w:szCs w:val="15"/>
                <w:color w:val="auto"/>
              </w:rPr>
              <w:t>Period Ended</w:t>
            </w:r>
          </w:p>
        </w:tc>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 1993</w:t>
            </w:r>
          </w:p>
        </w:tc>
        <w:tc>
          <w:tcPr>
            <w:tcW w:w="1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1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Proceeds</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$47,420,114</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$4,627,603</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$29,287,560</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$7,187,529</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$6,317,422</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Cost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43,346,137</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1,260,434</w:t>
            </w:r>
          </w:p>
        </w:tc>
        <w:tc>
          <w:tcPr>
            <w:tcW w:w="28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29,287,560</w:t>
            </w:r>
          </w:p>
        </w:tc>
        <w:tc>
          <w:tcPr>
            <w:tcW w:w="2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6,550,603</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6,247,540</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98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Realized Gain</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$ 4,073,977</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$3,367,169</w:t>
            </w:r>
          </w:p>
        </w:tc>
        <w:tc>
          <w:tcPr>
            <w:tcW w:w="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636,926</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69,882</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98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430"/>
        <w:spacing w:after="0"/>
        <w:rPr>
          <w:sz w:val="20"/>
          <w:szCs w:val="20"/>
          <w:color w:val="auto"/>
        </w:rPr>
      </w:pPr>
      <w:r>
        <w:rPr>
          <w:rFonts w:ascii="Courier New" w:cs="Courier New" w:eastAsia="Courier New" w:hAnsi="Courier New"/>
          <w:sz w:val="15"/>
          <w:szCs w:val="15"/>
          <w:color w:val="auto"/>
        </w:rPr>
        <w:t>Contributions under the Plan are invested in one of five investment funds:</w:t>
      </w:r>
    </w:p>
    <w:p>
      <w:pPr>
        <w:spacing w:after="0" w:line="5" w:lineRule="exact"/>
        <w:rPr>
          <w:sz w:val="20"/>
          <w:szCs w:val="20"/>
          <w:color w:val="auto"/>
        </w:rPr>
      </w:pPr>
    </w:p>
    <w:p>
      <w:pPr>
        <w:ind w:left="690" w:right="3319" w:firstLine="9"/>
        <w:spacing w:after="0" w:line="255" w:lineRule="auto"/>
        <w:tabs>
          <w:tab w:leader="none" w:pos="1040"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Limited Stock Fund, consisting of common stock of The Limited, Inc., a Delaware corporation (the "Issuer") and parent company of the Employers, (2) the Fixed Income Fund, which is invested in the Vanguard Investment Contract Trust and other guaranteed investment contracts issued by insurance companies, (3) the Indexed Fund, which is invested in the Vanguard Indexed Fund, (4) the World Fund, which is invested in the Vanguard World Fund, and (5) the Wellington Fund, which is invested in the Vanguard Wellington Fund. Prior to July 1, 1995 the Wellington Fund was not an investment option.</w:t>
      </w:r>
    </w:p>
    <w:p>
      <w:pPr>
        <w:spacing w:after="0" w:line="165" w:lineRule="exact"/>
        <w:rPr>
          <w:sz w:val="20"/>
          <w:szCs w:val="20"/>
          <w:color w:val="auto"/>
        </w:rPr>
      </w:pPr>
    </w:p>
    <w:p>
      <w:pPr>
        <w:ind w:left="690" w:right="3319" w:hanging="261"/>
        <w:spacing w:after="0" w:line="236" w:lineRule="auto"/>
        <w:rPr>
          <w:sz w:val="20"/>
          <w:szCs w:val="20"/>
          <w:color w:val="auto"/>
        </w:rPr>
      </w:pPr>
      <w:r>
        <w:rPr>
          <w:rFonts w:ascii="Courier New" w:cs="Courier New" w:eastAsia="Courier New" w:hAnsi="Courier New"/>
          <w:sz w:val="15"/>
          <w:szCs w:val="15"/>
          <w:color w:val="auto"/>
        </w:rPr>
        <w:t>Participants' voluntary and Employers' contributions may be invested in any one or more of the funds, at the election of the participant. There are 6,820 partic ipants in the Limited Stock Fund, 18,815 in the Fixed Income Fund, 7,639 in the Indexed Fund, 6,320 in the World Fund, and 2,292 in the Wellington Fund at December 31, 1995.</w:t>
      </w:r>
    </w:p>
    <w:p>
      <w:pPr>
        <w:spacing w:after="0" w:line="167" w:lineRule="exact"/>
        <w:rPr>
          <w:sz w:val="20"/>
          <w:szCs w:val="20"/>
          <w:color w:val="auto"/>
        </w:rPr>
      </w:pPr>
    </w:p>
    <w:p>
      <w:pPr>
        <w:ind w:left="430" w:hanging="430"/>
        <w:spacing w:after="0"/>
        <w:tabs>
          <w:tab w:leader="none" w:pos="430"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ADMINISTRATION</w:t>
      </w:r>
    </w:p>
    <w:p>
      <w:pPr>
        <w:ind w:left="43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ind w:left="690" w:right="4099" w:hanging="262"/>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is administered by a Committee, the members of which are appointed by the Board of Directors of the Employers.</w:t>
      </w:r>
    </w:p>
    <w:p>
      <w:pPr>
        <w:spacing w:after="0" w:line="200" w:lineRule="exact"/>
        <w:rPr>
          <w:sz w:val="20"/>
          <w:szCs w:val="20"/>
          <w:color w:val="auto"/>
        </w:rPr>
      </w:pPr>
    </w:p>
    <w:p>
      <w:pPr>
        <w:spacing w:after="0" w:line="303"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29"/>
          </w:cols>
          <w:pgMar w:left="230" w:top="617" w:right="1440" w:bottom="180" w:gutter="0" w:footer="0" w:header="0"/>
        </w:sectPr>
      </w:pPr>
    </w:p>
    <w:bookmarkStart w:id="181" w:name="page182"/>
    <w:bookmarkEnd w:id="181"/>
    <w:p>
      <w:pPr>
        <w:ind w:left="430" w:hanging="430"/>
        <w:spacing w:after="0"/>
        <w:tabs>
          <w:tab w:leader="none" w:pos="43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TERMINATION</w:t>
      </w:r>
    </w:p>
    <w:p>
      <w:pPr>
        <w:ind w:left="43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ind w:left="690" w:right="3239" w:hanging="262"/>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Although the Employers have not expressed any intent, the Employers have the right under the Plan to discontinue their contributions at any time. The Limited, Inc. has the right any time, by action of its Board of Directors, to terminate the Plan subject to provisions of ERISA. Upon Plan termination or partial termination, participants will become fully vested in their accounts.</w:t>
      </w:r>
    </w:p>
    <w:p>
      <w:pPr>
        <w:spacing w:after="0" w:line="200" w:lineRule="exact"/>
        <w:rPr>
          <w:sz w:val="20"/>
          <w:szCs w:val="20"/>
          <w:color w:val="auto"/>
        </w:rPr>
      </w:pPr>
    </w:p>
    <w:p>
      <w:pPr>
        <w:spacing w:after="0" w:line="305"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F-10</w:t>
      </w:r>
    </w:p>
    <w:sectPr>
      <w:pgSz w:w="11900" w:h="16838" w:orient="portrait"/>
      <w:cols w:equalWidth="0" w:num="1">
        <w:col w:w="10229"/>
      </w:cols>
      <w:pgMar w:left="230" w:top="6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BF72B14"/>
    <w:multiLevelType w:val="hybridMultilevel"/>
    <w:lvl w:ilvl="0">
      <w:lvlJc w:val="left"/>
      <w:lvlText w:val="[%1]"/>
      <w:numFmt w:val="upperLetter"/>
      <w:start w:val="24"/>
    </w:lvl>
  </w:abstractNum>
  <w:abstractNum w:abstractNumId="1">
    <w:nsid w:val="11447B73"/>
    <w:multiLevelType w:val="hybridMultilevel"/>
    <w:lvl w:ilvl="0">
      <w:lvlJc w:val="left"/>
      <w:lvlText w:val="["/>
      <w:numFmt w:val="bullet"/>
      <w:start w:val="1"/>
    </w:lvl>
  </w:abstractNum>
  <w:abstractNum w:abstractNumId="2">
    <w:nsid w:val="42963E5A"/>
    <w:multiLevelType w:val="hybridMultilevel"/>
    <w:lvl w:ilvl="0">
      <w:lvlJc w:val="left"/>
      <w:lvlText w:val="----"/>
      <w:numFmt w:val="bullet"/>
      <w:start w:val="1"/>
    </w:lvl>
  </w:abstractNum>
  <w:abstractNum w:abstractNumId="3">
    <w:nsid w:val="A0382C5"/>
    <w:multiLevelType w:val="hybridMultilevel"/>
    <w:lvl w:ilvl="0">
      <w:lvlJc w:val="left"/>
      <w:lvlText w:val="%1."/>
      <w:numFmt w:val="upperLetter"/>
      <w:start w:val="35"/>
    </w:lvl>
  </w:abstractNum>
  <w:abstractNum w:abstractNumId="4">
    <w:nsid w:val="8F2B15E"/>
    <w:multiLevelType w:val="hybridMultilevel"/>
    <w:lvl w:ilvl="0">
      <w:lvlJc w:val="left"/>
      <w:lvlText w:val="%1."/>
      <w:numFmt w:val="decimal"/>
      <w:start w:val="3"/>
    </w:lvl>
  </w:abstractNum>
  <w:abstractNum w:abstractNumId="5">
    <w:nsid w:val="1A32234B"/>
    <w:multiLevelType w:val="hybridMultilevel"/>
    <w:lvl w:ilvl="0">
      <w:lvlJc w:val="left"/>
      <w:lvlText w:val="%1."/>
      <w:numFmt w:val="decimal"/>
      <w:start w:val="11"/>
    </w:lvl>
  </w:abstractNum>
  <w:abstractNum w:abstractNumId="6">
    <w:nsid w:val="3B0FD379"/>
    <w:multiLevelType w:val="hybridMultilevel"/>
    <w:lvl w:ilvl="0">
      <w:lvlJc w:val="left"/>
      <w:lvlText w:val="%1."/>
      <w:numFmt w:val="decimal"/>
      <w:start w:val="21"/>
    </w:lvl>
  </w:abstractNum>
  <w:abstractNum w:abstractNumId="7">
    <w:nsid w:val="68EB2F63"/>
    <w:multiLevelType w:val="hybridMultilevel"/>
    <w:lvl w:ilvl="0">
      <w:lvlJc w:val="left"/>
      <w:lvlText w:val="%1."/>
      <w:numFmt w:val="decimal"/>
      <w:start w:val="23"/>
    </w:lvl>
  </w:abstractNum>
  <w:abstractNum w:abstractNumId="8">
    <w:nsid w:val="4962813B"/>
    <w:multiLevelType w:val="hybridMultilevel"/>
    <w:lvl w:ilvl="0">
      <w:lvlJc w:val="left"/>
      <w:lvlText w:val="%1."/>
      <w:numFmt w:val="decimal"/>
      <w:start w:val="27"/>
    </w:lvl>
  </w:abstractNum>
  <w:abstractNum w:abstractNumId="9">
    <w:nsid w:val="60B6DF70"/>
    <w:multiLevelType w:val="hybridMultilevel"/>
    <w:lvl w:ilvl="0">
      <w:lvlJc w:val="left"/>
      <w:lvlText w:val="%1."/>
      <w:numFmt w:val="decimal"/>
      <w:start w:val="99"/>
    </w:lvl>
  </w:abstractNum>
  <w:abstractNum w:abstractNumId="10">
    <w:nsid w:val="6A5EE64"/>
    <w:multiLevelType w:val="hybridMultilevel"/>
    <w:lvl w:ilvl="0">
      <w:lvlJc w:val="left"/>
      <w:lvlText w:val="(%1)"/>
      <w:numFmt w:val="lowerLetter"/>
      <w:start w:val="2"/>
    </w:lvl>
  </w:abstractNum>
  <w:abstractNum w:abstractNumId="11">
    <w:nsid w:val="14330624"/>
    <w:multiLevelType w:val="hybridMultilevel"/>
    <w:lvl w:ilvl="0">
      <w:lvlJc w:val="left"/>
      <w:lvlText w:val="-"/>
      <w:numFmt w:val="bullet"/>
      <w:start w:val="1"/>
    </w:lvl>
  </w:abstractNum>
  <w:abstractNum w:abstractNumId="12">
    <w:nsid w:val="7FFFCA11"/>
    <w:multiLevelType w:val="hybridMultilevel"/>
    <w:lvl w:ilvl="0">
      <w:lvlJc w:val="left"/>
      <w:lvlText w:val="-"/>
      <w:numFmt w:val="bullet"/>
      <w:start w:val="1"/>
    </w:lvl>
  </w:abstractNum>
  <w:abstractNum w:abstractNumId="13">
    <w:nsid w:val="1A27709E"/>
    <w:multiLevelType w:val="hybridMultilevel"/>
    <w:lvl w:ilvl="0">
      <w:lvlJc w:val="left"/>
      <w:lvlText w:val="-"/>
      <w:numFmt w:val="bullet"/>
      <w:start w:val="1"/>
    </w:lvl>
  </w:abstractNum>
  <w:abstractNum w:abstractNumId="14">
    <w:nsid w:val="71EA1109"/>
    <w:multiLevelType w:val="hybridMultilevel"/>
    <w:lvl w:ilvl="0">
      <w:lvlJc w:val="left"/>
      <w:lvlText w:val="-"/>
      <w:numFmt w:val="bullet"/>
      <w:start w:val="1"/>
    </w:lvl>
  </w:abstractNum>
  <w:abstractNum w:abstractNumId="15">
    <w:nsid w:val="100F59DC"/>
    <w:multiLevelType w:val="hybridMultilevel"/>
    <w:lvl w:ilvl="0">
      <w:lvlJc w:val="left"/>
      <w:lvlText w:val="-"/>
      <w:numFmt w:val="bullet"/>
      <w:start w:val="1"/>
    </w:lvl>
  </w:abstractNum>
  <w:abstractNum w:abstractNumId="16">
    <w:nsid w:val="7FB7E0AA"/>
    <w:multiLevelType w:val="hybridMultilevel"/>
    <w:lvl w:ilvl="0">
      <w:lvlJc w:val="left"/>
      <w:lvlText w:val="-"/>
      <w:numFmt w:val="bullet"/>
      <w:start w:val="1"/>
    </w:lvl>
  </w:abstractNum>
  <w:abstractNum w:abstractNumId="17">
    <w:nsid w:val="6EB5BD4"/>
    <w:multiLevelType w:val="hybridMultilevel"/>
    <w:lvl w:ilvl="0">
      <w:lvlJc w:val="left"/>
      <w:lvlText w:val="-"/>
      <w:numFmt w:val="bullet"/>
      <w:start w:val="1"/>
    </w:lvl>
  </w:abstractNum>
  <w:abstractNum w:abstractNumId="18">
    <w:nsid w:val="6F6DD9AC"/>
    <w:multiLevelType w:val="hybridMultilevel"/>
    <w:lvl w:ilvl="0">
      <w:lvlJc w:val="left"/>
      <w:lvlText w:val="-"/>
      <w:numFmt w:val="bullet"/>
      <w:start w:val="1"/>
    </w:lvl>
  </w:abstractNum>
  <w:abstractNum w:abstractNumId="19">
    <w:nsid w:val="94211F2"/>
    <w:multiLevelType w:val="hybridMultilevel"/>
    <w:lvl w:ilvl="0">
      <w:lvlJc w:val="left"/>
      <w:lvlText w:val="-"/>
      <w:numFmt w:val="bullet"/>
      <w:start w:val="1"/>
    </w:lvl>
  </w:abstractNum>
  <w:abstractNum w:abstractNumId="20">
    <w:nsid w:val="885E1B"/>
    <w:multiLevelType w:val="hybridMultilevel"/>
    <w:lvl w:ilvl="0">
      <w:lvlJc w:val="left"/>
      <w:lvlText w:val="-"/>
      <w:numFmt w:val="bullet"/>
      <w:start w:val="1"/>
    </w:lvl>
  </w:abstractNum>
  <w:abstractNum w:abstractNumId="21">
    <w:nsid w:val="76272110"/>
    <w:multiLevelType w:val="hybridMultilevel"/>
    <w:lvl w:ilvl="0">
      <w:lvlJc w:val="left"/>
      <w:lvlText w:val="-"/>
      <w:numFmt w:val="bullet"/>
      <w:start w:val="1"/>
    </w:lvl>
  </w:abstractNum>
  <w:abstractNum w:abstractNumId="22">
    <w:nsid w:val="4C04A8AF"/>
    <w:multiLevelType w:val="hybridMultilevel"/>
    <w:lvl w:ilvl="0">
      <w:lvlJc w:val="left"/>
      <w:lvlText w:val="-"/>
      <w:numFmt w:val="bullet"/>
      <w:start w:val="1"/>
    </w:lvl>
  </w:abstractNum>
  <w:abstractNum w:abstractNumId="23">
    <w:nsid w:val="1716703B"/>
    <w:multiLevelType w:val="hybridMultilevel"/>
    <w:lvl w:ilvl="0">
      <w:lvlJc w:val="left"/>
      <w:lvlText w:val="(%1)"/>
      <w:numFmt w:val="upperLetter"/>
      <w:start w:val="1"/>
    </w:lvl>
  </w:abstractNum>
  <w:abstractNum w:abstractNumId="24">
    <w:nsid w:val="14E17E33"/>
    <w:multiLevelType w:val="hybridMultilevel"/>
    <w:lvl w:ilvl="0">
      <w:lvlJc w:val="left"/>
      <w:lvlText w:val="%1."/>
      <w:numFmt w:val="decimal"/>
      <w:start w:val="1"/>
    </w:lvl>
  </w:abstractNum>
  <w:abstractNum w:abstractNumId="25">
    <w:nsid w:val="3222E7CD"/>
    <w:multiLevelType w:val="hybridMultilevel"/>
    <w:lvl w:ilvl="0">
      <w:lvlJc w:val="left"/>
      <w:lvlText w:val="%1."/>
      <w:numFmt w:val="decimal"/>
      <w:start w:val="2"/>
    </w:lvl>
  </w:abstractNum>
  <w:abstractNum w:abstractNumId="26">
    <w:nsid w:val="74DE0EE3"/>
    <w:multiLevelType w:val="hybridMultilevel"/>
    <w:lvl w:ilvl="0">
      <w:lvlJc w:val="left"/>
      <w:lvlText w:val="%1."/>
      <w:numFmt w:val="decimal"/>
      <w:start w:val="3"/>
    </w:lvl>
  </w:abstractNum>
  <w:abstractNum w:abstractNumId="27">
    <w:nsid w:val="68EBC550"/>
    <w:multiLevelType w:val="hybridMultilevel"/>
    <w:lvl w:ilvl="0">
      <w:lvlJc w:val="left"/>
      <w:lvlText w:val="%1."/>
      <w:numFmt w:val="decimal"/>
      <w:start w:val="4"/>
    </w:lvl>
  </w:abstractNum>
  <w:abstractNum w:abstractNumId="28">
    <w:nsid w:val="2DF6D648"/>
    <w:multiLevelType w:val="hybridMultilevel"/>
    <w:lvl w:ilvl="0">
      <w:lvlJc w:val="left"/>
      <w:lvlText w:val="%1."/>
      <w:numFmt w:val="decimal"/>
      <w:start w:val="5"/>
    </w:lvl>
  </w:abstractNum>
  <w:abstractNum w:abstractNumId="29">
    <w:nsid w:val="46B7D447"/>
    <w:multiLevelType w:val="hybridMultilevel"/>
    <w:lvl w:ilvl="0">
      <w:lvlJc w:val="left"/>
      <w:lvlText w:val="%1."/>
      <w:numFmt w:val="decimal"/>
      <w:start w:val="6"/>
    </w:lvl>
  </w:abstractNum>
  <w:abstractNum w:abstractNumId="30">
    <w:nsid w:val="4A2AC315"/>
    <w:multiLevelType w:val="hybridMultilevel"/>
    <w:lvl w:ilvl="0">
      <w:lvlJc w:val="left"/>
      <w:lvlText w:val="%1."/>
      <w:numFmt w:val="decimal"/>
      <w:start w:val="7"/>
    </w:lvl>
  </w:abstractNum>
  <w:abstractNum w:abstractNumId="31">
    <w:nsid w:val="39EE015C"/>
    <w:multiLevelType w:val="hybridMultilevel"/>
    <w:lvl w:ilvl="0">
      <w:lvlJc w:val="left"/>
      <w:lvlText w:val="%1."/>
      <w:numFmt w:val="decimal"/>
      <w:start w:val="8"/>
    </w:lvl>
  </w:abstractNum>
  <w:abstractNum w:abstractNumId="32">
    <w:nsid w:val="57FC4FBB"/>
    <w:multiLevelType w:val="hybridMultilevel"/>
    <w:lvl w:ilvl="0">
      <w:lvlJc w:val="left"/>
      <w:lvlText w:val="%1."/>
      <w:numFmt w:val="decimal"/>
      <w:start w:val="9"/>
    </w:lvl>
  </w:abstractNum>
  <w:abstractNum w:abstractNumId="33">
    <w:nsid w:val="CC1016F"/>
    <w:multiLevelType w:val="hybridMultilevel"/>
    <w:lvl w:ilvl="0">
      <w:lvlJc w:val="left"/>
      <w:lvlText w:val="(%1)"/>
      <w:numFmt w:val="lowerLetter"/>
      <w:start w:val="1"/>
    </w:lvl>
  </w:abstractNum>
  <w:abstractNum w:abstractNumId="34">
    <w:nsid w:val="43F18422"/>
    <w:multiLevelType w:val="hybridMultilevel"/>
    <w:lvl w:ilvl="0">
      <w:lvlJc w:val="left"/>
      <w:lvlText w:val="(%1)"/>
      <w:numFmt w:val="lowerLetter"/>
      <w:start w:val="1"/>
    </w:lvl>
  </w:abstractNum>
  <w:abstractNum w:abstractNumId="35">
    <w:nsid w:val="60EF0119"/>
    <w:multiLevelType w:val="hybridMultilevel"/>
    <w:lvl w:ilvl="0">
      <w:lvlJc w:val="left"/>
      <w:lvlText w:val="(%1)"/>
      <w:numFmt w:val="lowerLetter"/>
      <w:start w:val="4"/>
    </w:lvl>
  </w:abstractNum>
  <w:abstractNum w:abstractNumId="36">
    <w:nsid w:val="26F324BA"/>
    <w:multiLevelType w:val="hybridMultilevel"/>
    <w:lvl w:ilvl="0">
      <w:lvlJc w:val="left"/>
      <w:lvlText w:val="(%1)"/>
      <w:numFmt w:val="lowerRoman"/>
      <w:start w:val="3"/>
    </w:lvl>
  </w:abstractNum>
  <w:abstractNum w:abstractNumId="37">
    <w:nsid w:val="7F01579B"/>
    <w:multiLevelType w:val="hybridMultilevel"/>
    <w:lvl w:ilvl="0">
      <w:lvlJc w:val="left"/>
      <w:lvlText w:val="(%1)"/>
      <w:numFmt w:val="lowerRoman"/>
      <w:start w:val="1"/>
    </w:lvl>
  </w:abstractNum>
  <w:abstractNum w:abstractNumId="38">
    <w:nsid w:val="49DA307D"/>
    <w:multiLevelType w:val="hybridMultilevel"/>
    <w:lvl w:ilvl="0">
      <w:lvlJc w:val="left"/>
      <w:lvlText w:val="(%1)"/>
      <w:numFmt w:val="lowerLetter"/>
      <w:start w:val="2"/>
    </w:lvl>
  </w:abstractNum>
  <w:abstractNum w:abstractNumId="39">
    <w:nsid w:val="7055A5F5"/>
    <w:multiLevelType w:val="hybridMultilevel"/>
    <w:lvl w:ilvl="0">
      <w:lvlJc w:val="left"/>
      <w:lvlText w:val="(%1)"/>
      <w:numFmt w:val="lowerRoman"/>
      <w:start w:val="2"/>
    </w:lvl>
  </w:abstractNum>
  <w:abstractNum w:abstractNumId="40">
    <w:nsid w:val="5FB8370B"/>
    <w:multiLevelType w:val="hybridMultilevel"/>
    <w:lvl w:ilvl="0">
      <w:lvlJc w:val="left"/>
      <w:lvlText w:val="(%1)"/>
      <w:numFmt w:val="lowerLetter"/>
      <w:start w:val="1"/>
    </w:lvl>
  </w:abstractNum>
  <w:abstractNum w:abstractNumId="41">
    <w:nsid w:val="50801EE1"/>
    <w:multiLevelType w:val="hybridMultilevel"/>
    <w:lvl w:ilvl="0">
      <w:lvlJc w:val="left"/>
      <w:lvlText w:val="(%1)"/>
      <w:numFmt w:val="lowerRoman"/>
      <w:start w:val="2"/>
    </w:lvl>
  </w:abstractNum>
  <w:abstractNum w:abstractNumId="42">
    <w:nsid w:val="488AC1A"/>
    <w:multiLevelType w:val="hybridMultilevel"/>
    <w:lvl w:ilvl="0">
      <w:lvlJc w:val="left"/>
      <w:lvlText w:val="(%1)"/>
      <w:numFmt w:val="lowerRoman"/>
      <w:start w:val="1"/>
    </w:lvl>
  </w:abstractNum>
  <w:abstractNum w:abstractNumId="43">
    <w:nsid w:val="5FB8011C"/>
    <w:multiLevelType w:val="hybridMultilevel"/>
    <w:lvl w:ilvl="0">
      <w:lvlJc w:val="left"/>
      <w:lvlText w:val="%1"/>
      <w:numFmt w:val="lowerLetter"/>
      <w:start w:val="1"/>
    </w:lvl>
    <w:lvl w:ilvl="1">
      <w:lvlJc w:val="left"/>
      <w:lvlText w:val="(%2)"/>
      <w:numFmt w:val="lowerRoman"/>
      <w:start w:val="2"/>
    </w:lvl>
  </w:abstractNum>
  <w:abstractNum w:abstractNumId="44">
    <w:nsid w:val="6AA78F7F"/>
    <w:multiLevelType w:val="hybridMultilevel"/>
    <w:lvl w:ilvl="0">
      <w:lvlJc w:val="left"/>
      <w:lvlText w:val="(%1)"/>
      <w:numFmt w:val="lowerLetter"/>
      <w:start w:val="25"/>
    </w:lvl>
    <w:lvl w:ilvl="1">
      <w:lvlJc w:val="left"/>
      <w:lvlText w:val="%2"/>
      <w:numFmt w:val="lowerRoman"/>
      <w:start w:val="1"/>
    </w:lvl>
  </w:abstractNum>
  <w:abstractNum w:abstractNumId="45">
    <w:nsid w:val="7672BD23"/>
    <w:multiLevelType w:val="hybridMultilevel"/>
    <w:lvl w:ilvl="0">
      <w:lvlJc w:val="left"/>
      <w:lvlText w:val="%1"/>
      <w:numFmt w:val="lowerRoman"/>
      <w:start w:val="1"/>
    </w:lvl>
    <w:lvl w:ilvl="1">
      <w:lvlJc w:val="left"/>
      <w:lvlText w:val="(%2)"/>
      <w:numFmt w:val="lowerLetter"/>
      <w:start w:val="2"/>
    </w:lvl>
  </w:abstractNum>
  <w:abstractNum w:abstractNumId="46">
    <w:nsid w:val="6FC75AF8"/>
    <w:multiLevelType w:val="hybridMultilevel"/>
    <w:lvl w:ilvl="0">
      <w:lvlJc w:val="left"/>
      <w:lvlText w:val="(%1)"/>
      <w:numFmt w:val="lowerRoman"/>
      <w:start w:val="3"/>
    </w:lvl>
    <w:lvl w:ilvl="1">
      <w:lvlJc w:val="left"/>
      <w:lvlText w:val="(%2)"/>
      <w:numFmt w:val="lowerLetter"/>
      <w:start w:val="3"/>
    </w:lvl>
  </w:abstractNum>
  <w:abstractNum w:abstractNumId="47">
    <w:nsid w:val="6A5F7029"/>
    <w:multiLevelType w:val="hybridMultilevel"/>
    <w:lvl w:ilvl="0">
      <w:lvlJc w:val="left"/>
      <w:lvlText w:val="(%1)"/>
      <w:numFmt w:val="lowerLetter"/>
      <w:start w:val="1"/>
    </w:lvl>
  </w:abstractNum>
  <w:abstractNum w:abstractNumId="48">
    <w:nsid w:val="7D5E18F8"/>
    <w:multiLevelType w:val="hybridMultilevel"/>
    <w:lvl w:ilvl="0">
      <w:lvlJc w:val="left"/>
      <w:lvlText w:val="(%1)"/>
      <w:numFmt w:val="lowerLetter"/>
      <w:start w:val="2"/>
    </w:lvl>
  </w:abstractNum>
  <w:abstractNum w:abstractNumId="49">
    <w:nsid w:val="5F3534A4"/>
    <w:multiLevelType w:val="hybridMultilevel"/>
    <w:lvl w:ilvl="0">
      <w:lvlJc w:val="left"/>
      <w:lvlText w:val="(%1)"/>
      <w:numFmt w:val="lowerLetter"/>
      <w:start w:val="2"/>
    </w:lvl>
  </w:abstractNum>
  <w:abstractNum w:abstractNumId="50">
    <w:nsid w:val="73A1821B"/>
    <w:multiLevelType w:val="hybridMultilevel"/>
    <w:lvl w:ilvl="0">
      <w:lvlJc w:val="left"/>
      <w:lvlText w:val="(%1)"/>
      <w:numFmt w:val="lowerLetter"/>
      <w:start w:val="2"/>
    </w:lvl>
  </w:abstractNum>
  <w:abstractNum w:abstractNumId="51">
    <w:nsid w:val="7DE67713"/>
    <w:multiLevelType w:val="hybridMultilevel"/>
    <w:lvl w:ilvl="0">
      <w:lvlJc w:val="left"/>
      <w:lvlText w:val="*"/>
      <w:numFmt w:val="bullet"/>
      <w:start w:val="1"/>
    </w:lvl>
  </w:abstractNum>
  <w:abstractNum w:abstractNumId="52">
    <w:nsid w:val="555C55B5"/>
    <w:multiLevelType w:val="hybridMultilevel"/>
    <w:lvl w:ilvl="0">
      <w:lvlJc w:val="left"/>
      <w:lvlText w:val="(%1)"/>
      <w:numFmt w:val="upperLetter"/>
      <w:start w:val="2"/>
    </w:lvl>
    <w:lvl w:ilvl="1">
      <w:lvlJc w:val="left"/>
      <w:lvlText w:val="(%2)"/>
      <w:numFmt w:val="lowerLetter"/>
      <w:start w:val="2"/>
    </w:lvl>
  </w:abstractNum>
  <w:abstractNum w:abstractNumId="53">
    <w:nsid w:val="3FA62ACA"/>
    <w:multiLevelType w:val="hybridMultilevel"/>
    <w:lvl w:ilvl="0">
      <w:lvlJc w:val="left"/>
      <w:lvlText w:val="(%1)"/>
      <w:numFmt w:val="lowerLetter"/>
      <w:start w:val="2"/>
    </w:lvl>
  </w:abstractNum>
  <w:abstractNum w:abstractNumId="54">
    <w:nsid w:val="14FCE74E"/>
    <w:multiLevelType w:val="hybridMultilevel"/>
    <w:lvl w:ilvl="0">
      <w:lvlJc w:val="left"/>
      <w:lvlText w:val="(%1)"/>
      <w:numFmt w:val="lowerLetter"/>
      <w:start w:val="2"/>
    </w:lvl>
  </w:abstractNum>
  <w:abstractNum w:abstractNumId="55">
    <w:nsid w:val="6A3DD3E8"/>
    <w:multiLevelType w:val="hybridMultilevel"/>
    <w:lvl w:ilvl="0">
      <w:lvlJc w:val="left"/>
      <w:lvlText w:val="-"/>
      <w:numFmt w:val="bullet"/>
      <w:start w:val="1"/>
    </w:lvl>
    <w:lvl w:ilvl="1">
      <w:lvlJc w:val="left"/>
      <w:lvlText w:val="(%2)"/>
      <w:numFmt w:val="lowerLetter"/>
      <w:start w:val="3"/>
    </w:lvl>
  </w:abstractNum>
  <w:abstractNum w:abstractNumId="56">
    <w:nsid w:val="71C91298"/>
    <w:multiLevelType w:val="hybridMultilevel"/>
    <w:lvl w:ilvl="0">
      <w:lvlJc w:val="left"/>
      <w:lvlText w:val="(%1)"/>
      <w:numFmt w:val="lowerLetter"/>
      <w:start w:val="5"/>
    </w:lvl>
  </w:abstractNum>
  <w:abstractNum w:abstractNumId="57">
    <w:nsid w:val="9DAF632"/>
    <w:multiLevelType w:val="hybridMultilevel"/>
    <w:lvl w:ilvl="0">
      <w:lvlJc w:val="left"/>
      <w:lvlText w:val="(%1)"/>
      <w:numFmt w:val="lowerLetter"/>
      <w:start w:val="1"/>
    </w:lvl>
  </w:abstractNum>
  <w:abstractNum w:abstractNumId="58">
    <w:nsid w:val="53299938"/>
    <w:multiLevelType w:val="hybridMultilevel"/>
    <w:lvl w:ilvl="0">
      <w:lvlJc w:val="left"/>
      <w:lvlText w:val="(%1)"/>
      <w:numFmt w:val="lowerLetter"/>
      <w:start w:val="1"/>
    </w:lvl>
  </w:abstractNum>
  <w:abstractNum w:abstractNumId="59">
    <w:nsid w:val="1FBFE8E0"/>
    <w:multiLevelType w:val="hybridMultilevel"/>
    <w:lvl w:ilvl="0">
      <w:lvlJc w:val="left"/>
      <w:lvlText w:val="(%1)"/>
      <w:numFmt w:val="lowerRoman"/>
      <w:start w:val="1"/>
    </w:lvl>
  </w:abstractNum>
  <w:abstractNum w:abstractNumId="60">
    <w:nsid w:val="5092CA79"/>
    <w:multiLevelType w:val="hybridMultilevel"/>
    <w:lvl w:ilvl="0">
      <w:lvlJc w:val="left"/>
      <w:lvlText w:val="(%1)"/>
      <w:numFmt w:val="lowerRoman"/>
      <w:start w:val="2"/>
    </w:lvl>
  </w:abstractNum>
  <w:abstractNum w:abstractNumId="61">
    <w:nsid w:val="1D545C4D"/>
    <w:multiLevelType w:val="hybridMultilevel"/>
    <w:lvl w:ilvl="0">
      <w:lvlJc w:val="left"/>
      <w:lvlText w:val="(%1)"/>
      <w:numFmt w:val="lowerLetter"/>
      <w:start w:val="1"/>
    </w:lvl>
  </w:abstractNum>
  <w:abstractNum w:abstractNumId="62">
    <w:nsid w:val="59ADEA3D"/>
    <w:multiLevelType w:val="hybridMultilevel"/>
    <w:lvl w:ilvl="0">
      <w:lvlJc w:val="left"/>
      <w:lvlText w:val="%1"/>
      <w:numFmt w:val="lowerLetter"/>
      <w:start w:val="1"/>
    </w:lvl>
    <w:lvl w:ilvl="1">
      <w:lvlJc w:val="left"/>
      <w:lvlText w:val="(%2)"/>
      <w:numFmt w:val="lowerLetter"/>
      <w:start w:val="4"/>
    </w:lvl>
  </w:abstractNum>
  <w:abstractNum w:abstractNumId="63">
    <w:nsid w:val="288F1A34"/>
    <w:multiLevelType w:val="hybridMultilevel"/>
    <w:lvl w:ilvl="0">
      <w:lvlJc w:val="left"/>
      <w:lvlText w:val="(%1)"/>
      <w:numFmt w:val="lowerLetter"/>
      <w:start w:val="61"/>
    </w:lvl>
    <w:lvl w:ilvl="1">
      <w:lvlJc w:val="left"/>
      <w:lvlText w:val="%2"/>
      <w:numFmt w:val="lowerLetter"/>
      <w:start w:val="1"/>
    </w:lvl>
  </w:abstractNum>
  <w:abstractNum w:abstractNumId="64">
    <w:nsid w:val="2A155DBC"/>
    <w:multiLevelType w:val="hybridMultilevel"/>
    <w:lvl w:ilvl="0">
      <w:lvlJc w:val="left"/>
      <w:lvlText w:val="(%1)"/>
      <w:numFmt w:val="lowerRoman"/>
      <w:start w:val="1"/>
    </w:lvl>
  </w:abstractNum>
  <w:abstractNum w:abstractNumId="65">
    <w:nsid w:val="1D9F6E5F"/>
    <w:multiLevelType w:val="hybridMultilevel"/>
    <w:lvl w:ilvl="0">
      <w:lvlJc w:val="left"/>
      <w:lvlText w:val="(%1)"/>
      <w:numFmt w:val="lowerRoman"/>
      <w:start w:val="3"/>
    </w:lvl>
  </w:abstractNum>
  <w:abstractNum w:abstractNumId="66">
    <w:nsid w:val="97E1B4E"/>
    <w:multiLevelType w:val="hybridMultilevel"/>
    <w:lvl w:ilvl="0">
      <w:lvlJc w:val="left"/>
      <w:lvlText w:val="(%1)"/>
      <w:numFmt w:val="lowerLetter"/>
      <w:start w:val="25"/>
    </w:lvl>
  </w:abstractNum>
  <w:abstractNum w:abstractNumId="67">
    <w:nsid w:val="51088277"/>
    <w:multiLevelType w:val="hybridMultilevel"/>
    <w:lvl w:ilvl="0">
      <w:lvlJc w:val="left"/>
      <w:lvlText w:val="(%1)"/>
      <w:numFmt w:val="lowerLetter"/>
      <w:start w:val="9"/>
    </w:lvl>
  </w:abstractNum>
  <w:abstractNum w:abstractNumId="68">
    <w:nsid w:val="1CA0C5FA"/>
    <w:multiLevelType w:val="hybridMultilevel"/>
    <w:lvl w:ilvl="0">
      <w:lvlJc w:val="left"/>
      <w:lvlText w:val="(%1)"/>
      <w:numFmt w:val="lowerRoman"/>
      <w:start w:val="2"/>
    </w:lvl>
  </w:abstractNum>
  <w:abstractNum w:abstractNumId="69">
    <w:nsid w:val="53584BCB"/>
    <w:multiLevelType w:val="hybridMultilevel"/>
    <w:lvl w:ilvl="0">
      <w:lvlJc w:val="left"/>
      <w:lvlText w:val="(%1)"/>
      <w:numFmt w:val="lowerLetter"/>
      <w:start w:val="2"/>
    </w:lvl>
  </w:abstractNum>
  <w:abstractNum w:abstractNumId="70">
    <w:nsid w:val="415E286C"/>
    <w:multiLevelType w:val="hybridMultilevel"/>
    <w:lvl w:ilvl="0">
      <w:lvlJc w:val="left"/>
      <w:lvlText w:val="(%1)"/>
      <w:numFmt w:val="lowerLetter"/>
      <w:start w:val="2"/>
    </w:lvl>
  </w:abstractNum>
  <w:abstractNum w:abstractNumId="71">
    <w:nsid w:val="7C58FD05"/>
    <w:multiLevelType w:val="hybridMultilevel"/>
    <w:lvl w:ilvl="0">
      <w:lvlJc w:val="left"/>
      <w:lvlText w:val="(%1)"/>
      <w:numFmt w:val="lowerRoman"/>
      <w:start w:val="2"/>
    </w:lvl>
  </w:abstractNum>
  <w:abstractNum w:abstractNumId="72">
    <w:nsid w:val="23D86AAC"/>
    <w:multiLevelType w:val="hybridMultilevel"/>
    <w:lvl w:ilvl="0">
      <w:lvlJc w:val="left"/>
      <w:lvlText w:val="-"/>
      <w:numFmt w:val="bullet"/>
      <w:start w:val="1"/>
    </w:lvl>
  </w:abstractNum>
  <w:abstractNum w:abstractNumId="73">
    <w:nsid w:val="45E6D486"/>
    <w:multiLevelType w:val="hybridMultilevel"/>
    <w:lvl w:ilvl="0">
      <w:lvlJc w:val="left"/>
      <w:lvlText w:val="-"/>
      <w:numFmt w:val="bullet"/>
      <w:start w:val="1"/>
    </w:lvl>
  </w:abstractNum>
  <w:abstractNum w:abstractNumId="74">
    <w:nsid w:val="5C10FE21"/>
    <w:multiLevelType w:val="hybridMultilevel"/>
    <w:lvl w:ilvl="0">
      <w:lvlJc w:val="left"/>
      <w:lvlText w:val="-"/>
      <w:numFmt w:val="bullet"/>
      <w:start w:val="1"/>
    </w:lvl>
  </w:abstractNum>
  <w:abstractNum w:abstractNumId="75">
    <w:nsid w:val="E7FFA2B"/>
    <w:multiLevelType w:val="hybridMultilevel"/>
    <w:lvl w:ilvl="0">
      <w:lvlJc w:val="left"/>
      <w:lvlText w:val="-"/>
      <w:numFmt w:val="bullet"/>
      <w:start w:val="1"/>
    </w:lvl>
  </w:abstractNum>
  <w:abstractNum w:abstractNumId="76">
    <w:nsid w:val="3C5991AA"/>
    <w:multiLevelType w:val="hybridMultilevel"/>
    <w:lvl w:ilvl="0">
      <w:lvlJc w:val="left"/>
      <w:lvlText w:val="-"/>
      <w:numFmt w:val="bullet"/>
      <w:start w:val="1"/>
    </w:lvl>
  </w:abstractNum>
  <w:abstractNum w:abstractNumId="77">
    <w:nsid w:val="4BD8591A"/>
    <w:multiLevelType w:val="hybridMultilevel"/>
    <w:lvl w:ilvl="0">
      <w:lvlJc w:val="left"/>
      <w:lvlText w:val="-"/>
      <w:numFmt w:val="bullet"/>
      <w:start w:val="1"/>
    </w:lvl>
    <w:lvl w:ilvl="1">
      <w:lvlJc w:val="left"/>
      <w:lvlText w:val=","/>
      <w:numFmt w:val="bullet"/>
      <w:start w:val="1"/>
    </w:lvl>
  </w:abstractNum>
  <w:abstractNum w:abstractNumId="78">
    <w:nsid w:val="78DF6A55"/>
    <w:multiLevelType w:val="hybridMultilevel"/>
    <w:lvl w:ilvl="0">
      <w:lvlJc w:val="left"/>
      <w:lvlText w:val="%1."/>
      <w:numFmt w:val="decimal"/>
      <w:start w:val="4"/>
    </w:lvl>
  </w:abstractNum>
  <w:abstractNum w:abstractNumId="79">
    <w:nsid w:val="39B7AAA2"/>
    <w:multiLevelType w:val="hybridMultilevel"/>
    <w:lvl w:ilvl="0">
      <w:lvlJc w:val="left"/>
      <w:lvlText w:val="%1."/>
      <w:numFmt w:val="decimal"/>
      <w:start w:val="1"/>
    </w:lvl>
  </w:abstractNum>
  <w:abstractNum w:abstractNumId="80">
    <w:nsid w:val="2B0D8DBE"/>
    <w:multiLevelType w:val="hybridMultilevel"/>
    <w:lvl w:ilvl="0">
      <w:lvlJc w:val="left"/>
      <w:lvlText w:val="%1."/>
      <w:numFmt w:val="decimal"/>
      <w:start w:val="2"/>
    </w:lvl>
  </w:abstractNum>
  <w:abstractNum w:abstractNumId="81">
    <w:nsid w:val="6C80EC70"/>
    <w:multiLevelType w:val="hybridMultilevel"/>
    <w:lvl w:ilvl="0">
      <w:lvlJc w:val="left"/>
      <w:lvlText w:val="%1."/>
      <w:numFmt w:val="decimal"/>
      <w:start w:val="1"/>
    </w:lvl>
  </w:abstractNum>
  <w:abstractNum w:abstractNumId="82">
    <w:nsid w:val="379E21B5"/>
    <w:multiLevelType w:val="hybridMultilevel"/>
    <w:lvl w:ilvl="0">
      <w:lvlJc w:val="left"/>
      <w:lvlText w:val="%1."/>
      <w:numFmt w:val="decimal"/>
      <w:start w:val="3"/>
    </w:lvl>
  </w:abstractNum>
  <w:abstractNum w:abstractNumId="83">
    <w:nsid w:val="69E373"/>
    <w:multiLevelType w:val="hybridMultilevel"/>
    <w:lvl w:ilvl="0">
      <w:lvlJc w:val="left"/>
      <w:lvlText w:val="-"/>
      <w:numFmt w:val="bullet"/>
      <w:start w:val="1"/>
    </w:lvl>
    <w:lvl w:ilvl="1">
      <w:lvlJc w:val="left"/>
      <w:lvlText w:val=","/>
      <w:numFmt w:val="bullet"/>
      <w:start w:val="1"/>
    </w:lvl>
  </w:abstractNum>
  <w:abstractNum w:abstractNumId="84">
    <w:nsid w:val="2C27173B"/>
    <w:multiLevelType w:val="hybridMultilevel"/>
    <w:lvl w:ilvl="0">
      <w:lvlJc w:val="left"/>
      <w:lvlText w:val="%1."/>
      <w:numFmt w:val="decimal"/>
      <w:start w:val="1"/>
    </w:lvl>
  </w:abstractNum>
  <w:abstractNum w:abstractNumId="85">
    <w:nsid w:val="4C9B0904"/>
    <w:multiLevelType w:val="hybridMultilevel"/>
    <w:lvl w:ilvl="0">
      <w:lvlJc w:val="left"/>
      <w:lvlText w:val="-"/>
      <w:numFmt w:val="bullet"/>
      <w:start w:val="1"/>
    </w:lvl>
    <w:lvl w:ilvl="1">
      <w:lvlJc w:val="left"/>
      <w:lvlText w:val="*"/>
      <w:numFmt w:val="bullet"/>
      <w:start w:val="1"/>
    </w:lvl>
  </w:abstractNum>
  <w:abstractNum w:abstractNumId="86">
    <w:nsid w:val="6AA7B75C"/>
    <w:multiLevelType w:val="hybridMultilevel"/>
    <w:lvl w:ilvl="0">
      <w:lvlJc w:val="left"/>
      <w:lvlText w:val="-"/>
      <w:numFmt w:val="bullet"/>
      <w:start w:val="1"/>
    </w:lvl>
  </w:abstractNum>
  <w:abstractNum w:abstractNumId="87">
    <w:nsid w:val="1DF029D3"/>
    <w:multiLevelType w:val="hybridMultilevel"/>
    <w:lvl w:ilvl="0">
      <w:lvlJc w:val="left"/>
      <w:lvlText w:val="-"/>
      <w:numFmt w:val="bullet"/>
      <w:start w:val="1"/>
    </w:lvl>
  </w:abstractNum>
  <w:abstractNum w:abstractNumId="88">
    <w:nsid w:val="5675FF36"/>
    <w:multiLevelType w:val="hybridMultilevel"/>
    <w:lvl w:ilvl="0">
      <w:lvlJc w:val="left"/>
      <w:lvlText w:val="*"/>
      <w:numFmt w:val="bullet"/>
      <w:start w:val="1"/>
    </w:lvl>
  </w:abstractNum>
  <w:abstractNum w:abstractNumId="89">
    <w:nsid w:val="3DD15094"/>
    <w:multiLevelType w:val="hybridMultilevel"/>
    <w:lvl w:ilvl="0">
      <w:lvlJc w:val="left"/>
      <w:lvlText w:val="(%1)"/>
      <w:numFmt w:val="lowerLetter"/>
      <w:start w:val="1"/>
    </w:lvl>
  </w:abstractNum>
  <w:abstractNum w:abstractNumId="90">
    <w:nsid w:val="3DB012B3"/>
    <w:multiLevelType w:val="hybridMultilevel"/>
    <w:lvl w:ilvl="0">
      <w:lvlJc w:val="left"/>
      <w:lvlText w:val="."/>
      <w:numFmt w:val="bullet"/>
      <w:start w:val="1"/>
    </w:lvl>
  </w:abstractNum>
  <w:abstractNum w:abstractNumId="91">
    <w:nsid w:val="2708C9AF"/>
    <w:multiLevelType w:val="hybridMultilevel"/>
    <w:lvl w:ilvl="0">
      <w:lvlJc w:val="left"/>
      <w:lvlText w:val="."/>
      <w:numFmt w:val="bullet"/>
      <w:start w:val="1"/>
    </w:lvl>
  </w:abstractNum>
  <w:abstractNum w:abstractNumId="92">
    <w:nsid w:val="5B25ACE2"/>
    <w:multiLevelType w:val="hybridMultilevel"/>
    <w:lvl w:ilvl="0">
      <w:lvlJc w:val="left"/>
      <w:lvlText w:val="."/>
      <w:numFmt w:val="bullet"/>
      <w:start w:val="1"/>
    </w:lvl>
  </w:abstractNum>
  <w:abstractNum w:abstractNumId="93">
    <w:nsid w:val="175DFCF0"/>
    <w:multiLevelType w:val="hybridMultilevel"/>
    <w:lvl w:ilvl="0">
      <w:lvlJc w:val="left"/>
      <w:lvlText w:val="-"/>
      <w:numFmt w:val="bullet"/>
      <w:start w:val="1"/>
    </w:lvl>
    <w:lvl w:ilvl="1">
      <w:lvlJc w:val="left"/>
      <w:lvlText w:val="%"/>
      <w:numFmt w:val="bullet"/>
      <w:start w:val="1"/>
    </w:lvl>
  </w:abstractNum>
  <w:abstractNum w:abstractNumId="94">
    <w:nsid w:val="4F97E3E4"/>
    <w:multiLevelType w:val="hybridMultilevel"/>
    <w:lvl w:ilvl="0">
      <w:lvlJc w:val="left"/>
      <w:lvlText w:val="-"/>
      <w:numFmt w:val="bullet"/>
      <w:start w:val="1"/>
    </w:lvl>
  </w:abstractNum>
  <w:abstractNum w:abstractNumId="95">
    <w:nsid w:val="53B0A9E"/>
    <w:multiLevelType w:val="hybridMultilevel"/>
    <w:lvl w:ilvl="0">
      <w:lvlJc w:val="left"/>
      <w:lvlText w:val="-"/>
      <w:numFmt w:val="bullet"/>
      <w:start w:val="1"/>
    </w:lvl>
  </w:abstractNum>
  <w:abstractNum w:abstractNumId="96">
    <w:nsid w:val="34FD6B4F"/>
    <w:multiLevelType w:val="hybridMultilevel"/>
    <w:lvl w:ilvl="0">
      <w:lvlJc w:val="left"/>
      <w:lvlText w:val="-"/>
      <w:numFmt w:val="bullet"/>
      <w:start w:val="1"/>
    </w:lvl>
  </w:abstractNum>
  <w:abstractNum w:abstractNumId="97">
    <w:nsid w:val="5915FF32"/>
    <w:multiLevelType w:val="hybridMultilevel"/>
    <w:lvl w:ilvl="0">
      <w:lvlJc w:val="left"/>
      <w:lvlText w:val="-"/>
      <w:numFmt w:val="bullet"/>
      <w:start w:val="1"/>
    </w:lvl>
  </w:abstractNum>
  <w:abstractNum w:abstractNumId="98">
    <w:nsid w:val="56438D15"/>
    <w:multiLevelType w:val="hybridMultilevel"/>
    <w:lvl w:ilvl="0">
      <w:lvlJc w:val="left"/>
      <w:lvlText w:val="&amp;"/>
      <w:numFmt w:val="bullet"/>
      <w:start w:val="1"/>
    </w:lvl>
  </w:abstractNum>
  <w:abstractNum w:abstractNumId="99">
    <w:nsid w:val="519E3149"/>
    <w:multiLevelType w:val="hybridMultilevel"/>
    <w:lvl w:ilvl="0">
      <w:lvlJc w:val="left"/>
      <w:lvlText w:val="-"/>
      <w:numFmt w:val="bullet"/>
      <w:start w:val="1"/>
    </w:lvl>
  </w:abstractNum>
  <w:abstractNum w:abstractNumId="100">
    <w:nsid w:val="2C6E4AFD"/>
    <w:multiLevelType w:val="hybridMultilevel"/>
    <w:lvl w:ilvl="0">
      <w:lvlJc w:val="left"/>
      <w:lvlText w:val="-"/>
      <w:numFmt w:val="bullet"/>
      <w:start w:val="1"/>
    </w:lvl>
  </w:abstractNum>
  <w:abstractNum w:abstractNumId="101">
    <w:nsid w:val="17A1B582"/>
    <w:multiLevelType w:val="hybridMultilevel"/>
    <w:lvl w:ilvl="0">
      <w:lvlJc w:val="left"/>
      <w:lvlText w:val="-"/>
      <w:numFmt w:val="bullet"/>
      <w:start w:val="1"/>
    </w:lvl>
  </w:abstractNum>
  <w:abstractNum w:abstractNumId="102">
    <w:nsid w:val="4DF72E4E"/>
    <w:multiLevelType w:val="hybridMultilevel"/>
    <w:lvl w:ilvl="0">
      <w:lvlJc w:val="left"/>
      <w:lvlText w:val="-"/>
      <w:numFmt w:val="bullet"/>
      <w:start w:val="1"/>
    </w:lvl>
  </w:abstractNum>
  <w:abstractNum w:abstractNumId="103">
    <w:nsid w:val="5046B5A9"/>
    <w:multiLevelType w:val="hybridMultilevel"/>
    <w:lvl w:ilvl="0">
      <w:lvlJc w:val="left"/>
      <w:lvlText w:val="-"/>
      <w:numFmt w:val="bullet"/>
      <w:start w:val="1"/>
    </w:lvl>
  </w:abstractNum>
  <w:abstractNum w:abstractNumId="104">
    <w:nsid w:val="5D888A08"/>
    <w:multiLevelType w:val="hybridMultilevel"/>
    <w:lvl w:ilvl="0">
      <w:lvlJc w:val="left"/>
      <w:lvlText w:val="-"/>
      <w:numFmt w:val="bullet"/>
      <w:start w:val="1"/>
    </w:lvl>
  </w:abstractNum>
  <w:abstractNum w:abstractNumId="105">
    <w:nsid w:val="2A082C70"/>
    <w:multiLevelType w:val="hybridMultilevel"/>
    <w:lvl w:ilvl="0">
      <w:lvlJc w:val="left"/>
      <w:lvlText w:val="-"/>
      <w:numFmt w:val="bullet"/>
      <w:start w:val="1"/>
    </w:lvl>
  </w:abstractNum>
  <w:abstractNum w:abstractNumId="106">
    <w:nsid w:val="5EC6AFD4"/>
    <w:multiLevelType w:val="hybridMultilevel"/>
    <w:lvl w:ilvl="0">
      <w:lvlJc w:val="left"/>
      <w:lvlText w:val="-"/>
      <w:numFmt w:val="bullet"/>
      <w:start w:val="1"/>
    </w:lvl>
  </w:abstractNum>
  <w:abstractNum w:abstractNumId="107">
    <w:nsid w:val="19E21BB2"/>
    <w:multiLevelType w:val="hybridMultilevel"/>
    <w:lvl w:ilvl="0">
      <w:lvlJc w:val="left"/>
      <w:lvlText w:val="-"/>
      <w:numFmt w:val="bullet"/>
      <w:start w:val="1"/>
    </w:lvl>
  </w:abstractNum>
  <w:abstractNum w:abstractNumId="108">
    <w:nsid w:val="75E0858A"/>
    <w:multiLevelType w:val="hybridMultilevel"/>
    <w:lvl w:ilvl="0">
      <w:lvlJc w:val="left"/>
      <w:lvlText w:val="-"/>
      <w:numFmt w:val="bullet"/>
      <w:start w:val="1"/>
    </w:lvl>
  </w:abstractNum>
  <w:abstractNum w:abstractNumId="109">
    <w:nsid w:val="57A61A29"/>
    <w:multiLevelType w:val="hybridMultilevel"/>
    <w:lvl w:ilvl="0">
      <w:lvlJc w:val="left"/>
      <w:lvlText w:val="-"/>
      <w:numFmt w:val="bullet"/>
      <w:start w:val="1"/>
    </w:lvl>
  </w:abstractNum>
  <w:abstractNum w:abstractNumId="110">
    <w:nsid w:val="5399C654"/>
    <w:multiLevelType w:val="hybridMultilevel"/>
    <w:lvl w:ilvl="0">
      <w:lvlJc w:val="left"/>
      <w:lvlText w:val="-"/>
      <w:numFmt w:val="bullet"/>
      <w:start w:val="1"/>
    </w:lvl>
  </w:abstractNum>
  <w:abstractNum w:abstractNumId="111">
    <w:nsid w:val="20EE1348"/>
    <w:multiLevelType w:val="hybridMultilevel"/>
    <w:lvl w:ilvl="0">
      <w:lvlJc w:val="left"/>
      <w:lvlText w:val="-"/>
      <w:numFmt w:val="bullet"/>
      <w:start w:val="1"/>
    </w:lvl>
  </w:abstractNum>
  <w:abstractNum w:abstractNumId="112">
    <w:nsid w:val="4427069A"/>
    <w:multiLevelType w:val="hybridMultilevel"/>
    <w:lvl w:ilvl="0">
      <w:lvlJc w:val="left"/>
      <w:lvlText w:val="-"/>
      <w:numFmt w:val="bullet"/>
      <w:start w:val="1"/>
    </w:lvl>
  </w:abstractNum>
  <w:abstractNum w:abstractNumId="113">
    <w:nsid w:val="B37E80A"/>
    <w:multiLevelType w:val="hybridMultilevel"/>
    <w:lvl w:ilvl="0">
      <w:lvlJc w:val="left"/>
      <w:lvlText w:val="-"/>
      <w:numFmt w:val="bullet"/>
      <w:start w:val="1"/>
    </w:lvl>
  </w:abstractNum>
  <w:abstractNum w:abstractNumId="114">
    <w:nsid w:val="2157F6BC"/>
    <w:multiLevelType w:val="hybridMultilevel"/>
    <w:lvl w:ilvl="0">
      <w:lvlJc w:val="left"/>
      <w:lvlText w:val="-"/>
      <w:numFmt w:val="bullet"/>
      <w:start w:val="1"/>
    </w:lvl>
  </w:abstractNum>
  <w:abstractNum w:abstractNumId="115">
    <w:nsid w:val="704E1DD5"/>
    <w:multiLevelType w:val="hybridMultilevel"/>
    <w:lvl w:ilvl="0">
      <w:lvlJc w:val="left"/>
      <w:lvlText w:val="-"/>
      <w:numFmt w:val="bullet"/>
      <w:start w:val="1"/>
    </w:lvl>
  </w:abstractNum>
  <w:abstractNum w:abstractNumId="116">
    <w:nsid w:val="57D2F10E"/>
    <w:multiLevelType w:val="hybridMultilevel"/>
    <w:lvl w:ilvl="0">
      <w:lvlJc w:val="left"/>
      <w:lvlText w:val="-"/>
      <w:numFmt w:val="bullet"/>
      <w:start w:val="1"/>
    </w:lvl>
  </w:abstractNum>
  <w:abstractNum w:abstractNumId="117">
    <w:nsid w:val="BFFAE18"/>
    <w:multiLevelType w:val="hybridMultilevel"/>
    <w:lvl w:ilvl="0">
      <w:lvlJc w:val="left"/>
      <w:lvlText w:val="-"/>
      <w:numFmt w:val="bullet"/>
      <w:start w:val="1"/>
    </w:lvl>
  </w:abstractNum>
  <w:abstractNum w:abstractNumId="118">
    <w:nsid w:val="E3E47A8"/>
    <w:multiLevelType w:val="hybridMultilevel"/>
    <w:lvl w:ilvl="0">
      <w:lvlJc w:val="left"/>
      <w:lvlText w:val="-"/>
      <w:numFmt w:val="bullet"/>
      <w:start w:val="1"/>
    </w:lvl>
  </w:abstractNum>
  <w:abstractNum w:abstractNumId="119">
    <w:nsid w:val="2E48F044"/>
    <w:multiLevelType w:val="hybridMultilevel"/>
    <w:lvl w:ilvl="0">
      <w:lvlJc w:val="left"/>
      <w:lvlText w:val="-"/>
      <w:numFmt w:val="bullet"/>
      <w:start w:val="1"/>
    </w:lvl>
  </w:abstractNum>
  <w:abstractNum w:abstractNumId="120">
    <w:nsid w:val="49D0FEAC"/>
    <w:multiLevelType w:val="hybridMultilevel"/>
    <w:lvl w:ilvl="0">
      <w:lvlJc w:val="left"/>
      <w:lvlText w:val="-"/>
      <w:numFmt w:val="bullet"/>
      <w:start w:val="1"/>
    </w:lvl>
  </w:abstractNum>
  <w:abstractNum w:abstractNumId="121">
    <w:nsid w:val="4BEE5A5B"/>
    <w:multiLevelType w:val="hybridMultilevel"/>
    <w:lvl w:ilvl="0">
      <w:lvlJc w:val="left"/>
      <w:lvlText w:val="-"/>
      <w:numFmt w:val="bullet"/>
      <w:start w:val="1"/>
    </w:lvl>
  </w:abstractNum>
  <w:abstractNum w:abstractNumId="122">
    <w:nsid w:val="5551B9F3"/>
    <w:multiLevelType w:val="hybridMultilevel"/>
    <w:lvl w:ilvl="0">
      <w:lvlJc w:val="left"/>
      <w:lvlText w:val="-"/>
      <w:numFmt w:val="bullet"/>
      <w:start w:val="1"/>
    </w:lvl>
  </w:abstractNum>
  <w:abstractNum w:abstractNumId="123">
    <w:nsid w:val="24F6AB8E"/>
    <w:multiLevelType w:val="hybridMultilevel"/>
    <w:lvl w:ilvl="0">
      <w:lvlJc w:val="left"/>
      <w:lvlText w:val="-"/>
      <w:numFmt w:val="bullet"/>
      <w:start w:val="1"/>
    </w:lvl>
  </w:abstractNum>
  <w:abstractNum w:abstractNumId="124">
    <w:nsid w:val="634C574C"/>
    <w:multiLevelType w:val="hybridMultilevel"/>
    <w:lvl w:ilvl="0">
      <w:lvlJc w:val="left"/>
      <w:lvlText w:val="-"/>
      <w:numFmt w:val="bullet"/>
      <w:start w:val="1"/>
    </w:lvl>
  </w:abstractNum>
  <w:abstractNum w:abstractNumId="125">
    <w:nsid w:val="24E99DD7"/>
    <w:multiLevelType w:val="hybridMultilevel"/>
    <w:lvl w:ilvl="0">
      <w:lvlJc w:val="left"/>
      <w:lvlText w:val="-"/>
      <w:numFmt w:val="bullet"/>
      <w:start w:val="1"/>
    </w:lvl>
  </w:abstractNum>
  <w:abstractNum w:abstractNumId="126">
    <w:nsid w:val="2A31B62D"/>
    <w:multiLevelType w:val="hybridMultilevel"/>
    <w:lvl w:ilvl="0">
      <w:lvlJc w:val="left"/>
      <w:lvlText w:val="-"/>
      <w:numFmt w:val="bullet"/>
      <w:start w:val="1"/>
    </w:lvl>
  </w:abstractNum>
  <w:abstractNum w:abstractNumId="127">
    <w:nsid w:val="1849C29B"/>
    <w:multiLevelType w:val="hybridMultilevel"/>
    <w:lvl w:ilvl="0">
      <w:lvlJc w:val="left"/>
      <w:lvlText w:val="-"/>
      <w:numFmt w:val="bullet"/>
      <w:start w:val="1"/>
    </w:lvl>
  </w:abstractNum>
  <w:abstractNum w:abstractNumId="128">
    <w:nsid w:val="7DFF9D09"/>
    <w:multiLevelType w:val="hybridMultilevel"/>
    <w:lvl w:ilvl="0">
      <w:lvlJc w:val="left"/>
      <w:lvlText w:val="-"/>
      <w:numFmt w:val="bullet"/>
      <w:start w:val="1"/>
    </w:lvl>
  </w:abstractNum>
  <w:abstractNum w:abstractNumId="129">
    <w:nsid w:val="754342"/>
    <w:multiLevelType w:val="hybridMultilevel"/>
    <w:lvl w:ilvl="0">
      <w:lvlJc w:val="left"/>
      <w:lvlText w:val="-"/>
      <w:numFmt w:val="bullet"/>
      <w:start w:val="1"/>
    </w:lvl>
  </w:abstractNum>
  <w:abstractNum w:abstractNumId="130">
    <w:nsid w:val="69E7F3E5"/>
    <w:multiLevelType w:val="hybridMultilevel"/>
    <w:lvl w:ilvl="0">
      <w:lvlJc w:val="left"/>
      <w:lvlText w:val="-"/>
      <w:numFmt w:val="bullet"/>
      <w:start w:val="1"/>
    </w:lvl>
  </w:abstractNum>
  <w:abstractNum w:abstractNumId="131">
    <w:nsid w:val="2A6DE806"/>
    <w:multiLevelType w:val="hybridMultilevel"/>
    <w:lvl w:ilvl="0">
      <w:lvlJc w:val="left"/>
      <w:lvlText w:val="-"/>
      <w:numFmt w:val="bullet"/>
      <w:start w:val="1"/>
    </w:lvl>
  </w:abstractNum>
  <w:abstractNum w:abstractNumId="132">
    <w:nsid w:val="1816F8C4"/>
    <w:multiLevelType w:val="hybridMultilevel"/>
    <w:lvl w:ilvl="0">
      <w:lvlJc w:val="left"/>
      <w:lvlText w:val="-"/>
      <w:numFmt w:val="bullet"/>
      <w:start w:val="1"/>
    </w:lvl>
  </w:abstractNum>
  <w:abstractNum w:abstractNumId="133">
    <w:nsid w:val="37DF2233"/>
    <w:multiLevelType w:val="hybridMultilevel"/>
    <w:lvl w:ilvl="0">
      <w:lvlJc w:val="left"/>
      <w:lvlText w:val="-"/>
      <w:numFmt w:val="bullet"/>
      <w:start w:val="1"/>
    </w:lvl>
  </w:abstractNum>
  <w:abstractNum w:abstractNumId="134">
    <w:nsid w:val="7AB49DAF"/>
    <w:multiLevelType w:val="hybridMultilevel"/>
    <w:lvl w:ilvl="0">
      <w:lvlJc w:val="left"/>
      <w:lvlText w:val="-"/>
      <w:numFmt w:val="bullet"/>
      <w:start w:val="1"/>
    </w:lvl>
  </w:abstractNum>
  <w:abstractNum w:abstractNumId="135">
    <w:nsid w:val="759F82CD"/>
    <w:multiLevelType w:val="hybridMultilevel"/>
    <w:lvl w:ilvl="0">
      <w:lvlJc w:val="left"/>
      <w:lvlText w:val="-"/>
      <w:numFmt w:val="bullet"/>
      <w:start w:val="1"/>
    </w:lvl>
  </w:abstractNum>
  <w:abstractNum w:abstractNumId="136">
    <w:nsid w:val="61E74EA3"/>
    <w:multiLevelType w:val="hybridMultilevel"/>
    <w:lvl w:ilvl="0">
      <w:lvlJc w:val="left"/>
      <w:lvlText w:val="-"/>
      <w:numFmt w:val="bullet"/>
      <w:start w:val="1"/>
    </w:lvl>
  </w:abstractNum>
  <w:abstractNum w:abstractNumId="137">
    <w:nsid w:val="597B4D84"/>
    <w:multiLevelType w:val="hybridMultilevel"/>
    <w:lvl w:ilvl="0">
      <w:lvlJc w:val="left"/>
      <w:lvlText w:val="-"/>
      <w:numFmt w:val="bullet"/>
      <w:start w:val="1"/>
    </w:lvl>
  </w:abstractNum>
  <w:abstractNum w:abstractNumId="138">
    <w:nsid w:val="F819E7F"/>
    <w:multiLevelType w:val="hybridMultilevel"/>
    <w:lvl w:ilvl="0">
      <w:lvlJc w:val="left"/>
      <w:lvlText w:val="-"/>
      <w:numFmt w:val="bullet"/>
      <w:start w:val="1"/>
    </w:lvl>
  </w:abstractNum>
  <w:abstractNum w:abstractNumId="139">
    <w:nsid w:val="57C7D42D"/>
    <w:multiLevelType w:val="hybridMultilevel"/>
    <w:lvl w:ilvl="0">
      <w:lvlJc w:val="left"/>
      <w:lvlText w:val="-"/>
      <w:numFmt w:val="bullet"/>
      <w:start w:val="1"/>
    </w:lvl>
  </w:abstractNum>
  <w:abstractNum w:abstractNumId="140">
    <w:nsid w:val="312167AD"/>
    <w:multiLevelType w:val="hybridMultilevel"/>
    <w:lvl w:ilvl="0">
      <w:lvlJc w:val="left"/>
      <w:lvlText w:val="-"/>
      <w:numFmt w:val="bullet"/>
      <w:start w:val="1"/>
    </w:lvl>
  </w:abstractNum>
  <w:abstractNum w:abstractNumId="141">
    <w:nsid w:val="631B64D4"/>
    <w:multiLevelType w:val="hybridMultilevel"/>
    <w:lvl w:ilvl="0">
      <w:lvlJc w:val="left"/>
      <w:lvlText w:val="-"/>
      <w:numFmt w:val="bullet"/>
      <w:start w:val="1"/>
    </w:lvl>
  </w:abstractNum>
  <w:abstractNum w:abstractNumId="142">
    <w:nsid w:val="78B5E776"/>
    <w:multiLevelType w:val="hybridMultilevel"/>
    <w:lvl w:ilvl="0">
      <w:lvlJc w:val="left"/>
      <w:lvlText w:val="-"/>
      <w:numFmt w:val="bullet"/>
      <w:start w:val="1"/>
    </w:lvl>
  </w:abstractNum>
  <w:abstractNum w:abstractNumId="143">
    <w:nsid w:val="75486E47"/>
    <w:multiLevelType w:val="hybridMultilevel"/>
    <w:lvl w:ilvl="0">
      <w:lvlJc w:val="left"/>
      <w:lvlText w:val="-"/>
      <w:numFmt w:val="bullet"/>
      <w:start w:val="1"/>
    </w:lvl>
  </w:abstractNum>
  <w:abstractNum w:abstractNumId="144">
    <w:nsid w:val="6E534CDE"/>
    <w:multiLevelType w:val="hybridMultilevel"/>
    <w:lvl w:ilvl="0">
      <w:lvlJc w:val="left"/>
      <w:lvlText w:val="-"/>
      <w:numFmt w:val="bullet"/>
      <w:start w:val="1"/>
    </w:lvl>
  </w:abstractNum>
  <w:abstractNum w:abstractNumId="145">
    <w:nsid w:val="1A0DDE32"/>
    <w:multiLevelType w:val="hybridMultilevel"/>
    <w:lvl w:ilvl="0">
      <w:lvlJc w:val="left"/>
      <w:lvlText w:val="(%1)"/>
      <w:numFmt w:val="lowerLetter"/>
      <w:start w:val="1"/>
    </w:lvl>
  </w:abstractNum>
  <w:abstractNum w:abstractNumId="146">
    <w:nsid w:val="65968C1C"/>
    <w:multiLevelType w:val="hybridMultilevel"/>
    <w:lvl w:ilvl="0">
      <w:lvlJc w:val="left"/>
      <w:lvlText w:val="(%1)"/>
      <w:numFmt w:val="lowerLetter"/>
      <w:start w:val="9"/>
    </w:lvl>
  </w:abstractNum>
  <w:abstractNum w:abstractNumId="147">
    <w:nsid w:val="46263DEC"/>
    <w:multiLevelType w:val="hybridMultilevel"/>
    <w:lvl w:ilvl="0">
      <w:lvlJc w:val="left"/>
      <w:lvlText w:val="(%1)"/>
      <w:numFmt w:val="decimal"/>
      <w:start w:val="1"/>
    </w:lvl>
    <w:lvl w:ilvl="1">
      <w:lvlJc w:val="left"/>
      <w:lvlText w:val="(%2)"/>
      <w:numFmt w:val="decimal"/>
      <w:start w:val="2"/>
    </w:lvl>
  </w:abstractNum>
  <w:abstractNum w:abstractNumId="148">
    <w:nsid w:val="260D8C4A"/>
    <w:multiLevelType w:val="hybridMultilevel"/>
    <w:lvl w:ilvl="0">
      <w:lvlJc w:val="left"/>
      <w:lvlText w:val="(%1)"/>
      <w:numFmt w:val="decimal"/>
      <w:start w:val="2"/>
    </w:lvl>
  </w:abstractNum>
  <w:abstractNum w:abstractNumId="149">
    <w:nsid w:val="73D4D3C4"/>
    <w:multiLevelType w:val="hybridMultilevel"/>
    <w:lvl w:ilvl="0">
      <w:lvlJc w:val="left"/>
      <w:lvlText w:val="(%1)"/>
      <w:numFmt w:val="decimal"/>
      <w:start w:val="1"/>
    </w:lvl>
  </w:abstractNum>
  <w:abstractNum w:abstractNumId="150">
    <w:nsid w:val="746F2E30"/>
    <w:multiLevelType w:val="hybridMultilevel"/>
    <w:lvl w:ilvl="0">
      <w:lvlJc w:val="left"/>
      <w:lvlText w:val="(%1)"/>
      <w:numFmt w:val="decimal"/>
      <w:start w:val="4"/>
    </w:lvl>
  </w:abstractNum>
  <w:abstractNum w:abstractNumId="151">
    <w:nsid w:val="6FDE8AF6"/>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2019-12-12T06:42:32Z</dcterms:created>
  <dcterms:modified xsi:type="dcterms:W3CDTF">2019-12-12T06:42:32Z</dcterms:modified>
</cp:coreProperties>
</file>