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4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For the fiscal year ended February 2, 2019</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OR</w:t>
      </w:r>
    </w:p>
    <w:p>
      <w:pPr>
        <w:spacing w:after="0" w:line="16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[NO FEE REQUIRED]</w:t>
      </w:r>
    </w:p>
    <w:p>
      <w:pPr>
        <w:spacing w:after="0" w:line="48" w:lineRule="exact"/>
        <w:rPr>
          <w:sz w:val="24"/>
          <w:szCs w:val="24"/>
          <w:color w:val="auto"/>
        </w:rPr>
      </w:pPr>
    </w:p>
    <w:p>
      <w:pPr>
        <w:ind w:left="3980"/>
        <w:spacing w:after="0"/>
        <w:tabs>
          <w:tab w:leader="none" w:pos="66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5"/>
          <w:szCs w:val="15"/>
          <w:color w:val="auto"/>
        </w:rPr>
        <w:t>to</w:t>
      </w:r>
    </w:p>
    <w:p>
      <w:pPr>
        <w:spacing w:after="0" w:line="2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Commission file number 1-8344</w:t>
      </w:r>
    </w:p>
    <w:p>
      <w:pPr>
        <w:spacing w:after="0" w:line="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17" w:lineRule="exact"/>
        <w:rPr>
          <w:sz w:val="24"/>
          <w:szCs w:val="24"/>
          <w:color w:val="auto"/>
        </w:rPr>
      </w:pPr>
    </w:p>
    <w:tbl>
      <w:tblPr>
        <w:tblLayout w:type="fixed"/>
        <w:tblInd w:w="1480" w:type="dxa"/>
        <w:tblCellMar>
          <w:top w:w="0" w:type="dxa"/>
          <w:left w:w="0" w:type="dxa"/>
          <w:bottom w:w="0" w:type="dxa"/>
          <w:right w:w="0" w:type="dxa"/>
        </w:tblCellMar>
      </w:tblPr>
      <w:tr>
        <w:trPr>
          <w:trHeight w:val="526"/>
        </w:trPr>
        <w:tc>
          <w:tcPr>
            <w:tcW w:w="2480" w:type="dxa"/>
            <w:vAlign w:val="bottom"/>
          </w:tcPr>
          <w:p>
            <w:pPr>
              <w:spacing w:after="0"/>
              <w:rPr>
                <w:sz w:val="24"/>
                <w:szCs w:val="24"/>
                <w:color w:val="auto"/>
              </w:rPr>
            </w:pPr>
          </w:p>
        </w:tc>
        <w:tc>
          <w:tcPr>
            <w:tcW w:w="5260" w:type="dxa"/>
            <w:vAlign w:val="bottom"/>
          </w:tcPr>
          <w:p>
            <w:pPr>
              <w:jc w:val="center"/>
              <w:ind w:right="1661"/>
              <w:spacing w:after="0"/>
              <w:rPr>
                <w:sz w:val="20"/>
                <w:szCs w:val="20"/>
                <w:color w:val="auto"/>
              </w:rPr>
            </w:pPr>
            <w:r>
              <w:rPr>
                <w:rFonts w:ascii="Times New Roman" w:cs="Times New Roman" w:eastAsia="Times New Roman" w:hAnsi="Times New Roman"/>
                <w:sz w:val="43"/>
                <w:szCs w:val="43"/>
                <w:b w:val="1"/>
                <w:bCs w:val="1"/>
                <w:color w:val="auto"/>
              </w:rPr>
              <w:t>L BRANDS, INC.</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526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210"/>
        </w:trPr>
        <w:tc>
          <w:tcPr>
            <w:tcW w:w="7740" w:type="dxa"/>
            <w:vAlign w:val="bottom"/>
            <w:gridSpan w:val="2"/>
          </w:tcPr>
          <w:p>
            <w:pPr>
              <w:jc w:val="center"/>
              <w:ind w:left="643"/>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0" w:type="dxa"/>
            <w:vAlign w:val="bottom"/>
          </w:tcPr>
          <w:p>
            <w:pPr>
              <w:spacing w:after="0"/>
              <w:rPr>
                <w:sz w:val="1"/>
                <w:szCs w:val="1"/>
                <w:color w:val="auto"/>
              </w:rPr>
            </w:pPr>
          </w:p>
        </w:tc>
      </w:tr>
      <w:tr>
        <w:trPr>
          <w:trHeight w:val="332"/>
        </w:trPr>
        <w:tc>
          <w:tcPr>
            <w:tcW w:w="24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260" w:type="dxa"/>
            <w:vAlign w:val="bottom"/>
            <w:vMerge w:val="restart"/>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31-1029810</w:t>
            </w:r>
          </w:p>
        </w:tc>
        <w:tc>
          <w:tcPr>
            <w:tcW w:w="0" w:type="dxa"/>
            <w:vAlign w:val="bottom"/>
          </w:tcPr>
          <w:p>
            <w:pPr>
              <w:spacing w:after="0"/>
              <w:rPr>
                <w:sz w:val="1"/>
                <w:szCs w:val="1"/>
                <w:color w:val="auto"/>
              </w:rPr>
            </w:pPr>
          </w:p>
        </w:tc>
      </w:tr>
      <w:tr>
        <w:trPr>
          <w:trHeight w:val="149"/>
        </w:trPr>
        <w:tc>
          <w:tcPr>
            <w:tcW w:w="24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5260" w:type="dxa"/>
            <w:vAlign w:val="bottom"/>
          </w:tcPr>
          <w:p>
            <w:pPr>
              <w:jc w:val="center"/>
              <w:ind w:left="2961"/>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345"/>
        </w:trPr>
        <w:tc>
          <w:tcPr>
            <w:tcW w:w="24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Three Limited Parkway,</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Columbus, Ohio</w:t>
            </w:r>
          </w:p>
        </w:tc>
        <w:tc>
          <w:tcPr>
            <w:tcW w:w="5260" w:type="dxa"/>
            <w:vAlign w:val="bottom"/>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43230</w:t>
            </w:r>
          </w:p>
        </w:tc>
        <w:tc>
          <w:tcPr>
            <w:tcW w:w="0" w:type="dxa"/>
            <w:vAlign w:val="bottom"/>
          </w:tcPr>
          <w:p>
            <w:pPr>
              <w:spacing w:after="0"/>
              <w:rPr>
                <w:sz w:val="1"/>
                <w:szCs w:val="1"/>
                <w:color w:val="auto"/>
              </w:rPr>
            </w:pPr>
          </w:p>
        </w:tc>
      </w:tr>
      <w:tr>
        <w:trPr>
          <w:trHeight w:val="190"/>
        </w:trPr>
        <w:tc>
          <w:tcPr>
            <w:tcW w:w="24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60" w:type="dxa"/>
            <w:vAlign w:val="bottom"/>
          </w:tcPr>
          <w:p>
            <w:pPr>
              <w:jc w:val="center"/>
              <w:ind w:left="298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(614) 415-7000</w:t>
      </w:r>
    </w:p>
    <w:p>
      <w:pPr>
        <w:spacing w:after="0" w:line="1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158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140" w:type="dxa"/>
            <w:vAlign w:val="bottom"/>
            <w:gridSpan w:val="2"/>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0" w:type="dxa"/>
            <w:vAlign w:val="bottom"/>
            <w:gridSpan w:val="2"/>
          </w:tcPr>
          <w:p>
            <w:pPr>
              <w:jc w:val="center"/>
              <w:ind w:left="14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8"/>
        </w:trPr>
        <w:tc>
          <w:tcPr>
            <w:tcW w:w="3680" w:type="dxa"/>
            <w:vAlign w:val="bottom"/>
            <w:gridSpan w:val="3"/>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Common Stock, $.50 Par Value</w:t>
            </w:r>
          </w:p>
        </w:tc>
        <w:tc>
          <w:tcPr>
            <w:tcW w:w="15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New York Stock Exchange</w:t>
            </w:r>
          </w:p>
        </w:tc>
      </w:tr>
    </w:tbl>
    <w:p>
      <w:pPr>
        <w:spacing w:after="0" w:line="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340"/>
          </w:cols>
          <w:pgMar w:left="240" w:top="225" w:right="319" w:bottom="1440" w:gutter="0" w:footer="0" w:header="0"/>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5">
            <w:col w:w="7620" w:space="160"/>
            <w:col w:w="220" w:space="80"/>
            <w:col w:w="160" w:space="160"/>
            <w:col w:w="200" w:space="80"/>
            <w:col w:w="2660"/>
          </w:cols>
          <w:pgMar w:left="240" w:top="225" w:right="31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ectPr>
          <w:pgSz w:w="11900" w:h="16838" w:orient="portrait"/>
          <w:cols w:equalWidth="0" w:num="5">
            <w:col w:w="7760" w:space="160"/>
            <w:col w:w="240" w:space="80"/>
            <w:col w:w="140" w:space="160"/>
            <w:col w:w="200" w:space="80"/>
            <w:col w:w="2520"/>
          </w:cols>
          <w:pgMar w:left="240" w:top="225" w:right="319" w:bottom="1440" w:gutter="0" w:footer="0" w:header="0"/>
          <w:type w:val="continuous"/>
        </w:sect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18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5"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184" w:lineRule="exact"/>
        <w:tabs>
          <w:tab w:leader="none" w:pos="1780" w:val="left"/>
          <w:tab w:leader="none" w:pos="32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85" w:lineRule="exact"/>
        <w:rPr>
          <w:sz w:val="24"/>
          <w:szCs w:val="24"/>
          <w:color w:val="auto"/>
        </w:rPr>
      </w:pPr>
    </w:p>
    <w:p>
      <w:pPr>
        <w:ind w:right="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the last business day of the registrant’s most recently completed second fiscal quarter was: $7,461,100,982.</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as of March 15, 2019: 275,196,908.</w:t>
      </w:r>
    </w:p>
    <w:p>
      <w:pPr>
        <w:spacing w:after="0" w:line="5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Portions of the Registrant’s Proxy Statement for the Registrant’s 2019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r>
      <w:tr>
        <w:trPr>
          <w:trHeight w:val="520"/>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6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Risk Factors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Unresolved Staff Comments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15</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Properties</w:t>
              </w:r>
            </w:hyperlink>
          </w:p>
        </w:tc>
        <w:tc>
          <w:tcPr>
            <w:tcW w:w="1280" w:type="dxa"/>
            <w:vAlign w:val="bottom"/>
            <w:tcBorders>
              <w:top w:val="single" w:sz="8" w:color="0000EE"/>
            </w:tcBorders>
            <w:gridSpan w:val="8"/>
          </w:tcPr>
          <w:p>
            <w:pPr>
              <w:spacing w:after="0"/>
              <w:rPr>
                <w:sz w:val="21"/>
                <w:szCs w:val="21"/>
                <w:color w:val="auto"/>
              </w:rPr>
            </w:pPr>
          </w:p>
        </w:tc>
        <w:tc>
          <w:tcPr>
            <w:tcW w:w="7060" w:type="dxa"/>
            <w:vAlign w:val="bottom"/>
            <w:gridSpan w:val="11"/>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15</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Legal Proceedings</w:t>
              </w:r>
            </w:hyperlink>
          </w:p>
        </w:tc>
        <w:tc>
          <w:tcPr>
            <w:tcW w:w="7760" w:type="dxa"/>
            <w:vAlign w:val="bottom"/>
            <w:gridSpan w:val="16"/>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16</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Mine Safety Disclosures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16</w:t>
              </w:r>
            </w:hyperlink>
          </w:p>
        </w:tc>
      </w:tr>
      <w:tr>
        <w:trPr>
          <w:trHeight w:val="61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17</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Selected Financial Data</w:t>
              </w:r>
            </w:hyperlink>
          </w:p>
        </w:tc>
        <w:tc>
          <w:tcPr>
            <w:tcW w:w="6620" w:type="dxa"/>
            <w:vAlign w:val="bottom"/>
            <w:tcBorders>
              <w:top w:val="single" w:sz="8" w:color="0000EE"/>
            </w:tcBorders>
            <w:gridSpan w:val="13"/>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19</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20</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Quantitative and Qualitative Disclosures About Market Risk</w:t>
              </w:r>
            </w:hyperlink>
          </w:p>
        </w:tc>
        <w:tc>
          <w:tcPr>
            <w:tcW w:w="2640" w:type="dxa"/>
            <w:vAlign w:val="bottom"/>
            <w:gridSpan w:val="4"/>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49</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740" w:type="dxa"/>
            <w:vAlign w:val="bottom"/>
            <w:gridSpan w:val="6"/>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51</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94</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620" w:type="dxa"/>
            <w:vAlign w:val="bottom"/>
            <w:gridSpan w:val="3"/>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94</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Other Information</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96">
              <w:r>
                <w:rPr>
                  <w:rFonts w:ascii="Times New Roman" w:cs="Times New Roman" w:eastAsia="Times New Roman" w:hAnsi="Times New Roman"/>
                  <w:sz w:val="18"/>
                  <w:szCs w:val="18"/>
                  <w:color w:val="auto"/>
                </w:rPr>
                <w:t>94</w:t>
              </w:r>
            </w:hyperlink>
          </w:p>
        </w:tc>
      </w:tr>
      <w:tr>
        <w:trPr>
          <w:trHeight w:val="61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Directors, Executive Officers and Corporate Governance</w:t>
              </w:r>
            </w:hyperlink>
          </w:p>
        </w:tc>
        <w:tc>
          <w:tcPr>
            <w:tcW w:w="5000" w:type="dxa"/>
            <w:vAlign w:val="bottom"/>
            <w:gridSpan w:val="7"/>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Executive Compensation</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800" w:type="dxa"/>
            <w:vAlign w:val="bottom"/>
            <w:gridSpan w:val="2"/>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Certain Relationships and Related Transactions, and Director Independence</w:t>
              </w:r>
            </w:hyperlink>
          </w:p>
        </w:tc>
        <w:tc>
          <w:tcPr>
            <w:tcW w:w="3640" w:type="dxa"/>
            <w:vAlign w:val="bottom"/>
            <w:gridSpan w:val="5"/>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Principal Accountant Fees and Services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97">
              <w:r>
                <w:rPr>
                  <w:rFonts w:ascii="Times New Roman" w:cs="Times New Roman" w:eastAsia="Times New Roman" w:hAnsi="Times New Roman"/>
                  <w:sz w:val="18"/>
                  <w:szCs w:val="18"/>
                  <w:color w:val="auto"/>
                </w:rPr>
                <w:t>95</w:t>
              </w:r>
            </w:hyperlink>
          </w:p>
        </w:tc>
      </w:tr>
      <w:tr>
        <w:trPr>
          <w:trHeight w:val="61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Exhibits, Financial Statement Schedules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98">
              <w:r>
                <w:rPr>
                  <w:rFonts w:ascii="Times New Roman" w:cs="Times New Roman" w:eastAsia="Times New Roman" w:hAnsi="Times New Roman"/>
                  <w:sz w:val="18"/>
                  <w:szCs w:val="18"/>
                  <w:color w:val="auto"/>
                </w:rPr>
                <w:t>96</w:t>
              </w:r>
            </w:hyperlink>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2">
              <w:r>
                <w:rPr>
                  <w:rFonts w:ascii="Times New Roman" w:cs="Times New Roman" w:eastAsia="Times New Roman" w:hAnsi="Times New Roman"/>
                  <w:sz w:val="18"/>
                  <w:szCs w:val="18"/>
                  <w:color w:val="0000EE"/>
                  <w:w w:val="99"/>
                </w:rPr>
                <w:t>Form 10-K Summary</w:t>
              </w:r>
            </w:hyperlink>
          </w:p>
        </w:tc>
        <w:tc>
          <w:tcPr>
            <w:tcW w:w="1340" w:type="dxa"/>
            <w:vAlign w:val="bottom"/>
            <w:tcBorders>
              <w:top w:val="single" w:sz="8" w:color="0000EE"/>
            </w:tcBorders>
            <w:gridSpan w:val="6"/>
          </w:tcPr>
          <w:p>
            <w:pPr>
              <w:spacing w:after="0"/>
              <w:rPr>
                <w:sz w:val="21"/>
                <w:szCs w:val="21"/>
                <w:color w:val="auto"/>
              </w:rPr>
            </w:pPr>
          </w:p>
        </w:tc>
        <w:tc>
          <w:tcPr>
            <w:tcW w:w="6200" w:type="dxa"/>
            <w:vAlign w:val="bottom"/>
            <w:gridSpan w:val="9"/>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100</w:t>
              </w:r>
            </w:hyperlink>
          </w:p>
        </w:tc>
      </w:tr>
      <w:tr>
        <w:trPr>
          <w:trHeight w:val="250"/>
        </w:trPr>
        <w:tc>
          <w:tcPr>
            <w:tcW w:w="1140" w:type="dxa"/>
            <w:vAlign w:val="bottom"/>
          </w:tcPr>
          <w:p>
            <w:pPr>
              <w:spacing w:after="0"/>
              <w:rPr>
                <w:sz w:val="21"/>
                <w:szCs w:val="21"/>
                <w:color w:val="auto"/>
              </w:rPr>
            </w:pPr>
          </w:p>
        </w:tc>
        <w:tc>
          <w:tcPr>
            <w:tcW w:w="9100" w:type="dxa"/>
            <w:vAlign w:val="bottom"/>
            <w:gridSpan w:val="21"/>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Signatures</w:t>
              </w:r>
            </w:hyperlink>
          </w:p>
        </w:tc>
        <w:tc>
          <w:tcPr>
            <w:tcW w:w="1140" w:type="dxa"/>
            <w:vAlign w:val="bottom"/>
          </w:tcPr>
          <w:p>
            <w:pPr>
              <w:jc w:val="right"/>
              <w:spacing w:after="0"/>
              <w:rPr>
                <w:rFonts w:ascii="Times New Roman" w:cs="Times New Roman" w:eastAsia="Times New Roman" w:hAnsi="Times New Roman"/>
                <w:sz w:val="18"/>
                <w:szCs w:val="18"/>
                <w:color w:val="auto"/>
              </w:rPr>
            </w:pPr>
            <w:hyperlink w:anchor="page103">
              <w:r>
                <w:rPr>
                  <w:rFonts w:ascii="Times New Roman" w:cs="Times New Roman" w:eastAsia="Times New Roman" w:hAnsi="Times New Roman"/>
                  <w:sz w:val="18"/>
                  <w:szCs w:val="18"/>
                  <w:color w:val="auto"/>
                </w:rPr>
                <w:t>101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 Brands, Inc. (“we” or “the Company”) operates in the highly competitive specialty retail business. Founded in 1963 in Columbus, Ohio, we have evolved from an apparel-based specialty retailer to a segment leader focused on women’s intimate and other apparel, personal care, beauty and home fragrance products. We sell our merchandise through company-owned specialty retail stores in the United States (“U.S.”), Canada, the United Kingdom ("U.K."), Ireland and Greater China (China and Hong Kong); through websites; and through international franchise, license and wholesale partners (collectively, "partners").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Victoria’s Secret, including PINK, is a specialty retailer of women's intimate and other apparel with fashion-inspired collections and prestige fragrances. We sell our Victoria’s Secret products online and at more than 1,200 Victoria’s Secret and PINK company-owned stores in the U.S., Canada, U.K., Ireland and Greater China. Additionally, Victoria’s Secret and PINK have more than 430 stores in more than 70 countries operating under franchise, license and wholesale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Bath &amp; Body Works, which sells products under the Bath &amp; Body Works, White Barn, C.O. Bigelow and other brand names, is one of the leading specialty retailers of body care, home fragrance products, soaps and sanitizers. We sell our Bath &amp; Body Works products online and at more than 1,700 Bath &amp; Body Works company-owned stores in the U.S. and Canada. Additionally, Bath &amp; Body Works has more than 230 stores in more than 30 other countries operating under franchise, license and wholesale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and Closure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173"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On January 6, 2019, we completed the sale of the La Senza business to an affiliate of Regent LP, a global private equity firm. For additional information, see Note 6 to the Consolidated Financial Statements included in Item 8. Financial Statements and Supplementary Data.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Henri Bendel</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January 2019, we closed all of our Henri Bendel stores and the e-commerce website. For additional information, see Note 6 to the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Greater China</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April 2016, we reacquired the franchise rights to operate Victoria's Secret Beauty and Accessories stores in Greater China, including 26 stores already open at the time of acquisition. For additional information, see Note 5 to the Consolidated Financial Statements included in Item 8. Financial Statements and Supplementary Data.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94"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Our fiscal year ends on the Saturday nearest to January 31. As used herein, “2018”, “2016,” “2015” and “2014” refer to the 52-week periods ended February 2, 2019, January 28, 2017, January 30, 2016 and January 31, 2015, respectively. "2017" refers to the 53-week period ended February 3, 2018.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Company-owned Retail Stores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company-owned retail stores are located in shopping malls, lifestyle centers and street locations in the U.S., Canada, U.K., Ireland and Greater China. As a result of our strong brands and established retail presence, we have been able to lease high-traffic locations in most retail centers in which we operate.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company-owned retail stores in operation for each brand as of February 2, 2019 and February 3,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February 2, 2019</w:t>
            </w: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February 3, 2018</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U.S.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 Canada</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Bath &amp; Body Works U.S.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 China</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Beauty and Accessories China</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 Senza U.S.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 Senza Canada</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Henri Bendel</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changes in the number of our company-owned retail stores operated for the past five fiscal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20" w:type="dxa"/>
            <w:vAlign w:val="bottom"/>
            <w:vMerge w:val="restart"/>
          </w:tcPr>
          <w:p>
            <w:pPr>
              <w:spacing w:after="0"/>
              <w:rPr>
                <w:sz w:val="13"/>
                <w:szCs w:val="13"/>
                <w:color w:val="auto"/>
              </w:rPr>
            </w:pPr>
          </w:p>
        </w:tc>
        <w:tc>
          <w:tcPr>
            <w:tcW w:w="12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00" w:type="dxa"/>
            <w:vAlign w:val="bottom"/>
            <w:vMerge w:val="restart"/>
          </w:tcPr>
          <w:p>
            <w:pPr>
              <w:spacing w:after="0"/>
              <w:rPr>
                <w:sz w:val="13"/>
                <w:szCs w:val="13"/>
                <w:color w:val="auto"/>
              </w:rPr>
            </w:pPr>
          </w:p>
        </w:tc>
        <w:tc>
          <w:tcPr>
            <w:tcW w:w="14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Acquired (a)</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Sold (b)</w:t>
            </w:r>
          </w:p>
        </w:tc>
        <w:tc>
          <w:tcPr>
            <w:tcW w:w="120" w:type="dxa"/>
            <w:vAlign w:val="bottom"/>
            <w:vMerge w:val="restart"/>
          </w:tcPr>
          <w:p>
            <w:pPr>
              <w:spacing w:after="0"/>
              <w:rPr>
                <w:sz w:val="13"/>
                <w:szCs w:val="13"/>
                <w:color w:val="auto"/>
              </w:rPr>
            </w:pPr>
          </w:p>
        </w:tc>
        <w:tc>
          <w:tcPr>
            <w:tcW w:w="12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2018</w:t>
            </w:r>
          </w:p>
        </w:tc>
        <w:tc>
          <w:tcPr>
            <w:tcW w:w="38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43"/>
        </w:trPr>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2017</w:t>
            </w:r>
          </w:p>
        </w:tc>
        <w:tc>
          <w:tcPr>
            <w:tcW w:w="3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8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7"/>
        </w:trPr>
        <w:tc>
          <w:tcPr>
            <w:tcW w:w="560" w:type="dxa"/>
            <w:vAlign w:val="bottom"/>
            <w:gridSpan w:val="2"/>
          </w:tcPr>
          <w:p>
            <w:pPr>
              <w:spacing w:after="0"/>
              <w:rPr>
                <w:sz w:val="2"/>
                <w:szCs w:val="2"/>
                <w:color w:val="auto"/>
              </w:rPr>
            </w:pPr>
          </w:p>
        </w:tc>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2016</w:t>
            </w:r>
          </w:p>
        </w:tc>
        <w:tc>
          <w:tcPr>
            <w:tcW w:w="38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43"/>
        </w:trPr>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38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4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7"/>
        </w:trPr>
        <w:tc>
          <w:tcPr>
            <w:tcW w:w="560" w:type="dxa"/>
            <w:vAlign w:val="bottom"/>
            <w:gridSpan w:val="2"/>
          </w:tcPr>
          <w:p>
            <w:pPr>
              <w:spacing w:after="0"/>
              <w:rPr>
                <w:sz w:val="2"/>
                <w:szCs w:val="2"/>
                <w:color w:val="auto"/>
              </w:rPr>
            </w:pPr>
          </w:p>
        </w:tc>
        <w:tc>
          <w:tcPr>
            <w:tcW w:w="2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2014</w:t>
            </w:r>
          </w:p>
        </w:tc>
        <w:tc>
          <w:tcPr>
            <w:tcW w:w="38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tcPr>
          <w:p>
            <w:pPr>
              <w:jc w:val="right"/>
              <w:ind w:right="1650"/>
              <w:spacing w:after="0" w:line="198" w:lineRule="exact"/>
              <w:rPr>
                <w:sz w:val="20"/>
                <w:szCs w:val="20"/>
                <w:color w:val="auto"/>
              </w:rPr>
            </w:pPr>
            <w:r>
              <w:rPr>
                <w:rFonts w:ascii="Times New Roman" w:cs="Times New Roman" w:eastAsia="Times New Roman" w:hAnsi="Times New Roman"/>
                <w:sz w:val="18"/>
                <w:szCs w:val="18"/>
                <w:color w:val="auto"/>
                <w:w w:val="97"/>
              </w:rPr>
              <w:t>_______________</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(a)  Relates to the acquisition of Victoria's Secret Beauty and Accessories franchise stores in Greater China. For additional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2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information see Note 5 to the Consolidated Financial Statements included in Item 8. Financial Statements and</w:t>
            </w: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Supplementary Data.</w:t>
            </w:r>
          </w:p>
        </w:tc>
        <w:tc>
          <w:tcPr>
            <w:tcW w:w="0" w:type="dxa"/>
            <w:vAlign w:val="bottom"/>
          </w:tcPr>
          <w:p>
            <w:pPr>
              <w:spacing w:after="0"/>
              <w:rPr>
                <w:sz w:val="1"/>
                <w:szCs w:val="1"/>
                <w:color w:val="auto"/>
              </w:rPr>
            </w:pPr>
          </w:p>
        </w:tc>
      </w:tr>
    </w:tbl>
    <w:p>
      <w:pPr>
        <w:ind w:left="720" w:right="2880" w:hanging="658"/>
        <w:spacing w:after="0" w:line="261" w:lineRule="auto"/>
        <w:tabs>
          <w:tab w:leader="none" w:pos="4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sale of the La Senza business. For additional information see Note 6 to the Consolidated Financial Statements included in Item 8. Financial Statements and Supplementary Data.</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License and Wholesale Arrangements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to our company-owned stores, our products are sold at hundreds of partner locations in more than 70 countries. Under these arrangements, third parties operate stores that sell our products under our brand names.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 We continue to increase the number of locations under these types of arrangements as part of our international expansion.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international stores operated by our partners for each business as of February 2, 2019 and February 3,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February 2,</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February 3,</w:t>
            </w:r>
          </w:p>
        </w:tc>
        <w:tc>
          <w:tcPr>
            <w:tcW w:w="0" w:type="dxa"/>
            <w:vAlign w:val="bottom"/>
          </w:tcPr>
          <w:p>
            <w:pPr>
              <w:spacing w:after="0"/>
              <w:rPr>
                <w:sz w:val="1"/>
                <w:szCs w:val="1"/>
                <w:color w:val="auto"/>
              </w:rPr>
            </w:pPr>
          </w:p>
        </w:tc>
      </w:tr>
      <w:tr>
        <w:trPr>
          <w:trHeight w:val="212"/>
        </w:trPr>
        <w:tc>
          <w:tcPr>
            <w:tcW w:w="4340" w:type="dxa"/>
            <w:vAlign w:val="bottom"/>
          </w:tcPr>
          <w:p>
            <w:pPr>
              <w:spacing w:after="0"/>
              <w:rPr>
                <w:sz w:val="18"/>
                <w:szCs w:val="18"/>
                <w:color w:val="auto"/>
              </w:rPr>
            </w:pPr>
          </w:p>
        </w:tc>
        <w:tc>
          <w:tcPr>
            <w:tcW w:w="3600" w:type="dxa"/>
            <w:vAlign w:val="bottom"/>
            <w:gridSpan w:val="2"/>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Beauty and Accessories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 Senza</w:t>
            </w:r>
          </w:p>
        </w:tc>
        <w:tc>
          <w:tcPr>
            <w:tcW w:w="24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931"/>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strengths contribute to our leading market position, differentiate us from our competitors and will drive future growth: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Brands</w:t>
      </w:r>
    </w:p>
    <w:p>
      <w:pPr>
        <w:spacing w:after="0" w:line="9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have developed and operate brands that have come to represent an aspirational lifestyle. Our brands allow us to target markets across the economic spectrum, across demographics and across the world. We believe that our three brands, Victoria's Secret, PINK and Bath &amp; Body Works, are highly recognizable, which provides us with a competitive advantage.</w:t>
      </w:r>
    </w:p>
    <w:p>
      <w:pPr>
        <w:spacing w:after="0" w:line="41" w:lineRule="exact"/>
        <w:rPr>
          <w:sz w:val="20"/>
          <w:szCs w:val="20"/>
          <w:color w:val="auto"/>
        </w:rPr>
      </w:pPr>
    </w:p>
    <w:p>
      <w:pPr>
        <w:ind w:left="660" w:right="28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Victoria’s Secret, we market glamorous and sexy product lines to our customers. While bras and panties are the core of what we do, this brand also gives our customers choices in beauty products, fragrances, sleepwear, loungewear, athletic attire and personal care accessories.</w:t>
      </w:r>
    </w:p>
    <w:p>
      <w:pPr>
        <w:spacing w:after="0" w:line="26"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PINK, we market products to the college-aged woman. While bras and panties are the core of what we do, this brand also gives our customers choices in apparel, loungewear, athletic attire and accessories.</w:t>
      </w:r>
    </w:p>
    <w:p>
      <w:pPr>
        <w:spacing w:after="0" w:line="26" w:lineRule="exact"/>
        <w:rPr>
          <w:rFonts w:ascii="Times New Roman" w:cs="Times New Roman" w:eastAsia="Times New Roman" w:hAnsi="Times New Roman"/>
          <w:sz w:val="18"/>
          <w:szCs w:val="18"/>
          <w:color w:val="auto"/>
        </w:rPr>
      </w:pPr>
    </w:p>
    <w:p>
      <w:pPr>
        <w:ind w:left="660" w:right="6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caters to our customers’ entire well-being, providing shower gels and lotions, aromatherapy, home fragrance, soaps and sanitizers and body care accessories.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In-Store Experience and Store Operations</w:t>
      </w:r>
    </w:p>
    <w:p>
      <w:pPr>
        <w:spacing w:after="0" w:line="9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We view our customers' in-store experience as an important vehicle for communicating the image of each brand. We utilize visual presentation of merchandise, in-store marketing, music and our sales associates to reinforce the image represented by the brands.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in-store marketing is designed to convey the principal elements and personality of each brand. The store design, furniture, fixtures and music are all carefully planned and coordinated to create a unique shopping experience. Every brand displays merchandise uniformly to ensure a consistent store experience, regardless of location. Store managers receive detailed plans designating fixture and merchandise placement to ensure coordinated execution of the company-wide merchandising strategy.</w:t>
      </w:r>
    </w:p>
    <w:p>
      <w:pPr>
        <w:spacing w:after="0" w:line="126" w:lineRule="exact"/>
        <w:rPr>
          <w:sz w:val="20"/>
          <w:szCs w:val="20"/>
          <w:color w:val="auto"/>
        </w:rPr>
      </w:pPr>
    </w:p>
    <w:p>
      <w:pPr>
        <w:ind w:right="1140"/>
        <w:spacing w:after="0" w:line="407" w:lineRule="auto"/>
        <w:rPr>
          <w:sz w:val="20"/>
          <w:szCs w:val="20"/>
          <w:color w:val="auto"/>
        </w:rPr>
      </w:pPr>
      <w:r>
        <w:rPr>
          <w:rFonts w:ascii="Times New Roman" w:cs="Times New Roman" w:eastAsia="Times New Roman" w:hAnsi="Times New Roman"/>
          <w:sz w:val="18"/>
          <w:szCs w:val="18"/>
          <w:color w:val="auto"/>
        </w:rPr>
        <w:t xml:space="preserve">Our sales associates and managers are a central element in creating the atmosphere of the stores by providing a high level of customer service. </w:t>
      </w:r>
      <w:r>
        <w:rPr>
          <w:rFonts w:ascii="Times New Roman" w:cs="Times New Roman" w:eastAsia="Times New Roman" w:hAnsi="Times New Roman"/>
          <w:sz w:val="18"/>
          <w:szCs w:val="18"/>
          <w:b w:val="1"/>
          <w:bCs w:val="1"/>
          <w:i w:val="1"/>
          <w:iCs w:val="1"/>
          <w:color w:val="auto"/>
        </w:rPr>
        <w:t>Digital Experience</w:t>
      </w: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our in-store experience, we strive to create a customer-centric digital platform that integrates the digital and physical brand experience. Our digital presence, including social media, our websites and our mobile applications, allows us to get to know our customers better and communicate with them anytime and anywhere.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Sourcing and Logistics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a large part of our success comes from frequent and innovative product launches, which include bra launches at Victoria’s Secret and PINK and new fragrance and other product launches at Bath &amp; Body Works. Our merchant, design and sourcing teams have a long history of bringing innovative products to our customers. Additionally, we believe that our sourcing and production function (Mast Global) has a long and deep presence in the key sourcing markets including those in the U.S. and Asia, which helps us partner with the best manufacturers to get high-quality products quickly.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Committed Management Team</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were founded in 1963 and have been led since inception by Leslie H. Wexner. Our senior management team has a wealth of retail and business experience at L Brands, Inc. and other companies such as The Gap, Ralph Lauren, Tory Burch, Starbucks, Land's End, Levi Strauss, Boots, The Home Depot and Yum Brands. We believe that we have one of the most experienced management teams in retail.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Vendors</w:t>
      </w:r>
    </w:p>
    <w:p>
      <w:pPr>
        <w:spacing w:after="0" w:line="9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During 2018, we purchased merchandise from approximately 340 vendors located throughout the world. No vendor provided 10% or more of our merchandise purchases.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Merchandise Inventory</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Most of our merchandise is shipped to our distribution centers in the Columbus, Ohio, area. We use a variety of shipping terms that result in the transfer of title of the merchandise at either the point of origin or point of destination.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policy is to maintain sufficient quantities of inventories on hand in our retail stores and distribution centers to enable us to offer customers an appropriate selection of current merchandise. We emphasize rapid turnover and take markdowns as required to keep merchandise fresh and current.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Business</w:t>
      </w:r>
    </w:p>
    <w:p>
      <w:pPr>
        <w:spacing w:after="0" w:line="94"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Our operations are seasonal in nature and consist of two principal selling seasons: Spring (the first and second quarters) and Fall (the third and fourth quarters). The fourth quarter, including the holiday season, accounted for approximately one-third of our net sales for 2018, 2017 and 2016 and is typically our most profitable quarter. Accordingly, cash requirements are highest in the third quarter as our inventories build in advance of the holiday season.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and our products are subject to regulation by various federal, state, local and foreign regulatory authorities. We are subject to a variety of tax and customs regulations and international trade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and Patents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trademarks and patents, which constitute our primary intellectual property, have been registered or are the subject of pending applications in the United States Patent and Trademark Office and with the registries of many foreign countries and/or are protected by common law. We believe our products are identified by our intellectual property and, thus, our intellectual property is of significant value. Accordingly, we intend to maintain our intellectual property and related registrations and vigorously protect our intellectual property assets against infringement.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Victoria’s Secret, Bath &amp; Body Works and Victoria's Secret and Bath &amp; Body Works International. For additional information, including the financial results of our reportable segments, see Note 22 to the Consolidated Financial Statements included in Item 8. Financial Statements and Supplementary Data.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business, including our net sales and profits for the last three years and selling square footage, see Item 7. 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sale of women's intimate and other apparel, home fragrance, personal care and beauty products and accessories through retail stores is a highly competitive business with numerous competitors, including individual and chain specialty stores, department stores and discount retailers. Brand image, marketing, design, price, service, assortment and quality are the principal competitive factors in retail store sales. Our online businesses compete with numerous online merchandisers. Image presentation, fulfillment and the factors affecting retail store sales discussed above are the principal competitive factors in online sales.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Associate Relations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February 2, 2019, we employed approximately 88,900 associates; 63,400 of whom were part-time. In addition, temporary associates are hired during peak periods, such as the holiday season.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regarding our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 H. Wexner, 81, has been our Chief Executive Officer since our founding in 1963 and Chairman of the Board of Directors since 1975.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B. Burgdoerfer, 55, has been our Executive Vice President and Chief Financial Officer since April 2007.</w:t>
      </w:r>
    </w:p>
    <w:p>
      <w:pPr>
        <w:spacing w:after="0" w:line="1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Charles C. McGuigan, 62, has been our Chief Operating Officer since May 2012 and our Chief Executive Officer and President of Mast Global since February 2011.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Shelley B. Milano, 62, has been our Chief Human Resources Officer since April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L. Bersani, 60, has been our President of Real Estate since March 2014 and has led our Real Estate function since April 2006.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its rules and regulations. The Exchange Act requires us to file reports, proxy statements and other information with the U.S. Securities and Exchange Commission ("SEC"). Copies of these reports, proxy statements and other information can be read and copied at: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Public Reference Room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Information on the operation of the Public Reference Room may be obtained by calling the SEC at 1-800-SEC-0330.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reports on Form 10-K, quarterly reports on Form 10-Q, current reports on Form 8-K and amendments to these reports filed or furnished pursuant to Section 13(a) or 15(d) of the Exchange Act are available, free of charge, on our website at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lb.com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of the above-referenced documents will also be made available, free of charge, upon written request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Limited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 43230</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18" w:right="27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report or otherwise made by our company or our management:</w:t>
      </w:r>
    </w:p>
    <w:p>
      <w:pPr>
        <w:spacing w:after="0" w:line="54"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consumer confidence, consumer spending patterns and market disruptions including severe weather conditions, natural disasters, health hazards, terrorist activities, financial crises, political crises or other major events, or the prospect of these events;</w:t>
      </w:r>
    </w:p>
    <w:p>
      <w:pPr>
        <w:spacing w:after="0" w:line="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mall traffic and the availability of suitable store locations on appropriate terms;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new store openings and existing store remodels and expansions;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internationally and related risks;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and wholesale partners;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our brand images;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trade names, trademarks and patents;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90"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keep up with fashion trends, develop new merchandise and launch new product lines successfully;</w:t>
      </w:r>
    </w:p>
    <w:p>
      <w:pPr>
        <w:spacing w:after="0" w:line="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significant health hazards, environmental hazards or natural disasters;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disruptions in shipping and transportation and related pricing impacts;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related effects;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product input costs;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energy costs;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mailing, paper and printing;</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divested businesses;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maintain information technology systems and to protect associated data;</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or company information;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discussion of risk factors contains “forward-looking statements.” These risk factors may be important to understanding any statement in this Form 10-K, other filings or in any other discussions of our business. The following information should be read in conjunction with Item 7. Management’s Discussion and Analysis of Financial Condition and Results of Operation and Item 8. Financial Statements and Supplementary Data.</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the reader should carefully consider the following factors which could materially affect our business, financial condition or future results. The risks described below are not our only risks. Additional risks and uncertainties not currently known or that are currently deemed to be immaterial may also adversely affect our business, operating results and/or financial condition in a material way.</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net sales, profit results and cash flows are sensitive to, and may be affected by, general economic conditions, consumer confidence, spending patterns, weather or other market disruptions.</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net sales, profit, cash flows and future growth may be affected by negative local, regional, national or international political or economic trends or developments that reduce the consumers’ ability or willingness to spend, including the effects of national and international security concerns such as war, terrorism or the threat thereof. In addition, market disruptions due to natural disasters, health hazards or other major events or the prospect of these events could also impact consumer spending and confidence levels. Purchases of women’s intimate and other apparel, beauty and personal care products and accessories often decline during periods when economic or market conditions are unsettled or weak. In such circumstances, we may increase the number of promotional sales, which could have a material adverse effect on our results of operations, financial condition and cash flows.</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decision by the U.K. to leave the European Union (“Brexit”) has increased the uncertainty in the economic and political environment in Europe. The U.K.’s withdrawal is currently scheduled to take place in the first half of 2019, unless a further extension is agreed to; however, ongoing uncertainty remains as to what kind of post-Brexit agreement between the U.K. and the European Union, if any, may be approved by the U.K. parliament. Our business in the U.K. may be adversely impacted by this uncertainty, fluctuations in currency exchange rates, changes in trade policies, or changes in labor, immigration, tax or other laws.</w:t>
      </w:r>
    </w:p>
    <w:p>
      <w:pPr>
        <w:spacing w:after="0" w:line="1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Extreme weather conditions in the areas in which our stores are located, particularly in markets where we have multiple stores, could adversely affect our business. For example, heavy snowfall, rainfall or other extreme weather conditions over a prolonged period might make it difficult for our customers to travel to our stores and thereby reduce our sales and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operating income, cash and inventory levels fluctuate on a seasonal basis.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118"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Seasonal fluctuations also affect our cash and inventory levels, since we usually order merchandise in advance of peak selling periods and sometimes before new fashion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depend on a volume of traffic to our stores and the availability of suitable lease space.</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internet and other retailers and other retail areas where we do not have stores, the closing or decline in popularity of other stores in the shopping areas where our stores are located and the deterioration in the financial condition of the operators or developers of the shopping areas in which our stores are located.</w:t>
      </w:r>
    </w:p>
    <w:p>
      <w:pPr>
        <w:spacing w:after="0" w:line="13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Part of our future growth is significantly dependent on our ability to operate stores in desirable locations with capital investment and lease costs providing the opportunity to earn a reasonable return. We cannot be sure as to when or whether such desirable locations will become available at reasonable costs. Some of our store locations, such as our Victoria’s Secret flagship stores, require significant upfront capital investment and have material lease commitments.</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Additionally, we are dependent upon the suitability of the lease spaces that we currently use. The leases that we enter into are generally noncancelable leases with initial terms of 10 years. If we determine that it is no longer economical to operate a store and decide to close it, we may remain obligated under the applicable lease for, among other things, payment of the base rent for the balance of the lease term.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ability to grow and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grow depends in part on new store openings and existing store remodels and expansions.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continued growth and success will depend in part on our ability to open and operate new stores and expand and remodel existing stores on a timely and profitable basis. Accomplishing our new and existing store expansion goals will depend upon a number of factors, including the ability to partner with developers and landlords to obtain suitable sites for new and expanded stores at acceptable costs, the hiring and training of qualified personnel and the integration of new stores into existing operations. There can be no assurance we will be able to achieve our store expansion goals, manage our growth effectively, successfully integrate the planned new stores into our operations or operate our new, remodeled and expanded stores profitably. These risks could have a material adverse effect on our ability to grow and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plans for international expansion include risks that could impact our results and reputation.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intend to further expand into international markets, including mainland China, through partner arrangements and/or company-owned stores. The risks associated with our expansion into international markets include difficulties in attracting customers due to a lack of customer familiarity with our brands, our lack of familiarity with local customer preferences and seasonal differences in the market. Any of these difficulties may lead to disruption in the overall timing of our international expansion efforts or increased costs. Further, entry into other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changes in diplomatic and trade relationships, political instability and foreign governmental regulation. Such expansions will also have upfront investment costs that may not be accompanied by sufficient revenues to achieve typical or expected operational and financial performance.</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have risks related to identifying suitable partners. In addition, certain aspects of these arrangements are not directly within our control, such as the ability of these third parties to meet their projections regarding store openings and sales and their compliance with federal and local law. We cannot ensure the profitability or success of our expansion into international markets.</w:t>
      </w:r>
    </w:p>
    <w:p>
      <w:pPr>
        <w:spacing w:after="0" w:line="13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Further, our results of operations and financial condition may be adversely affected by fluctuations in currency exchange rates. See “Fluctuations in foreign currency exchange rates could impact our financial condition and results of operations”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licensees, franchisees and wholesalers could take actions that could harm our business or brand images.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global representation through independently owned stores operated by our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Our brand image and reputation may suffer materially, and our sales could decline if our partners do not operate successfully. These risks could have an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direct channel businesses include risks that could have an effect on our results.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direct operations are subject to numerous risks that could have a material adverse effect on our results. Risks include, but are not limited to, the difficulty in recreating the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the failure of and risks related to the systems that operate our web infrastructure, websites and the related support systems, including computer viruses, theft of customer information, privacy concerns, telecommunication failures and electronic break-ins and similar disruptions.</w:t>
      </w:r>
    </w:p>
    <w:p>
      <w:pPr>
        <w:spacing w:after="0" w:line="134"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Our failure to maintain efficient and uninterrupted order-taking and fulfillment operations could also have a material adverse effect on our results. The satisfaction of our online customers depends on their timely receipt of merchandise. If we encounter difficulties with the distribution facilities, or if the facilities were to shut down for any reason, including as a result of fire, natural disaster or work stoppage, we could face shortages of inventory; incur significantly higher costs and longer lead times associated with distributing our products to our customers; and cause customer dissatisfaction.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issues could have a material adverse effect on our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protect our reputation could have a material effect on our brand images.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ability to maintain our reputation is critical to our brand images. Our reputation could be jeopardized if we fail to maintain high standards for merchandise quality and integrity. Any negative publicity, including information publicized through traditional or social media platforms and similar venues such as blogs, websites and other forums, may affect our reputation and brand and, consequently, reduce demand for our merchandise, even if such publicity is unverified or inaccurate.</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Failure to comply with ethical, social, product, labor and environmental standards, or related political considerations, could also jeopardize our reputation and potentially lead to various adverse consumer actions, including boycotts. Failure to comply with local laws and regulations, to maintain an effective system of internal controls, to maintain the security of customer, associate, third-party or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our marketing, advertising and promotional programs are unsuccessful, or if our competitors are more effective with their programs than we are, our revenue or results of operations may be adversely affected.</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spacing w:after="0" w:line="12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adequately protect our trade names, trademarks and patents could have an impact on our brand images and ability to penetrate new markets.</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our trade names, trademarks and patents are important assets and an essential element of our strategy. We have obtained or applied for federal registration of these trade names, trademarks and patents and have applied for or obtained registrations in many foreign countries. There can be no assurance that we will obtain such registrations or that the registrations we obtain will prevent the imitation of our products or infringement of our intellectual property rights by others. In particular, the laws of certain foreign countries may not protect proprietary rights to the same extent as the laws of the U.S. If any third-party copies our products or our stores in a manner that projects lesser quality or carries a negative connotation, it could have a</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on our brand image and reputation as well as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compete favorably in our highly competitive segment of the retail industry could impact our results.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sale of women’s intimate and other apparel, personal care products and accessories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image presentation and fulfillment are all competitive factors in both the store-based and online channels.</w:t>
      </w:r>
    </w:p>
    <w:p>
      <w:pPr>
        <w:spacing w:after="0" w:line="13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Some of our competitors may have greater financial, marketing and other resources available and trends across our product categories may favor our competitors. We rely to a greater degree than some of our competitors on physical locations in shopping malls and centers and so declines in traffic to such locations may affect us more significantly than our competitors. Some of our competitors sell their products in stores that are located in the same shopping malls and centers as our stores. In addition to competing for sales, we compete for favorable site locations and lease terms in shopping malls and centers.</w:t>
      </w:r>
    </w:p>
    <w:p>
      <w:pPr>
        <w:spacing w:after="0" w:line="1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Increased competition, combined with declines in mall traffic, could result in price reductions, increased marketing expenditures and loss of pricing power and market share, any of which could have a material adverse effect on our results of operations, financial condition and cash flows.</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manage the life cycle of our brands and to remain current with fashion trends and launch new product lines successfully could impact the image and relevance of our brands.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manage the life cycle of our brands and to anticipate and respond to changing fashion preferences and consumer demands and to translate market trends into appropriate, salable product offerings in advance of the actual time of sale to the customer. Customer demands and fashion trends change rapidly. If we are unable to successfully anticipate, identify or react to changing styles or trends or we misjudge the market for our products or any new product lines, our sales will be lower, potentially resulting in significant amounts of unsold finished goods inventory. In response, we may be forced to increase our marketing promotions or price markdowns. These risks could have a material adverse effect on our brand image and reputation as well as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adequately source, distribute and sell merchandise and other materials on a global basis.</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source merchandise and other materials directly in international markets and in our domestic market. We distribute merchandise and other materials globally to our partners in international locations and to our stores. Many of our imports and exports are subject to a variety of customs regulations and international trade arrangements, including existing or potential duties, tariffs or safeguard quotas. We compete with other companies for production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face a variety of other risks generally associated with doing business on a global basis. For example:</w:t>
      </w:r>
    </w:p>
    <w:p>
      <w:pPr>
        <w:spacing w:after="0" w:line="90" w:lineRule="exact"/>
        <w:rPr>
          <w:sz w:val="20"/>
          <w:szCs w:val="20"/>
          <w:color w:val="auto"/>
        </w:rPr>
      </w:pPr>
    </w:p>
    <w:p>
      <w:pPr>
        <w:ind w:left="1300" w:right="5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significant health hazards, environmental hazards or natural disasters which could negatively affect international economies, financial markets and business activity;</w:t>
      </w:r>
    </w:p>
    <w:p>
      <w:pPr>
        <w:spacing w:after="0" w:line="2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retaliatory trade duties, sanctions or taxes and other charges on imports or exports;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new or complex legal and regulatory matters;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90"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2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disruptions in shipping and transportation and related pricing impacts;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 or other factors.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future performance will depend upon these and the other factors listed above which are beyond our control and could have a material adverse effect on our results of operations, financial condition and cash flows.</w:t>
      </w:r>
    </w:p>
    <w:p>
      <w:pPr>
        <w:spacing w:after="0" w:line="10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number of vendor and distribution facilities located in the same vicinity, making our business susceptible to local and regional disruptions or adverse conditions.</w:t>
      </w:r>
    </w:p>
    <w:p>
      <w:pPr>
        <w:spacing w:after="0" w:line="105"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To achieve the necessary speed and agility in producing our beauty, personal care and home fragrance products, we rely heavily on vendor and distribution facilities in close proximity to our headquarters in Central Ohio. As a result of geographic concentration of the vendor and distribution facilities that we rely upon, our operations are susceptible to local and regional factors, such as accidents, system failures, economic and weather conditions, natural disasters, demographic and population changes, and other unforeseen events and circumstances. Any significant interruption in the operations of these facilities could lead to inventory issues or increased costs, which could have a material adverse effect on our results of operations, financial condition and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foreign currency exchange rates could impact our financial condition and results of operations.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Although we use foreign currency forward contracts to hedge certain foreign currency risks, these measures may not succeed in offsetting all of the short-term negative impacts of foreign currency rate movements on our business and results of operations.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stock price may fluctuate substantially as a result of variations in our actual or projected performance or the financial performance of other companies in the retail industry. Any guidance that we provide is based on goals that we believe are reasonably attainable at the time guidance is given. If, or when, we announce actual results that differ from those that have been predicted by us, outside investment analysts or others, our stock price could be adversely affected. Investors who rely on these predictions when making investment decisions with respect to our securities do so at their own risk.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stock market may experience price and volume fluctuations that are unrelated or disproportionate to operating performance.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pay quarterly dividends at intended levels, our reputation and stock price may be harmed.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dividend program requires the use of a portion of our cash flow. Our ability to pay dividends will depend on our ability to generate sufficient cash flows from operations in the future. This ability may be subject to certain economic, financial, competitive and other factors that are beyond our control. Our Board of Directors may, at its discretion, decrease the level of dividends or entirely discontinue the payment of dividends at any time. On November 19, 2018, our Board of Directors announced that it planned to reduce our annual ordinary dividend to $1.20 per share from $2.40 per share, beginning with the quarterly dividend paid in March 2019. Any failure to pay dividends after we have announced our intention to do so may negatively impact our reputation, investor confidence in us and our stock price.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our credit rating could affect our ability to access capital and could increase our interest expense.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rating agencies periodically review our capital structure and the quality and stability of our earnings. A deterioration in our capital structure or the quality and stability of our earnings could result in a downgrade of our credit rating. Any negative ratings actions could constrain the capital available to our company or our industry and could limit our access to funding for our operations. We are dependent upon our ability to access capital at rates and on terms we determine to be attractive. If our ability to access capital becomes constrained, our interest costs will likely increase, which could have a material adverse effect on our results of operations, financial condition and cash flows. Additionally, changes to our credit rating could affect our future interest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service or refinance our debt.</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currently have substantial indebtedness. Some of our debt agreements contain covenants which require maintenance of certain financial ratios and also, under certain conditions, restrict our ability to pay dividends, repurchase common shares and make other restricted payments as defined in those agreements. Our cash flow from operations provides the primary source 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for our debt service payments. If our cash flow from operations declines, we may be unable to service or refinance our current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activism could cause us to incur significant expense, hinder execution of our business strategy and impact our stock price.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Shareholder activism, which can take many forms and arise in a variety of situations, could result in substantial costs and divert management’s and our board’s attention and resources from our business. Additionally, such shareholder activism could give rise to perceived uncertainties as to our future,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recruit, train and retain key personnel.</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we have benefited substantially from the leadership and experience of our senior executives, including Leslie H. Wexner, Chairman of the Board of Directors and Chief Executive Officer. The loss of the services of any of these individuals could have a material adverse effect on our business. Competition for key personnel in the retail industry is intense, and our future success will also depend on our ability to recruit, train and retain other qualified key personnel.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attract, develop and retain qualified associates and manage labor-related costs.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our competitive advantage is providing a positive, engaging and satisfying experience for each individual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Competition for such qualified individuals or changes in labor and healthcare laws could require us to incur higher labor costs.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13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may be impacted by our vendors’ ability to manufacture and deliver products in a timely manner, meet quality standards and comply with applicable laws and regulations.</w:t>
      </w:r>
    </w:p>
    <w:p>
      <w:pPr>
        <w:spacing w:after="0" w:line="10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purchase products from third-party vendors. Factors outside our control, such as production or shipping delays or quality problems, could disrupt merchandise deliveries and result in lost sales, cancellation charges or excessive markdowns.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quality problems could result in a product liability judgment or a widespread product recall that may negatively impact our sales and profitability for a period of time depending on product availability, competition reaction and consumer attitudes. Even if the product liability claim is unsuccessful or is not fully pursued, the negative publicity surrounding any assertions could adversely impact our reputation with existing and potential customers and our brand image.</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business could also suffer if our third-party vendors fail to comply with applicable laws and regulations. While our internal and vendor operating guidelines promote ethical business practices and our associates visit and monitor the operations of our third-party vendors, we do not control these vendors or their practices. The violation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affected by fluctuations in product input costs.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Product input costs, including freight, labor and raw materials, fluctuate. These fluctuations may result in an increase in our production costs. We may not be able to, or may elect not to, pass these increases on to our customers which may adversely impact our profit margins. These risks could have a material adverse effect on our results of operations, financial condition and cash flows.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adequately protect our assets from loss and theft.</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assets are subject to loss, including those caused by illegal or unethical conduct by associates, customers, vendors or unaffiliated third parties. We have experienced events such as inventory shrinkage in the past,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affected by fluctuations in energy costs.</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Energy costs have fluctuated in the past. These fluctuations may result in an increase in our transportation costs for distribution, utility costs for our retail stores and costs to purchase products from our manufacturers. A continual rise in energy costs could adversely affect consumer spending and demand for our products and increase our operating costs, both of which could have a material adverse effect on our results of operations, financial condition and cash flows.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increases in costs of mailing, paper and printing.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Postal rate increases and paper and printing costs will affect the cost of our order fulfillment and promotional mailings. We rely on discounts from the basic postal rate structure, such as discounts for bulk mailings and sorting. Future paper and postal rate increases could adversely impact our earnings if we are unable to recover these costs or if we are unable to implement more efficient printing, mailing, delivery and order fulfillment systems. These risks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self-insure certain risks and may be impacted by unfavorable claims experience.</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Retained or contingent liabilities from businesses that we divest could adversely affect our financial results.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2018, we completed the sale of La Senza to an affiliate of Regent LP, a global private equity firm. As a result of this divestiture, we may incur unexpected contingent liabilities, including with respect to leases assumed by the buyer. Our divestiture activities may also present financial and operational risks. Those risks may include difficulties separating personnel, financial and other systems, and indemnities and potential disputes with the buyer of La Senza. Any of these factors could adversely affect our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significantly rely on our ability to implement and sustain information technology systems and to protect associated data.</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depends, in part, on the secure and uninterrupted performance of our information technology systems. Our information technology systems, as well as those of our service providers, are vulnerable to damage from a variety of sources, including telecommunication failures, malicious human acts and natural disasters. Moreover, despite network security measures, some of our servers and those of our service providers are potentially vulnerable to physical or electronic break-ins, computer viruses and similar disruptive problems. Additionally, these types of problems could result in a breach of confidential customer, merchandise, financial or other important information which could result in damage to our reputation and/or litigation. The increased use of smartphones, tablets and other mobile devices may also heighten these and other operational risks. Despite the precautions we have taken, unanticipated problems may nevertheless cause failures in our information technology systems. Sustained or repeated system disruptions that interrupt our ability to process orders and deliver products to the stores, impact our consumers’ ability to access our websites in a timely manner or expose confidential customer information, merchandise, financial or other important information could have a material adverse effect on our results of operations, financial condition and cash flows.</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make modifications and upgrades to the information technology systems for point-of-sale, e-commerce, merchandising, planning, sourcing, logistics, inventory management and support systems including human resources and finance. Modifications involve replacing legacy systems with successor systems, making changes to legacy systems or acquiring new systems with new functionality. We are aware of inherent risks associated with replacing these systems, including not accurately capturing data and system disruptions. Information technology system disruptions, if not anticipated and appropriately mitigated, could have a material adverse effect on our operations, financial condition and cash flows.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maintain the security of customer, associate, third-party or company information could have an impact on our reputation and our results.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Information systems are susceptible to an increasing threat of continually evolving cybersecurity risks. Any significant compromise or breach of our data security could significantly damage our reputation with our customers, associates, investors and other third parties; cause the disclosure of confidential customer, associate, third-party or company information; cause our customers to stop shopping with us; and result in significant legal, regulatory and financial liabilities and lost revenues. While we train our associates and have implemented systems and processes to protect against unauthorized access to our information systems and prevent data loss, there is no guarantee that these procedures are adequate to safeguard against all data security breaches. In addition to our own networks and databases, we use third-party service providers to store, process and transmit certain of this information on our behalf. Although we contractually require these service providers to implement and use reasonable security measures, we cannot control third parties and cannot guarantee that a security breach will not occur in their systems. We have confidential security measures in place to protect our physical facilities and information technology systems from attacks. Despite these measures, we may be vulnerable to targeted or random security breaches, phishing attacks, denial of service attacks, acts of vandalism, computer viruses, misplaced or lost data, programming and/or human errors or similar events.</w:t>
      </w:r>
    </w:p>
    <w:p>
      <w:pPr>
        <w:spacing w:after="0" w:line="13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data collection and privacy is increasingly rigorous, with new and constantly changing requirements applicable to our business, and compliance with those requirements could result in additional costs, such as costs related to organizational changes, implementing additional protection technologies, training associates and engaging consultants. Additionally, we could incur lost revenues and face increased litigation as a result of any potential cybersecurity breach.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comply with regulatory requirements.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numerous regulatory requirements. Our policies, procedures and internal controls are designed to comply with all applicable foreign and domestic laws and regulations, including those required by the Sarbanes-Oxley Act of 2002, the U.S. Foreign Corrupt Practices Act, the U.K. Bribery Act, the SEC and the New York Stock Exchange (the “NYSE”), among others. Although we have put in place policies and procedures aimed at ensuring legal and regulatory compliance, our associates, subcontractors, vendors, licensees, franchisees and other third parties could take actions that violate these laws and regulations. Any violations of such laws or regulations could have an adverse effect on our reputation, market price of our common stock, results of operations, financial condition and cash flows.</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 can be difficult to comply with sometimes conflicting regulations in local, national or foreign jurisdictions as well as new or changing regulations. Also, changes in such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It may be difficult for us to oversee regulatory changes impacting our business, and our responses to changes in the law could be costly and may negatively impact our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certain compliance or legal matters.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along with third parties we do business with, are subject to complex compliance and litigation risks. Actions filed against us from time to time include commercial, tort, intellectual property, customer, employment, wage and hour, data privacy, securities, anti-corruption and other claims, including purported class action lawsuits. The cost of defending against these types of claims against us or the ultimate resolution of such claims, whether by settlement or adverse court decision, may harm our business. Further, potential claimants may be encouraged to bring suits based on a settlement from us or adverse court decisions against us. We cannot currently assess the likely outcome of such suits, but if the outcome were negative, it could have a material adverse effect on our reputation, results of operations, financial condition and cash flows.</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may be impacted by litigation trends, including class action lawsuits involving consumers and shareholders, that could have a material adverse effect on our reputation, the market price of our common stock,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changes in taxation, trade and other regulatory requirements.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Internal Revenue Service and other tax authorities and governmental bodies. We regularly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is increased uncertainty with respect to tax policy and trade relations between the U.S. and other countries. Major developments in tax policy or trade relations, such as the imposition of unilateral tariffs on imported products, could have a material adverse effect on our results of operations, financial condition and cash flows.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location, use and size of our distribution, corporate and product development facilities as of February 2,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vMerge w:val="restart"/>
          </w:tcPr>
          <w:p>
            <w:pPr>
              <w:spacing w:after="0"/>
              <w:rPr>
                <w:sz w:val="12"/>
                <w:szCs w:val="12"/>
                <w:color w:val="auto"/>
              </w:rPr>
            </w:pPr>
          </w:p>
        </w:tc>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Use</w:t>
            </w:r>
          </w:p>
        </w:tc>
        <w:tc>
          <w:tcPr>
            <w:tcW w:w="10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95"/>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Columbus, Ohio area</w:t>
            </w:r>
          </w:p>
        </w:tc>
        <w:tc>
          <w:tcPr>
            <w:tcW w:w="50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Corporate, distribution and shipping</w:t>
            </w: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6,938,000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 sourcing and product development/design</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Kettering, Ohio</w:t>
            </w:r>
          </w:p>
        </w:tc>
        <w:tc>
          <w:tcPr>
            <w:tcW w:w="50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Call center</w:t>
            </w: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Montreal, Quebec, Canada</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50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Office and sourcing</w:t>
            </w:r>
          </w:p>
        </w:tc>
        <w:tc>
          <w:tcPr>
            <w:tcW w:w="148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Mainland China</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Various international locations</w:t>
            </w:r>
          </w:p>
        </w:tc>
        <w:tc>
          <w:tcPr>
            <w:tcW w:w="502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Office and sourcing</w:t>
            </w:r>
          </w:p>
        </w:tc>
        <w:tc>
          <w:tcPr>
            <w:tcW w:w="1480" w:type="dxa"/>
            <w:vAlign w:val="bottom"/>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7"/>
        </w:trPr>
        <w:tc>
          <w:tcPr>
            <w:tcW w:w="48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9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48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7"/>
          <w:szCs w:val="17"/>
          <w:color w:val="auto"/>
        </w:rPr>
        <w:t>Our business for the Victoria’s Secret, Bath &amp; Body Works and Victoria's Secret and Bath &amp; Body Works International segments is principally conducted from office, distribution and shipping facilities located in the Columbus, Ohio, area. Additional facilities are located in New York and Kettering, Ohio.</w:t>
      </w:r>
    </w:p>
    <w:p>
      <w:pPr>
        <w:spacing w:after="0" w:line="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distribution and shipping facilities consist of eight buildings located in the Columbus, Ohio, area. These buildings, including attached office space, comprise approximately 6.9 million square feet.</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February 2, 2019, we operate 2,717 retail stores located in leased facilities, primarily in malls and shopping centers, throughout the U.S. A substantial portion of these lease commitments consists of store leases generally with an initial term of 10 years. The store leases expire at various dates between 2019 and 2033.</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17 to the Consolidated Financial Statements included in Item 8. Financial Statements and Supplementary Data.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offices in the Montreal, Quebec, and Toronto, Ontario, areas.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2019, we operate 147 retail stores located in leased facilities, primarily in malls and shopping centers, throughout the Canadian provinces.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 commitments consist of store leases with initial terms of 5 to 10 years expiring on various dates between 2019 and 2030.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 Ireland</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February 2, 2019, we operate 26 retail stores in leased facilities in the U.K. and Ireland. These lease commitments consist of store leases with initial terms ranging from 10 to 35 years expiring on various dates between 2021 and 2045.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Greater China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offices in Shanghai, Shenzhen and Hong Kong within Greater China.</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February 2, 2019, we operate 53 retail stores in leased facilities in Greater China. These lease commitments consist of store leases with initial terms ranging from 3 to 15 years expiring on various dates between 2019 and 2032.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International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2019, we also have global representation through stores operated by our partners:</w:t>
      </w:r>
    </w:p>
    <w:p>
      <w:pPr>
        <w:spacing w:after="0" w:line="90"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 Victoria’s Secret Beauty and Accessories stores in 70 countries;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 Bath &amp; Body Works stores in more than 30 countries;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Victoria's Secret stores in 21 countries; and</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PINK stores in 4 countries.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sourcing-related office facilities in various international locations.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our Company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results of operations,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118" w:right="27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common stock (“LB”) is traded on the NYSE. As of February 2, 2019, there were approximately 35,000 shareholders of record. However, including active associates who participate in our stock purchase plan, associates who own shares through our sponsored retirement plans and others holding shares in broker accounts under street names, we estimate the shareholder base to be approximately 148,000.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quarterly market prices and cash dividends per share for 2018 and 2017:</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Market Price</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Cash Dividend</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34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6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400" w:type="dxa"/>
            <w:vAlign w:val="bottom"/>
            <w:gridSpan w:val="2"/>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w w:val="94"/>
              </w:rPr>
              <w:t>2018</w:t>
            </w:r>
          </w:p>
        </w:tc>
        <w:tc>
          <w:tcPr>
            <w:tcW w:w="6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3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w w:val="94"/>
              </w:rPr>
              <w:t>2017</w:t>
            </w:r>
          </w:p>
        </w:tc>
        <w:tc>
          <w:tcPr>
            <w:tcW w:w="6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42.54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96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November 2018, our Board of Directors reduced our annual ordinary dividend to $1.20 per share from $2.40 per share, beginning with the quarterly dividend paid in March 2019.</w:t>
      </w:r>
    </w:p>
    <w:p>
      <w:pPr>
        <w:spacing w:after="0" w:line="162" w:lineRule="exact"/>
        <w:rPr>
          <w:sz w:val="20"/>
          <w:szCs w:val="20"/>
          <w:color w:val="auto"/>
        </w:rPr>
      </w:pPr>
    </w:p>
    <w:p>
      <w:pPr>
        <w:ind w:left="60" w:right="200"/>
        <w:spacing w:after="0" w:line="282" w:lineRule="auto"/>
        <w:rPr>
          <w:sz w:val="20"/>
          <w:szCs w:val="20"/>
          <w:color w:val="auto"/>
        </w:rPr>
      </w:pPr>
      <w:r>
        <w:rPr>
          <w:rFonts w:ascii="Times New Roman" w:cs="Times New Roman" w:eastAsia="Times New Roman" w:hAnsi="Times New Roman"/>
          <w:sz w:val="18"/>
          <w:szCs w:val="18"/>
          <w:color w:val="auto"/>
        </w:rPr>
        <w:t>In February 2019, our Board of Directors declared our first quarter of 2019 dividend of $0.30 per share. This dividend was distributed on March 8, 2019 to shareholders of record at the close of business on February 22, 2019.</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graph shows the changes, over the past five-year period, in the value of $100 invested in our common stock, the Standard &amp; Poor’s ("S&amp;P") 500 Composite Stock Price Index and the Standard &amp; Poor’s 500 Retail Composite Index.</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 (a) (b) (c) (d)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L BRANDS, INC., THE S&amp;P 500 INDEX AND THE S&amp;P RETAIL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696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69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$100 invested in stock or in index at the closing price on February 1, 2014, including reinvestment of dividends.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28, 2017 cumulative total return includes the $2 special dividend in March 2016.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30, 2016 cumulative total return includes the $2 special dividend in March 2015.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31, 2015 cumulative total return includes the $1 special dividend in March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fourth quarter of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95"/>
        </w:trPr>
        <w:tc>
          <w:tcPr>
            <w:tcW w:w="4240" w:type="dxa"/>
            <w:vAlign w:val="bottom"/>
            <w:gridSpan w:val="2"/>
            <w:vMerge w:val="continue"/>
          </w:tcPr>
          <w:p>
            <w:pPr>
              <w:spacing w:after="0"/>
              <w:rPr>
                <w:sz w:val="16"/>
                <w:szCs w:val="16"/>
                <w:color w:val="auto"/>
              </w:rPr>
            </w:pPr>
          </w:p>
        </w:tc>
        <w:tc>
          <w:tcPr>
            <w:tcW w:w="11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15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Under the Programs (c)</w:t>
            </w:r>
          </w:p>
        </w:tc>
        <w:tc>
          <w:tcPr>
            <w:tcW w:w="0" w:type="dxa"/>
            <w:vAlign w:val="bottom"/>
          </w:tcPr>
          <w:p>
            <w:pPr>
              <w:spacing w:after="0"/>
              <w:rPr>
                <w:sz w:val="1"/>
                <w:szCs w:val="1"/>
                <w:color w:val="auto"/>
              </w:rPr>
            </w:pPr>
          </w:p>
        </w:tc>
      </w:tr>
      <w:tr>
        <w:trPr>
          <w:trHeight w:val="250"/>
        </w:trPr>
        <w:tc>
          <w:tcPr>
            <w:tcW w:w="4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2018</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2018</w:t>
            </w:r>
          </w:p>
        </w:tc>
        <w:tc>
          <w:tcPr>
            <w:tcW w:w="11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2019</w:t>
            </w: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4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share repurchase program information, see Note 20 to the Consolidated Financial Statements included in Item 8. Financial Statements and Supplementary Data.</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8" w:right="25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320" w:type="dxa"/>
            <w:vAlign w:val="bottom"/>
            <w:gridSpan w:val="2"/>
          </w:tcPr>
          <w:p>
            <w:pPr>
              <w:jc w:val="right"/>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32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1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January 30, 2016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2015</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(a)</w:t>
            </w:r>
          </w:p>
        </w:tc>
        <w:tc>
          <w:tcPr>
            <w:tcW w:w="132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13,237</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12,632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12,574</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12,154</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11,454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4,899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4,959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5,125</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5,204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(b)</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1,237</w:t>
            </w: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1,728</w:t>
            </w: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2,003</w:t>
            </w:r>
          </w:p>
        </w:tc>
        <w:tc>
          <w:tcPr>
            <w:tcW w:w="38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2,192</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(c)</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1,253</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60" w:type="dxa"/>
            <w:vAlign w:val="bottom"/>
            <w:gridSpan w:val="4"/>
          </w:tcPr>
          <w:p>
            <w:pPr>
              <w:jc w:val="center"/>
              <w:ind w:left="431"/>
              <w:spacing w:after="0"/>
              <w:rPr>
                <w:sz w:val="20"/>
                <w:szCs w:val="20"/>
                <w:color w:val="auto"/>
              </w:rPr>
            </w:pPr>
            <w:r>
              <w:rPr>
                <w:rFonts w:ascii="Times New Roman" w:cs="Times New Roman" w:eastAsia="Times New Roman" w:hAnsi="Times New Roman"/>
                <w:sz w:val="14"/>
                <w:szCs w:val="14"/>
                <w:b w:val="1"/>
                <w:bCs w:val="1"/>
                <w:color w:val="auto"/>
              </w:rPr>
              <w:t>(as a percentage of net sales)</w:t>
            </w: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 Results</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Per Basic Share</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4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3.98</w:t>
            </w: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Per Share</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Diluted Shares Outstanding (in millions)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1,413</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1,934</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2,548</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8,090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8,149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8,170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8,493</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7,476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1,274</w:t>
            </w: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1,451</w:t>
            </w:r>
          </w:p>
        </w:tc>
        <w:tc>
          <w:tcPr>
            <w:tcW w:w="38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2,281</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1,377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1,990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629</w:t>
            </w: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990</w:t>
            </w:r>
          </w:p>
        </w:tc>
        <w:tc>
          <w:tcPr>
            <w:tcW w:w="38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5,739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5,707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5,700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5,715</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1,004</w:t>
            </w: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831</w:t>
            </w:r>
          </w:p>
        </w:tc>
        <w:tc>
          <w:tcPr>
            <w:tcW w:w="38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904</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(729)</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Comparable Sales Increase (Decrease) (d)</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Comparable Store Sales Increase (Decrease) (d)</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Average Assets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Ratio</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Stores and Associates at End of Year</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Stores (e)</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3,074</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3,005</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Square Feet (in thousands) (e)</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12,396</w:t>
            </w: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12,656</w:t>
            </w: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12,395</w:t>
            </w:r>
          </w:p>
        </w:tc>
        <w:tc>
          <w:tcPr>
            <w:tcW w:w="38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11,902</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11,536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Associates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88,900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93,200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93,600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87,900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80,100</w:t>
            </w:r>
          </w:p>
        </w:tc>
        <w:tc>
          <w:tcPr>
            <w:tcW w:w="0" w:type="dxa"/>
            <w:vAlign w:val="bottom"/>
          </w:tcPr>
          <w:p>
            <w:pPr>
              <w:spacing w:after="0"/>
              <w:rPr>
                <w:sz w:val="1"/>
                <w:szCs w:val="1"/>
                <w:color w:val="auto"/>
              </w:rPr>
            </w:pPr>
          </w:p>
        </w:tc>
      </w:tr>
      <w:tr>
        <w:trPr>
          <w:trHeight w:val="218"/>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ended February 3, 2018 ("2017") represents a 53-week fiscal year.</w:t>
      </w:r>
    </w:p>
    <w:p>
      <w:pPr>
        <w:spacing w:after="0" w:line="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the following items:</w:t>
      </w:r>
    </w:p>
    <w:p>
      <w:pPr>
        <w:spacing w:after="0" w:line="9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a $99 million loss on the sale of La Senza, an $81 million charge related to the impairment of certain Victoria's Secret store assets and $20 million of Henri Bendel closure costs.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$35 million charge related to strategic actions at Victoria's Secret, including severance charges, fabric cancellations and the write-off of catalogue paper.</w:t>
      </w:r>
    </w:p>
    <w:p>
      <w:pPr>
        <w:sectPr>
          <w:pgSz w:w="11900" w:h="16838" w:orient="portrait"/>
          <w:cols w:equalWidth="0" w:num="1">
            <w:col w:w="11420"/>
          </w:cols>
          <w:pgMar w:left="240" w:top="118"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items previously discussed in (b), net income includes the effect of the following items:</w:t>
      </w:r>
    </w:p>
    <w:p>
      <w:pPr>
        <w:spacing w:after="0" w:line="90"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a $92 million tax benefit related to changes in U.S. tax legislation partially offset by a $29 million loss associated with the early extinguishment of our 2019 Notes.</w:t>
      </w:r>
    </w:p>
    <w:p>
      <w:pPr>
        <w:spacing w:after="0" w:line="26"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$70 million gain related to a $124 million cash distribution from Easton Town Center, LLC, a $42 million tax benefit related to the favorable resolution of a discrete income tax matter, partially offset by a $22 million loss associated with the early extinguishment of our 2017 Notes.</w:t>
      </w:r>
    </w:p>
    <w:p>
      <w:pPr>
        <w:spacing w:after="0" w:line="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a $69 million gain related to the divestiture of our remaining ownership interest in our third-party apparel sourcing business.</w:t>
      </w:r>
    </w:p>
    <w:p>
      <w:pPr>
        <w:spacing w:after="0" w:line="90"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items, see the Notes to the Consolidated Financial Statements included in Item 8. Financial Statements and Supplementary Data.</w:t>
      </w:r>
    </w:p>
    <w:p>
      <w:pPr>
        <w:spacing w:after="0" w:line="2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The effect of the items described in (b) and (c) above decreased earnings per share by $0.51 in 2018, and increased earnings per share by $0.22 in 2017, and $0.23 in 2016 and 2015.</w:t>
      </w:r>
    </w:p>
    <w:p>
      <w:pPr>
        <w:spacing w:after="0" w:line="27" w:lineRule="exact"/>
        <w:rPr>
          <w:sz w:val="20"/>
          <w:szCs w:val="20"/>
          <w:color w:val="auto"/>
        </w:rPr>
      </w:pPr>
    </w:p>
    <w:p>
      <w:pPr>
        <w:ind w:left="660" w:right="40" w:hanging="652"/>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A store is typically included in the calculation of comparable sales when it has been open or owned 12 months or more and it has not had a change in selling square footage of 20% or more.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Therefore, the percentage change in comparable sales for 2018, 2016, 2015 and 2014 were calculated on a 52-to-52-week basis, and the percentage change in comparable sales for 2017 was calculated on a 53-to-53-week basis. Comparable sales attributable to our international stores are calculated on a constant currency basis.</w:t>
      </w:r>
    </w:p>
    <w:p>
      <w:pPr>
        <w:spacing w:after="0" w:line="18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stores and selling square feet excludes independently owned Victoria's Secret Beauty and Accessories, Victoria's Secret, PINK, Bath &amp; Body Works and La Senza stores operated by our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multi-year goal to grow our business and increase operating margins for our brands by focusing on these key business priorities:</w:t>
      </w:r>
    </w:p>
    <w:p>
      <w:pPr>
        <w:spacing w:after="0" w:line="9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business in North America;</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brands internationally; and</w:t>
      </w:r>
    </w:p>
    <w:p>
      <w:pPr>
        <w:spacing w:after="0" w:line="90" w:lineRule="exact"/>
        <w:rPr>
          <w:rFonts w:ascii="Times New Roman" w:cs="Times New Roman" w:eastAsia="Times New Roman" w:hAnsi="Times New Roman"/>
          <w:sz w:val="18"/>
          <w:szCs w:val="18"/>
          <w:color w:val="auto"/>
        </w:rPr>
      </w:pPr>
    </w:p>
    <w:p>
      <w:pPr>
        <w:ind w:left="60" w:right="7640" w:hanging="52"/>
        <w:spacing w:after="0" w:line="344"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fundamentals of our business. We also continue to focus on:</w:t>
      </w: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top talent;</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strong cash and liquidity position while optimizing our capital structure; and</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value to our shareholders.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regarding certain of our key business priorities: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business in North America</w:t>
      </w:r>
    </w:p>
    <w:p>
      <w:pPr>
        <w:spacing w:after="0" w:line="9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number one priority is improving performance at Victoria's Secret by staying close to our customer, improving our assortment and improving the customer experience in stores and online. We have new leaders at Victoria's Secret Lingerie and PINK, and we are looking at every aspect of our business: our marketing, brand positioning, internal talent, real estate portfolio, direct business and cost structure. We are focused on improving our merchandise assortment. We believe we have significant opportunities to improve our merchandise, making sure we have a robust product pipeline, fashion that our customers really want with high emotional content. We will also be expanding our assortment to include new and previously exited categories, but doing some things differently through new licensing opportunities in eyewear and swimwear.</w:t>
      </w:r>
    </w:p>
    <w:p>
      <w:pPr>
        <w:spacing w:after="0" w:line="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core of Bath &amp; Body Works is its body care, home fragrance products, soaps and sanitizers which together make up the majority of sales and profits for the business. We see clear opportunities for substantial growth in these categories by focusing on product newness and innovation and expanding into under-penetrated market and price segments. We will continue to invest in the White Barn concept, which continues to yield strong results. In 2019, we plan to increase our square footage at Bath &amp; Body Works North America by about 3% through the opening of approximately 25 net new Bath &amp; Body Works stores and the remodeling of existing stores.</w:t>
      </w:r>
    </w:p>
    <w:p>
      <w:pPr>
        <w:spacing w:after="0" w:line="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Victoria’s Secret and Bath &amp; Body Works direct businesses, with $2.5 billion in sales and operating margins in excess of 20%, are growing rapidly at a mid-to-high-teens rate. Our investment in technology and logistics will increase substantially in 2019 for initiatives supporting our direct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our brands internationally</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there is substantial opportunity for international growth. We have separate, dedicated teams that have taken a methodical, "test and learn" approach to expansion. We expand our presence outside of North America by opening company-owned stores, as well as by increasing the number of stores operated by our international partners.</w:t>
      </w:r>
    </w:p>
    <w:p>
      <w:pPr>
        <w:spacing w:after="0" w:line="41" w:lineRule="exact"/>
        <w:rPr>
          <w:sz w:val="20"/>
          <w:szCs w:val="20"/>
          <w:color w:val="auto"/>
        </w:rPr>
      </w:pPr>
    </w:p>
    <w:p>
      <w:pPr>
        <w:ind w:left="660" w:right="1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Victoria’s Secret International Stores</w:t>
      </w:r>
      <w:r>
        <w:rPr>
          <w:rFonts w:ascii="Times New Roman" w:cs="Times New Roman" w:eastAsia="Times New Roman" w:hAnsi="Times New Roman"/>
          <w:sz w:val="18"/>
          <w:szCs w:val="18"/>
          <w:color w:val="auto"/>
        </w:rPr>
        <w:t xml:space="preserve"> — We have made significant progress in expanding Victoria's Secret internationally. During 2018, we opened eight new Victoria's Secret full-assortment stores in Greater China, bringing the total to 15. In 2019, we have plans to open three to five new Victoria's Secret full-assortment stores in Greater China.</w:t>
      </w:r>
    </w:p>
    <w:p>
      <w:pPr>
        <w:spacing w:after="0" w:line="41" w:lineRule="exact"/>
        <w:rPr>
          <w:rFonts w:ascii="Times New Roman" w:cs="Times New Roman" w:eastAsia="Times New Roman" w:hAnsi="Times New Roman"/>
          <w:sz w:val="18"/>
          <w:szCs w:val="18"/>
          <w:color w:val="auto"/>
        </w:rPr>
      </w:pPr>
    </w:p>
    <w:p>
      <w:pPr>
        <w:ind w:left="6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our partners opened 15 Victoria's Secret full-assortment and four PINK stores in 2018, bringing the totals to 47 Victoria's Secret full-assortment stores and nine PINK stores. There were notable openings in Australia, Costa Rica, Indonesia, Italy, Malaysia and Thailand. Our partners plan to open approximately 20 Victoria's Secret full-assortment stores and one or two PINK stores in 2019.</w:t>
      </w:r>
    </w:p>
    <w:p>
      <w:pPr>
        <w:spacing w:after="0" w:line="41" w:lineRule="exact"/>
        <w:rPr>
          <w:rFonts w:ascii="Times New Roman" w:cs="Times New Roman" w:eastAsia="Times New Roman" w:hAnsi="Times New Roman"/>
          <w:sz w:val="18"/>
          <w:szCs w:val="18"/>
          <w:color w:val="auto"/>
        </w:rPr>
      </w:pPr>
    </w:p>
    <w:p>
      <w:pPr>
        <w:ind w:left="660" w:right="8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Victoria's Secret Beauty and Accessories Stores</w:t>
      </w:r>
      <w:r>
        <w:rPr>
          <w:rFonts w:ascii="Times New Roman" w:cs="Times New Roman" w:eastAsia="Times New Roman" w:hAnsi="Times New Roman"/>
          <w:sz w:val="18"/>
          <w:szCs w:val="18"/>
          <w:color w:val="auto"/>
        </w:rPr>
        <w:t xml:space="preserve"> — During 2018, we opened nine net new Victoria's Secret Beauty and Accessories stores in Greater China, bringing the total to 38. In 2019, we expect to open six to ten net new Victoria's Secret Beauty and Accessories stores in Greater China. Additionally, our partners operate 383 Victoria's Secret Beauty and Accessories stores in 70 countries worldwide. These stores are located in local markets, airports and tourist destinations, and are focused on Victoria’s Secret branded beauty and accessory products.</w:t>
      </w:r>
    </w:p>
    <w:p>
      <w:pPr>
        <w:spacing w:after="0" w:line="44" w:lineRule="exact"/>
        <w:rPr>
          <w:rFonts w:ascii="Times New Roman" w:cs="Times New Roman" w:eastAsia="Times New Roman" w:hAnsi="Times New Roman"/>
          <w:sz w:val="18"/>
          <w:szCs w:val="18"/>
          <w:color w:val="auto"/>
        </w:rPr>
      </w:pPr>
    </w:p>
    <w:p>
      <w:pPr>
        <w:ind w:left="660" w:right="32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Bath &amp; Body Works International Stores</w:t>
      </w:r>
      <w:r>
        <w:rPr>
          <w:rFonts w:ascii="Times New Roman" w:cs="Times New Roman" w:eastAsia="Times New Roman" w:hAnsi="Times New Roman"/>
          <w:sz w:val="18"/>
          <w:szCs w:val="18"/>
          <w:color w:val="auto"/>
        </w:rPr>
        <w:t xml:space="preserve"> — Our partners opened 50 net new Bath &amp; Body Works stores in 2018, bringing the total in the Middle East, Latin America, Southeast Asia and Europe to 235. Our partners plan to open approximately 50 additional stores in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the fundamentals of our business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focused on the fundamentals of our business which include knowing our customers, focusing on core merchandise categories, inventory management, speed and agility, managing real estate and store selling and execution. In terms of speed and agility, we are focused on inventory discipline through lead-time reductions and in-season agility to increase sales and reduce promotional activity. In terms of real estate, we will continue to proactively and rigorously review our portfolio, and we will continue to open and close stores when we believe it makes sense to do so. Finally, we continue to optimize our store selling and execution by concentrating on a better store experience and developing, retaining and investing in talented, trained and productive store associates.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2018 Overview</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performance continues to be mixed. Growth in operating income at Bath &amp; Body Works was more than offset by a decline at Victoria’s Secret and Victoria's Secret and Bath &amp; Body Works International. Our net sales increased $605 million to $13.237 billion driven by a comparable sales increase of 3%. Our operating income decreased $491 million to $1.237 billion, and our operating income rate decreased to 9.3% from 13.7%.</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660" w:right="3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has underperformed - major merchandise misses have resulted in increased promotion which negatively impacted margin rates. Victoria’s Secret segment comparable sales declined 2% for the year, and operating income declined 50%. By business unit:</w:t>
      </w:r>
    </w:p>
    <w:p>
      <w:pPr>
        <w:spacing w:after="0" w:line="2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Victoria’s Secret Lingerie, 2018 comparable sales declined in the low-single digit range. We are seeing some improved performance in our newer bra launches. However, growth in new styles has not been enough to offset the decline in older styles. We made a substantial investment in sleepwear for the Holiday season, and the category delivered strong growth over last year.</w:t>
      </w:r>
    </w:p>
    <w:p>
      <w:pPr>
        <w:spacing w:after="0" w:line="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PINK comparable sales declined in the mid-single digit range in 2018, as fashion misses in apparel drove a decline in performance.</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Beauty, with improved fashion, delivered low-double digit comparable sales growth in 2018.</w:t>
      </w:r>
    </w:p>
    <w:p>
      <w:pPr>
        <w:spacing w:after="0" w:line="90" w:lineRule="exact"/>
        <w:rPr>
          <w:rFonts w:ascii="Times New Roman" w:cs="Times New Roman" w:eastAsia="Times New Roman" w:hAnsi="Times New Roman"/>
          <w:sz w:val="18"/>
          <w:szCs w:val="18"/>
          <w:color w:val="auto"/>
        </w:rPr>
      </w:pPr>
    </w:p>
    <w:p>
      <w:pPr>
        <w:ind w:left="660" w:right="60" w:hanging="65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has an experienced team with strong merchandising skills. They have a close connection to the customer and a fast and agile supply chain, resulting in another record year, on top of a record 2017. In 2018, Bath &amp; Body Works comparable sales increased 11%, and operating income increased 13%. Sales in the direct channel increased 30%. We ended the year with more than 600 newly remodeled stores, which include the White Barn store design. These stores are driving significant sales growth and, importantly, present a new, compelling store experience for customers.</w:t>
      </w:r>
    </w:p>
    <w:p>
      <w:pPr>
        <w:spacing w:after="0" w:line="48" w:lineRule="exact"/>
        <w:rPr>
          <w:rFonts w:ascii="Times New Roman" w:cs="Times New Roman" w:eastAsia="Times New Roman" w:hAnsi="Times New Roman"/>
          <w:sz w:val="18"/>
          <w:szCs w:val="18"/>
          <w:color w:val="auto"/>
        </w:rPr>
      </w:pPr>
    </w:p>
    <w:p>
      <w:pPr>
        <w:ind w:left="660" w:right="5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our Victoria's Secret and Bath &amp; Body Works International segment increased by 20% in 2018, and operating income declined, as improved performance in our franchise businesses was offset by underperformance in the U.K. and our investment in China.</w:t>
      </w:r>
    </w:p>
    <w:p>
      <w:pPr>
        <w:spacing w:after="0" w:line="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recent overall performance at Victoria's Secret has been below our expectations, and we are determined to do better. By executing our strategy, focusing on the fundamentals, staying close to our customers and leveraging the strength of our brands, we are focused on meeting or exceeding the expectations of our stakeholders - customers, associates and shareholders.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year, we made significant changes in our business to focus resources on core categories to enhance performance and accelerate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include:</w:t>
      </w:r>
    </w:p>
    <w:p>
      <w:pPr>
        <w:spacing w:after="0" w:line="7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Henri Bendel;</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the La Senza business; and</w:t>
      </w:r>
    </w:p>
    <w:p>
      <w:pPr>
        <w:spacing w:after="0" w:line="90" w:lineRule="exact"/>
        <w:rPr>
          <w:rFonts w:ascii="Times New Roman" w:cs="Times New Roman" w:eastAsia="Times New Roman" w:hAnsi="Times New Roman"/>
          <w:sz w:val="18"/>
          <w:szCs w:val="18"/>
          <w:color w:val="auto"/>
        </w:rPr>
      </w:pPr>
    </w:p>
    <w:p>
      <w:pPr>
        <w:ind w:right="6340" w:firstLine="656"/>
        <w:spacing w:after="0" w:line="344" w:lineRule="auto"/>
        <w:tabs>
          <w:tab w:leader="none" w:pos="12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regular dividend to reduce debt levels. We believe these decisions will strengthen our company.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related to our 2018 financial performance, see “Results of Operations – 2018 Compared to 2017.”</w:t>
      </w:r>
    </w:p>
    <w:p>
      <w:pPr>
        <w:spacing w:after="0" w:line="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committed to returning value to our shareholders. During 2018, we paid $666 million in dividends and repurchased $196 million of our common stock. We use cash flow generated from operating and financing activities to fund our dividends and share repurchase programs. Since 2000, we have returned approximately $21 billion to shareholders through dividends and share repurchases.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Adjusted Financial Information</w:t>
      </w:r>
    </w:p>
    <w:p>
      <w:pPr>
        <w:spacing w:after="0" w:line="22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In addition to our results provided in accordance with GAAP above and throughout this Form 10-K, provided below are non-GAAP measurements which present operating income, net income and earnings per share in 2018, 2017 and 2016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2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40" w:type="dxa"/>
            <w:vAlign w:val="bottom"/>
            <w:gridSpan w:val="8"/>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Detail of Special Items included in Operating Income - Income (Expense)</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Loss on Divestiture of La Senza (a)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Store Asset Impairment (b)</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Henri Bendel Closure Costs (c)</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Restructuring (d)</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7"/>
        </w:trPr>
        <w:tc>
          <w:tcPr>
            <w:tcW w:w="7040" w:type="dxa"/>
            <w:vAlign w:val="bottom"/>
            <w:tcBorders>
              <w:bottom w:val="single" w:sz="8" w:color="CCEEFF"/>
            </w:tcBorders>
            <w:gridSpan w:val="8"/>
          </w:tcPr>
          <w:p>
            <w:pPr>
              <w:ind w:left="40"/>
              <w:spacing w:after="0"/>
              <w:rPr>
                <w:sz w:val="20"/>
                <w:szCs w:val="20"/>
                <w:color w:val="auto"/>
              </w:rPr>
            </w:pPr>
            <w:r>
              <w:rPr>
                <w:rFonts w:ascii="Times New Roman" w:cs="Times New Roman" w:eastAsia="Times New Roman" w:hAnsi="Times New Roman"/>
                <w:sz w:val="18"/>
                <w:szCs w:val="18"/>
                <w:color w:val="auto"/>
              </w:rPr>
              <w:t>Total Special Items included in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gridSpan w:val="8"/>
          </w:tcPr>
          <w:p>
            <w:pPr>
              <w:ind w:left="40"/>
              <w:spacing w:after="0" w:line="202" w:lineRule="exact"/>
              <w:rPr>
                <w:sz w:val="20"/>
                <w:szCs w:val="20"/>
                <w:color w:val="auto"/>
              </w:rPr>
            </w:pPr>
            <w:r>
              <w:rPr>
                <w:rFonts w:ascii="Times New Roman" w:cs="Times New Roman" w:eastAsia="Times New Roman" w:hAnsi="Times New Roman"/>
                <w:sz w:val="18"/>
                <w:szCs w:val="18"/>
                <w:color w:val="auto"/>
              </w:rPr>
              <w:t>Detail of Special Items included in Other Income (Loss) - Income (Loss)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Gain on Distribution from Easton Town Center, LLC (f)</w:t>
            </w:r>
          </w:p>
        </w:tc>
        <w:tc>
          <w:tcPr>
            <w:tcW w:w="1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Special Items included in Other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Detail of Special Items included in Provision for Income Taxes - Benefit (Provision)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Tax Benefit related to Changes in U.S. Tax Legislation (g)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from the Settlement of a Discrete Tax Matter (h)</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Tax Effect of Special Items included in Operating Income and Other Income (Loss)</w:t>
            </w:r>
          </w:p>
        </w:tc>
        <w:tc>
          <w:tcPr>
            <w:tcW w:w="1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Special Items included in Provision for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Reconciliation of Reported Operating Income to Adjusted Operating Income</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Reported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1,237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1,728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2,003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Items included in Operating Income</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7"/>
        </w:trPr>
        <w:tc>
          <w:tcPr>
            <w:tcW w:w="7040" w:type="dxa"/>
            <w:vAlign w:val="bottom"/>
            <w:tcBorders>
              <w:bottom w:val="single" w:sz="8" w:color="CCEEFF"/>
            </w:tcBorders>
            <w:gridSpan w:val="8"/>
          </w:tcPr>
          <w:p>
            <w:pPr>
              <w:ind w:left="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1,437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1,728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2,037</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gridSpan w:val="8"/>
          </w:tcPr>
          <w:p>
            <w:pPr>
              <w:ind w:left="40"/>
              <w:spacing w:after="0" w:line="202" w:lineRule="exact"/>
              <w:rPr>
                <w:sz w:val="20"/>
                <w:szCs w:val="20"/>
                <w:color w:val="auto"/>
              </w:rPr>
            </w:pPr>
            <w:r>
              <w:rPr>
                <w:rFonts w:ascii="Times New Roman" w:cs="Times New Roman" w:eastAsia="Times New Roman" w:hAnsi="Times New Roman"/>
                <w:sz w:val="18"/>
                <w:szCs w:val="18"/>
                <w:color w:val="auto"/>
              </w:rPr>
              <w:t>Reconciliation of Reported Net Income to Adjusted Net Income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1,158</w:t>
            </w: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Special Items included in Net Income</w:t>
            </w:r>
          </w:p>
        </w:tc>
        <w:tc>
          <w:tcPr>
            <w:tcW w:w="1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1,090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40" w:type="dxa"/>
            <w:vAlign w:val="bottom"/>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Reconciliation of Reported Earnings Per Diluted Share to Adjusted Earnings Per Diluted Share</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auto"/>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Reported Earnings Per Diluted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Items included in Earnings Per Diluted Share</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57"/>
        </w:trPr>
        <w:tc>
          <w:tcPr>
            <w:tcW w:w="7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6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2018, we recognized a $99 million ($55 million after-tax) loss on the sale of La Senza. For additional information see Note 6, "Restructuring Activities" included in Item 8. Financial Statements and Supplementary Data.</w:t>
      </w:r>
    </w:p>
    <w:p>
      <w:pPr>
        <w:ind w:left="660" w:right="14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2018, we recognized an $81 million ($73 million after-tax) impairment charge related to certain Victoria's Secret store assets. For additional information see Note 8, "Property and Equipment, Net" included in Item 8. Financial Statements and Supplementary Data.</w:t>
      </w:r>
    </w:p>
    <w:p>
      <w:pPr>
        <w:sectPr>
          <w:pgSz w:w="11900" w:h="16838" w:orient="portrait"/>
          <w:cols w:equalWidth="0" w:num="1">
            <w:col w:w="11400"/>
          </w:cols>
          <w:pgMar w:left="240" w:top="118" w:right="25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right="2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2018, we recognized $20 million ($15 million after-tax) of closure costs related to the closure of the Henri Bendel business. For additional information see Note 6, "Restructuring Activities" included in Item 8. Financial Statements and Supplementary Data.</w:t>
      </w:r>
    </w:p>
    <w:p>
      <w:pPr>
        <w:ind w:left="660" w:right="2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2016, we made strategic changes within the Victoria’s Secret segment designed to focus the brand on its core merchandise categories and streamline operations. As a result of these changes, we recorded charges related to severance and related costs, fabric cancellations and catalogue paper write-offs. For additional information see Note 6, "Restructuring Activities"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2017, we redeemed our $500 million 8.50% Senior Unsecured Notes due June 2019 resulting in a pre-tax loss on extinguishment of $45 million (after-tax loss of $29 million). In the second quarter of 2016, we redeemed our $700 million 6.90% Senior Unsecured Notes due July 2017 resulting in a pre-tax loss on extinguishment of $36 million (after-tax loss of $22 million). For additional information see Note 13, "Long-term Debt and Borrowing Facilities"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2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2016, we received a $124 million cash distribution from Easton Town Center, LLC resulting in a pre-tax gain of $108 million (after-tax gain of $70 million). For additional information see Note 10, "Equity Investments"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2017, we recorded a $92 million tax benefit related to changes in U.S. tax legislation. For additional information see Note 12, "Income Taxes" included in Item 8. Financial Statements and Supplementary Data.</w:t>
      </w:r>
    </w:p>
    <w:p>
      <w:pPr>
        <w:ind w:left="660" w:right="8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2016, we recorded a $42 million tax benefit related to the favorable resolution of a discrete income tax matter. For additional information see Note 12, "Income Taxes" included in Item 8. Financial Statements and Supplementary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Outlook</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global retail sector and our business continue to face an uncertain environment and, as a result, we will continue to manage our business thoughtfully, and we will focus on the execution of the retail fundamentals.</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At the same time, we are aggressively focusing on bringing compelling merchandise assortments, marketing and store and online experiences to our customers. We will look for, and seek to capitalize on, those opportunities available to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Company-Owned Store Data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2018 company-owned store data to the comparable periods for 2017 and 2016:</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88"/>
        </w:trPr>
        <w:tc>
          <w:tcPr>
            <w:tcW w:w="5120" w:type="dxa"/>
            <w:vAlign w:val="bottom"/>
            <w:gridSpan w:val="5"/>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Sales per Average Selling Square Foot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9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43"/>
        </w:trPr>
        <w:tc>
          <w:tcPr>
            <w:tcW w:w="40" w:type="dxa"/>
            <w:vAlign w:val="bottom"/>
          </w:tcPr>
          <w:p>
            <w:pPr>
              <w:spacing w:after="0"/>
              <w:rPr>
                <w:sz w:val="21"/>
                <w:szCs w:val="21"/>
                <w:color w:val="auto"/>
              </w:rPr>
            </w:pPr>
          </w:p>
        </w:tc>
        <w:tc>
          <w:tcPr>
            <w:tcW w:w="5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03"/>
        </w:trPr>
        <w:tc>
          <w:tcPr>
            <w:tcW w:w="512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Sales per Average Store (in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0" w:type="dxa"/>
            <w:vAlign w:val="bottom"/>
          </w:tcPr>
          <w:p>
            <w:pPr>
              <w:spacing w:after="0"/>
              <w:rPr>
                <w:sz w:val="21"/>
                <w:szCs w:val="21"/>
                <w:color w:val="auto"/>
              </w:rPr>
            </w:pPr>
          </w:p>
        </w:tc>
        <w:tc>
          <w:tcPr>
            <w:tcW w:w="5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gridSpan w:val="5"/>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Average Store Size (selling square feet)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9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120" w:type="dxa"/>
            <w:vAlign w:val="bottom"/>
            <w:tcBorders>
              <w:top w:val="single" w:sz="8" w:color="CCEEFF"/>
            </w:tcBorders>
            <w:gridSpan w:val="2"/>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6,484</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6,415</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03"/>
        </w:trPr>
        <w:tc>
          <w:tcPr>
            <w:tcW w:w="512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Total Selling Square Feet (in 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9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Victoria’s Secret U.S.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Bath &amp; Body Works U.S.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702"/>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company-owned store data for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0" w:type="dxa"/>
            <w:vAlign w:val="bottom"/>
          </w:tcPr>
          <w:p>
            <w:pPr>
              <w:spacing w:after="0"/>
              <w:rPr>
                <w:sz w:val="1"/>
                <w:szCs w:val="1"/>
                <w:color w:val="auto"/>
              </w:rPr>
            </w:pPr>
          </w:p>
        </w:tc>
      </w:tr>
      <w:tr>
        <w:trPr>
          <w:trHeight w:val="275"/>
        </w:trPr>
        <w:tc>
          <w:tcPr>
            <w:tcW w:w="298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Sold (a)</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49"/>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U.S.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Victoria’s Secret Canada</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Victoria's Secret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Bath &amp; Body Works U.S.</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5"/>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Victoria's Secret Beauty and</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Accessories</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China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5"/>
        </w:trPr>
        <w:tc>
          <w:tcPr>
            <w:tcW w:w="29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w w:val="99"/>
              </w:rPr>
              <w:t>Total Victoria's Secret and Bath &amp; Body</w:t>
            </w:r>
          </w:p>
        </w:tc>
        <w:tc>
          <w:tcPr>
            <w:tcW w:w="160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7"/>
                <w:szCs w:val="17"/>
                <w:color w:val="auto"/>
              </w:rPr>
            </w:pPr>
          </w:p>
        </w:tc>
        <w:tc>
          <w:tcPr>
            <w:tcW w:w="1620" w:type="dxa"/>
            <w:vAlign w:val="bottom"/>
            <w:tcBorders>
              <w:top w:val="single" w:sz="8" w:color="auto"/>
            </w:tcBorders>
          </w:tcPr>
          <w:p>
            <w:pPr>
              <w:jc w:val="right"/>
              <w:ind w:right="31"/>
              <w:spacing w:after="0" w:line="205"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16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31"/>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Works International</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Henri Bendel</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 Senza U.S.</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 Senza Canada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 Brands Stores</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3,075</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2,943</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right="2920" w:hanging="644"/>
        <w:spacing w:after="0" w:line="261" w:lineRule="auto"/>
        <w:tabs>
          <w:tab w:leader="none" w:pos="10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divestiture of La Senza. For additional information see Note 6, "Restructuring Activities" included in Item 8. Financial Statements and Supplementary Data.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company-owned store data for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Stores Operating at</w:t>
            </w:r>
          </w:p>
        </w:tc>
      </w:tr>
      <w:tr>
        <w:trPr>
          <w:trHeight w:val="275"/>
        </w:trPr>
        <w:tc>
          <w:tcPr>
            <w:tcW w:w="3340" w:type="dxa"/>
            <w:vAlign w:val="bottom"/>
          </w:tcPr>
          <w:p>
            <w:pPr>
              <w:spacing w:after="0"/>
              <w:rPr>
                <w:sz w:val="23"/>
                <w:szCs w:val="23"/>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20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49"/>
        </w:trPr>
        <w:tc>
          <w:tcPr>
            <w:tcW w:w="3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U.S.</w:t>
            </w:r>
          </w:p>
        </w:tc>
        <w:tc>
          <w:tcPr>
            <w:tcW w:w="1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1,124</w:t>
            </w: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Victoria’s Secret Canada</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33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Victoria's Secret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1,177</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1,170</w:t>
            </w: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Bath &amp; Body Works U.S.</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1,591</w:t>
            </w:r>
          </w:p>
        </w:tc>
        <w:tc>
          <w:tcPr>
            <w:tcW w:w="1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1,592</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1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20"/>
                <w:szCs w:val="20"/>
                <w:color w:val="auto"/>
              </w:rPr>
            </w:pPr>
          </w:p>
        </w:tc>
        <w:tc>
          <w:tcPr>
            <w:tcW w:w="1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1,694</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U.K. / Ireland</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Victoria's Secret Beauty and Accessories</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China</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05"/>
        </w:trPr>
        <w:tc>
          <w:tcPr>
            <w:tcW w:w="33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Victoria's Secret and Bath &amp; Body</w:t>
            </w:r>
          </w:p>
        </w:tc>
        <w:tc>
          <w:tcPr>
            <w:tcW w:w="194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1920" w:type="dxa"/>
            <w:vAlign w:val="bottom"/>
            <w:tcBorders>
              <w:top w:val="single" w:sz="8" w:color="auto"/>
            </w:tcBorders>
          </w:tcPr>
          <w:p>
            <w:pPr>
              <w:jc w:val="right"/>
              <w:ind w:right="11"/>
              <w:spacing w:after="0" w:line="205"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c>
          <w:tcPr>
            <w:tcW w:w="19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194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60</w:t>
            </w: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Works International</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Henri Bendel</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 Senza U.S.</w:t>
            </w:r>
          </w:p>
        </w:tc>
        <w:tc>
          <w:tcPr>
            <w:tcW w:w="1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 Senza Canada</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 Brands Stores</w:t>
            </w:r>
          </w:p>
        </w:tc>
        <w:tc>
          <w:tcPr>
            <w:tcW w:w="1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3,074</w:t>
            </w:r>
          </w:p>
        </w:tc>
        <w:tc>
          <w:tcPr>
            <w:tcW w:w="14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3,075</w:t>
            </w: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145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company-owned store data for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98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January 30, 2016</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Acquired (a)</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U.S.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Victoria’s Secret Canada</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Victoria's Secret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Bath &amp; Body Works U.S.</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Bath &amp; Body Works Canada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16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Victoria's Secret U.K.</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Victoria's Secret Beauty and</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Accessories</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5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Victoria's Secret and Bath &amp; Body</w:t>
            </w:r>
          </w:p>
        </w:tc>
        <w:tc>
          <w:tcPr>
            <w:tcW w:w="160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1"/>
              <w:spacing w:after="0" w:line="205" w:lineRule="exact"/>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ind w:left="1280"/>
              <w:spacing w:after="0" w:line="205"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Works International</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Henri Bendel</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 Senza U.S.</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 Senza Canada</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 Brands Stores</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3,005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3,074</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0" w:right="2460" w:hanging="658"/>
        <w:spacing w:after="0" w:line="290" w:lineRule="auto"/>
        <w:tabs>
          <w:tab w:leader="none" w:pos="45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acquisition of Victoria's Secret Beauty and Accessories franchise stores in Greater China. For additional information see Note 5, "Acquisition" included in Item 8. Financial Statements and Supplementary Data.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Noncompany-Owned Store Data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noncompany-owned store data for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0" w:type="dxa"/>
            <w:vAlign w:val="bottom"/>
          </w:tcPr>
          <w:p>
            <w:pPr>
              <w:spacing w:after="0"/>
              <w:rPr>
                <w:sz w:val="1"/>
                <w:szCs w:val="1"/>
                <w:color w:val="auto"/>
              </w:rPr>
            </w:pPr>
          </w:p>
        </w:tc>
      </w:tr>
      <w:tr>
        <w:trPr>
          <w:trHeight w:val="279"/>
        </w:trPr>
        <w:tc>
          <w:tcPr>
            <w:tcW w:w="298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Sold (a)</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49"/>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Beauty &amp; Accessories</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 Senza</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813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right="2920" w:hanging="644"/>
        <w:spacing w:after="0" w:line="261" w:lineRule="auto"/>
        <w:tabs>
          <w:tab w:leader="none" w:pos="10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divestiture of La Senza. For additional information see Note 6, "Restructuring Activities" included in Item 8. Financial Statements and Supplementary Data.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noncompany-owned store data for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Stores Operating at</w:t>
            </w:r>
          </w:p>
        </w:tc>
      </w:tr>
      <w:tr>
        <w:trPr>
          <w:trHeight w:val="275"/>
        </w:trPr>
        <w:tc>
          <w:tcPr>
            <w:tcW w:w="3340" w:type="dxa"/>
            <w:vAlign w:val="bottom"/>
          </w:tcPr>
          <w:p>
            <w:pPr>
              <w:spacing w:after="0"/>
              <w:rPr>
                <w:sz w:val="23"/>
                <w:szCs w:val="23"/>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20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20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Beauty &amp; Accessories</w:t>
            </w:r>
          </w:p>
        </w:tc>
        <w:tc>
          <w:tcPr>
            <w:tcW w:w="1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1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1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 Senza</w:t>
            </w:r>
          </w:p>
        </w:tc>
        <w:tc>
          <w:tcPr>
            <w:tcW w:w="1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33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781</w:t>
            </w: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813</w:t>
            </w: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jc w:val="right"/>
              <w:ind w:right="145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noncompany-owned store data for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Stores Operating at</w:t>
            </w:r>
          </w:p>
        </w:tc>
        <w:tc>
          <w:tcPr>
            <w:tcW w:w="0" w:type="dxa"/>
            <w:vAlign w:val="bottom"/>
          </w:tcPr>
          <w:p>
            <w:pPr>
              <w:spacing w:after="0"/>
              <w:rPr>
                <w:sz w:val="1"/>
                <w:szCs w:val="1"/>
                <w:color w:val="auto"/>
              </w:rPr>
            </w:pPr>
          </w:p>
        </w:tc>
      </w:tr>
      <w:tr>
        <w:trPr>
          <w:trHeight w:val="275"/>
        </w:trPr>
        <w:tc>
          <w:tcPr>
            <w:tcW w:w="2980" w:type="dxa"/>
            <w:vAlign w:val="bottom"/>
          </w:tcPr>
          <w:p>
            <w:pPr>
              <w:spacing w:after="0"/>
              <w:rPr>
                <w:sz w:val="23"/>
                <w:szCs w:val="23"/>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30, 2016</w:t>
            </w:r>
          </w:p>
        </w:tc>
        <w:tc>
          <w:tcPr>
            <w:tcW w:w="17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Transferred (a)</w:t>
            </w:r>
          </w:p>
        </w:tc>
        <w:tc>
          <w:tcPr>
            <w:tcW w:w="15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January 28, 2017</w:t>
            </w:r>
          </w:p>
        </w:tc>
        <w:tc>
          <w:tcPr>
            <w:tcW w:w="0" w:type="dxa"/>
            <w:vAlign w:val="bottom"/>
          </w:tcPr>
          <w:p>
            <w:pPr>
              <w:spacing w:after="0"/>
              <w:rPr>
                <w:sz w:val="1"/>
                <w:szCs w:val="1"/>
                <w:color w:val="auto"/>
              </w:rPr>
            </w:pPr>
          </w:p>
        </w:tc>
      </w:tr>
      <w:tr>
        <w:trPr>
          <w:trHeight w:val="249"/>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Beauty &amp; Accessories</w:t>
            </w:r>
          </w:p>
        </w:tc>
        <w:tc>
          <w:tcPr>
            <w:tcW w:w="16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 Senza</w:t>
            </w: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781</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0" w:right="2460" w:hanging="658"/>
        <w:spacing w:after="0" w:line="290" w:lineRule="auto"/>
        <w:tabs>
          <w:tab w:leader="none" w:pos="45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acquisition of Victoria's Secret Beauty and Accessories franchise stores in Greater China. For additional information see Note 5, "Acquisition" included in Item 8. Financial Statements and Supplementary Data.</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Operations—2018 Compared to 2017</w:t>
      </w:r>
    </w:p>
    <w:p>
      <w:pPr>
        <w:spacing w:after="0" w:line="121" w:lineRule="exact"/>
        <w:rPr>
          <w:sz w:val="20"/>
          <w:szCs w:val="20"/>
          <w:color w:val="auto"/>
        </w:rPr>
      </w:pPr>
    </w:p>
    <w:p>
      <w:pPr>
        <w:ind w:right="1220"/>
        <w:spacing w:after="0" w:line="282" w:lineRule="auto"/>
        <w:rPr>
          <w:sz w:val="20"/>
          <w:szCs w:val="20"/>
          <w:color w:val="auto"/>
        </w:rPr>
      </w:pPr>
      <w:r>
        <w:rPr>
          <w:rFonts w:ascii="Times New Roman" w:cs="Times New Roman" w:eastAsia="Times New Roman" w:hAnsi="Times New Roman"/>
          <w:sz w:val="18"/>
          <w:szCs w:val="18"/>
          <w:color w:val="auto"/>
        </w:rPr>
        <w:t>We utilize the retail calendar for reporting. As such, the results for 2018 represent the 52-week period ended February 2, 2019, and the results for 2017 represent the 53-week period ended February 3, 2018.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rates (expressed as a percentage of net sales) for 2018 in comparison to 2017:</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Operating Income Rate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9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900" w:type="dxa"/>
            <w:vAlign w:val="bottom"/>
            <w:tcBorders>
              <w:bottom w:val="single" w:sz="8" w:color="BFE4FF"/>
            </w:tcBorders>
            <w:shd w:val="clear" w:color="auto" w:fill="BFE4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BFE4FF"/>
            </w:tcBorders>
            <w:shd w:val="clear" w:color="auto" w:fill="BFE4FF"/>
          </w:tcPr>
          <w:p>
            <w:pPr>
              <w:spacing w:after="0"/>
              <w:rPr>
                <w:sz w:val="22"/>
                <w:szCs w:val="22"/>
                <w:color w:val="auto"/>
              </w:rPr>
            </w:pP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9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1,077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90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9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900" w:type="dxa"/>
            <w:vAlign w:val="bottom"/>
            <w:tcBorders>
              <w:bottom w:val="single" w:sz="8" w:color="BFE4FF"/>
            </w:tcBorders>
            <w:shd w:val="clear" w:color="auto" w:fill="BFE4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w w:val="98"/>
              </w:rPr>
              <w:t>1,237</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shd w:val="clear" w:color="auto" w:fill="BFE4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w w:val="98"/>
              </w:rPr>
              <w:t>________________</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Henri Bendel, Corporate and La Senza results prior to January 6, 2019.</w:t>
      </w:r>
    </w:p>
    <w:p>
      <w:pPr>
        <w:spacing w:after="0" w:line="15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2018, operating income decreased $491 million to $1.237 billion, and the operating income rate decreased to 9.3% from 13.7%. The drivers of the operating income results are discussed in the following sections.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2018 in comparison to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Stores (a)</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5,879</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 Direct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6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Total Victoria’s Secret</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7,375</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 Stores (a)</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3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(b)</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6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13,237</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660" w:type="dxa"/>
            <w:vAlign w:val="bottom"/>
            <w:tcBorders>
              <w:top w:val="single" w:sz="8" w:color="BFE4FF"/>
              <w:bottom w:val="single" w:sz="8" w:color="BFE4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Henri Bendel and La Senza results prior to January 6, 2019.</w:t>
      </w:r>
    </w:p>
    <w:p>
      <w:pPr>
        <w:sectPr>
          <w:pgSz w:w="11900" w:h="16838" w:orient="portrait"/>
          <w:cols w:equalWidth="0" w:num="1">
            <w:col w:w="11420"/>
          </w:cols>
          <w:pgMar w:left="240" w:top="11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2017 to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Victoria’s Secret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Victoria’s</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Bath &amp;</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Bath &amp; Body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Works</w:t>
            </w: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Body Works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2017 Net Sales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Comparable Store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Sales Associated with New, Closed and Non-</w:t>
            </w:r>
          </w:p>
        </w:tc>
        <w:tc>
          <w:tcPr>
            <w:tcW w:w="26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comparable Remodeled Stores, Net</w:t>
            </w:r>
          </w:p>
        </w:tc>
        <w:tc>
          <w:tcPr>
            <w:tcW w:w="26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Direct Channels</w:t>
            </w:r>
          </w:p>
        </w:tc>
        <w:tc>
          <w:tcPr>
            <w:tcW w:w="2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Private Label Credit Card</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6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2018 Net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4,631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2018 comparable sales to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0" w:type="dxa"/>
            <w:vAlign w:val="bottom"/>
            <w:gridSpan w:val="2"/>
          </w:tcPr>
          <w:p>
            <w:pPr>
              <w:ind w:left="88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1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040" w:type="dxa"/>
            <w:vAlign w:val="bottom"/>
            <w:tcBorders>
              <w:top w:val="single" w:sz="8" w:color="auto"/>
              <w:bottom w:val="single" w:sz="8" w:color="BFE4FF"/>
            </w:tcBorders>
            <w:shd w:val="clear" w:color="auto" w:fill="BFE4FF"/>
          </w:tcPr>
          <w:p>
            <w:pPr>
              <w:spacing w:after="0"/>
              <w:rPr>
                <w:sz w:val="21"/>
                <w:szCs w:val="21"/>
                <w:color w:val="auto"/>
              </w:rPr>
            </w:pPr>
          </w:p>
        </w:tc>
        <w:tc>
          <w:tcPr>
            <w:tcW w:w="54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58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54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Comparable Sales</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8160" w:type="dxa"/>
            <w:vAlign w:val="bottom"/>
            <w:shd w:val="clear" w:color="auto" w:fill="BFE4FF"/>
          </w:tcPr>
          <w:p>
            <w:pPr>
              <w:spacing w:after="0"/>
              <w:rPr>
                <w:sz w:val="24"/>
                <w:szCs w:val="24"/>
                <w:color w:val="auto"/>
              </w:rPr>
            </w:pPr>
          </w:p>
        </w:tc>
        <w:tc>
          <w:tcPr>
            <w:tcW w:w="1040" w:type="dxa"/>
            <w:vAlign w:val="bottom"/>
            <w:shd w:val="clear" w:color="auto" w:fill="BFE4FF"/>
          </w:tcPr>
          <w:p>
            <w:pPr>
              <w:spacing w:after="0"/>
              <w:rPr>
                <w:sz w:val="24"/>
                <w:szCs w:val="24"/>
                <w:color w:val="auto"/>
              </w:rPr>
            </w:pPr>
          </w:p>
        </w:tc>
        <w:tc>
          <w:tcPr>
            <w:tcW w:w="54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580" w:type="dxa"/>
            <w:vAlign w:val="bottom"/>
            <w:shd w:val="clear" w:color="auto" w:fill="BFE4FF"/>
          </w:tcPr>
          <w:p>
            <w:pPr>
              <w:spacing w:after="0"/>
              <w:rPr>
                <w:sz w:val="24"/>
                <w:szCs w:val="24"/>
                <w:color w:val="auto"/>
              </w:rPr>
            </w:pP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5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5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660" w:right="40" w:hanging="652"/>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A store is typically included in the calculation of comparable sales when it has been open or owned 12 months or more and it has not had a change in selling square footage of 20% or more. Additionally, stores of a given brand are excluded if total selling square footage for the brand in the mall changes by 20% or more through the opening or closing of a second store. The percentage change in comparable sales is calculated on a comparable calendar period as opposed to a fiscal basis. Therefore, the percentage change in comparable sales for 2018 was calculated on a 52-to-52-week basis, and the percentage change in comparable sales for 2017 was calculated on a 53-to-53-week basis. Comparable sales attributable to our international stores are calculated on a constant currency basis.</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by segment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2018, net sales decreased $12 million to $7.375 billion; comparable sales decreased 2%; and comparable store sales decreased 6%. PINK comparable sales decreased in the mid-single digit range, primarily driven by merchandise performance in apparel and the exit of swim. Victoria's Secret Lingerie comparable sales decreased in the low-single digit range, primarily driven by declines in unconstructed and sport bras, due to merchandise performance and category resets, partially offset by increases in sleep and panties. Victoria's Secret Beauty comparable sales increased low-double digits, driven by the merchandise assortment. Additionally, net sales increased as a result of the change in presentation for income received from our Victoria's Secret private label credit card arrangement.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comparable store sales was driven by lower average unit retail and reduced traffic.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2018, net sales increased $483 million to $4.631 billion; comparable sales increased 11%; and comparable store sales increased 8%. Net sales increased in most categories including home fragrance, body care and soaps and sanitizers, which incorporated newness, innovation and fashion.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store sales was driven by higher average dollar sales and conversion.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2018, net sales increased $103 million to $605 million due to new company-owned Victoria's Secret stores, direct channel growth in Greater China and additional stores opened by our partners.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2018, net sales increased $31 million to $626 million primarily due to an increase in wholesale sales to our international partners, partially offset by a decline in La Senza as we divested this business on January 6, 2019.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2018, our gross profit decreased $60 million to $4.899 billion, and our gross profit rate (expressed as a percentage of net sales) decreased to 37.0%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39.3% primarily as a result 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2018, the gross profit decrease was driven by lower merchandise margin dollars related to the decrease in net sales, increased promotional activity to drive traffic and clear inventory, $70 million of store asset impairment charges related to certain stores in the U.S. and Canada and increased distribution and fulfillment expenses related to higher direct channel sales.</w:t>
      </w:r>
    </w:p>
    <w:p>
      <w:pPr>
        <w:spacing w:after="0" w:line="4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decline in the merchandise margin rate due to increased promotional activity and the store asset impairment charges.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For 2018, the gross profit increase was driven by higher merchandise margin dollars related to the increase in net sales and reduced promotional activity, partially offset by higher occupancy expenses due to higher distribution and fulfillment expenses related to higher direct channel sales and investments in store real estate.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profit rate increase was driven by lower promotional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2018, the gross profit decrease was primarily driven by $31 million of store asset impairment charges related to certain Victoria's Secret stores in the U.K. and higher occupancy expenses due to investments in store real estate in Greater China, partially offset by increased merchandise margin dollars related to higher net sales in Greater China and additional stores opened by our partners.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profit rate decrease was driven by the store asset impairment charges and investments in store real estate.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2018, our general, administrative and store operating expenses increased $332 million to $3.563 billion driven by the change in presentation for income received from our Victoria's Secret private label credit card arrangement, incremental wage investments, higher selling expenses related to higher sales volumes at Bath &amp; Body Works and new company-owned stores in Greater China.</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increased to 26.9% from 25.6% due to the presentation change for income received from our Victoria's Secret private label credit card and incremental wage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Divestiture of La Senza</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2018, we recognized a pre-tax loss on the sale of La Senza of $99 million, primarily related to the recognition of $45 million of accumulated translation adjustments, as well as the loss related to the transfer of the net working capital and long-lived store assets to the buyer.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2018 and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5,853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5,827</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For 2018, our interest expense decreased $21 million to $385 million due to a lower average borrowing rate partially offset by higher average daily borrowings.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2018, our other income (loss) increased $15 million to $5 million of income primarily driven by a $45 million pre-tax loss on extinguishment of the 2019 Notes recognized in 2017, partially offset by fewer distributions received from our Easton investments and the negative impacts of foreign exchange.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2018, our effective tax rate decreased to 24.9% from 25.1%. The 2018 rate was lower than our combined estimated federal and state statutory rate primarily due to the tax effects of the divestiture of the La Senza business. The 2017 rate was lower than our combined estimated federal and state statutory rate primarily due to the benefit related to changes in U.S. tax legislation.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Operations—Fourth Quarter of 2018 Compared to Fourth Quarter of 2017</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utilize the retail calendar for reporting. As such, the results for the fourth quarter of 2018 represent the 13-week period ended February 2, 2019, and the results for the fourth quarter of 2017 represent the 14-week period ended February 3, 2018.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rates (expressed as a percentage of net sales) for the fourth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in comparison to the fourth quarter of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Operating Income Rate</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940" w:type="dxa"/>
            <w:vAlign w:val="bottom"/>
            <w:tcBorders>
              <w:bottom w:val="single" w:sz="8" w:color="BFE4FF"/>
            </w:tcBorders>
            <w:shd w:val="clear" w:color="auto" w:fill="BFE4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94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94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Operating Income</w:t>
            </w:r>
          </w:p>
        </w:tc>
        <w:tc>
          <w:tcPr>
            <w:tcW w:w="940" w:type="dxa"/>
            <w:vAlign w:val="bottom"/>
            <w:tcBorders>
              <w:bottom w:val="single" w:sz="8" w:color="BFE4FF"/>
            </w:tcBorders>
            <w:shd w:val="clear" w:color="auto" w:fill="BFE4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5020" w:type="dxa"/>
            <w:vAlign w:val="bottom"/>
            <w:tcBorders>
              <w:top w:val="single" w:sz="8" w:color="BFE4FF"/>
              <w:bottom w:val="single" w:sz="8" w:color="BFE4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Henri Bendel, Corporate and La Senza results prior to January 6, 2019.</w:t>
      </w:r>
    </w:p>
    <w:p>
      <w:pPr>
        <w:spacing w:after="0" w:line="1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fourth quarter of 2018, operating income decreased $187 million to $800 million, and the operating income rate decreased to 16.5% from 20.5%. The drivers of the operating income results are discussed in the following sections.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fourth quarter of 2018 in comparison to the fourth quarter of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6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Stores (a)</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Victoria’s Secret Direct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Total Victoria’s Secret</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&amp; Body Works Stores (a)</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3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6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(b)</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5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4,823</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540" w:type="dxa"/>
            <w:vAlign w:val="bottom"/>
            <w:tcBorders>
              <w:top w:val="single" w:sz="8" w:color="BFE4FF"/>
              <w:bottom w:val="single" w:sz="8" w:color="BFE4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Borders>
              <w:top w:val="single" w:sz="8" w:color="BFE4FF"/>
              <w:bottom w:val="single" w:sz="8" w:color="BFE4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Henri Bendel and La Senza results prior to January 6,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the fourth quarter of 2018 to the fourth quarter of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Victoria’s Secret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Victoria’s</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Bath &amp; Body</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Bath &amp; Body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Works</w:t>
            </w: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Works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2017 Net Sales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Comparable Store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Sales Associated with New, Closed and Non-</w:t>
            </w:r>
          </w:p>
        </w:tc>
        <w:tc>
          <w:tcPr>
            <w:tcW w:w="26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comparable Remodeled Stores, Net</w:t>
            </w:r>
          </w:p>
        </w:tc>
        <w:tc>
          <w:tcPr>
            <w:tcW w:w="26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Direct Channels</w:t>
            </w:r>
          </w:p>
        </w:tc>
        <w:tc>
          <w:tcPr>
            <w:tcW w:w="2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Private Label Credit Card Income</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6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2018 Net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fourth quarter of 2018 comparable sales to fourth quarter of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Borders>
              <w:bottom w:val="single" w:sz="8" w:color="BFE4FF"/>
            </w:tcBorders>
          </w:tcPr>
          <w:p>
            <w:pPr>
              <w:spacing w:after="0"/>
              <w:rPr>
                <w:sz w:val="16"/>
                <w:szCs w:val="16"/>
                <w:color w:val="auto"/>
              </w:rPr>
            </w:pPr>
          </w:p>
        </w:tc>
        <w:tc>
          <w:tcPr>
            <w:tcW w:w="15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5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spacing w:after="0"/>
              <w:rPr>
                <w:sz w:val="21"/>
                <w:szCs w:val="21"/>
                <w:color w:val="auto"/>
              </w:rPr>
            </w:pP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Comparable Sales</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80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5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580" w:type="dxa"/>
            <w:vAlign w:val="bottom"/>
            <w:shd w:val="clear" w:color="auto" w:fill="BFE4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660" w:right="40" w:hanging="652"/>
        <w:spacing w:after="0" w:line="25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A store is typically included in the calculation of comparable sales when it has been open or owned 12 months or more and it has not had a change in selling square footage of 20% or more. Additionally, stores of a given brand are excluded if total selling square footage for the brand in the mall changes by 20% or more through the opening or closing of a second store. The percentage change in comparable sales are calculated on a comparable</w:t>
      </w:r>
    </w:p>
    <w:p>
      <w:pPr>
        <w:sectPr>
          <w:pgSz w:w="11900" w:h="16838" w:orient="portrait"/>
          <w:cols w:equalWidth="0" w:num="1">
            <w:col w:w="11420"/>
          </w:cols>
          <w:pgMar w:left="240" w:top="11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jc w:val="both"/>
        <w:ind w:left="660"/>
        <w:spacing w:after="0" w:line="288" w:lineRule="auto"/>
        <w:rPr>
          <w:sz w:val="20"/>
          <w:szCs w:val="20"/>
          <w:color w:val="auto"/>
        </w:rPr>
      </w:pPr>
      <w:r>
        <w:rPr>
          <w:rFonts w:ascii="Times New Roman" w:cs="Times New Roman" w:eastAsia="Times New Roman" w:hAnsi="Times New Roman"/>
          <w:sz w:val="18"/>
          <w:szCs w:val="18"/>
          <w:color w:val="auto"/>
        </w:rPr>
        <w:t>calendar period as opposed to a fiscal basis. Therefore, the percentage change in comparable sales for 2018 was calculated on a 13-to-13-week basis, and the percentage change in comparable sales for 2017 was calculated on a 14-to-14-week basis. Comparable sales attributable to our international stores are calculated on a constant currency basis.</w:t>
      </w:r>
    </w:p>
    <w:p>
      <w:pPr>
        <w:spacing w:after="0" w:line="2" w:lineRule="exact"/>
        <w:rPr>
          <w:sz w:val="20"/>
          <w:szCs w:val="20"/>
          <w:color w:val="auto"/>
        </w:rPr>
      </w:pPr>
    </w:p>
    <w:p>
      <w:pPr>
        <w:ind w:right="6660" w:firstLine="8"/>
        <w:spacing w:after="0" w:line="433"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 The results by segment are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fourth quarter of 2018, net sales decreased $137 million to $2.532 billion; comparable sales decreased 3%; and comparable store sales decreased 7%. PINK comparable sales decreased in the low-double digit range, primarily driven by merchandise performance in apparel. Victoria's Secret Lingerie comparable sales were about flat, primarily driven by declines in intimate apparel, due to merchandise performance and category resets, offset by an increase in sleep. Victoria's Secret Beauty comparable sales increased in the mid-single digit range, driven by the merchandise assortment. Additionally, net sales increased as a result of the change in presentation for income received from our Victoria's Secret private label credit card arrangement.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comparable store sales was driven by lower average unit retail and reduced traffic.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2018, net sales increased $157 million to $1.951 billion; comparable sales increased 12%; and comparable store sales increased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in most categories including home fragrance, body care and soaps and sanitizers, which incorporated newness, innovation and fashion.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store sales was driven by higher average dollar sales and conversion.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fourth quarter of 2018, net sales increased $20 million to $190 million, due to new company-owned Victoria's Secret stores, direct channel growth in Greater China and additional stores opened by our partners. These increases were partially offset by a decline at Victoria's Secret U.K.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fourth quarter of 2018, net sales decreased $11 million to $179 million due to declines in La Senza and Henri Bendel as we divested La Senza and closed Henri Bendel in the quarter.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2018, our gross profit decreased $72 million to $1.968 billion, and our gross profit rate (expressed as a percentage of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to 40.6% from 42.3% primarily as a result 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fourth quarter of 2018, the gross profit decrease was driven by lower merchandise margin dollars related to the decrease in net sales, increased promotional activity to drive traffic and clear inventory and due to $20 million of store asset impairment charges related to certain stores in the U.S.</w:t>
      </w:r>
    </w:p>
    <w:p>
      <w:pPr>
        <w:spacing w:after="0" w:line="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decline in the merchandise margin rate due to increased promotional activity and the store asset impairment charges.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fourth quarter of 2018, the gross profit increase was driven by higher merchandise margin dollars related to the increase in net sales and reduced promotional activity, partially offset by higher occupancy expenses due to higher distribution and fulfillment expenses related to higher direct channel sales and investments in store real estate.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profit rate increase was driven by lower promotional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fourth quarter of 2018, the gross profit increase was driven by higher merchandise margin dollars related to higher net sales in Greater China and additional stores opened by our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profit rate increase was driven by buying and occupancy leverage on higher net sales.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118" w:right="27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fourth quarter of 2018, our general, administrative and store operating expenses increased $16 million to $1.069 billion primarily driven by the change in presentation for income received from our Victoria's Secret private label credit card arrangement, incremental wage investments and higher selling expenses related to higher sales volumes at Bath &amp; Body Works, partially offset by lower selling expenses and fashion show costs at Victoria's Secret.</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increased to 22.0% from 21.8% due to the presentation change for income received from our Victoria's Secret private label credit card and incremental wage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Divestiture of La Senza</w:t>
      </w:r>
    </w:p>
    <w:p>
      <w:pPr>
        <w:spacing w:after="0" w:line="9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the fourth quarter of 2018, we recognized a pre-tax loss on the sale of La Senza of $99 million, primarily related to the recognition of $45 million of accumulated translation adjustments, as well as the loss related to the transfer of the net working capital and long-lived store assets to the buyer.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the fourth quarter of 2018 and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00" w:type="dxa"/>
            <w:vAlign w:val="bottom"/>
            <w:tcBorders>
              <w:bottom w:val="single" w:sz="8" w:color="BFE4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2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BFE4FF"/>
            </w:tcBorders>
            <w:shd w:val="clear" w:color="auto" w:fill="BFE4FF"/>
          </w:tcPr>
          <w:p>
            <w:pPr>
              <w:jc w:val="right"/>
              <w:ind w:right="116"/>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BFE4FF"/>
            </w:tcBorders>
            <w:shd w:val="clear" w:color="auto" w:fill="BFE4FF"/>
          </w:tcPr>
          <w:p>
            <w:pPr>
              <w:jc w:val="right"/>
              <w:ind w:right="96"/>
              <w:spacing w:after="0"/>
              <w:rPr>
                <w:sz w:val="20"/>
                <w:szCs w:val="20"/>
                <w:color w:val="auto"/>
              </w:rPr>
            </w:pPr>
            <w:r>
              <w:rPr>
                <w:rFonts w:ascii="Times New Roman" w:cs="Times New Roman" w:eastAsia="Times New Roman" w:hAnsi="Times New Roman"/>
                <w:sz w:val="18"/>
                <w:szCs w:val="18"/>
                <w:color w:val="auto"/>
              </w:rPr>
              <w:t>5,893</w:t>
            </w:r>
          </w:p>
        </w:tc>
      </w:tr>
      <w:tr>
        <w:trPr>
          <w:trHeight w:val="243"/>
        </w:trPr>
        <w:tc>
          <w:tcPr>
            <w:tcW w:w="8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fourth quarter of 2018, our interest expense decreased $13 million to $93 million due to a lower average borrowing rate and lower average daily borrowings.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9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fourth quarter of 2018, our other income (loss) increased $42 million to $4 million of income primarily driven by a $45 million pre-tax loss on extinguishment of the 2019 Notes recognized in the fourth quarter of 2017.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fourth quarter of 2018, our effective tax rate increased to 24.0% from 21.1%. The 2018 rate was lower than our combined estimated federal and state statutory rate primarily due to the tax effects of the divestiture of the La Senza business. The 2017 rate was lower than our combined estimated federal and state statutory rate primarily due to the benefit related to changes in U.S. tax legislation.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Operations—2017 Compared to 2016</w:t>
      </w:r>
    </w:p>
    <w:p>
      <w:pPr>
        <w:spacing w:after="0" w:line="94" w:lineRule="exact"/>
        <w:rPr>
          <w:sz w:val="20"/>
          <w:szCs w:val="20"/>
          <w:color w:val="auto"/>
        </w:rPr>
      </w:pPr>
    </w:p>
    <w:p>
      <w:pPr>
        <w:ind w:left="60" w:right="60"/>
        <w:spacing w:after="0" w:line="266" w:lineRule="auto"/>
        <w:rPr>
          <w:sz w:val="20"/>
          <w:szCs w:val="20"/>
          <w:color w:val="auto"/>
        </w:rPr>
      </w:pPr>
      <w:r>
        <w:rPr>
          <w:rFonts w:ascii="Times New Roman" w:cs="Times New Roman" w:eastAsia="Times New Roman" w:hAnsi="Times New Roman"/>
          <w:sz w:val="18"/>
          <w:szCs w:val="18"/>
          <w:color w:val="auto"/>
        </w:rPr>
        <w:t>We utilize the retail calendar for reporting. As such, the results for fiscal 2017 represent the 53-week period ended February 3, 2018, and the results for 2016 represent the 52-week period ended January 28, 2017. The extra week accounted for approximately $160 million in incremental net sales and an estimated $46 million in incremental operating income in 2017.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rates (expressed as a percentage of net sales) for 2017 in comparison to 2016:</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Operating Income Rate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w:t>
            </w:r>
          </w:p>
        </w:tc>
        <w:tc>
          <w:tcPr>
            <w:tcW w:w="9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8"/>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w w:val="98"/>
              </w:rPr>
              <w:t>________________</w:t>
            </w: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La Senza, Henri Bendel and Corporate.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2017, operating income decreased $275 million to $1.728 billion, and the operating income rate decreased to 13.7% from 15.9%. The drivers of the operating income results are discussed in the following sections.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2017 in comparison to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Stores (a)</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5,879</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 Direct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6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Total Victoria’s Secret</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7,387</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7,781</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 Stores (a)</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3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(b)</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6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12,574</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BFE4FF"/>
              <w:bottom w:val="single" w:sz="8" w:color="BFE4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La Senza, Henri Bendel and Corporate.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2016 to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Victoria’s Secret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Victoria’s</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Bath &amp;</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Bath &amp; Body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Works</w:t>
            </w: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Body Works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2016 Net Sales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Comparable Store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Sales Associated with New, Closed and Non-</w:t>
            </w:r>
          </w:p>
        </w:tc>
        <w:tc>
          <w:tcPr>
            <w:tcW w:w="26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comparable Remodeled Stores, Net</w:t>
            </w:r>
          </w:p>
        </w:tc>
        <w:tc>
          <w:tcPr>
            <w:tcW w:w="26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Direct Channels</w:t>
            </w:r>
          </w:p>
        </w:tc>
        <w:tc>
          <w:tcPr>
            <w:tcW w:w="2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2017 Net Sales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ind w:right="37"/>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0"/>
        </w:trPr>
        <w:tc>
          <w:tcPr>
            <w:tcW w:w="4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2017 comparable sales to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20" w:type="dxa"/>
            <w:vAlign w:val="bottom"/>
            <w:gridSpan w:val="2"/>
          </w:tcPr>
          <w:p>
            <w:pPr>
              <w:ind w:left="88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16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060" w:type="dxa"/>
            <w:vAlign w:val="bottom"/>
            <w:tcBorders>
              <w:top w:val="single" w:sz="8" w:color="auto"/>
              <w:bottom w:val="single" w:sz="8" w:color="BFE4FF"/>
            </w:tcBorders>
            <w:shd w:val="clear" w:color="auto" w:fill="BFE4FF"/>
          </w:tcPr>
          <w:p>
            <w:pPr>
              <w:spacing w:after="0"/>
              <w:rPr>
                <w:sz w:val="21"/>
                <w:szCs w:val="21"/>
                <w:color w:val="auto"/>
              </w:rPr>
            </w:pPr>
          </w:p>
        </w:tc>
        <w:tc>
          <w:tcPr>
            <w:tcW w:w="52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580" w:type="dxa"/>
            <w:vAlign w:val="bottom"/>
            <w:tcBorders>
              <w:top w:val="single" w:sz="8" w:color="auto"/>
              <w:bottom w:val="single" w:sz="8" w:color="BFE4FF"/>
            </w:tcBorders>
            <w:shd w:val="clear" w:color="auto" w:fill="BFE4FF"/>
          </w:tcPr>
          <w:p>
            <w:pPr>
              <w:spacing w:after="0"/>
              <w:rPr>
                <w:sz w:val="21"/>
                <w:szCs w:val="21"/>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Comparable Sales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8160" w:type="dxa"/>
            <w:vAlign w:val="bottom"/>
            <w:shd w:val="clear" w:color="auto" w:fill="BFE4FF"/>
          </w:tcPr>
          <w:p>
            <w:pPr>
              <w:spacing w:after="0"/>
              <w:rPr>
                <w:sz w:val="24"/>
                <w:szCs w:val="24"/>
                <w:color w:val="auto"/>
              </w:rPr>
            </w:pPr>
          </w:p>
        </w:tc>
        <w:tc>
          <w:tcPr>
            <w:tcW w:w="1060" w:type="dxa"/>
            <w:vAlign w:val="bottom"/>
            <w:shd w:val="clear" w:color="auto" w:fill="BFE4FF"/>
          </w:tcPr>
          <w:p>
            <w:pPr>
              <w:spacing w:after="0"/>
              <w:rPr>
                <w:sz w:val="24"/>
                <w:szCs w:val="24"/>
                <w:color w:val="auto"/>
              </w:rPr>
            </w:pPr>
          </w:p>
        </w:tc>
        <w:tc>
          <w:tcPr>
            <w:tcW w:w="5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580" w:type="dxa"/>
            <w:vAlign w:val="bottom"/>
            <w:shd w:val="clear" w:color="auto" w:fill="BFE4FF"/>
          </w:tcPr>
          <w:p>
            <w:pPr>
              <w:spacing w:after="0"/>
              <w:rPr>
                <w:sz w:val="24"/>
                <w:szCs w:val="24"/>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2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660" w:right="40" w:hanging="652"/>
        <w:spacing w:after="0" w:line="25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A store is typically included in the calculation of comparable sales when it has been open or owned 12 months or more and it has not had a change in selling square footage of 20% or more. Additionally, stores of</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660" w:right="80"/>
        <w:spacing w:after="0" w:line="291" w:lineRule="auto"/>
        <w:rPr>
          <w:sz w:val="20"/>
          <w:szCs w:val="20"/>
          <w:color w:val="auto"/>
        </w:rPr>
      </w:pPr>
      <w:r>
        <w:rPr>
          <w:rFonts w:ascii="Times New Roman" w:cs="Times New Roman" w:eastAsia="Times New Roman" w:hAnsi="Times New Roman"/>
          <w:sz w:val="18"/>
          <w:szCs w:val="18"/>
          <w:color w:val="auto"/>
        </w:rPr>
        <w:t>a given brand are excluded if total selling square footage for the brand in the mall changes by 20% or more through the opening or closing of a second store. The percentage change in comparable sales are calculated on a comparable calendar period as opposed to a fiscal basis. Therefore, the percentage change in comparable sales for 2017 was calculated on a 53-to-53-week basis, and the percentage change in comparable sales for 2016 was calculated on a 52-to-52-week basis. Comparable sales attributable to our international stores are calculated on a constant currency basis.</w:t>
      </w:r>
    </w:p>
    <w:p>
      <w:pPr>
        <w:ind w:right="6660" w:firstLine="8"/>
        <w:spacing w:after="0" w:line="433"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 The results by segment are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2017, net sales decreased $394 million to $7.387 billion; comparable sales and comparable store sales both decreased 8%. Net sales decreased primarily due to strategic decisions to exit the swim and apparel categories, a decline in core bra sales and a decline in panties as we reposition the category. These results were partially offset by increases in PINK, sport and beauty driven by merchandise assortment that incorporated newness, innovation and fashion.</w:t>
      </w:r>
    </w:p>
    <w:p>
      <w:pPr>
        <w:spacing w:after="0" w:line="4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decrease in comparable store sales was driven primarily by a decrease in total transactions due to reduced traffic, impacted significantly by the exit of certain categories.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2017, net sales increased $296 million to $4.148 billion; comparable sales increased 5%; and comparable store sales increased 2%. Net sales increased in the home fragrance and body care categories, which incorporated newness, innovation and fashion.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store sales was primarily driven by higher average unit retail.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2017, net sales increased $79 million to $502 million primarily related to new company-owned Victoria's Secret stores and direct channel growth in Greater China and additional stores opened by our partners.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2017, net sales increased $77 million to $595 million primarily due to an increase in wholesale sales to our international partners.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2017, our gross profit decreased $166 million to $4.959 billion, and our gross profit rate (expressed as a percentage of net sales) decreased to 39.3%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primarily as a result 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2017, the gross profit decrease was driven by lower merchandise margin dollars related to the decrease in net sales.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deleverage of buying and occupancy expenses on lower sales and a lower merchandise margin rate primarily due to increased promotional activity, partially offset by lower catalogue costs and other cost reductions.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2017, the gross profit increase was driven by higher merchandise margin dollars related to the increase in net sales, partially offset by higher occupancy expenses due to investments in store real estate.</w:t>
      </w:r>
    </w:p>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decrease in the merchandise margin rate primarily due to increased promotional activity, mix of category sales and channel mix.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2017, the gross profit increase was driven by increased merchandise margin dollars related to higher net sales in Greater China and additional stores opened by our partners. These increases were partially offset by higher occupancy expenses due to investments in store real estate in Greater China and at Victoria's Secret U.K.</w:t>
      </w:r>
    </w:p>
    <w:p>
      <w:pPr>
        <w:spacing w:after="0" w:line="4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an increase in occupancy expenses due to investments in store real estate in Greater China and at Victoria's Secret U.K.</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18" w:right="27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2017, our general, administrative and store operating expenses increased $109 million to $3.231 billion primarily driven by an increase in marketing expenses due to increased direct mail at Victoria's Secret, higher selling expenses at Bath &amp; Body Works and in Greater China due to the increase in net sales, and as a result of our investment in Greater China. These increases were partially offset by lower selling expenses related to lower sales volumes at Victoria's Secret and severance charges recorded in the first quarter of 2016 related to the Victoria's Secret restructuring.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administrative and store operating expense rate increased to 25.6% from 24.8% primarily due to increased marketing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5,827</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225" w:lineRule="exact"/>
        <w:rPr>
          <w:sz w:val="20"/>
          <w:szCs w:val="20"/>
          <w:color w:val="auto"/>
        </w:rPr>
      </w:pPr>
    </w:p>
    <w:p>
      <w:pPr>
        <w:ind w:right="600"/>
        <w:spacing w:after="0" w:line="344" w:lineRule="auto"/>
        <w:rPr>
          <w:sz w:val="20"/>
          <w:szCs w:val="20"/>
          <w:color w:val="auto"/>
        </w:rPr>
      </w:pPr>
      <w:r>
        <w:rPr>
          <w:rFonts w:ascii="Times New Roman" w:cs="Times New Roman" w:eastAsia="Times New Roman" w:hAnsi="Times New Roman"/>
          <w:sz w:val="18"/>
          <w:szCs w:val="18"/>
          <w:color w:val="auto"/>
        </w:rPr>
        <w:t xml:space="preserve">For 2017, our interest expense increased $12 million to $406 million due to a higher average borrowing rate and the impact of the extra week in 2017. </w:t>
      </w:r>
      <w:r>
        <w:rPr>
          <w:rFonts w:ascii="Times New Roman" w:cs="Times New Roman" w:eastAsia="Times New Roman" w:hAnsi="Times New Roman"/>
          <w:sz w:val="18"/>
          <w:szCs w:val="18"/>
          <w:b w:val="1"/>
          <w:bCs w:val="1"/>
          <w:color w:val="auto"/>
        </w:rPr>
        <w:t>Other Income (Loss)</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2017, our other income (loss) decreased $97 million to a $10 million loss. Activity in 2016 included a distribution received from Easton Town Center, LLC resulting in a pre-tax gain of $108 million, partially offset by a $36 million pre-tax loss on extinguishment of the 2017 Notes. In 2017, we recognized a $45 million pre-tax loss on extinguishment of the 2019 Notes, partially offset by gains related to distributions from certain of our Easton investments.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2017, our effective tax rate decreased to 25.1% from 31.7%. The 2017 rate was lower than our combined estimated federal and state statutory rate primarily due to the benefit related to changes in U.S. tax legislation. The 2016 rate was lower than our combined estimated federal and state statutory rate primarily due to the resolution of certain tax matters.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Operations—Fourth Quarter of 2017 Compared to Fourth Quarter of 2016</w:t>
      </w:r>
    </w:p>
    <w:p>
      <w:pPr>
        <w:spacing w:after="0" w:line="94" w:lineRule="exact"/>
        <w:rPr>
          <w:sz w:val="20"/>
          <w:szCs w:val="20"/>
          <w:color w:val="auto"/>
        </w:rPr>
      </w:pPr>
    </w:p>
    <w:p>
      <w:pPr>
        <w:ind w:left="60" w:right="180"/>
        <w:spacing w:after="0" w:line="266" w:lineRule="auto"/>
        <w:rPr>
          <w:sz w:val="20"/>
          <w:szCs w:val="20"/>
          <w:color w:val="auto"/>
        </w:rPr>
      </w:pPr>
      <w:r>
        <w:rPr>
          <w:rFonts w:ascii="Times New Roman" w:cs="Times New Roman" w:eastAsia="Times New Roman" w:hAnsi="Times New Roman"/>
          <w:sz w:val="18"/>
          <w:szCs w:val="18"/>
          <w:color w:val="auto"/>
        </w:rPr>
        <w:t>We utilize the retail calendar for reporting. As such, the results for the fourth quarter of 2017 represent the 14-week period ended February 3, 2018, and the results for the fourth quarter of 2016 represent the 13-week period ended January 28, 2017. The extra week accounted for approximately $160 million in incremental net sales and an estimated $46 million in incremental operating income in 2017.</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segment operating income (loss) and operating income rates (expressed as a percentage of net sales) for the fourth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in comparison to the fourth quarter of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Operating Income Rate</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940" w:type="dxa"/>
            <w:vAlign w:val="bottom"/>
            <w:tcBorders>
              <w:bottom w:val="single" w:sz="8" w:color="BFE4FF"/>
            </w:tcBorders>
            <w:shd w:val="clear" w:color="auto" w:fill="BFE4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94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94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Operating Income</w:t>
            </w:r>
          </w:p>
        </w:tc>
        <w:tc>
          <w:tcPr>
            <w:tcW w:w="940" w:type="dxa"/>
            <w:vAlign w:val="bottom"/>
            <w:tcBorders>
              <w:bottom w:val="single" w:sz="8" w:color="BFE4FF"/>
            </w:tcBorders>
            <w:shd w:val="clear" w:color="auto" w:fill="BFE4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5"/>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5020" w:type="dxa"/>
            <w:vAlign w:val="bottom"/>
            <w:tcBorders>
              <w:top w:val="single" w:sz="8" w:color="BFE4FF"/>
              <w:bottom w:val="single" w:sz="8" w:color="BFE4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La Senza, Henri Bendel and Corporate.</w:t>
      </w:r>
    </w:p>
    <w:p>
      <w:pPr>
        <w:spacing w:after="0" w:line="1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fourth quarter of 2017, operating income decreased $1 million to $987 million, and the operating income rate decreased to 20.5% from 22.0%. The drivers of the operating income results are discussed in the following sections.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fourth quarter of 2017 in comparison to the fourth quarter of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16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6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Stores (a)</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Victoria’s Secret Direct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Total Victoria’s Secret</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2,669</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&amp; Body Works Stores (a)</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3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6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Bath &amp; Body Works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(b)</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5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BFE4FF"/>
            </w:tcBorders>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4,823</w:t>
            </w:r>
          </w:p>
        </w:tc>
        <w:tc>
          <w:tcPr>
            <w:tcW w:w="12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540" w:type="dxa"/>
            <w:vAlign w:val="bottom"/>
            <w:tcBorders>
              <w:top w:val="single" w:sz="8" w:color="BFE4FF"/>
              <w:bottom w:val="single" w:sz="8" w:color="BFE4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Borders>
              <w:top w:val="single" w:sz="8" w:color="BFE4FF"/>
              <w:bottom w:val="single" w:sz="8" w:color="BFE4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Mast Global, La Senza, Henri Bendel and Corporate.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for the fourth quarter of 2017 to the fourth quarter of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Victoria’s Secret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Victoria’s</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Bath &amp; Body</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Bath &amp; Body</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Works</w:t>
            </w: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Works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2016 Net Sales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Comparable Store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Sales Associated with New, Closed and Non-</w:t>
            </w:r>
          </w:p>
        </w:tc>
        <w:tc>
          <w:tcPr>
            <w:tcW w:w="26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2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04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comparable Remodeled Stores, Net</w:t>
            </w:r>
          </w:p>
        </w:tc>
        <w:tc>
          <w:tcPr>
            <w:tcW w:w="26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BFE4FF"/>
            </w:tcBorders>
            <w:gridSpan w:val="2"/>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Direct Channels</w:t>
            </w:r>
          </w:p>
        </w:tc>
        <w:tc>
          <w:tcPr>
            <w:tcW w:w="2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2017 Net Sales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BFE4FF"/>
            </w:tcBorders>
            <w:shd w:val="clear" w:color="auto" w:fill="BFE4FF"/>
          </w:tcPr>
          <w:p>
            <w:pPr>
              <w:jc w:val="right"/>
              <w:ind w:right="38"/>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0"/>
        </w:trPr>
        <w:tc>
          <w:tcPr>
            <w:tcW w:w="40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fourth quarter of 2017 comparable sales to fourth quarter of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Borders>
              <w:bottom w:val="single" w:sz="8" w:color="BFE4FF"/>
            </w:tcBorders>
          </w:tcPr>
          <w:p>
            <w:pPr>
              <w:spacing w:after="0"/>
              <w:rPr>
                <w:sz w:val="16"/>
                <w:szCs w:val="16"/>
                <w:color w:val="auto"/>
              </w:rPr>
            </w:pPr>
          </w:p>
        </w:tc>
        <w:tc>
          <w:tcPr>
            <w:tcW w:w="15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BFE4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Sales (Stores and Direct) (a)</w:t>
            </w:r>
          </w:p>
        </w:tc>
        <w:tc>
          <w:tcPr>
            <w:tcW w:w="15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spacing w:after="0"/>
              <w:rPr>
                <w:sz w:val="21"/>
                <w:szCs w:val="21"/>
                <w:color w:val="auto"/>
              </w:rPr>
            </w:pP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Comparable Sales</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80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5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580" w:type="dxa"/>
            <w:vAlign w:val="bottom"/>
            <w:shd w:val="clear" w:color="auto" w:fill="BFE4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Comparable Store Sales (a)</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Victoria’s Secret (b)</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Bath &amp; Body Works (b)</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BFE4FF"/>
            </w:tcBorders>
            <w:shd w:val="clear" w:color="auto" w:fill="BFE4FF"/>
          </w:tcPr>
          <w:p>
            <w:pPr>
              <w:spacing w:after="0"/>
              <w:rPr>
                <w:sz w:val="21"/>
                <w:szCs w:val="21"/>
                <w:color w:val="auto"/>
              </w:rPr>
            </w:pPr>
          </w:p>
        </w:tc>
        <w:tc>
          <w:tcPr>
            <w:tcW w:w="1580" w:type="dxa"/>
            <w:vAlign w:val="bottom"/>
            <w:tcBorders>
              <w:bottom w:val="single" w:sz="8" w:color="BFE4FF"/>
            </w:tcBorders>
            <w:shd w:val="clear" w:color="auto" w:fill="BFE4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660" w:right="40" w:hanging="652"/>
        <w:spacing w:after="0" w:line="25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A store is typically included in the calculation of comparable sales when it has been open or owned 12 months or more and it has not had a change in selling square footage of 20% or more. Additionally, stores of a given brand are excluded if total selling square footage for the brand in the mall changes by 20% or more through the opening or closing of a second store. The percentage change in comparable sales are calculated on a comparable calendar period as opposed to a fiscal basis. Therefore, the percentage change in comparable sales for 2017 was</w:t>
      </w:r>
    </w:p>
    <w:p>
      <w:pPr>
        <w:sectPr>
          <w:pgSz w:w="11900" w:h="16838" w:orient="portrait"/>
          <w:cols w:equalWidth="0" w:num="1">
            <w:col w:w="11420"/>
          </w:cols>
          <w:pgMar w:left="240" w:top="118"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660" w:right="100"/>
        <w:spacing w:after="0" w:line="284" w:lineRule="auto"/>
        <w:rPr>
          <w:sz w:val="20"/>
          <w:szCs w:val="20"/>
          <w:color w:val="auto"/>
        </w:rPr>
      </w:pPr>
      <w:r>
        <w:rPr>
          <w:rFonts w:ascii="Times New Roman" w:cs="Times New Roman" w:eastAsia="Times New Roman" w:hAnsi="Times New Roman"/>
          <w:sz w:val="18"/>
          <w:szCs w:val="18"/>
          <w:color w:val="auto"/>
        </w:rPr>
        <w:t>calculated on a 14-to-14-week basis, and the percentage change in comparable sales for 2016 was calculated on a 13-to-13-week basis. Comparable sales attributable to our international stores are calculated on a constant currency basis.</w:t>
      </w:r>
    </w:p>
    <w:p>
      <w:pPr>
        <w:spacing w:after="0" w:line="1" w:lineRule="exact"/>
        <w:rPr>
          <w:sz w:val="20"/>
          <w:szCs w:val="20"/>
          <w:color w:val="auto"/>
        </w:rPr>
      </w:pPr>
    </w:p>
    <w:p>
      <w:pPr>
        <w:ind w:right="6680" w:firstLine="8"/>
        <w:spacing w:after="0" w:line="433"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 The results by segment are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fourth quarter of 2017, net sales increased $80 million to $2.669 billion; comparable sales decreased 1%; and comparable store sales decreased 6%. Net sales increased in PINK, beauty and sport apparel driven by merchandise assortment that incorporated newness, innovation and fashion. These results were partially offset by a decrease in lingerie sales driven by a decline in unconstructed and sport bra performance.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comparable store sales was driven primarily by lower traffic and lower average unit retail.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Bath &amp; Body Works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2017, net sales increased $174 million to $1.794 billion; comparable sales increased 6%; and comparable store sales increased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in the home fragrance and body care categories, which incorporated newness, innovation and fashion.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comparable store sales was driven by higher average unit retail.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fourth quarter of 2017, net sales increased $46 million to $170 million, primarily related to new company-owned Victoria's Secret stores and direct channel growth in Greater China and additional stores opened by our partners.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2017, net sales increased $34 million to $190 million primarily due to an increase in wholesale sales to our international partners.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2017, our gross profit increased $96 million to $2.040 billion, and our gross profit rate (expressed as a percentage of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to 42.3% from 43.3% primarily as a result of:</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fourth quarter of 2017, the gross profit increase was driven by higher merchandise margin dollars related to the increase in net sales, partially offset by an increase in distribution and fulfillment expenses related to higher direct channel sales.</w:t>
      </w:r>
    </w:p>
    <w:p>
      <w:pPr>
        <w:spacing w:after="0" w:line="27" w:lineRule="exact"/>
        <w:rPr>
          <w:sz w:val="20"/>
          <w:szCs w:val="20"/>
          <w:color w:val="auto"/>
        </w:rPr>
      </w:pPr>
    </w:p>
    <w:p>
      <w:pPr>
        <w:ind w:right="1680"/>
        <w:spacing w:after="0" w:line="391" w:lineRule="auto"/>
        <w:rPr>
          <w:sz w:val="20"/>
          <w:szCs w:val="20"/>
          <w:color w:val="auto"/>
        </w:rPr>
      </w:pPr>
      <w:r>
        <w:rPr>
          <w:rFonts w:ascii="Times New Roman" w:cs="Times New Roman" w:eastAsia="Times New Roman" w:hAnsi="Times New Roman"/>
          <w:sz w:val="18"/>
          <w:szCs w:val="18"/>
          <w:color w:val="auto"/>
        </w:rPr>
        <w:t xml:space="preserve">The gross profit rate decrease was driven by a decrease in the merchandise margin rate primarily due to increased promotional activity. </w:t>
      </w:r>
      <w:r>
        <w:rPr>
          <w:rFonts w:ascii="Times New Roman" w:cs="Times New Roman" w:eastAsia="Times New Roman" w:hAnsi="Times New Roman"/>
          <w:sz w:val="18"/>
          <w:szCs w:val="18"/>
          <w:b w:val="1"/>
          <w:bCs w:val="1"/>
          <w:i w:val="1"/>
          <w:iCs w:val="1"/>
          <w:color w:val="auto"/>
        </w:rPr>
        <w:t>Bath &amp; Body Works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fourth quarter of 2017, the gross profit increase was driven by higher merchandise margin dollars related to the increase in net sales, partially offset by higher occupancy expenses due to investments in store real estate and distribution and fulfillment expenses related to higher direct channel sales.</w:t>
      </w:r>
    </w:p>
    <w:p>
      <w:pPr>
        <w:spacing w:after="0" w:line="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decrease in the merchandise margin rate primarily due to increased promotional activity, partially offset by leverage of buying and occupancy expenses on higher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and Bath &amp; Body Works International</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fourth quarter of 2017, the gross profit increase was driven by increased merchandise margin dollars related to higher net sales in Greater China and additional stores opened by our partners, partially offset by higher occupancy expenses due to investments in store real estate in Greater China and at Victoria's Secret U.K.</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an increase in occupancy expenses due to investments in store real estate in Greater China and at Victoria's Secret U.K.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fourth quarter of 2017, our general, administrative and store operating expenses increased $97 million to $1.053 billion driven by higher selling expenses due to higher sales volumes and an increase in marketing expenses primarily due to increased direct mail at Victoria's Secret.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administrative and store operating expense rate increased to 21.8% from 21.3% primarily due to increased marketing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and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the fourth quarter of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00" w:type="dxa"/>
            <w:vAlign w:val="bottom"/>
            <w:tcBorders>
              <w:bottom w:val="single" w:sz="8" w:color="BFE4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BFE4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2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BFE4FF"/>
            </w:tcBorders>
            <w:shd w:val="clear" w:color="auto" w:fill="BFE4FF"/>
          </w:tcPr>
          <w:p>
            <w:pPr>
              <w:jc w:val="right"/>
              <w:ind w:right="116"/>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BFE4FF"/>
            </w:tcBorders>
            <w:shd w:val="clear" w:color="auto" w:fill="BFE4FF"/>
          </w:tcPr>
          <w:p>
            <w:pPr>
              <w:jc w:val="right"/>
              <w:ind w:right="96"/>
              <w:spacing w:after="0"/>
              <w:rPr>
                <w:sz w:val="20"/>
                <w:szCs w:val="20"/>
                <w:color w:val="auto"/>
              </w:rPr>
            </w:pPr>
            <w:r>
              <w:rPr>
                <w:rFonts w:ascii="Times New Roman" w:cs="Times New Roman" w:eastAsia="Times New Roman" w:hAnsi="Times New Roman"/>
                <w:sz w:val="18"/>
                <w:szCs w:val="18"/>
                <w:color w:val="auto"/>
              </w:rPr>
              <w:t>5,779</w:t>
            </w:r>
          </w:p>
        </w:tc>
      </w:tr>
      <w:tr>
        <w:trPr>
          <w:trHeight w:val="243"/>
        </w:trPr>
        <w:tc>
          <w:tcPr>
            <w:tcW w:w="8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borrowing rate (in percentages)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fourth quarter of 2017, our interest expense increased $8 million to $106 million due to the impact of the extra week in 2017 and an increase in average daily borrowings.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fourth quarter of 2017, our other income (loss) decreased $42 million to a $38 million loss primarily driven by a $45 million pre-tax loss on extinguishment of the 2019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fourth quarter of 2017, our effective tax rate decreased to 21.1% from 29.2%. The 2017 rate was lower than our combined estimated federal and state statutory rate primarily due to the benefit related to changes in U.S. tax legislation. The 2016 rate was lower than our combined estimated federal and state statutory rate primarily due to the resolution of certain tax matters.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 The majority of our cash and cash equivalents were held by domestic subsidiaries as of February 2, 2019. Our cash and cash equivalents held by foreign subsidiaries were $413 million as of February 2, 2019.</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committed to returning value to our shareholders. During 2018, we paid $666 million in dividends and repurchased $196 million of our common stock. We use cash flow generated from operating and financing activities to fund our dividends and share repurchase programs.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outstanding debt balance, net of unamortized debt issuance costs and discounts, as of February 2, 2019 and February 3,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3"/>
                <w:szCs w:val="13"/>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8"/>
        </w:trPr>
        <w:tc>
          <w:tcPr>
            <w:tcW w:w="67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auto"/>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 billion, 6.875% Fixed Interest Rate Notes due November 2035 (“2035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$956 million, 5.625% Fixed Interest Rate Notes due February 2022 (“2022 Notes”)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$780 million, 6.625% Fixed Interest Rate Notes due April 2021 (“2021 Notes”)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$700 million, 6.75% Fixed Interest Rate Notes due July 2036 (“2036 Notes”)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$500 million, 5.625% Fixed Interest Rate Notes due October 2023 (“2023 Notes”)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 million, 5.25% Fixed Interest Rate Notes due February 2028 (“2028 Notes”)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$338 million, 7.00% Fixed Interest Rate Notes due May 2020 (“2020 Notes”)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$297 million, 6.694% Fixed Interest Rate Notes due January 2027 ("2027 Notes")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Secured Foreign Facilities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03"/>
        </w:trPr>
        <w:tc>
          <w:tcPr>
            <w:tcW w:w="672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$350 million, 6.95% Fixed Interest Rate Debentures due March 2033 (“2033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$300 million, 7.60% Fixed Interest Rate Notes due July 2037 (“2037 Notes”)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Foreign Facilities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Senior Debt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43"/>
        </w:trPr>
        <w:tc>
          <w:tcPr>
            <w:tcW w:w="6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Debt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Notes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June 2018, we completed private offers to exchange $62 million, $220 million and $44 million of outstanding 2020 Notes, 2021 Notes and 2022 Notes, respectively, for $297 million of newly issued 6.694% notes due in January 2027 and $52 million in cash consideration, which included a $24</w:t>
      </w:r>
    </w:p>
    <w:p>
      <w:pPr>
        <w:spacing w:after="0" w:line="254" w:lineRule="auto"/>
        <w:rPr>
          <w:sz w:val="20"/>
          <w:szCs w:val="20"/>
          <w:color w:val="auto"/>
        </w:rPr>
      </w:pPr>
      <w:r>
        <w:rPr>
          <w:rFonts w:ascii="Times New Roman" w:cs="Times New Roman" w:eastAsia="Times New Roman" w:hAnsi="Times New Roman"/>
          <w:sz w:val="18"/>
          <w:szCs w:val="18"/>
          <w:color w:val="auto"/>
        </w:rPr>
        <w:t xml:space="preserve">million exchange premium. The exchange was treated as a modification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no gain or loss was recognized. The exchange premium will be amortized through the maturity date of January 2027 and is included within Long-term Debt on the February 2, 2019 Consolidated Balance Sheet. The obligation to pay principal and interest on the 2027 Notes is jointly and severally guaranteed on a full and unconditional basis by certain of our 100% owned subsidiaries (the “Guarantors”).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2018, we issued $500 million of 5.25% notes due in February 2028. The obligation to pay principal and interest on these notes is jointly and severally guaranteed on a full and unconditional basis by the Guarantors. The proceeds from the issuance were $495 million, which were net of issuance costs of $5 million. These issuance costs are being amortized through the maturity date of February 2028 and are included within Long-term Debt on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Notes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2018, we used the proceeds from the 2028 Notes to redeem the $500 million 2019 Notes for $540 million. In the fourth quarter of 2017, we recognized a pre-tax loss on extinguishment of this debt of $45 million (after-tax loss of $29 million), which includes write-offs of unamortized issuance costs and discounts and losses related to terminated interest rate swaps associated with the 2019 Notes. This loss is included in Other Income (Loss) in the 2017 Consolidated Statement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Facility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and the Guarantors guarantee and pledge collateral to secure a revolving credit facility ("Secured Revolving Facility"). The Secured Revolving Facility has aggregate availability of $1 billion and expires in May 2022. The Secured Revolving Facility allows us and certain of our non-U.S. subsidiaries to borrow and obtain letters of credit in U.S. dollars, Canadian dollars, Euros, Hong Kong dollars or British pounds.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Secured Revolving Facility fees related to committed and unutilized amounts are 0.25% per annum, and the fees related to outstanding letters of credit are 1.50% per annum. In addition, the interest rate on outstanding U.S. dollar borrowings is the</w:t>
      </w:r>
    </w:p>
    <w:p>
      <w:pPr>
        <w:sectPr>
          <w:pgSz w:w="11900" w:h="16838" w:orient="portrait"/>
          <w:cols w:equalWidth="0" w:num="1">
            <w:col w:w="11400"/>
          </w:cols>
          <w:pgMar w:left="240" w:top="118"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8" w:right="25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London Interbank Offered Rate ("LIBOR") plus 1.50% per annum. The interest rate on outstanding foreign denominated borrowings is the applicable benchmark rate plus 1.50% per annum.</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Secured Revolving Facility contains fixed charge coverage and debt to EBITDA financial covenants. We are required to maintain a fixed charge coverage ratio of not less than 1.75 to 1.00 and a consolidated debt to consolidated EBITDA ratio not exceeding 4.00 to 1.00 for the most recent four-quarter period. In addition, the Secured Revolving Facility provides that investments and restricted payments may be made, without limitation on amount, if (a) at the time of and after giving effect to such investment or restricted payment, the ratio of consolidated debt to consolidated EBITDA for the most recent four-quarter period is less than 3.00 to 1.00 and (b) no default or event of default exists. As of February 2, 2019, we were in compliance with both of our financial covenants, and the ratio of consolidated debt to consolidated EBITDA was less than 3.00 to 1.00.</w:t>
      </w:r>
    </w:p>
    <w:p>
      <w:pPr>
        <w:spacing w:after="0" w:line="1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2018, we borrowed, and made payments of, $92 million under the Secured Revolving Facility. As of February 2, 2019, there were no borrowings outstanding under the Secured Revolving Facility.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Secured Revolving Facility supports our letter of credit program. We had $9 million of outstanding letters of credit as of February 2, 2019 that reduced our remaining availability under the Secured Revolving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Foreign Facilities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and the Guarantors guarantee and pledge collateral to secure revolving and term loan bank facilities ("Secured Foreign Facilities") used by certain of our Greater China subsidiaries to support their operations. The Secured Foreign Facilities, which allow borrowings in U.S. dollars and Chinese Yuan, have availability totaling $100 million. The interest rates on outstanding borrowings are based upon the applicable benchmark rate for the currency of each borrowing. During 2018, we borrowed $107 million and made payments of $17 million under the Secured Foreign Facilities. The maximum daily amount outstanding at any point in time in 2018 was $99 million. Borrowings on the Secured Foreign Facilities mature between February 2019 and May 2022. As of February 2, 2019, borrowings of $12 million are included within Current Debt on the Consolidated Balance Sheet and the remaining borrowings are included within Long-term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Foreign Facilities</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guarantee unsecured revolving and term loan bank facilities ("Unsecured Foreign Facilities") used by certain of our Greater China subsidiaries to support their operations. The Unsecured Foreign Facilities, which allow borrowings in U.S. dollars and Chinese Yuan, have availability totaling $100 million. The interest rates on outstanding borrowings are based upon the applicable benchmark rate for the currency of each borrowing. During 2018, we borrowed $65 million and made payments of $92 million under the Unsecured Foreign Facilities. The maximum daily amount outstanding at any point in time</w:t>
      </w:r>
    </w:p>
    <w:p>
      <w:pPr>
        <w:spacing w:after="0" w:line="3"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in 2018 was $90 million. Borrowings on the Unsecured Foreign Facilities mature between March 2019 and December 2019. As of February 2, 2019, borrowings of $60 million are included within Current Debt on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available short-term and long-term capital resources are sufficient to fund foreseeable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February 2, 2019, February 3, 2018 and January 28,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January 28, 2017</w:t>
            </w:r>
          </w:p>
        </w:tc>
      </w:tr>
      <w:tr>
        <w:trPr>
          <w:trHeight w:val="196"/>
        </w:trPr>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5,700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4,971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Remaining Amounts Available Under Credit Agreements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992</w:t>
            </w:r>
          </w:p>
        </w:tc>
      </w:tr>
      <w:tr>
        <w:trPr>
          <w:trHeight w:val="243"/>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ind w:left="660" w:right="180" w:hanging="652"/>
        <w:spacing w:after="0" w:line="255"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issued reduce our remaining availability under the Secured Revolving Facility. We had outstanding letters of credit that reduce our remaining availability under the Secured Revolving Facility of $9 million as of February 2, 2019 and February 3, 2018, and $8 million as of January 28, 2017.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measures of liquidity and capital resources as of February 2, 2019, February 3, 2018 and January 28,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15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January 28, 2017</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Debt-to-capitalization Ratio (a)</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to Capital Investment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6580" w:type="dxa"/>
            <w:vAlign w:val="bottom"/>
          </w:tcPr>
          <w:p>
            <w:pPr>
              <w:jc w:val="right"/>
              <w:ind w:right="5050"/>
              <w:spacing w:after="0"/>
              <w:rPr>
                <w:sz w:val="20"/>
                <w:szCs w:val="20"/>
                <w:color w:val="auto"/>
              </w:rPr>
            </w:pPr>
            <w:r>
              <w:rPr>
                <w:rFonts w:ascii="Times New Roman" w:cs="Times New Roman" w:eastAsia="Times New Roman" w:hAnsi="Times New Roman"/>
                <w:sz w:val="18"/>
                <w:szCs w:val="18"/>
                <w:color w:val="auto"/>
                <w:w w:val="98"/>
              </w:rPr>
              <w:t>________________</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divided by total capitalization.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borrowing costs under our Secured Revolving Facility and Secured Foreign Facilities are linked to our credit ratings. If we receive an upgrade or downgrade to our corporate credit ratings, the borrowing costs could decrease or increase, respectively. The guarantees of our obligations under the Secured Revolving Facility and Secured Foreign Facilities by the Guarantors and the security interests granted in our and the Guarantors’ collateral securing such obligations are released if our credit ratings are higher than a certain level. Additionally, the restrictions imposed under the Secured Revolving Facility and Secured Foreign Facilities on our ability to make investments and to make restricted payments cease to apply if our credit ratings are higher than certain levels. Credit rating downgrades by any of the agencies do not accelerate the repayment of any of our debt.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February 2,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Ba1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Ba1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Unsecured Debt</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Outlook</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will determine share repurchase authorizations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share repurchase programs. The timing and amount of any repurchases will be made at our discretion, taking into account a number of factors, including market conditions.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authority of our Board of Directors, we repurchased shares of our common stock under the following repurchase programs during fiscal 2018, 2017 and 2016: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 Stock</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restart"/>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0" w:type="dxa"/>
            <w:vAlign w:val="bottom"/>
          </w:tcPr>
          <w:p>
            <w:pPr>
              <w:spacing w:after="0"/>
              <w:rPr>
                <w:sz w:val="1"/>
                <w:szCs w:val="1"/>
                <w:color w:val="auto"/>
              </w:rPr>
            </w:pPr>
          </w:p>
        </w:tc>
      </w:tr>
      <w:tr>
        <w:trPr>
          <w:trHeight w:val="101"/>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bottom w:val="single" w:sz="8" w:color="auto"/>
            </w:tcBorders>
            <w:gridSpan w:val="5"/>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6"/>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vMerge w:val="restart"/>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gridSpan w:val="2"/>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1"/>
                <w:szCs w:val="21"/>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2017</w:t>
            </w: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527</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51.72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2017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2016</w:t>
            </w: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5,379</w:t>
            </w:r>
          </w:p>
        </w:tc>
        <w:tc>
          <w:tcPr>
            <w:tcW w:w="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In March 2018, our Board of Directors approved a new $250 million share repurchase program, which included the $23 million remaining under the September 2017 repurchase program.</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September 2017, our Board of Directors approved a $250 million share repurchase program, which included the $10 million remaining under the February 2017 repurchase program.</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February 2017, our Board of Directors approved a $250 million share repurchase program, which included the $59 million remaining under the February 2016 repurchase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February 2016, our Board of Directors approved a $500 million share repurchase program, which included the $17 million remaining under the June 2015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March 2018 repurchase program had $79 million remaining as of February 2,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 million of share repurchases reflected in Accounts Payable on the February 3, 2018 Consolidated Balance Sheet.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 Retirement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November 2017, we retired 36 million shares of our treasury stock. The retirement resulted in a reduction of $2.036 billion in Treasury Stock, $18 million in the par value of Common Stock, $82 million in Paid-in Capital and $1.936 billion in Retained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will determine future dividends after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dividends and share repurchase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authority and declaration of our Board of Directors, we paid the following dividends during fiscal 2018,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 Paid</w:t>
            </w:r>
          </w:p>
        </w:tc>
        <w:tc>
          <w:tcPr>
            <w:tcW w:w="0" w:type="dxa"/>
            <w:vAlign w:val="bottom"/>
          </w:tcPr>
          <w:p>
            <w:pPr>
              <w:spacing w:after="0"/>
              <w:rPr>
                <w:sz w:val="1"/>
                <w:szCs w:val="1"/>
                <w:color w:val="auto"/>
              </w:rPr>
            </w:pPr>
          </w:p>
        </w:tc>
      </w:tr>
      <w:tr>
        <w:trPr>
          <w:trHeight w:val="195"/>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2018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2017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2016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November 2018, our Board of Directors reduced our annual ordinary dividend to $1.20 per share from $2.40 per share, beginning with the quarterly dividend paid in March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February 2, 2019, our Board of Directors declared the first quarter of 2019 ordinary dividend of $0.30 per share.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fiscal years ended February 2, 2019, February 3, 2018 and January 28, 2017: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Flows Used for Financing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2018 was $1.377 billion, including net income of $644 million. Net income included depreciation of $590 million, long-lived store asset impairment charges of $101 million, loss on divestiture of La Senza of $99 million, share-based compensation expense of $97 million and deferred income tax benefit of $52 million. Other changes in assets and liabilities represent items that had a current period cash flow impact, such as changes in working capital. The most significant item in working capital was a decrease in operating cash flow of $113 million associated with a decrease in income taxes payable.</w:t>
      </w:r>
    </w:p>
    <w:p>
      <w:pPr>
        <w:spacing w:after="0" w:line="4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2017 was $1.406 billion, including net income of $983 million. Net income included depreciation of $571 million, deferred income tax benefit of $108 million, share-based compensation expense of $102 million, loss on extinguishment of debt of $45 million and gains on distributions from Easton investments of $20 million. Other changes in assets and liabilities represent items that had a current period cash flow impact, such as changes in working capital. The most significant item in working capital was a decrease in operating cash flow of $137 million associated with an increase in inventory.</w:t>
      </w:r>
    </w:p>
    <w:p>
      <w:pPr>
        <w:spacing w:after="0" w:line="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 2016 was $1.990 billion, including net income of $1.158 billion. Net income included depreciation of $518 million, deferred income tax expense of $110 million, gains on distributions from Easton investments of $112 million, share-based compensation expense of $96 million and loss on extinguishment of debt of $36 million. Other changes in assets and liabilities represent items that had a current period cash flow impact, such as changes in working capital. The most significant item in working capital was an increase in operating cash flow of $117 million associated with an increase in income taxes payable.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2018 was $609 million consisting primarily of $629 million of capital expenditures partially offset by a $16 million return of capital from Easton investments. The capital expenditures included $487 million for opening new stores and remodeling and improving existing stores. Remaining capital expenditures were primarily related to spending on technology and infrastructure to support growth.</w:t>
      </w:r>
    </w:p>
    <w:p>
      <w:pPr>
        <w:spacing w:after="0" w:line="4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in 2017 was $698 million consisting primarily of $707 million of capital expenditures and purchase of marketable securities of $10 million, partially offset by a $29 million return of capital from Easton investments. The capital expenditures included $601 million for opening new stores and remodeling and improving existing stores. Remaining capital expenditures were primarily related to spending on technology and infrastructure to support growth.</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in 2016 was $833 million consisting primarily of $990 million of capital expenditures and $33 million related to the acquisition of our Victoria's Secret Beauty and Accessories franchise partner's operations and stores in Greater China (net of cash acquired), partially offset by a $119 million return of capital from Easton investments, proceeds from the sale of assets of $53 million and proceeds from the sale of marketable securities of $10 million. The capital expenditures included $772 million for opening new stores and remodeling and improving existing stores. Remaining capital expenditures were primarily related to spending on technology and infrastructure to support growth.</w:t>
      </w:r>
    </w:p>
    <w:p>
      <w:pPr>
        <w:spacing w:after="0" w:line="13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anticipate spending approximately $600 million for capital expenditures in 2019 relating to remodeling and improving existing stores and opening new stores, as well as investments in technology and logistics for initiatives supporting our direct businesses and other retail capabilities.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2018 was $872 million consisting primarily of quarterly dividend payments totaling $2.40 per share, or $666 million, payments for repurchases of common stock of $198 million and payment of long-term debt related to our exchange of notes of $52 million, partially offset by $63 million of net new borrowings under our foreign facilities.</w:t>
      </w:r>
    </w:p>
    <w:p>
      <w:pPr>
        <w:spacing w:after="0" w:line="4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in 2017 was $1.127 billion consisting primarily of quarterly dividend payments totaling $2.40 per share, or $686 million, $540 million to redeem our 2019 Notes, repurchases of common stock of $446 million and tax payments related to share-based awards of $32 million. These were partially offset by the net proceeds of $495 million from the 2028 Notes issuance, $52 million of net new borrowings under our foreign facilities and proceeds from the exercise of stock options of $38 million.</w:t>
      </w:r>
    </w:p>
    <w:p>
      <w:pPr>
        <w:spacing w:after="0" w:line="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in 2016 was $1.765 billion consisting primarily of quarterly and special dividend payments totaling $4.40 per share, or $1.268 billion, $742 million to redeem our 2017 Notes, repurchases of common stock of $435 million and tax payments related to share-based awards of $58 million. These were partially offset by the net proceeds of $692 million from the 2036 Notes issuance, $29 million of net new borrowings under our foreign facilities and proceeds from the exercise of stock options of $20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contractual obligations, aggregated by type, including the maturity profile as of February 2,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260" w:type="dxa"/>
            <w:vAlign w:val="bottom"/>
          </w:tcPr>
          <w:p>
            <w:pPr>
              <w:spacing w:after="0"/>
              <w:rPr>
                <w:sz w:val="12"/>
                <w:szCs w:val="12"/>
                <w:color w:val="auto"/>
              </w:rPr>
            </w:pPr>
          </w:p>
        </w:tc>
        <w:tc>
          <w:tcPr>
            <w:tcW w:w="880" w:type="dxa"/>
            <w:vAlign w:val="bottom"/>
            <w:vMerge w:val="restart"/>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4-5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More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260" w:type="dxa"/>
            <w:vAlign w:val="bottom"/>
          </w:tcPr>
          <w:p>
            <w:pPr>
              <w:spacing w:after="0"/>
              <w:rPr>
                <w:sz w:val="12"/>
                <w:szCs w:val="12"/>
                <w:color w:val="auto"/>
              </w:rPr>
            </w:pPr>
          </w:p>
        </w:tc>
        <w:tc>
          <w:tcPr>
            <w:tcW w:w="8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(b)</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 (c)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 (d)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652"/>
        <w:spacing w:after="0" w:line="265"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debt obligations relate to our principal and interest payments for outstanding notes and debentures. Interest payments have been estimated based on the coupon rate for fixed rate obligations. Interest obligations exclude amounts which have been accrued through February 2, 2019. For additional information, see Note 13 to the Consolidated Financial Statements included in Item 8. Financial Statements and Supplementary Data.</w:t>
      </w:r>
    </w:p>
    <w:p>
      <w:pPr>
        <w:ind w:left="660" w:right="8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primarily represent minimum payments due under store lease agreements. For additional information, see Note 17 to the Consolidated Financial Statements included in Item 8. Financial Statements and Supplementary Data.</w:t>
      </w:r>
    </w:p>
    <w:p>
      <w:pPr>
        <w:ind w:left="660" w:right="280" w:hanging="652"/>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 w:lineRule="exact"/>
        <w:rPr>
          <w:rFonts w:ascii="Times New Roman" w:cs="Times New Roman" w:eastAsia="Times New Roman" w:hAnsi="Times New Roman"/>
          <w:sz w:val="18"/>
          <w:szCs w:val="18"/>
          <w:color w:val="auto"/>
        </w:rPr>
      </w:pPr>
    </w:p>
    <w:p>
      <w:pPr>
        <w:ind w:left="660" w:right="200" w:hanging="652"/>
        <w:spacing w:after="0" w:line="268"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liabilities primarily include future payments relating to our nonqualified supplemental retirement plan of $278 million which have been reflected under “Other” as the timing of these future payments is not known until an associate leaves the Company or otherwise requests an in-service distribution. Other liabilities also include future estimated payments associated with unrecognized tax benefits. The “Less Than 1 Year” category includes $84 million of these tax items because it is reasonably possible that the amounts could change in the next 12 months due to audit settlements or resolution of uncertainties. The remaining portion totaling $42 million is included in the “Other” category as it is not reasonably possible that the amounts could change in the next 12 months. In addition, we have a remaining liability of $31 million related to the deemed repatriation tax on our undistributed foreign earnings resulting from the Tax Cuts and Jobs Act. The tax liability will be paid over the next seven years. For additional information, see Note 12 to the Consolidated Financial Statements in Item 8. Financial Statements and Supplementary Data.</w:t>
      </w:r>
    </w:p>
    <w:p>
      <w:pPr>
        <w:spacing w:after="0" w:line="4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sale of La Senza, we have remaining guarantees of $76 million related to lease payments under the current terms of noncancelable leases expiring at various dates through 2028. These guarantees include minimum rent and additional payments covering taxes, common area costs and certain other expenses and relate to leases that commenced prior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 xml:space="preserve">the disposition of the business. We recognized an initial liability of $5 million representing the estimated fair value of our obligation as guarantor in accordance with ASC 460, </w:t>
      </w:r>
      <w:r>
        <w:rPr>
          <w:rFonts w:ascii="Times New Roman" w:cs="Times New Roman" w:eastAsia="Times New Roman" w:hAnsi="Times New Roman"/>
          <w:sz w:val="18"/>
          <w:szCs w:val="18"/>
          <w:i w:val="1"/>
          <w:iCs w:val="1"/>
          <w:color w:val="auto"/>
        </w:rPr>
        <w:t>Guarantees.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disposition of a certain other business, we have remaining guarantees of $6 million related to lease payments under the current terms of noncancelable leases expiring at various dates through 2021. These guarantees include minimum rent and additional payments covering taxes, common area costs and certain other expenses and relate to leases that commenced prior to the disposition of the business. In certain instances, our guarantee may remain in effect if the term of a lease is extended. We have not recorded a liability with respect to these guarantee obligations as of February 2, 2019 or February 3, 2018 as we concluded that payments under these guarantees were not probable.</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noncancelable operating leases of certain assets, we provided residual value guarantees to the lessor if the leased assets cannot be sold for an amount in excess of a specified minimum value at the conclusion of the lease term. The leases expire at various dates through 2021, and the total amount of the guarantees is $94 million. We recorded a liability of $11 million and $3 million related to these guarantee obligations as of February 2, 2019 and February 3, 2018, respectively, which are included in Other Long-term Liabilities on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 balance sheet arrangements as defined by Regulation 229.303 Item 303 (a) (4).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was further clarified and amended in 2015 and 2016.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results in enhanced disclosures about the nature, amount, timing and uncertainty of revenue and cash flows arising from contracts with customers.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adopted the standard in the first quarter of 2018 under the modified retrospective approach. Under the standard, income from the Victoria's Secret private label credit card arrangement, which was historically presented as a reduction to General, Administrative and Store Operating Expenses, is presented as revenue. Further, historical accounting related to loyalty points earned under the Victoria's Secret customer loyalty program changed as we now defer revenue associated with customer loyalty points until the points are redeemed using a relative stand-alone selling price method. The standard also changed accounting for sales returns which requires balance sheet presentation on a gross basis.</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the first quarter of 2018, we recorded a cumulative catch-up adjustment resulting in a reduction to opening retained earnings, net of tax, of $28 million. The cumulative adjustment primarily related to the deferral of revenue related to outstanding points, net of estimated forfeitures, under the Victoria's Secret customer loyalty program. In addition, Net Sales and General, Administrative and Store Operating Expenses both increased $187 million in</w:t>
      </w:r>
    </w:p>
    <w:p>
      <w:pPr>
        <w:spacing w:after="0" w:line="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2018 Consolidated Statement of Income. Further, gross presentation of our sales return reserve resulted in a $5 million increase in Other Current Assets and Accrued Expenses and Other on the February 2, 2019 Consolidated Balance Sheet.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which addresses certain aspects of the recognition, measurement, presentation and disclosure of financial instruments. The standard requires the recognition of changes in the fair value of marketable equity securities in net income as compared to historical treatment in accumulated other comprehensive income on the balance sheet. We adopted the standard in the first quarter of 2018 and recorded an increase to opening retained earnings, net of tax, of $2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is effective beginning in fiscal 2019 and requires companies classified as lessees to account for most leases on their balance sheets but recognize expenses on their income statements in a manner similar to today’s accounting. The standard also will result in enhanced quantitative and qualitative disclosures, including significant judgments made by management, to provide greater insight into the extent of revenue and expense recognized and expected to be recognized from existing leases. In July 2018, the FASB approved an amendment to the standard that provides companies a transition option that would not require earlier periods to be restated upon adoption.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will adopt the standard in the first quarter of 2019 and apply the standard prospectively as of the adoption date. As allowed by the new standard, we elected the package of transition practical expedients but have elected to not apply the hindsight practical expedient to our leases at transition.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Substantially all of our leases, including our retail store locations, are subject to operating lease accounting under the new standard. We expect to recognize right-of-use assets of approximately $3.3 billion and related lease liabilities of approximately $3.7 billion on our Consolidated Balance Sheet upon adoption at the beginning of fiscal 2019. These balances will change as our lease portfolio changes due to execution of lease modifications or new leases. The right-of-use assets are based upon the lease liabilities adjusted for deferred rent liabilities and unamortized landlord construction allowances. We will continue to recognize rent expense in the Consolidated Statements of Income on a straight-line basis over the lease term.</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August 2017, the FASB issued Accounting Standards Update ("ASU") 2017-12, </w:t>
      </w:r>
      <w:r>
        <w:rPr>
          <w:rFonts w:ascii="Times New Roman" w:cs="Times New Roman" w:eastAsia="Times New Roman" w:hAnsi="Times New Roman"/>
          <w:sz w:val="18"/>
          <w:szCs w:val="18"/>
          <w:i w:val="1"/>
          <w:iCs w:val="1"/>
          <w:color w:val="auto"/>
        </w:rPr>
        <w:t>Targeted Improvements to Accounting for Hedging Activities</w:t>
      </w:r>
      <w:r>
        <w:rPr>
          <w:rFonts w:ascii="Times New Roman" w:cs="Times New Roman" w:eastAsia="Times New Roman" w:hAnsi="Times New Roman"/>
          <w:sz w:val="18"/>
          <w:szCs w:val="18"/>
          <w:color w:val="auto"/>
        </w:rPr>
        <w:t>, which</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is intended to better align risk management activities and financial reporting for hedging relationships. The standard eliminates the requirement to separately measure and report hedge ineffectiveness and generally requires the entire change in the fair value of a hedging instrument to be presented in the same income statement line as the hedged item. It also eases certain documentation and assessment requirements. We will adopt the standard in the first quarter of fiscal 2019. We do not expect this standard to have a material impact on our consolidated results of operations, financial position or cash flows.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simplifies the subsequent measurement of goodwill. The standard eliminates the second step from the goodwill impairment test, which requires a hypothetical purchase price allocation to determine the implied fair value of goodwill. Under the new standard, the goodwill impairment charge will be the excess of the reporting unit's carrying value over its fair value, not to exceed the total amount of goodwill allocated to the reporting unit. This guidance will be effective beginning in fiscal 2020, with early adoption permitted. We do not expect this standard to have a material impact on our consolidated results of operations, financial position or cash flows.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due to the imprecise nature of the estimates required, we believe the effects of inflation, if any, on the results of operations and financial condition have been minor.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 weighted-average cost basis.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also record inventory loss adjustments for estimated physical inventory losses that have occurred since the date of the last physical inventory. These estimates are based on management’s analysis of historical results and operating trends.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Management believes that the assumptions used in these estimates are reasonable and appropriate. A 10% increase or decrease in the inventory valuation adjustment would have impacted net income by approximately $5 million for 2018. A 10% increase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20"/>
        <w:spacing w:after="0" w:line="344" w:lineRule="auto"/>
        <w:rPr>
          <w:sz w:val="20"/>
          <w:szCs w:val="20"/>
          <w:color w:val="auto"/>
        </w:rPr>
      </w:pPr>
      <w:r>
        <w:rPr>
          <w:rFonts w:ascii="Times New Roman" w:cs="Times New Roman" w:eastAsia="Times New Roman" w:hAnsi="Times New Roman"/>
          <w:sz w:val="18"/>
          <w:szCs w:val="18"/>
          <w:color w:val="auto"/>
        </w:rPr>
        <w:t xml:space="preserve">or decrease in the estimated physical inventory loss adjustment would have impacted net income by approximately $5 million for 2018. </w:t>
      </w:r>
      <w:r>
        <w:rPr>
          <w:rFonts w:ascii="Times New Roman" w:cs="Times New Roman" w:eastAsia="Times New Roman" w:hAnsi="Times New Roman"/>
          <w:sz w:val="18"/>
          <w:szCs w:val="18"/>
          <w:b w:val="1"/>
          <w:bCs w:val="1"/>
          <w:color w:val="auto"/>
        </w:rPr>
        <w:t>Valuation of Long-lived Assets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Property and equipment are reviewed for impairment whenever events or changes in circumstances indicate that the carrying amount of the asset may not be recoverable. Assets are grouped at the lowest level for which they are largely independent of other assets or asset groups. If the estimated undiscounted future cash flows related to the asset or asset group are less than the carrying value, we recognize a loss equal to the difference between the carrying value and the estimated fair value, usually determined by the estimated discounted future cash flows of the asset or asset group. When a decision has been made to dispose of property and equipment prior to the end of the previously estimated useful life, depreciation estimates are revised to reflect the use of the asset over the shortened estimated useful life.</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fair value of each reporting unit's fair value to its carrying value (including goodwill). If we determine that the fair value of a reporting unit is less than its carrying value, we then estimate the fair value of all assets and liabilities of that reporting unit, including the implied fair value of goodwill, through either estimated discounted future cash flows or market-based methodologies. If the carrying value of goodwill exceeds the implied fair value, we recognize an impairment charge equal to the difference. Our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Our reporting units that have goodwill are Victoria's Secret, Bath &amp; Body Works and Greater China.</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Intangible assets with indefinite lives are reviewed for impairment each year in the fourth quarter and may be reviewed more frequently if certain events occur or circumstances change. We have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we will estimate the fair value, usually determined by the estimated discounted future cash flows of the asset, and compare that value with its carrying amount. If the carrying value of the intangible asset exceeds the fair value, we recognize an impairment charge equal to the difference.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estimate the fair value of property and equipment, goodwill and intangible assets in accordance with the provisions of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future economic conditions are different than those projected by management, future impairment charges may be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and Contingencies</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subject to various claims and contingencies related to lawsuits, insurance, regulatory and other matters arising out of the normal course of business. Our determination of the treatment of claims and contingencies in the Consolidated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Financial Statements included in Item 8. Financial Statements and Supplementary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Statement of Income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We follow the authoritative guidance included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13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first quarter of 2018, we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using the modified retrospective approach.</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Statements of Income. We also provide a reserve for projected merchandise returns based on historical experience. Net Sales exclude sales and other similar taxes collected from customers.</w:t>
      </w:r>
    </w:p>
    <w:p>
      <w:pPr>
        <w:spacing w:after="0" w:line="130"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our Consolidated Statements of Income.</w:t>
      </w:r>
    </w:p>
    <w:p>
      <w:pPr>
        <w:spacing w:after="0" w:line="13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Victoria’s Secret's private label credit card arrangement is recognized over the term of the license arrangement and is included in Net Sales in our 2018 Consolidated Statement of Income.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operations in foreign countries which expose us to market risk associated with foreign currency exchange rate fluctuations. Our Canadian dollar, British pound, Chinese Yuan, Hong Kong dollar and Euro denominated earnings are subject to exchange rate risk as substantially all our merchandise sold in Canada, the U.K., Ireland and Greater China is sourced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through U.S. dollar transactions. Although we utilize foreign currency forward contracts to partially offset risks associated with Canadian dollar and British pound denominated earnings, these measures may not succeed in offsetting all the short-term impact of foreign currency rate movements and generally may not be effective in offsetting the long-term impact of sustained shifts in foreign currency rates.</w:t>
      </w:r>
    </w:p>
    <w:p>
      <w:pPr>
        <w:spacing w:after="0" w:line="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Typically, our investment portfolio is primarily comprised of U.S. government obligations, U.S. Treasury and AAA-rated money market funds, commercial paper and bank deposits. Given the short-term nature and quality of investments in our portfolio, we do not believe there is any material risk to principal associated with increases or decreases in interest rates.</w:t>
      </w:r>
    </w:p>
    <w:p>
      <w:pPr>
        <w:spacing w:after="0" w:line="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Excluding our Foreign Facilities, all of our long-term debt as of February 2, 2019 has fixed interest rates. We will from time to time adjust our exposure to interest rate risk by entering into interest rate swap arrangements. Our exposure to interest rate changes is limited to the fair value of the debt issued, which would not have a material impact on our earnings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publicly traded debt as of February 2,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February 2, 2019</w:t>
            </w:r>
          </w:p>
        </w:tc>
        <w:tc>
          <w:tcPr>
            <w:tcW w:w="20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February 3, 2018</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191"/>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3"/>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5,722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Fair Value, Estimated (a)</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5,340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5,943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Cash Flow Hedges (b)</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ind w:left="660" w:right="140" w:hanging="652"/>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is based on reported transaction prices. The estimates presented are not necessarily indicative of the amounts that we could realize in a current market exchange.</w:t>
      </w: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arrangements are in a net liability (asset) position.</w:t>
      </w:r>
    </w:p>
    <w:p>
      <w:pPr>
        <w:spacing w:after="0" w:line="2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February 2, 2019, we believe that the carrying values of accounts receivable, accounts payable, accrued expenses and current debt approximate fair value because of their short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and derivative contracts with various major financial institutions. We monitor the relative credit standing of financial institutions with whom we transact and limit the amount of credit exposure with any one entity. Typically, our investment portfolio is primarily comprised of U.S. government obligations, U.S. Treasury and AAA-rated money market funds, commercial paper and bank deposits. We also periodically review the relative credit standing of franchise, license and wholesale partners and other entities to which we grant credit terms in the normal course of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9"/>
        </w:trPr>
        <w:tc>
          <w:tcPr>
            <w:tcW w:w="4900" w:type="dxa"/>
            <w:vAlign w:val="bottom"/>
            <w:tcBorders>
              <w:bottom w:val="single" w:sz="8" w:color="0000EE"/>
            </w:tcBorders>
            <w:gridSpan w:val="2"/>
          </w:tcPr>
          <w:p>
            <w:pPr>
              <w:spacing w:after="0" w:line="170"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Management’s Report on Internal Control Over Financial Reporting</w:t>
              </w:r>
            </w:hyperlink>
          </w:p>
        </w:tc>
        <w:tc>
          <w:tcPr>
            <w:tcW w:w="5680" w:type="dxa"/>
            <w:vAlign w:val="bottom"/>
            <w:gridSpan w:val="8"/>
          </w:tcPr>
          <w:p>
            <w:pPr>
              <w:spacing w:after="0"/>
              <w:rPr>
                <w:sz w:val="16"/>
                <w:szCs w:val="16"/>
                <w:color w:val="auto"/>
              </w:rPr>
            </w:pPr>
          </w:p>
        </w:tc>
        <w:tc>
          <w:tcPr>
            <w:tcW w:w="800" w:type="dxa"/>
            <w:vAlign w:val="bottom"/>
          </w:tcPr>
          <w:p>
            <w:pPr>
              <w:jc w:val="right"/>
              <w:spacing w:after="0" w:line="170" w:lineRule="exact"/>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52</w:t>
              </w:r>
            </w:hyperlink>
          </w:p>
        </w:tc>
      </w:tr>
      <w:tr>
        <w:trPr>
          <w:trHeight w:val="264"/>
        </w:trPr>
        <w:tc>
          <w:tcPr>
            <w:tcW w:w="10580" w:type="dxa"/>
            <w:vAlign w:val="bottom"/>
            <w:gridSpan w:val="10"/>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53</w:t>
              </w:r>
            </w:hyperlink>
          </w:p>
        </w:tc>
      </w:tr>
      <w:tr>
        <w:trPr>
          <w:trHeight w:val="250"/>
        </w:trPr>
        <w:tc>
          <w:tcPr>
            <w:tcW w:w="75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Report of Independent Registered Public Accounting Firm on Consolidated Financial Statements</w:t>
              </w:r>
            </w:hyperlink>
          </w:p>
        </w:tc>
        <w:tc>
          <w:tcPr>
            <w:tcW w:w="3060" w:type="dxa"/>
            <w:vAlign w:val="bottom"/>
            <w:gridSpan w:val="5"/>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10580" w:type="dxa"/>
            <w:vAlign w:val="bottom"/>
            <w:gridSpan w:val="10"/>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Statements of Income for the Years Ended February 2, 2019, February 3, 2018 and January 28, 2017</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9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Comprehensive Income for the Years Ended February 2, 2019, February 3, 2018 and January 28, 2017</w:t>
              </w:r>
            </w:hyperlink>
          </w:p>
        </w:tc>
        <w:tc>
          <w:tcPr>
            <w:tcW w:w="1180" w:type="dxa"/>
            <w:vAlign w:val="bottom"/>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55</w:t>
              </w:r>
            </w:hyperlink>
          </w:p>
        </w:tc>
      </w:tr>
      <w:tr>
        <w:trPr>
          <w:trHeight w:val="250"/>
        </w:trPr>
        <w:tc>
          <w:tcPr>
            <w:tcW w:w="5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Balance Sheets as of February 2, 2019 and February 3, 2018</w:t>
              </w:r>
            </w:hyperlink>
          </w:p>
        </w:tc>
        <w:tc>
          <w:tcPr>
            <w:tcW w:w="5240" w:type="dxa"/>
            <w:vAlign w:val="bottom"/>
            <w:gridSpan w:val="7"/>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56</w:t>
              </w:r>
            </w:hyperlink>
          </w:p>
        </w:tc>
      </w:tr>
      <w:tr>
        <w:trPr>
          <w:trHeight w:val="250"/>
        </w:trPr>
        <w:tc>
          <w:tcPr>
            <w:tcW w:w="92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Statements of Total Equity (Deficit) for the Years Ended February 2, 2019, February 3, 2018 and January 28, 2017</w:t>
              </w:r>
            </w:hyperlink>
          </w:p>
        </w:tc>
        <w:tc>
          <w:tcPr>
            <w:tcW w:w="1340" w:type="dxa"/>
            <w:vAlign w:val="bottom"/>
            <w:gridSpan w:val="2"/>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57</w:t>
              </w:r>
            </w:hyperlink>
          </w:p>
        </w:tc>
      </w:tr>
      <w:tr>
        <w:trPr>
          <w:trHeight w:val="250"/>
        </w:trPr>
        <w:tc>
          <w:tcPr>
            <w:tcW w:w="10580" w:type="dxa"/>
            <w:vAlign w:val="bottom"/>
            <w:gridSpan w:val="10"/>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Cash Flows for the Years Ended February 2, 2019, February 3, 2018 and January 28, 2017</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58</w:t>
              </w:r>
            </w:hyperlink>
          </w:p>
        </w:tc>
      </w:tr>
      <w:tr>
        <w:trPr>
          <w:trHeight w:val="250"/>
        </w:trPr>
        <w:tc>
          <w:tcPr>
            <w:tcW w:w="85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Notes to Consolidated Financial Statements</w:t>
              </w:r>
            </w:hyperlink>
          </w:p>
        </w:tc>
        <w:tc>
          <w:tcPr>
            <w:tcW w:w="2060" w:type="dxa"/>
            <w:vAlign w:val="bottom"/>
            <w:gridSpan w:val="3"/>
          </w:tcPr>
          <w:p>
            <w:pPr>
              <w:spacing w:after="0"/>
              <w:rPr>
                <w:sz w:val="21"/>
                <w:szCs w:val="21"/>
                <w:color w:val="auto"/>
              </w:rPr>
            </w:pPr>
          </w:p>
        </w:tc>
        <w:tc>
          <w:tcPr>
            <w:tcW w:w="80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Fiscal years are designated in the Consolidated Financial Statements and Notes by the calendar year in which the fiscal year commences. The results for 2018 and 2016 refer to the 52-week periods ended February 2, 2019 and January 28, 2017, respectively. The results for 2017 refer to the 53-week period ended February 3, 2018.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February 2, 2019. In making this assessment, management used the criteria established in Internal Control-Integrated Framework issued by the Committee of Sponsoring Organizations of the Treadway Commission (2013 framework) (the COSO criteria).</w:t>
      </w:r>
    </w:p>
    <w:p>
      <w:pPr>
        <w:spacing w:after="0" w:line="12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Based on our assessment and the COSO criteria, management believes that the Company maintained effective internal control over financial reporting as of February 2, 2019.</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February 2, 2019.</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118" w:right="29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L Brands,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audited L Brands, Inc.’s internal control over financial reporting as of February 2, 2019, based on criteria established in Internal Control-Integrated Framework issued by the Committee of Sponsoring Organizations of the Treadway Commission (2013 framework) (the COSO criteria). In our opinion, L Brands, Inc. (the Company) maintained, in all material respects, effective internal control over financial reporting as of February 2, 2019,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L Brands, Inc. as of February 2, 2019 and February 3, 2018 and the related Consolidated Statements of Income, Comprehensive Income, Total Equity (Deficit), and Cash Flows for each of the three years in the period ended February 2, 2019, and the related notes and our report dated March 22,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/s/ Ernst &amp; Young</w:t>
      </w:r>
      <w:r>
        <w:rPr>
          <w:sz w:val="20"/>
          <w:szCs w:val="20"/>
          <w:color w:val="auto"/>
        </w:rPr>
        <w:tab/>
      </w:r>
      <w:r>
        <w:rPr>
          <w:rFonts w:ascii="Times New Roman" w:cs="Times New Roman" w:eastAsia="Times New Roman" w:hAnsi="Times New Roman"/>
          <w:sz w:val="17"/>
          <w:szCs w:val="17"/>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L Brands,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 Brands, Inc. (the Company) as of February 2, 2019 and February 3, 2018, the related Consolidated Statements of Income, Comprehensive Income, Total Equity (Deficit), and Cash Flows for each of the three years in the period ended February 2, 2019, and the related notes (collectively referred to as the “consolidated financial statements”). In our opinion, the consolidated financial statements present fairly, in all material respects, the financial position of the Company at February 2, 2019 and February 3, 2018, and the results of its operations and its cash flows for each of the three years in the period ended February 2, 2019, in conformity with U.S. generally accepted accounting principles.</w:t>
      </w: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2, 2019, based on criteria established in Internal Control-Integrated Framework issued by the Committee of Sponsoring Organizations of the Treadway Commission (2013 framework), and our report dated March 22,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2019</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Divestiture of La Senza</w:t>
            </w:r>
          </w:p>
        </w:tc>
        <w:tc>
          <w:tcPr>
            <w:tcW w:w="1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(Loss)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Basic Share</w:t>
            </w:r>
          </w:p>
        </w:tc>
        <w:tc>
          <w:tcPr>
            <w:tcW w:w="1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vMerge w:val="continue"/>
          </w:tcPr>
          <w:p>
            <w:pPr>
              <w:spacing w:after="0"/>
              <w:rPr>
                <w:sz w:val="19"/>
                <w:szCs w:val="19"/>
                <w:color w:val="auto"/>
              </w:rPr>
            </w:pPr>
          </w:p>
        </w:tc>
        <w:tc>
          <w:tcPr>
            <w:tcW w:w="2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67"/>
        </w:trPr>
        <w:tc>
          <w:tcPr>
            <w:tcW w:w="482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Per Diluted Share</w:t>
            </w:r>
          </w:p>
        </w:tc>
        <w:tc>
          <w:tcPr>
            <w:tcW w:w="23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20" w:type="dxa"/>
            <w:vAlign w:val="bottom"/>
          </w:tcPr>
          <w:p>
            <w:pPr>
              <w:spacing w:after="0"/>
              <w:rPr>
                <w:sz w:val="24"/>
                <w:szCs w:val="24"/>
                <w:color w:val="auto"/>
              </w:rPr>
            </w:pPr>
          </w:p>
        </w:tc>
        <w:tc>
          <w:tcPr>
            <w:tcW w:w="230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L BRANDS,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20" w:type="dxa"/>
            <w:vAlign w:val="bottom"/>
            <w:gridSpan w:val="6"/>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23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82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5"/>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Foreign Currency Translation to Earnings</w:t>
            </w:r>
          </w:p>
        </w:tc>
        <w:tc>
          <w:tcPr>
            <w:tcW w:w="1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Gain on Marketable Securities to Earnings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7"/>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9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240" w:type="dxa"/>
            <w:vAlign w:val="bottom"/>
          </w:tcPr>
          <w:p>
            <w:pPr>
              <w:spacing w:after="0"/>
              <w:rPr>
                <w:sz w:val="13"/>
                <w:szCs w:val="13"/>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56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Stock—$1.00 par value; 10 shares authorized;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Stock—$0.50 par value; 1,000 shares authorized; 283 and 283 shares issued; 275 and 280 shares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Treasury Stock, at Average Cost; 8 and 3 shares,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 Brands, Inc. Shareholders’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TOTAL EQUITY (DEFICIT)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22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9"/>
                <w:szCs w:val="9"/>
                <w:color w:val="auto"/>
              </w:rPr>
            </w:pPr>
          </w:p>
        </w:tc>
        <w:tc>
          <w:tcPr>
            <w:tcW w:w="222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9"/>
                <w:szCs w:val="9"/>
                <w:color w:val="auto"/>
              </w:rPr>
            </w:pPr>
          </w:p>
        </w:tc>
        <w:tc>
          <w:tcPr>
            <w:tcW w:w="120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3"/>
                <w:szCs w:val="13"/>
                <w:b w:val="1"/>
                <w:bCs w:val="1"/>
                <w:color w:val="auto"/>
              </w:rPr>
              <w:t>Stock, at</w:t>
            </w: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48"/>
              <w:spacing w:after="0" w:line="114"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January 30, 2016</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 ($4.40 per share)</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January 28, 2017</w:t>
            </w:r>
          </w:p>
        </w:tc>
        <w:tc>
          <w:tcPr>
            <w:tcW w:w="11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Dividends ($2.40 per share)</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Share Retirement</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February 3, 2018</w:t>
            </w:r>
          </w:p>
        </w:tc>
        <w:tc>
          <w:tcPr>
            <w:tcW w:w="11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3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Cumulative Effect of Accounting</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w:t>
            </w:r>
          </w:p>
        </w:tc>
        <w:tc>
          <w:tcPr>
            <w:tcW w:w="12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February 4, 2018</w:t>
            </w:r>
          </w:p>
        </w:tc>
        <w:tc>
          <w:tcPr>
            <w:tcW w:w="11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73"/>
        </w:trPr>
        <w:tc>
          <w:tcPr>
            <w:tcW w:w="23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2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Dividends ($2.40 per share)</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73"/>
        </w:trPr>
        <w:tc>
          <w:tcPr>
            <w:tcW w:w="23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February 2, 2019</w:t>
            </w: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59"/>
        </w:trPr>
        <w:tc>
          <w:tcPr>
            <w:tcW w:w="230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20"/>
                <w:szCs w:val="20"/>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1,158</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of Long-lived Assets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Landlord Allowances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Long-lived Store Asset Impairment Charges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Divestiture of La Senza</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Gains on Distributions from Easton Investments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Losses on Marketable Equity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Gain on Sale of Marketable Equity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4"/>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Assets and Liabilities, Net of Assets and Liabilities related to Divestiture and Acquisition:</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21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1,377</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1,990</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Return of Capital from Easton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Marketable Equity Securities</w:t>
            </w:r>
          </w:p>
        </w:tc>
        <w:tc>
          <w:tcPr>
            <w:tcW w:w="8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Net of Cash Acquired of $1</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04"/>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7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Issuance of Long-term Debt, Net of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 of Long-term Debt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Borrowings from Secured Revolving Facility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of Secured Revolving Facility</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Borrowings from Foreign Facilities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of Foreign Facilities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Paid</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Payments related to Share-based Awards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Costs and 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(1,127)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2,548</w:t>
            </w:r>
          </w:p>
        </w:tc>
      </w:tr>
      <w:tr>
        <w:trPr>
          <w:trHeight w:val="21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880" w:type="dxa"/>
            <w:vAlign w:val="bottom"/>
            <w:tcBorders>
              <w:top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1,934</w:t>
            </w: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927"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927" w:gutter="0" w:footer="0" w:header="0"/>
          <w:type w:val="continuous"/>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right="5640" w:firstLine="8"/>
        <w:spacing w:after="0" w:line="346" w:lineRule="auto"/>
        <w:tabs>
          <w:tab w:leader="none" w:pos="1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 Description of Business</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L Brands, Inc. (“the Company”) operates in the highly competitive specialty retail business. The Company is a specialty retailer of women’s intimate and other apparel, personal care, beauty and home fragrance products. The Company sells its merchandise through company-owned specialty retail stores in the U.S., Canada, U.K., Ireland and Greater China, and through its websites and other channels. The Company's other international operations are primarily through franchise, license and wholesale partners. The Company currently operates the following retail brands:</w:t>
      </w:r>
    </w:p>
    <w:p>
      <w:pPr>
        <w:spacing w:after="0" w:line="4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PINK</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“2018” and "2016" refer to the 52-week periods ended February 2, 2019 and January 28, 2017, respectively. “2017” refers to the 53-week period ended February 3,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The Company’s share of net income or loss of all other unconsolidated entities is included in Other Income (Loss) in the Consolidated Statements of Income. The Company’s equity method investments are required to be reviewed for impairment when it is determined there may be an other than temporary loss in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6, 2019, the Company completed the sale of the La Senza business. For additional information, see Note 6, "Restructuring Activities."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with financial institutions and highly liquid investments with original maturities of less than 90 days. The Company’s outstanding checks, which totaled $13 million as of February 2, 2019 and $14 million as of February 3, 2018, are included in Accounts Payable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and derivative contracts with various major financial institutions. The Company monitors the relative credit standing of financial institutions with whom the Company transacts and limits the amount of credit exposure with any one entity. Typically, the Company’s investment portfolio is primarily comprised of U.S. government obligations, U.S. Treasury and AAA-rated money market funds, commercial paper and bank deposits.</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records an allowance for uncollectable accounts when it becomes probable that the counterparty will be unable to pay.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These investments are recorded at fair value in other current assets on the Consolidated Balance Sheets. Beginning in 2018, the Company recognizes unrealized holding gains and losses in Other Income (Loss) in the Consolidated Statements of Income.</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118" w:right="27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2018, unrealized holding gains and losses were recorded, net of tax, as a component of accumulated other comprehensive income.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 weighted-average cost basis.</w:t>
      </w:r>
    </w:p>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records inventory loss adjustments for estimated physical inventory losses that have occurred since the date of the last physical 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estimates are based on management’s analysis of historical results and operating trends.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Advertising and marketing costs are expensed at the time the promotion first appears in media, in the store or when the advertising is mailed. Advertising and marketing costs totaled $476 million for 2018, $383 million for 2017 and $325 million for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property and equipment are recorded at cost and depreciation is computed on a straight-line basis using the following depreciable life ranges: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4"/>
                <w:szCs w:val="14"/>
                <w:b w:val="1"/>
                <w:bCs w:val="1"/>
                <w:color w:val="auto"/>
              </w:rPr>
              <w:t>Category of Property and Equipment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Depreciable Life Range</w:t>
            </w: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Store related assets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Non-store related building and site improvements</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10 - 15 years</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22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reviewed for impairment whenever events or changes in circumstances indicate that the carrying amount of the asset may not be recoverable. Assets are grouped at the lowest level for which they are largely independent of other assets or asset groups. If the estimated undiscounted future cash flows related to the asset or asset group are less than the carrying value, the Company recognizes a loss equal to the difference between the carrying value and the estimated fair value, usually determined by the estimated discounted future cash flows of the asset or asset group.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certain intangible assets resulting from business combinations and acquisitions that are recorded at cost. Intangible assets with finite lives are amortized on a straight-line basis over their respective estimated useful lives.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fair value of each reporting unit's fair value to its carrying value (including goodwill). If the Company determines that the fair value of a reporting unit is less than its carrying value, the Company then estimates the fair value of all assets and liabilities of that reporting unit, including the implied fair value of goodwill, through either estimated discounted future cash flows or market-based methodologies. If the carrying value of goodwill exceeds the implied fair value, the Company recognizes an impairment charge equal to the difference. The Company's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 Company's reporting units that have goodwill are Victoria's Secret, Bath &amp; Body Works and Greater China.</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Intangible assets with indefinite lives are reviewed for impairment each year in the fourth quarter and may be reviewed more frequently if certain events occur or circumstances change. The Company has the option to either first performs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estimated discounted future cash flows of the asset, and compare that value with its carrying amount. If the carrying value of the intangible asset exceeds the fair value, the Company recognizes an impairment charge equal to the difference.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future economic conditions are different than those projected by management, future impairment charges may be required.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and Leasehold Improvements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leases that contain predetermined fixed escalations of minimum rentals and/or rent abatements subsequent to taking possession of the leased property. The Company recognizes the related rent expense on a straight-line basis commencing upon the store possession date. The Company records the difference between the recognized rental expense and amounts payable under the leases as deferred lease credits. The Company’s liability for predetermined fixed escalations of minimum rentals and/or rent abatements totaled $220 million as of February 2, 2019 and $210 million as of February 3, 2018. These liabilities are included in Other Long-term Liabilities on the Consolidated Balance Sheets.</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receives construction allowances from landlords related to its retail stores. These allowances are generally comprised of cash amounts received by the Company from its landlords as part of the negotiated lease terms. The Company records a receivable and a landlord allowance at the lease commencement date (date of initial possession of the store). The landlord allowance is amortized on a straight-line basis as a reduction of rent expense over the term of the lease (including the pre-opening build-out period), and the receivable is reduced as amounts are received from the landlord. The Company’s unamortized portion of landlord allowances, which totaled $278 million as of February 2, 2019 and $293 million as of February 3, 2018, is included in Other Long-term Liabilities on the Consolidated Balance Sheets.</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2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the future impacts as a result of the Company's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first quarter of 2019, refer to Note 2, "New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(loss) in shareholders’ equity. Accumulated foreign currency translation adjustments are reclassified to net income when realized upon sale or upon complete or substantially complete liquidation of the investment in the foreign entity.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uses derivative financial instruments to manage exposure to foreign currency exchange rates and interest rates. The Company does not use derivative instruments for trading purposes. All derivative instruments are recorded on the Consolidated Balance Sheets at fair value.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derivative financial instruments that are designated and qualify as cash flow hedges, the effective portion of the gain or loss on the derivative instrument is reported as a component of accumulated other comprehensive income (loss) in shareholders’ equity and reclassified into earnings in the same period during which the hedged item affects earnings. Gains and losses that are reclassified into earnings are recognized in the same line item on the Consolidated Statement of Income as the underlying hedged item. Gains and losses on the derivative representing hedge ineffectiveness, if any, are recognized in current earnings.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derivative financial instruments that are designated and qualify as fair value hedges, the change in the fair value of the derivative instrument has an equal and offsetting impact to the carrying value of the liability on the balance sheet.</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derivative financial instruments that are not designated as hedging instruments, the gain or loss on the derivative instrument is recognized in current earnings in Other Income (Loss) on the Consolidated Statements of Income.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118" w:right="27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authoritative guidance included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47"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41" w:lineRule="exact"/>
        <w:rPr>
          <w:rFonts w:ascii="Times New Roman" w:cs="Times New Roman" w:eastAsia="Times New Roman" w:hAnsi="Times New Roman"/>
          <w:sz w:val="18"/>
          <w:szCs w:val="18"/>
          <w:color w:val="auto"/>
        </w:rPr>
      </w:pPr>
    </w:p>
    <w:p>
      <w:pPr>
        <w:ind w:left="1300" w:right="30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financial instruments, property and equipment and goodwill and intangible assets in accordance with the provisions of ASC 820</w:t>
      </w:r>
      <w:r>
        <w:rPr>
          <w:rFonts w:ascii="Times New Roman" w:cs="Times New Roman" w:eastAsia="Times New Roman" w:hAnsi="Times New Roman"/>
          <w:sz w:val="18"/>
          <w:szCs w:val="18"/>
          <w:i w:val="1"/>
          <w:i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Statement of Income in the period that includes the enactment date. A valuation allowance is recorded to reduce the carrying amounts of deferred tax assets if it is more likely than not that such assets will not be realized.</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w:t>
      </w:r>
    </w:p>
    <w:p>
      <w:pPr>
        <w:spacing w:after="0" w:line="13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8" w:right="25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 represents the portion of equity interests of consolidated affiliates not owned by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12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Compensation cost is recognized over the service period for the fair value of awards that actually vest. Compensation expense for awards without a performance condition is recognized, net of estimated forfeitures, using a single award approach (each award is valued as one grant, irrespective of the number of vesting tranches). Compensation expense for awards with a performance condition is recognized, net of estimated forfeitures, using a multiple award approach (each vesting tranche is valued as one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color w:val="auto"/>
        </w:rPr>
        <w:t xml:space="preserve">In the first quarter of 2018, the Company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using the modified retrospective approach. Results for 2018 are presented under ASC 606, while prior period consolidated financial statements have not been adjusted and continue to be presented under the accounting standards in effect for those periods.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Statements of Income. The Company also provides a reserve for projected merchandise returns based on historical experience. Net Sales exclude sales and other similar taxes collected from customers.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points not expected to be redeemed based on historical experience.</w:t>
      </w:r>
    </w:p>
    <w:p>
      <w:pPr>
        <w:spacing w:after="0" w:line="18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Consolidated Statements of Income.</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Victoria’s Secret's private label credit card arrangement is recognized over the term of the license arrangement and is included in Net Sales in the 2018 Consolidated Statement of Income.</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Goods Sold, Buying and Occupancy</w:t>
      </w:r>
    </w:p>
    <w:p>
      <w:pPr>
        <w:spacing w:after="0" w:line="94"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rent, common area maintenance, real estate taxes, utilities, maintenance, fulfillment expenses and depreciation for the Company’s stores, warehouse facilities and equipment.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257" w:lineRule="exact"/>
        <w:rPr>
          <w:sz w:val="20"/>
          <w:szCs w:val="20"/>
          <w:color w:val="auto"/>
        </w:rPr>
      </w:pPr>
    </w:p>
    <w:p>
      <w:pPr>
        <w:ind w:right="8380" w:firstLine="8"/>
        <w:spacing w:after="0" w:line="361" w:lineRule="auto"/>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Pronouncements </w:t>
      </w:r>
      <w:r>
        <w:rPr>
          <w:rFonts w:ascii="Times New Roman" w:cs="Times New Roman" w:eastAsia="Times New Roman" w:hAnsi="Times New Roman"/>
          <w:sz w:val="18"/>
          <w:szCs w:val="18"/>
          <w:b w:val="1"/>
          <w:bCs w:val="1"/>
          <w:i w:val="1"/>
          <w:iCs w:val="1"/>
          <w:color w:val="auto"/>
        </w:rPr>
        <w:t>Revenue from Contracts with Customers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May 2014, the FASB issued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was further clarified and amended in 2015 and 2016.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results in enhanced disclosures about the nature, amount, timing and uncertainty of revenue and cash flows arising from contracts with customers.</w:t>
      </w:r>
    </w:p>
    <w:p>
      <w:pPr>
        <w:spacing w:after="0" w:line="18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adopted the standard in the first quarter of 2018 under the modified retrospective approach. Under the standard, income from the Victoria's Secret private label credit card arrangement, which was historically presented as a reduction to General, Administrative and Store Operating Expenses, is presented as revenue. Further, historical accounting related to loyalty points earned under the Victoria's Secret customer loyalty program changed as the Company now defers revenue associated with customer loyalty points until the points are redeemed using a relative stand-alone selling price method. The standard also changed accounting for sales returns which requires balance sheet presentation on a gross basis.</w:t>
      </w:r>
    </w:p>
    <w:p>
      <w:pPr>
        <w:spacing w:after="0" w:line="184"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 the first quarter of 2018, the Company recorded a cumulative catch-up adjustment resulting in a reduction to opening retained earnings, net of tax, of $28 million. The cumulative adjustment primarily related to the deferral of revenue related to outstanding points, net of estimated forfeitures, under the Victoria's Secret customer loyalty program. In addition, Net Sales and General, Administrative and Store Operating Expenses both increased $187 million in</w:t>
      </w:r>
    </w:p>
    <w:p>
      <w:pPr>
        <w:spacing w:after="0" w:line="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2018 Consolidated Statement of Income. Further, gross presentation of the Company's sales return reserve resulted in a $5 million increase in Other Current Assets and Accrued Expenses and Other on the February 2, 2019 Consolidated Balance Sheet.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which addresses certain aspects of the recognition, measurement, presentation and disclosure of financial instruments. The standard requires the recognition of changes in the fair value of marketable equity securities in net income as compared to historical treatment in accumulated other comprehensive income on the balance sheet. The Company adopted the standard in the first quarter of 2018 and recorded an increase to opening retained earnings, net of tax, of $2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is effective beginning in fiscal 2019 and requires companies classified as lessees to account for most leases on their balance sheets but recognize expenses on their income statements in a manner similar to today’s accounting. The standard also will result in enhanced quantitative and qualitative disclosures, including significant judgments made by management, to provide greater insight into the extent of revenue and expense recognized and expected to be recognized from existing leases. In July 2018, the FASB approved an amendment to the standard that provides companies a transition option that would not require earlier periods to be restated upon adoption.</w:t>
      </w:r>
    </w:p>
    <w:p>
      <w:pPr>
        <w:spacing w:after="0" w:line="18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will adopt the standard in the first quarter of 2019 and apply the standard prospectively as of the adoption date. As allowed by the new standard, the Company elected the package of transition practical expedients but has elected to not apply the hindsight practical expedient to its leases at transition.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leases, including our retail store locations, are subject to operating lease accounting under the new standard. The Company expects to recognize right-of-use assets of approximately $3.3 billion and related lease liabilities of approximately $3.7 billion in its Consolidated Balance Sheet upon adoption at the beginning of fiscal 2019. These balances will change as the lease portfolio changes due to execution of lease modifications or new leases. The right-of-use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assets are based upon the lease liabilities adjusted for deferred rent liabilities and unamortized landlord construction allowances. The Company will continue to recognize rent expense in the Consolidated Statements of Income on a straight-line basis over the lease 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24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w:t>
      </w:r>
      <w:r>
        <w:rPr>
          <w:rFonts w:ascii="Times New Roman" w:cs="Times New Roman" w:eastAsia="Times New Roman" w:hAnsi="Times New Roman"/>
          <w:sz w:val="18"/>
          <w:szCs w:val="18"/>
          <w:i w:val="1"/>
          <w:iCs w:val="1"/>
          <w:color w:val="auto"/>
        </w:rPr>
        <w:t>Targeted Improvements to Accounting for Hedging Activities</w:t>
      </w:r>
      <w:r>
        <w:rPr>
          <w:rFonts w:ascii="Times New Roman" w:cs="Times New Roman" w:eastAsia="Times New Roman" w:hAnsi="Times New Roman"/>
          <w:sz w:val="18"/>
          <w:szCs w:val="18"/>
          <w:color w:val="auto"/>
        </w:rPr>
        <w:t>, which is intended to better align risk management activities and financial reporting for hedging relationships. The standard eliminates the requirement to separately measure and report hedge ineffectiveness and generally requires the entire change in the fair value of a hedging instrument to be presented in the same income statement line as the hedged item. It also eases certain documentation and assessment requirements. The Company will adopt the standard in the first quarter of fiscal 2019. The Company does not expect this standard to have a material impact on its consolidated results of operations, financial position or cash flows.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simplifies the subsequent measurement of goodwill. The standard eliminates the second step from the goodwill impairment test, which requires a hypothetical purchase price allocation to determine the implied fair value of goodwill. Under the new standard, the goodwill impairment charge will be the excess of the reporting unit's carrying value over its fair value, not to exceed the total amount of goodwill allocated to the reporting unit. This guidance will be effective beginning in fiscal 2020, with early adoption permitted. The Company does not expect this standard to have a material impact on its consolidated results of operations, financial position or cash flows.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7"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color w:val="auto"/>
        </w:rPr>
        <w:t xml:space="preserve">In the first quarter of 2018, the Company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using the modified retrospective approach. Results for 2018 are presented under ASC 606, while prior period consolidated financial statements have not been adjusted and continue to be presented under the accounting standards in effect for those periods.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$150 million as of February 2, 2019 and $144 million as of the beginning of the period upon adoption of the new standard. Accounts receivable primarily relate to amounts due from the Company's franchise, license and wholesale partners. Under these arrangements, payment terms are typically 60 to 75 days.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The balance of deferred revenue was $331 million as of February 2, 2019 and $320 million as of the beginning of the period upon adoption of the new standard. The Company recognized $224 million as revenue in 2018 from amounts recorded as deferred revenue at the beginning of the period. The Company's deferred revenue balance would have been $287 million as of February 2, 2019 under accounting standards in effect prior to the adoption of the new standard. As of February 2, 2019, the Company recorded deferred revenues of $316 million within Accrued Expenses and Other, and $15 million within Other Long-term Liabilities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2018, 2017 and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2017 (a)(b)</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 (a)</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Stores (c)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Victoria’s Secret Direct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Victoria’s Secret North America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 Stores (c)</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Bath &amp; Body Works Direct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Bath &amp; Body Works North America</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 (d)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620" w:right="4220" w:hanging="5612"/>
        <w:spacing w:after="0" w:line="542" w:lineRule="auto"/>
        <w:tabs>
          <w:tab w:leader="none" w:pos="6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and 2016 amounts have not been adjusted under the modified retrospective approach. 65</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represents a 53-week fiscal year.</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U.S. and Canada.</w:t>
      </w:r>
    </w:p>
    <w:p>
      <w:pPr>
        <w:spacing w:after="0" w:line="9" w:lineRule="exact"/>
        <w:rPr>
          <w:rFonts w:ascii="Times New Roman" w:cs="Times New Roman" w:eastAsia="Times New Roman" w:hAnsi="Times New Roman"/>
          <w:sz w:val="18"/>
          <w:szCs w:val="18"/>
          <w:color w:val="auto"/>
        </w:rPr>
      </w:pPr>
    </w:p>
    <w:p>
      <w:pPr>
        <w:ind w:left="660" w:right="2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company-owned stores in the U.K., Ireland and Greater China, direct sales in Greater China and wholesale sales, royalties and other fees associated with non-company owned stores.</w:t>
      </w:r>
    </w:p>
    <w:p>
      <w:pPr>
        <w:ind w:left="660" w:right="10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wholesale revenues from the Company's sourcing function, Henri Bendel store and direct sales, and La Senza store and direct sales prior to January 6,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Earnings per basic share is computed based on the weighted-average number of outstanding common shares. Earnings per diluted share include the weighted-average effect of dilutive options and restricted stock on the weighted-average shares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shares utilized for the calculation of basic and diluted earnings per share for 2018, 2017 and 2016:</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gridSpan w:val="2"/>
          </w:tcPr>
          <w:p>
            <w:pPr>
              <w:ind w:left="73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2017 (a)</w:t>
            </w: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Borders>
              <w:top w:val="single" w:sz="8" w:color="auto"/>
            </w:tcBorders>
          </w:tcPr>
          <w:p>
            <w:pPr>
              <w:spacing w:after="0"/>
              <w:rPr>
                <w:sz w:val="21"/>
                <w:szCs w:val="21"/>
                <w:color w:val="auto"/>
              </w:rPr>
            </w:pPr>
          </w:p>
        </w:tc>
      </w:tr>
      <w:tr>
        <w:trPr>
          <w:trHeight w:val="255"/>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Issued Shares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Shares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Options and Restricted Stock</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291</w:t>
            </w:r>
          </w:p>
        </w:tc>
      </w:tr>
      <w:tr>
        <w:trPr>
          <w:trHeight w:val="67"/>
        </w:trPr>
        <w:tc>
          <w:tcPr>
            <w:tcW w:w="67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Anti-dilutive Options and Awards (b)</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2017, the Company retired 36 million shares of its Treasury Stock.</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and awards were excluded from the calculation of diluted earnings per share because their inclusion would have been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April 18, 2016, the Company completed the acquisition of 100% of the shares of American Beauty Limited for a total purchase price of $44 million. This agreement included the reacquisition of the franchise rights from one of our partners to operate Victoria's Secret Beauty and Accessories stores in Greater China, including 26 stores already open at the time of acquisition. The purchase price included $10 million in forgiveness of liabilities owed to the Company from the pre-existing relationship. As a result of this acquisition, the Company's financial statements include the financial results of American Beauty Limited, which are reported as part of the Victoria's Secret and Bath &amp; Body Works International segment.</w:t>
      </w:r>
    </w:p>
    <w:p>
      <w:pPr>
        <w:spacing w:after="0" w:line="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total purchase price was allocated to the net tangible and intangible assets acquired based on their estimated fair value. Such estimated fair values require management to make estimates and judgments, especially with respect to intangible assets. The allocation of the purchase price to goodwill was complete as of the second quarter of 2016. Goodwill related to the acquisition is not deductible for tax purposes.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to the fair value of assets acquired and liabilities assumed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5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5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Assets Acquired</w:t>
            </w:r>
          </w:p>
        </w:tc>
        <w:tc>
          <w:tcPr>
            <w:tcW w:w="5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Forgiveness of Liabilities Owed to the Company</w:t>
            </w: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Consideration Paid</w:t>
            </w:r>
          </w:p>
        </w:tc>
        <w:tc>
          <w:tcPr>
            <w:tcW w:w="5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427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Senza</w:t>
      </w:r>
    </w:p>
    <w:p>
      <w:pPr>
        <w:spacing w:after="0" w:line="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January 6, 2019, in an effort to increase shareholder value and in order to focus on its larger core businesses, the Company divested its ownership interest in La Senza to an affiliate of Regent LP, a global private equity firm. Regent LP assumed La Senza’s operating assets and liabilities in exchange for potential future consideration upon the sale or other monetization of La Senza, as defined in the agreement. In the fourth quarter of 2018, the Company recognized a pre-tax loss on the divestiture of $99 million, primarily related to $45 million of accumulated foreign currency translation adjustments reclassified into earnings that were previously recognized as a component of equity, as well as losses related to the transfer of the net working capital and long-lived store assets to the buyer. The loss is included in Loss on Divestiture of La Senza in the 2018 Consolidated Statement of Income. The after-tax loss on the divestiture was $55 million, which includes $44 million of tax benefits primarily associated with the recognition of previously unrecognized deferred tax assets.</w:t>
      </w:r>
    </w:p>
    <w:p>
      <w:pPr>
        <w:spacing w:after="0" w:line="1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conjunction with the transaction, the Company has guaranteed certain lease payments under the current terms of noncancelable leases. For additional information, see Note 18, "Commitments and Contingencies."</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Additionally, the Company will continue to provide support to La Senza in various operational areas including logistics, technology and merchandise sourcing for periods of time ranging from one month to eighteen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Henri Bendel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2018, the Company closed all Henri Bendel stores and ceased selling merchandise online.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announced the planned closure of Henri Bendel in the third quarter of 2018. As a result, the Company recognized a pre-tax charge, primarily cash, consisting of lease termination costs, severance and other costs of $20 million in the third quarter. In the fourth quarter of 2018, the Company recognized an additional pre-tax charge of $3 million, primarily related to contract termination and employee retention costs. Restructuring charges of $14 million and $9 million are included in Costs of Goods Sold, Buying and Occupancy and General, Administrative and Store Operating Expenses, respectively, in the 2018 Consolidated Statement of Income. Through the fourth quarter of 2018, the Company made cash payments of $16 million. The remaining balance of $7 million is included in Accrued Expenses and Other on the February 2, 2019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Victoria's Secret</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first quarter of 2016, the Company made strategic changes within the Victoria’s Secret segment designed to focus the brand on its core merchandise categories, streamline operations and emphasize brand building and loyalty-enhancing marketing and advertising rather than using traditional catalogues and offers. As a result of these actions, the Company recorded charges related to cancellations of fabric commitments for non-go forward merchandise and a reserve against paper that was previously intended for future catalogues. These costs, totaling $11 million, including non-cash charges of $10 million, are included in Costs of Goods Sold, Buying and Occupancy on the 2016 Consolidated Statement of Income. These actions also resulted in the elimination of approximately 200 positions primarily in the Company's Ohio and New York home offices. Severance and related costs associated with these eliminations, totaling $24 million, are included in General, Administrative and Store Operating Expenses on the 2016 Consolidated Statement of Income. The Company recognized a total pre-tax charge of $35 million for these items in the first quarter of 2016.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February 2, 2019 and February 3, 2018:</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340" w:type="dxa"/>
            <w:vAlign w:val="bottom"/>
          </w:tcPr>
          <w:p>
            <w:pPr>
              <w:spacing w:after="0"/>
              <w:rPr>
                <w:sz w:val="13"/>
                <w:szCs w:val="13"/>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4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3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4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February 2, 2019 and February 3, 2018:</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340" w:type="dxa"/>
            <w:vAlign w:val="bottom"/>
          </w:tcPr>
          <w:p>
            <w:pPr>
              <w:spacing w:after="0"/>
              <w:rPr>
                <w:sz w:val="13"/>
                <w:szCs w:val="13"/>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Software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6,687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2,893</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$590 million in 2018, $571 million in 2017 and $518 million in 2016.</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2018, the Company concluded that the negative operating results for certain of its Victoria's Secret stores were an indicator of potential impairment of the related long-lived store assets. The Company determined that the estimated undiscounted future cash flows were less than the carrying values and, as a result, recognized a loss equal to the difference between the carrying values and the estimated fair values, determined by the estimated discounted future cash flows. As a result, the Company recognized impairment charges of $81 million and $20 million in the third and fourth quarter of 2018, respectively. These charges are included in Costs of Goods Sold, Buying &amp; Occupancy in the 2018 Consolidated Statement of Income. Impairment charges of $70 million, related to stores in the U.S. and Canada, were recorded within the Victoria's Secret segment. Impairment charges of $31 million, related to stores in the U.K., were recorded within the Victoria's Secret and Bath &amp; Body Works International segment.</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2016, the Company completed a sale and leaseback transaction under a noncancelable operating lease of a certain asset. The carrying value of the asset sold under this arrangement was $51 million. Proceeds of $51 million are included in Proceeds from Sale of Assets within the Investing Activities section of the 2016 Consolidated Statement of Cash Flows. For additional information, see Note 18, "Commitments and Contingencies."</w:t>
      </w:r>
    </w:p>
    <w:p>
      <w:pPr>
        <w:spacing w:after="0" w:line="172" w:lineRule="exact"/>
        <w:rPr>
          <w:sz w:val="20"/>
          <w:szCs w:val="20"/>
          <w:color w:val="auto"/>
        </w:rPr>
      </w:pPr>
    </w:p>
    <w:p>
      <w:pPr>
        <w:ind w:right="9140" w:firstLine="8"/>
        <w:spacing w:after="0" w:line="346" w:lineRule="auto"/>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Trade Names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detail regarding the composition of goodwill for the fiscal years ended February 2, 2019 and February 3, 2018:</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196"/>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 and Bath &amp; Body Works 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1,348</w:t>
            </w:r>
          </w:p>
        </w:tc>
      </w:tr>
      <w:tr>
        <w:trPr>
          <w:trHeight w:val="27"/>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2016, the Company reacquired from one of its partners the franchise rights to operate Victoria's Secret Beauty and Accessories stores in Greater China, including 26 stores already open at the time of acquisition. As a result of the acquisition, the Company recognized $30 million of goodwill within the Victoria's Secret and Bath &amp; Body Works International reportable segment. For additional information, see Note 5, "Acquisition."</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The Company's reporting units with goodwill balances at February 2, 2019 were Victoria's Secret, Bath &amp; Body Works and Greater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Assets—Indefinite Lives</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lives represent the Victoria’s Secret and Bath &amp; Body Works trade names. The following table provides additional detail regarding the composition of trade names as of February 2, 2019 and February 3, 2018: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February 3, 2018</w:t>
            </w:r>
          </w:p>
        </w:tc>
      </w:tr>
      <w:tr>
        <w:trPr>
          <w:trHeight w:val="250"/>
        </w:trPr>
        <w:tc>
          <w:tcPr>
            <w:tcW w:w="8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Victoria's Secret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Bath &amp; Body Works</w:t>
            </w: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Trade Names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Easton Investments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land and other investments in Easton, a planned community in Columbus, Ohio, that integrates office, hotel, retail, residential and recreational space. These investments, totaling $89 million as of February 2, 2019 and $81 million as of February 3, 2018, are recorded in Other Assets on the Consolidated Balance Sheets.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Included in the Company’s Easton investments are equity interests in Easton Town Center, LLC (“ETC”) and Easton Gateway, LLC (“EG”), entities that own and develop commercial entertainment and shopping centers. The Company’s investments in ETC and EG are accounted for using the equity method of accounting. The Company has a majority financial interest in ETC and EG, but another unaffiliated member manages them, and certain significant decisions regarding ETC and EG require the consent of unaffiliated members in addition to the Company.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received cash distributions of $16 million and $29 million from certain of its Easton investments during 2018 and 2017, respectively, which are included as return of capital within Investing Activities of the Consolidated Statements of Cash Flows. As a result of these distributions, the Company recognized pre-tax gains totaling $8 million and $20 million during 2018 and 2017, respectively, which are included in Other Income (Loss) in the Consolidated Statements of Income.</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2016, ETC refinanced its bank loan. In conjunction with the loan refinancing, the Company received a cash distribution from ETC of $124 million and recognized a pre-tax gain of $108 million (after-tax gain of $70 million). The gain is included in Other Income (Loss) on the 2016 Consolidated Statement of Income and the return of capital is included within the Investing Activities section of the 2016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February 2, 2019 and February 3,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4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Principally from Gift Card Sales (a)</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Other than Income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Returns Reserve (a)</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1,082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0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adopted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the modified retrospective approach. As such, balances as of February 3, 2018 have not been adjusted.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Current income tax expense represents the amounts expected to be reported on the Company’s income tax returns, and deferred tax expense or benefit represents the change in net deferred tax assets and liabilities. Deferred tax assets and liabilities are determined based on the difference between the financial statement and tax bases of assets and liabilities as measured by the enacted tax rates that will be in effect when these differences reverse. Valuation allowances are recorded as appropriate to reduce deferred tax assets to the amount considered likely to be realized.</w:t>
      </w:r>
    </w:p>
    <w:p>
      <w:pPr>
        <w:spacing w:after="0" w:line="12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(the "TCJA") was enacted into law. The legislation significantly changes U.S. tax law by, among other things, lowering corporate income tax rates and imposing a repatriation tax on deemed repatriated earnings of foreign subsidiaries. The TCJA reduces the U.S. corporate income tax rate from a maximum of 35% to a flat 21% rate, effective January 1, 2018.</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TCJA. The ultimate impact may differ from provisional amounts, due to changes in interpretations and assumptions the Company has made regarding application of the TCJA as well as additional regulatory guidance that may be issued. The Company recognized $159 million tax benefit related to revaluing the ending net deferred tax liabilities and recognized $67 million of tax expense related to the deemed mandatory repatriation in its consolidated financial statements for the year ended February 3, 2018. As of February 2, 2019, the Company has completed its determination of the accounting implications of the TCJA.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the Company’s provision for income taxes for fiscal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State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Non-U.S.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State</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Non-U.S.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non-U.S. component of pre-tax income, arising principally from overseas operations, was a loss of $14 million, income of $99 million and income of $134 million for 2018, 2017 and 2016,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between the statutory federal income tax rate and the effective tax rate for fiscal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Income Tax Rate</w:t>
            </w:r>
          </w:p>
        </w:tc>
        <w:tc>
          <w:tcPr>
            <w:tcW w:w="3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3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Divestiture of La Senza</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Net Deferred Tax Liability Remeasurement</w:t>
            </w:r>
          </w:p>
        </w:tc>
        <w:tc>
          <w:tcPr>
            <w:tcW w:w="2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Deemed Mandatory Repatriation</w:t>
            </w:r>
          </w:p>
        </w:tc>
        <w:tc>
          <w:tcPr>
            <w:tcW w:w="2680" w:type="dxa"/>
            <w:vAlign w:val="bottom"/>
          </w:tcPr>
          <w:p>
            <w:pPr>
              <w:spacing w:after="0"/>
              <w:rPr>
                <w:sz w:val="21"/>
                <w:szCs w:val="21"/>
                <w:color w:val="auto"/>
              </w:rPr>
            </w:pP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Uncertain Tax Positions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Items, Net</w:t>
            </w:r>
          </w:p>
        </w:tc>
        <w:tc>
          <w:tcPr>
            <w:tcW w:w="26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68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8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80" w:type="dxa"/>
            <w:vAlign w:val="bottom"/>
            <w:vMerge w:val="continue"/>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effect of temporary differences that cause deferred income taxes as of February 2, 2019 and February 3, 2018. Deferred tax assets and liabilities represent the future effects on income taxes resulting from temporary differences and carryforwards at the end of the respective year.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Non-qualified Retirement Plan</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2, 2019, the Company had available for state income tax purposes net operating loss carryforwards which expire, if unused, in the years 2019 through 2037. For those states where the Company has determined that it is more likely than not that the state net operating loss carryforwards will not be realized, a valuation allowance has been provided.</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February 2, 2019, the Company had available for non-U.S. tax purposes net operating loss carryforwards which have an indefinite life and net operating loss carryforwards which expire, if unused, in the years 2028 through 2038. For certain jurisdictions where the Company has determined that it is more likely than not that the net operating loss carryforwards will not be realized, a valuation allowance has been provided on those net operating loss carryforwards as well as other net deferred tax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were $324 million for 2018, $494 million for 2017 and $469 million for 2016.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U.S. federal, state &amp; non-U.S. tax jurisdictions for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and 2016, without interest and penalties: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Beginning of the Fiscal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to Unrecognized Tax Benefits for Prior Years</w:t>
            </w:r>
          </w:p>
        </w:tc>
        <w:tc>
          <w:tcPr>
            <w:tcW w:w="1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Decreases to Unrecognized Tax Benefits for Prior Years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to Unrecognized Tax Benefits as a Result of Current Year Activity</w:t>
            </w:r>
          </w:p>
        </w:tc>
        <w:tc>
          <w:tcPr>
            <w:tcW w:w="1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Decreases to Unrecognized Tax Benefits Relating to Settlements with Taxing Authorities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to Unrecognized Tax Benefits as a Result of a Lapse of the Applicable Statute of Limitations</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End of the Fiscal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the $114 million, $67 million and $90 million of total unrecognized tax benefits at February 2, 2019, February 3, 2018, and January 28, 2017, respectively, approximately $104 million, $46 million and $62 million, respectively, represent the amount of unrecognized tax benefits that, if recognized, would favorably affect the effective income tax rate in future periods. These amounts are net of the offsetting tax effects from other tax jurisdictions.</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Of the total unrecognized tax benefits, it is reasonably possible that $84 million could change in the next 12 months due to audit settlements, expiration of statute of limitations or other resolution of uncertainties. Due to the uncertain and complex application of tax regulations, it is possible that the ultimate resolution of audits may result in amounts which could be different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this estimate. In such case, the Company will record additional tax expense or tax benefit in the period in which such matters are effectively settled.</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recognized an income tax benefit from interest and penalties of $5 million, $2 million and $3 million in 2018, 2017 and 2016, respectively. The Company has accrued $12 million and $17 million for the payment of interest and penalties as of February 2, 2019 and February 3, 2018, respectively. Accrued interest and penalties are included within Other Long-term Liabilities on the Consolidated Balance Sheets.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in non-U.S. jurisdictions. The Company is a participant in the Compliance Assurance Process ("CAP"), which is a program made available by the Internal Revenue Service ("IRS") to certain qualifying large taxpayers, under which participants work collaboratively with the IRS to identify and resolve potential tax issues through open, cooperative and transparent interaction prior to the annual filing of their federal income tax return. The IRS is currently examining the Company's 2017 consolidated U.S. federal income tax return.</w:t>
      </w:r>
    </w:p>
    <w:p>
      <w:pPr>
        <w:spacing w:after="0" w:line="13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is also subject to various U.S. state and local income tax examinations for the years 2012 to 2017. Finally, the Company is subject to multiple non-U.S. tax jurisdiction examinations for the years 2007 to 2017.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118" w:right="27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outstanding debt balance, net of unamortized debt issuance costs and discounts, as of February 2,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340" w:type="dxa"/>
            <w:vAlign w:val="bottom"/>
          </w:tcPr>
          <w:p>
            <w:pPr>
              <w:spacing w:after="0"/>
              <w:rPr>
                <w:sz w:val="13"/>
                <w:szCs w:val="13"/>
                <w:color w:val="auto"/>
              </w:rPr>
            </w:pP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8"/>
        </w:trPr>
        <w:tc>
          <w:tcPr>
            <w:tcW w:w="8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auto"/>
            </w:tcBorders>
            <w:shd w:val="clear" w:color="auto" w:fill="CCEEFF"/>
          </w:tcPr>
          <w:p>
            <w:pPr>
              <w:spacing w:after="0"/>
              <w:rPr>
                <w:sz w:val="4"/>
                <w:szCs w:val="4"/>
                <w:color w:val="auto"/>
              </w:rPr>
            </w:pPr>
          </w:p>
        </w:tc>
        <w:tc>
          <w:tcPr>
            <w:tcW w:w="5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 billion, 6.875% Fixed Interest Rate Notes due November 2035 (“2035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$956 million, 5.625% Fixed Interest Rate Notes due February 2022 (“2022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$780 million, 6.625% Fixed Interest Rate Notes due April 2021 (“2021 Notes”)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$700 million, 6.75% Fixed Interest Rate Notes due July 2036 (“2036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$500 million, 5.625% Fixed Interest Rate Notes due October 2023 (“2023 Notes”)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$500 million, 5.25% Fixed Interest Rate Notes due February 2028 (“2028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$338 million, 7.00% Fixed Interest Rate Notes due May 2020 (“2020 Notes”)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$297 million, 6.694% Fixed Interest Rate Notes due January 2027 ("2027 Notes")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Secured Foreign Facilities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5,062</w:t>
            </w:r>
          </w:p>
        </w:tc>
      </w:tr>
      <w:tr>
        <w:trPr>
          <w:trHeight w:val="203"/>
        </w:trPr>
        <w:tc>
          <w:tcPr>
            <w:tcW w:w="83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$350 million, 6.95% Fixed Interest Rate Debentures due March 2033 (“2033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$300 million, 7.60% Fixed Interest Rate Notes due July 2037 (“2037 Notes”)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Foreign Facilities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9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provides principal payments due on outstanding debt in the next five fiscal years and the remaining years thereafter:</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3"/>
        </w:trPr>
        <w:tc>
          <w:tcPr>
            <w:tcW w:w="83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(in millions)</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49"/>
        </w:trPr>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1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1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1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r>
      <w:tr>
        <w:trPr>
          <w:trHeight w:val="243"/>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1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1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$380 million in 2018, $391 million in 2017 and $387 million in 2016.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Notes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Company completed private offers to exchange $62 million, $220 million and $44 million of outstanding 2020 Notes, 2021 Notes and 2022 Notes, respectively, for $297 million of newly issued 6.694% notes due in January 2027 and $52 million in cash consideration, which included a $24 million exchange premium. The exchange was treated as a modification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no gain or loss was recognized. The exchange premium will be amortized through the maturity date of January 2027 and is included within Long-term Debt on the February 2, 2019 Consolidated Balance Sheet. The obligation to pay principal and interest on the 2027 Notes is jointly and severally guaranteed on a full and unconditional basis by certain of the Company's 100% owned subsidiaries (the “Guarantors”).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January 2018, the Company issued $500 million of 5.25% notes due in February 2028. The obligation to pay principal and interest on these notes is jointly and severally guaranteed on a full and unconditional basis by the Guarantors. The proceeds from the issuance were $495 million, which were net of issuance costs of $5 million. These issuance costs are being amortized through the maturity date of February 2028 and are included within Long-term Debt on the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Notes</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January 2018, the Company used the proceeds from the 2028 Notes to redeem the $500 million 2019 Notes for $540 million. In the fourth quarter of 2017, the Company recognized a pre-tax loss on extinguishment of this debt of $45 million (after-tax loss of $29 million), which includes write-offs of unamortized issuance costs and discounts and losses related to terminated interest rate swaps associated with the 2019 Notes. This loss is included in Other Income (Loss) in the 2017 Consolidated Statement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Facility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and the Guarantors guarantee and pledge collateral to secure a revolving credit facility. The Secured Revolving Facility has aggregate availability of $1 billion and expires in May 2022. The Secured Revolving Facility allows the Company and certain of the Company's non-U.S. subsidiaries to borrow and obtain letters of credit in U.S. dollars, Canadian dollars, Euros, Hong Kong dollars or British pounds.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Secured Revolving Facility fees related to committed and unutilized amounts are 0.25% per annum, and the fees related to outstanding letters of credit are 1.50% per annum. In addition, the interest rate on outstanding U.S. dollar borrowings is LIBOR plus 1.50% per annum. The interest rate on outstanding foreign denominated borrowings is the applicable benchmark rate plus 1.50% per annum.</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Secured Revolving Facility contains fixed charge coverage and debt to EBITDA financial covenants. The Company is required to maintain a fixed charge coverage ratio of not less than 1.75 to 1.00 and a consolidated debt to consolidated EBITDA ratio not exceeding 4.00 to 1.00 for the most recent four-quarter period. In addition, the Secured Revolving Facility provides that investments and restricted payments may be made, without limitation on amount, if (a) at the time of and after giving effect to such investment or restricted payment, the ratio of consolidated debt to consolidated EBITDA for the most recent four-quarter period is less than 3.00 to 1.00 and (b) no default or event of default exists. As of February 2, 2019, the Company was in compliance with both of its financial covenants, and the ratio of consolidated debt to consolidated EBITDA was less than 3.00 to 1.00.</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2018, the Company borrowed, and made payments of, $92 million under the Secured Revolving Facility. As of February 2, 2019, there were no borrowings outstanding under the Secured Revolving Facility.</w:t>
      </w:r>
    </w:p>
    <w:p>
      <w:pPr>
        <w:spacing w:after="0" w:line="162"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Secured Revolving Facility supports the Company’s letter of credit program. The Company had $9 million of outstanding letters of credit as of February 2, 2019 that reduced its remaining availability under the Secured Revolving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Foreign Facilities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and the Guarantors guarantee and pledge collateral to secure revolving and term loan bank facilities used by certain of the Company's Greater China subsidiaries to support their operations. The Secured Foreign Facilities, which allow borrowings in U.S. dollars and Chinese Yuan, have availability totaling $100 million. The interest rates on outstanding borrowings are based upon the applicable benchmark rate for the currency of each borrowing. During 2018, the Company borrowed $107 million and made payments of $17 million under the Secured Foreign Facilities. The maximum daily amount outstanding at any point in time in 2018 was $99 million. Borrowings on the Secured Foreign Facilities mature between February 2019 and May 2022. As of February 2, 2019, borrowings of $12 million are included within Current Debt on the Consolidated Balance Sheet and the remaining borrowings are included within Long-term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Foreign Facilities</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guarantees unsecured revolving and term loan bank facilities used by certain of the Company's Greater China subsidiaries to support their operations. The Unsecured Foreign Facilities, which allow borrowings in U.S. dollars and Chinese Yuan, have availability totaling $100 million. The interest rates on outstanding borrowings are based upon the applicable benchmark rate for the currency of each borrowing. During 2018, the Company borrowed $65 million and made payments of $92 million under the Unsecured Foreign Facilities. The maximum daily amount outstanding at any point in time</w:t>
      </w:r>
    </w:p>
    <w:p>
      <w:pPr>
        <w:spacing w:after="0" w:line="3"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in 2018 was $90 million. Borrowings on the Unsecured Foreign Facilities mature between March 2019 and December 2019. As of February 2, 2019, borrowings of $60 million are included within Current Debt on the Consolidated Balance Sheet.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8260" w:firstLine="8"/>
        <w:spacing w:after="0" w:line="362" w:lineRule="auto"/>
        <w:tabs>
          <w:tab w:leader="none" w:pos="27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b w:val="1"/>
          <w:bCs w:val="1"/>
          <w:i w:val="1"/>
          <w:iCs w:val="1"/>
          <w:color w:val="auto"/>
        </w:rPr>
        <w:t>Foreign Exchange Derivative Instruments</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earnings of the Company's wholly owned foreign businesses are subject to exchange rate risk as substantially all their merchandise is sourced through U.S. dollar transactions. The Company uses foreign currency forward contracts designated as cash flow hedges to mitigate this foreign currency exposure for its Canadian and U.K. businesses. These forward contracts currently have a maximum term of 18 months. Amounts are reclassified from accumulated other comprehensive income upon sale of the hedged merchandise to the customer. These gains and losses are recognized in Costs of Goods Sold, Buying and Occupancy in the Consolidated Statements of Income.</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had a cross-currency swap related to an intercompany loan of approximately CAD$170 million that matured in January 2018 which was designated as a cash flow hedge of foreign currency exchange risk. This cross-currency swap mitigated the exposures to fluctuations in the U.S. dollar-Canadian dollar exchange rate related to the Company's Canadian operations. Changes in the U.S. dollar-Canadian dollar exchange rate and the related swap settlements resulted in reclassification of amounts from accumulated other comprehensive income to earnings to completely offset foreign currency transaction gains and losses recognized on the intercompany loan.</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uses foreign currency forward contracts to mitigate the impact of fluctuations in foreign currency exchange rates relative to recognized payable balances denominated in non-functional currencies. The fair value of these non-designated foreign currency forward contracts is not significant as of February 2,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U.S. dollar notional amount of outstanding foreign currency derivative financial instruments as of February 2,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2018:</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0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1"/>
                <w:szCs w:val="21"/>
                <w:color w:val="auto"/>
              </w:rPr>
            </w:pPr>
          </w:p>
        </w:tc>
      </w:tr>
      <w:tr>
        <w:trPr>
          <w:trHeight w:val="24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Notional Amount</w:t>
            </w:r>
          </w:p>
        </w:tc>
        <w:tc>
          <w:tcPr>
            <w:tcW w:w="110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8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fair value and balance sheet classification of outstanding derivative financial instruments designated as foreign currency cash flow hedges as of February 2, 2019 and February 3,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4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340" w:type="dxa"/>
            <w:vAlign w:val="bottom"/>
          </w:tcPr>
          <w:p>
            <w:pPr>
              <w:spacing w:after="0"/>
              <w:rPr>
                <w:sz w:val="16"/>
                <w:szCs w:val="16"/>
                <w:color w:val="auto"/>
              </w:rPr>
            </w:pPr>
          </w:p>
        </w:tc>
        <w:tc>
          <w:tcPr>
            <w:tcW w:w="11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140" w:type="dxa"/>
            <w:vAlign w:val="bottom"/>
          </w:tcPr>
          <w:p>
            <w:pPr>
              <w:spacing w:after="0"/>
              <w:rPr>
                <w:sz w:val="21"/>
                <w:szCs w:val="21"/>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pre-tax financial statement effect of the gains and losses on derivative financial instruments designated as foreign currency cash flow hedges for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6"/>
        </w:trPr>
        <w:tc>
          <w:tcPr>
            <w:tcW w:w="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Accumulated Other Comprehensive Income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20" w:type="dxa"/>
            <w:vAlign w:val="bottom"/>
          </w:tcPr>
          <w:p>
            <w:pPr>
              <w:spacing w:after="0"/>
              <w:rPr>
                <w:sz w:val="19"/>
                <w:szCs w:val="19"/>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Reclassified from Accumulated Other Comprehensive Income into Costs of Goods Sold, Buying and</w:t>
            </w:r>
          </w:p>
        </w:tc>
        <w:tc>
          <w:tcPr>
            <w:tcW w:w="1040" w:type="dxa"/>
            <w:vAlign w:val="bottom"/>
          </w:tcPr>
          <w:p>
            <w:pPr>
              <w:spacing w:after="0"/>
              <w:rPr>
                <w:sz w:val="19"/>
                <w:szCs w:val="19"/>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Expense (a)</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Reclassified from Accumulated Other Comprehensive Income into Other Income (Loss) (b)</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r>
      <w:tr>
        <w:trPr>
          <w:trHeight w:val="218"/>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left="340" w:right="80" w:hanging="332"/>
        <w:spacing w:after="0" w:line="249"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amounts from accumulated other comprehensive income to earnings when the hedged merchandise is sold to the customer. No ineffectiveness was associated with these foreign currency cash flow hedges.</w:t>
      </w:r>
    </w:p>
    <w:p>
      <w:pPr>
        <w:ind w:left="340" w:right="2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amounts from accumulated other comprehensive income to earnings to completely offset foreign currency transaction gains and losses recognized on the intercompany loan.</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estimates that $3 million of net gains included in accumulated other comprehensive income as of February 2, 2019 related to foreign currency forward contracts designated as cash flow hedges will be reclassified into earnings within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following 12 months. Actual amounts ultimately reclassified depend on the exchange rates in effect when derivative contracts that are currently outstanding mature.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assets and liabilities measured in the consolidated financial statements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2019 and February 3, 2018:</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February 2, 2019</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of February 3, 2018</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1,515</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Cash Flow Hedges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6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Level 1 fair value measurements use unadjusted quoted prices in active markets for identical assets. The Company's marketable equity securities are classified as Level 1 fair value measurements as they are traded with sufficient frequency and volume to enable the Company to obtain pricing information on an ongoing basis.</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standard requires the recognition of changes in the fair value of the Company's marketable equity securities in net income as compared to historical treatment in accumulated other comprehensive income. The Company adopted the standard in the first quarter of 2018. The Company recognized unrealized losses of $6 million in 2018 related to its marketable equity securities in Other Income (Loss) in the 2018 Consolidated Statement of Income.</w:t>
      </w:r>
    </w:p>
    <w:p>
      <w:pPr>
        <w:spacing w:after="0" w:line="18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2017, the Company purchased $10 million of marketable equity securities which are classified as available-for-sale. The cash payment is included in Purchases of Marketable Equity Securities in the Investing Activities section of the 2017 Consolidated Statement of Cash Flows.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2015, the Company purchased $10 million in marketable equity securities. In the first quarter of 2016, the Company sold a portion of this investment for $10 million and recognized a pre-tax gain of $4 million (after-tax gain of $3 million). The gain is included in Other Income (Loss) in the 2016 Consolidated Statement of Income, and the cash proceeds are included in Proceeds from Sale of Marketable Equity Securities in the Investing Activities section of the 2016 Consolidated Statement of Cash Flows.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Level 2 fair value measurements use market approach valuation techniques. The primary inputs to these techniques include benchmark interest rates and foreign currency exchange rates, as applicable to the underlying instruments.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publicly traded debt as of February 2,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2018:</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420" w:type="dxa"/>
            <w:vAlign w:val="bottom"/>
          </w:tcPr>
          <w:p>
            <w:pPr>
              <w:spacing w:after="0"/>
              <w:rPr>
                <w:sz w:val="13"/>
                <w:szCs w:val="13"/>
                <w:color w:val="auto"/>
              </w:rPr>
            </w:pPr>
          </w:p>
        </w:tc>
        <w:tc>
          <w:tcPr>
            <w:tcW w:w="11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5,722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5,750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w:t>
            </w:r>
          </w:p>
        </w:tc>
        <w:tc>
          <w:tcPr>
            <w:tcW w:w="24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5,340</w:t>
            </w:r>
          </w:p>
        </w:tc>
        <w:tc>
          <w:tcPr>
            <w:tcW w:w="4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5,943</w:t>
            </w:r>
          </w:p>
        </w:tc>
      </w:tr>
      <w:tr>
        <w:trPr>
          <w:trHeight w:val="243"/>
        </w:trPr>
        <w:tc>
          <w:tcPr>
            <w:tcW w:w="8340" w:type="dxa"/>
            <w:vAlign w:val="bottom"/>
          </w:tcPr>
          <w:p>
            <w:pPr>
              <w:jc w:val="right"/>
              <w:ind w:right="6810"/>
              <w:spacing w:after="0"/>
              <w:rPr>
                <w:sz w:val="20"/>
                <w:szCs w:val="20"/>
                <w:color w:val="auto"/>
              </w:rPr>
            </w:pPr>
            <w:r>
              <w:rPr>
                <w:rFonts w:ascii="Times New Roman" w:cs="Times New Roman" w:eastAsia="Times New Roman" w:hAnsi="Times New Roman"/>
                <w:sz w:val="18"/>
                <w:szCs w:val="18"/>
                <w:color w:val="auto"/>
                <w:w w:val="98"/>
              </w:rPr>
              <w:t>________________</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ind w:left="340" w:right="40" w:hanging="332"/>
        <w:spacing w:after="0" w:line="25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1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accrued expenses and current debt approximate fair value because of their short maturity.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Comprehensive Income</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Comprehensive Income includes gains and losses on derivative instruments and foreign currency translation adjustments. The cumulative gains and losses on these items are included in Accumulated Other Comprehensive Income on the Consolidated Balance Sheets and Consolidated Statements of Shareholders' Equity (Deficit).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3"/>
                <w:szCs w:val="13"/>
                <w:color w:val="auto"/>
              </w:rPr>
            </w:pPr>
          </w:p>
        </w:tc>
        <w:tc>
          <w:tcPr>
            <w:tcW w:w="11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1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February 3,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 reclassified to Retained Earnings upon adoption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ASC 321</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February 4, 2018</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February 2, 2019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a result of the divestiture of La Senza, the Company reclassified out of accumulated other comprehensive income and into earnings $45 million of accumulated foreign-currency translation adjustments related to La Senza. For additional information, see Note 6, "Restructuring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3"/>
                <w:szCs w:val="13"/>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28,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February 3, 2018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reclassification adjustments out of accumulated other comprehensive income related to derivative financial instruments designated as foreign currency cash flow hedges for 2018 and 2017: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Location on Consolidated Statements of Income</w:t>
            </w:r>
          </w:p>
        </w:tc>
        <w:tc>
          <w:tcPr>
            <w:tcW w:w="140" w:type="dxa"/>
            <w:vAlign w:val="bottom"/>
          </w:tcPr>
          <w:p>
            <w:pPr>
              <w:spacing w:after="0"/>
              <w:rPr>
                <w:sz w:val="12"/>
                <w:szCs w:val="12"/>
                <w:color w:val="auto"/>
              </w:rPr>
            </w:pPr>
          </w:p>
        </w:tc>
        <w:tc>
          <w:tcPr>
            <w:tcW w:w="1960" w:type="dxa"/>
            <w:vAlign w:val="bottom"/>
            <w:gridSpan w:val="4"/>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64"/>
        </w:trPr>
        <w:tc>
          <w:tcPr>
            <w:tcW w:w="6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the future impacts as a result of the Company's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first quarter of 2019, refer to Note 2, "New Accounting Pronouncements."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committed to noncancelable leases with remaining terms generally from one to ten years. A substantial portion of the Company’s leases consist of store leases generally with an initial term of ten years. Annual store rent consists of a fixed minimum amount and/or contingent rent based on a percentage of sales exceeding a stipulated amount. Store lease terms generally require additional payments covering certain operating costs such as common area maintenance, utilities, insurance and taxes. These additional payments are excluded from the table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rent expense for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Store Rent:</w:t>
            </w: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Fixed Minimum</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Store Rent</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678</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Rent Expense</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765</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Sublease Rental Income</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Rent Expense</w:t>
            </w:r>
          </w:p>
        </w:tc>
        <w:tc>
          <w:tcPr>
            <w:tcW w:w="102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763</w:t>
            </w: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minimum rent commitments under noncancelable operating leases in the next five fiscal years and the remaining years thereafter: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(in millions) (a)</w:t>
            </w:r>
          </w:p>
        </w:tc>
        <w:tc>
          <w:tcPr>
            <w:tcW w:w="4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1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r>
      <w:tr>
        <w:trPr>
          <w:trHeight w:val="243"/>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1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1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43"/>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1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14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r>
      <w:tr>
        <w:trPr>
          <w:trHeight w:val="243"/>
        </w:trPr>
        <w:tc>
          <w:tcPr>
            <w:tcW w:w="5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r>
      <w:tr>
        <w:trPr>
          <w:trHeight w:val="243"/>
        </w:trPr>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414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(a)  Excludes additional payments covering taxes, common area costs and certain other expenses generally required by store lease terms.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Leases</w:t>
      </w:r>
    </w:p>
    <w:p>
      <w:pPr>
        <w:spacing w:after="0" w:line="1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leases certain fulfillment equipment under capital leases that expire at various dates through 2023. The Company recorded $26 million of capital lease assets, net of accumulated amortization, in Property and Equipment, Net on the February 2, 2019 Consolidated Balance Sheet. Additionally, the Company recorded capital lease liabilities of $8 million and</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type w:val="continuous"/>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in Accrued Expenses and Other and Other Long-term Liabilities, respectively, on the February 2, 2019 Consolidated Balance Sheet.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Obligations</w:t>
      </w:r>
    </w:p>
    <w:p>
      <w:pPr>
        <w:spacing w:after="0" w:line="14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 has asset retirement obligations related to certain company-owned international stores that contractually obligate the Company to remove leasehold improvements at the end of a lease. The Company’s liability for asset retirement obligations totaled $18 million as of February 2, 2019 and $9 million as of February 3, 2018. These liabilities are included in Other Long-term Liabilities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regulatory and other matters arising out of the normal course of business. Actions filed against the Company from time to time include commercial, tort, intellectual property, customer, employment, data privacy, securities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sale of La Senza, the Company has remaining guarantees of $76 million related to lease payments under the current terms of noncancelable leases expiring at various dates through 2028. These guarantees include minimum rent and additional payments covering taxes, common area costs and certain other expenses and relate to leases that commenced prior to the disposition of the business. The Company recognized an initial liability of $5 million representing the estimated fair value of its obligation as guarantor in accordance with ASC 460, </w:t>
      </w:r>
      <w:r>
        <w:rPr>
          <w:rFonts w:ascii="Times New Roman" w:cs="Times New Roman" w:eastAsia="Times New Roman" w:hAnsi="Times New Roman"/>
          <w:sz w:val="18"/>
          <w:szCs w:val="18"/>
          <w:i w:val="1"/>
          <w:iCs w:val="1"/>
          <w:color w:val="auto"/>
        </w:rPr>
        <w:t>Guarantees.</w:t>
      </w:r>
    </w:p>
    <w:p>
      <w:pPr>
        <w:spacing w:after="0" w:line="4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connection with the disposition of a certain other business, the Company has remaining guarantees of $6 million related to lease payments under the current terms of noncancelable leases expiring at various dates through 2021. These guarantees include minimum rent and additional payments covering taxes, common area costs and certain other expenses and relate to leases that commenced prior to the disposition of the business. In certain instances, the Company’s guarantee may remain in effect if the term of a lease is extended. The Company has not recorded a liability with respect to these guarantee obligations as of February 2, 2019 or February 3, 2018 as it concluded that payments under these guarantees were not probable.</w:t>
      </w:r>
    </w:p>
    <w:p>
      <w:pPr>
        <w:spacing w:after="0" w:line="13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noncancelable operating leases of certain assets, the Company provided residual value guarantees to the lessor if the leased assets cannot be sold for an amount in excess of a specified minimum value at the conclusion of the lease term. The leases expire at various dates through 2021, and the total amount of the guarantees is $94 million. The Company recorded a liability of $11 million and $3 million related to these guarantee obligations as of February 2, 2019 and February 3, 2018, respectively, which are included in Other Long-term Liabilities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Retirement Benefits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and a non-qualified supplemental retirement plan for substantially all of its associates within the U.S. Participation in the tax-qualified plan is available to associates who meet certain age and service requirements. Participation in the non-qualified plan is available to associates who meet certain age, service, job level and compensation requirements.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$76 million for 2018, $68 million for 2017 and $67 million for 2016.</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non-qualified plan is an unfunded plan which provides benefits beyond the Internal Revenue Code limits for qualified defined contribution plans. The plan permits participating associates to elect contributions up to a maximum percentage of eligible compensation. The Company matches associate contributions according to a predetermined formula and contributes additional amounts based on a percentage of the associates’ eligible compensation and years of service. The plan also permits participating associates to defer additional compensation up to a maximum amount which the Company does not match. Associates’ accounts are credited with interest using a fixed rate determined by the Company and reviewed by the Compensation Committee of the Board of Directors, prior to the beginning of each year. Associate contributions and the related interest vest immediately. Company contributions, along with related interest, are subject to vesting based on years of service. Associates may elect in-service distributions for the unmatched additional deferred compensation component only. The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18" w:right="25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remaining vested portion of associates’ accounts in the plan will be distributed upon termination of employment in either a lump sum or in annual installments over a specified period of up to 10 years.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annual activity for this plan and year-end liability, included in Other Long-term Liabilities on the Consolidated Balance Sheets, as of February 2, 2019 and February 3,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Associate</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w:t>
            </w:r>
          </w:p>
        </w:tc>
        <w:tc>
          <w:tcPr>
            <w:tcW w:w="1100" w:type="dxa"/>
            <w:vAlign w:val="bottom"/>
          </w:tcPr>
          <w:p>
            <w:pPr>
              <w:spacing w:after="0"/>
              <w:rPr>
                <w:sz w:val="21"/>
                <w:szCs w:val="21"/>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expense recognized related to the non-qualified plan was $24 million for 2018, $20 million for 2017 and $26 million for 2016.</w:t>
      </w:r>
    </w:p>
    <w:p>
      <w:pPr>
        <w:spacing w:after="0" w:line="275" w:lineRule="exact"/>
        <w:rPr>
          <w:sz w:val="20"/>
          <w:szCs w:val="20"/>
          <w:color w:val="auto"/>
        </w:rPr>
      </w:pPr>
    </w:p>
    <w:p>
      <w:pPr>
        <w:ind w:right="8820" w:firstLine="8"/>
        <w:spacing w:after="0" w:line="346" w:lineRule="auto"/>
        <w:tabs>
          <w:tab w:leader="none" w:pos="27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(Deficit) </w:t>
      </w:r>
      <w:r>
        <w:rPr>
          <w:rFonts w:ascii="Times New Roman" w:cs="Times New Roman" w:eastAsia="Times New Roman" w:hAnsi="Times New Roman"/>
          <w:sz w:val="18"/>
          <w:szCs w:val="18"/>
          <w:i w:val="1"/>
          <w:iCs w:val="1"/>
          <w:color w:val="auto"/>
        </w:rPr>
        <w:t>Common Stock Share Repurchases</w:t>
      </w:r>
    </w:p>
    <w:p>
      <w:pPr>
        <w:spacing w:after="0" w:line="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authority of the Company’s Board of Directors, the Company repurchased shares of its common stock under the following repurchase programs for fiscal 2018, 2017 and 2016:</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 Stock</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restart"/>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0" w:type="dxa"/>
            <w:vAlign w:val="bottom"/>
          </w:tcPr>
          <w:p>
            <w:pPr>
              <w:spacing w:after="0"/>
              <w:rPr>
                <w:sz w:val="1"/>
                <w:szCs w:val="1"/>
                <w:color w:val="auto"/>
              </w:rPr>
            </w:pPr>
          </w:p>
        </w:tc>
      </w:tr>
      <w:tr>
        <w:trPr>
          <w:trHeight w:val="101"/>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tcBorders>
              <w:bottom w:val="single" w:sz="8" w:color="auto"/>
            </w:tcBorders>
            <w:gridSpan w:val="5"/>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6"/>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vMerge w:val="restart"/>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8"/>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gridSpan w:val="2"/>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1"/>
                <w:szCs w:val="21"/>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2017</w:t>
            </w: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527</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51.72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2017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2016</w:t>
            </w:r>
          </w:p>
        </w:tc>
        <w:tc>
          <w:tcPr>
            <w:tcW w:w="1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76.47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5,379</w:t>
            </w:r>
          </w:p>
        </w:tc>
        <w:tc>
          <w:tcPr>
            <w:tcW w:w="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March 2018, the Company's Board of Directors approved a new $250 million share repurchase program, which included the $23 million remaining under the September 2017 repurchase program.</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September 2017, the Company's Board of Directors approved a $250 million share repurchase program, which included the $10 million remaining under the February 2017 repurchase program.</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February 2017, the Company's Board of Directors approved a $250 million share repurchase program, which included the $59 million remaining under the February 2016 repurchase program.</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February 2016, the Company's Board of Directors approved a $500 million share repurchase program, which included the $17 million remaining under the June 2015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March 2018 repurchase program had $79 million remaining as of February 2,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 million of share repurchases reflected in Accounts Payable on the February 3, 2018 Consolidated Balance Sheet.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 Retirement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November 2017, the Company retired 36 million shares of its treasury stock. The retirement resulted in a reduction of $2.036 billion in Treasury Stock, $18 million in the par value of Common Stock, $82 million in Paid-in Capital and $1.936 billion in Retained Earnings.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authority and declaration of the Board of Directors, the Company paid the following dividends during fiscal 2018, 2017 and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 Paid</w:t>
            </w:r>
          </w:p>
        </w:tc>
        <w:tc>
          <w:tcPr>
            <w:tcW w:w="0" w:type="dxa"/>
            <w:vAlign w:val="bottom"/>
          </w:tcPr>
          <w:p>
            <w:pPr>
              <w:spacing w:after="0"/>
              <w:rPr>
                <w:sz w:val="1"/>
                <w:szCs w:val="1"/>
                <w:color w:val="auto"/>
              </w:rPr>
            </w:pPr>
          </w:p>
        </w:tc>
      </w:tr>
      <w:tr>
        <w:trPr>
          <w:trHeight w:val="195"/>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2018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2017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1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2016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February 2, 2019, the Company's Board of Directors declared the first quarter of 2019 ordinary dividend of $0.30 per share.</w:t>
      </w:r>
    </w:p>
    <w:p>
      <w:pPr>
        <w:spacing w:after="0" w:line="383" w:lineRule="exact"/>
        <w:rPr>
          <w:sz w:val="20"/>
          <w:szCs w:val="20"/>
          <w:color w:val="auto"/>
        </w:rPr>
      </w:pPr>
    </w:p>
    <w:p>
      <w:pPr>
        <w:ind w:right="9040" w:firstLine="8"/>
        <w:spacing w:after="0" w:line="346" w:lineRule="auto"/>
        <w:tabs>
          <w:tab w:leader="none" w:pos="27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i w:val="1"/>
          <w:iCs w:val="1"/>
          <w:color w:val="auto"/>
        </w:rPr>
        <w:t>Plan Summary</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2015, the Company's shareholders approved the 2015 Stock Option and Performance Incentive Plan ("2015 Plan"). The 2015 Plan provides for the grant of incentive stock options, non-qualified stock options, stock appreciation rights, restricted stock, performance-based restricted stock, performance units and unrestricted shares. The Company grants stock options at a price equal to the fair market value of the stock on the date of grant. Stock options have a maximum term of 10 years. Stock options generally vest ratably over three to five years. Restricted stock generally vests (the restrictions lapse) at the end of a three-year period or on a graded basis over a five-year period.</w:t>
      </w:r>
    </w:p>
    <w:p>
      <w:pPr>
        <w:spacing w:after="0" w:line="1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Company’s plans, 160 million options, restricted and unrestricted shares have been authorized to be granted to employees and directors. There were 9 million options and shares available for grant as of February 2, 2019.</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Company's Board of Directors will declare special dividends. In accordance with the anti-dilutive provisions of the stock plan, in these circumstances the Company adjusts both the exercise price and the number of share-based awards outstanding as of the record date of the special dividends. The aggregate fair value, the aggregate intrinsic value and the ratio of the exercise price to the market price are approximately equal immediately before and after the adjustments. Therefore, no compensation expense is recognized.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stock option activity for the fiscal year ended February 2,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21"/>
                <w:szCs w:val="21"/>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4,472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5,292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as of February 2, 2019 (a)</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 as of February 2,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18"/>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expected to vest includes an estimate of expected forfeitures.</w:t>
      </w:r>
    </w:p>
    <w:p>
      <w:pPr>
        <w:spacing w:after="0" w:line="1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Intrinsic value for stock options is the difference between the current market value of the Company’s stock and the option strike price. The total intrinsic value of options exercised was $2 million for 2018, $44 million for 2017 and $30 million for 2016.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at grant date of option awards vested was $9 million for 2018 and $10 million for 2017 and 2016.</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total unrecognized compensation cost, net of estimated forfeitures, related to nonvested options was $13 million as of February 2, 2019. This cost is expected to be recognized over a weighted-average period of 2.3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estimated fair value of stock options granted was $6.76 per share for 2018, $5.96 per share for 2017 and $11.72 per share for 2016.</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received from stock options exercised was $1 million for 2018, $38 million for 2017 and $20 million for 2016. Tax benefits realized from tax deductions associated with stock options exercised were less than $1 million for 2018, $16 million for 2017 and $9 million for 2016.</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for valuation of options granted to employees and directors. The Company’s determination of the fair value of options is affected by the Company’s stock price as well as assumptions regarding a number of highly complex and subjective variables. These variables include, but are not limited to, the Company’s expected stock price volatility over the term of the awards and projected employee stock option exercise behaviors.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the weighted-average assumptions used during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4.1</w:t>
            </w:r>
          </w:p>
        </w:tc>
      </w:tr>
    </w:tbl>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majority of the Company’s stock-based compensation awards are granted on an annual basis in the first quarter of each year. The expected volatility assumption is based on the Company’s analysis of historical volatility. The risk-free interest rate assumption is based upon the average daily closing rates during the period for U.S. treasury notes that have a life which approximates the expected life of the option. The dividend yield assumption is based on the Company’s history and expectation of dividend payouts in relation to the stock price at the grant date. The expected life of employee stock options represents the weighted-average period the stock options are expected to remain outstanding.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restricted stock activity for the fiscal year ended February 2,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as of February 3, 2018</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5,699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57.97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as of February 2, 2019</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6,689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intrinsic value of restricted stock vested was $44 million for 2018, $86 million for 2017 and $140 million for 2016.</w:t>
      </w:r>
    </w:p>
    <w:p>
      <w:pPr>
        <w:spacing w:after="0" w:line="17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Company’s total fair value at grant date of awards vested was $86 million for 2018, $87 million for 2017 and $68 million for 2016. Fair value of restricted stock awards is based on the market value of an unrestricted share on the grant date adjusted for anticipated dividend yields.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 2019, there was $108 million of total unrecognized compensation cost, net of estimated forfeitures, related to unvested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2.3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estimated fair value of restricted stock granted was $30.43 per share for 2018, $39.21 per share for 2017 and $75.09 per share for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benefits realized from tax deductions associated with restricted stock vested were $10 million for 2018, $32 million for 2017 and $61 million for 2016.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Impact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share-based compensation expense included in the Consolidated Statements of Income for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based on awards that are ultimately expected to vest. The Company estimates forfeitures at the time of grant and adjusts, if necessary, in subsequent periods based on historical experience and expected future termination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benefit associated with recognized share-based compensation expense was $20 million for 2018, $23 million for 2017 and $32 million for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reportable segments: Victoria’s Secret, Bath &amp; Body Works and Victoria's Secret and Bath &amp; Body Works International.</w:t>
      </w:r>
    </w:p>
    <w:p>
      <w:pPr>
        <w:spacing w:after="0" w:line="2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Victoria’s Secret segment sells women’s intimate and other apparel, personal care and beauty products under the Victoria’s Secret and PINK brand names. Victoria’s Secret merchandise is sold online and through retail stores located in the U.S. and Canada.</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Bath &amp; Body Works segment sells body care, home fragrance products, soaps and sanitizers under the Bath &amp; Body Works, White Barn, C.O. Bigelow and other brand names. Bath &amp; Body Works merchandise is sold online and at retail stores located in the U.S. and Canada.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Victoria's Secret and Bath &amp; Body Works International segment includes the Victoria's Secret and Bath &amp; Body Works company-owned and partner-operated stores located outside of the U.S. and Canada, as well as the online business in Greater China. This segment includes the following:</w:t>
      </w:r>
    </w:p>
    <w:p>
      <w:pPr>
        <w:ind w:left="660" w:right="300" w:hanging="328"/>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International, comprised of company-owned stores in the U.K., Ireland and Greater China, as well as stores operated by partners under franchise and license arrangements;</w:t>
      </w:r>
    </w:p>
    <w:p>
      <w:pPr>
        <w:ind w:left="660" w:right="380" w:hanging="328"/>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Beauty and Accessories, comprised of company-owned stores in Greater China, as well as stores operated by partners under franchise, license and wholesale arrangements, which feature Victoria's Secret branded beauty and accessories products in travel retail and other locations;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Bath &amp; Body Works International stores operated by partners under franchise, license and wholesale arrangements.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consists of the following:</w:t>
      </w:r>
    </w:p>
    <w:p>
      <w:pPr>
        <w:spacing w:after="0" w:line="2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 Global, a merchandise sourcing and production function serving the Company and its international partners;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Senza, which sold women's intimate apparel online and through company-owned stores located in Canada and the U.S., as well as stores operated by partners under franchise and license arrangements;</w:t>
      </w: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Henri Bendel, which sold handbags, jewelry and other accessory products online and through company-owned stores;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functions including non-core real estate, equity investments and other governance functions such as treasury and tax.</w:t>
      </w:r>
    </w:p>
    <w:p>
      <w:pPr>
        <w:spacing w:after="0" w:line="15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January 2019, the Company completed the sale of the La Senza business and closed all of its Henri Bendel stores and the website. For additional information, see Note 6, "Restructuring Activities."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segment information as of and for the fiscal years ended February 2, 2019, February 3, 2018 and January 28, 2017: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Victoria’s Secret</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Victoria’s</w:t>
            </w:r>
          </w:p>
        </w:tc>
        <w:tc>
          <w:tcPr>
            <w:tcW w:w="260" w:type="dxa"/>
            <w:vAlign w:val="bottom"/>
          </w:tcPr>
          <w:p>
            <w:pPr>
              <w:spacing w:after="0"/>
              <w:rPr>
                <w:sz w:val="12"/>
                <w:szCs w:val="12"/>
                <w:color w:val="auto"/>
              </w:rPr>
            </w:pPr>
          </w:p>
        </w:tc>
        <w:tc>
          <w:tcPr>
            <w:tcW w:w="11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Bath &amp; Body</w:t>
            </w:r>
          </w:p>
        </w:tc>
        <w:tc>
          <w:tcPr>
            <w:tcW w:w="22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Bath &amp;</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Body Works</w:t>
            </w:r>
          </w:p>
        </w:tc>
        <w:tc>
          <w:tcPr>
            <w:tcW w:w="340" w:type="dxa"/>
            <w:vAlign w:val="bottom"/>
          </w:tcPr>
          <w:p>
            <w:pPr>
              <w:spacing w:after="0"/>
              <w:rPr>
                <w:sz w:val="12"/>
                <w:szCs w:val="12"/>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Secret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Works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605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626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Operating Income (Loss) (a)</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(b)</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842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2,221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February 3, 2018</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(b)</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800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2,227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January 28, 2017</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7,781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518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(b)</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593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2,660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and Victoria's Secret and Bath &amp; Body Works International includes long-lived store asset impairment charges of $70</w:t>
      </w:r>
    </w:p>
    <w:p>
      <w:pPr>
        <w:spacing w:after="0" w:line="9" w:lineRule="exact"/>
        <w:rPr>
          <w:rFonts w:ascii="Times New Roman" w:cs="Times New Roman" w:eastAsia="Times New Roman" w:hAnsi="Times New Roman"/>
          <w:sz w:val="18"/>
          <w:szCs w:val="18"/>
          <w:color w:val="auto"/>
        </w:rPr>
      </w:pPr>
    </w:p>
    <w:p>
      <w:pPr>
        <w:ind w:left="660" w:right="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and $31 million, respectively, and Other includes a loss on sale of La Senza of $99 million and Henri Bendel closures costs of $23 million. For additional information see Note 6, “Restructuring Activities" and Note 8, “Property and Equipment, Net."</w:t>
      </w: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allocated to the operating segments based on decision making authority relevant to the applicable assets.</w:t>
      </w:r>
    </w:p>
    <w:p>
      <w:pPr>
        <w:spacing w:after="0" w:line="7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company-owned stores, royalty revenue from franchise and license arrangements, wholesale revenues and direct sales shipped internationally. Certain of these sales are subject to the impact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fluctuations in foreign currency. The Company's international net sales across all segments totaled $1.683 billion in 2018, $1.553 billion in 2017 and $1.408 billion in 2016. The Company’s internationally based long-lived assets were $454 million as of February 2, 2019 and $451 million as of February 3,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Quarterly Financial Data (Unaudited)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summarized quarterly financial data for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49"/>
        </w:trPr>
        <w:tc>
          <w:tcPr>
            <w:tcW w:w="4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May 5,</w:t>
            </w:r>
          </w:p>
        </w:tc>
        <w:tc>
          <w:tcPr>
            <w:tcW w:w="6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560" w:type="dxa"/>
            <w:vAlign w:val="bottom"/>
          </w:tcPr>
          <w:p>
            <w:pPr>
              <w:spacing w:after="0"/>
              <w:rPr>
                <w:sz w:val="12"/>
                <w:szCs w:val="12"/>
                <w:color w:val="auto"/>
              </w:rPr>
            </w:pPr>
          </w:p>
        </w:tc>
        <w:tc>
          <w:tcPr>
            <w:tcW w:w="1840" w:type="dxa"/>
            <w:vAlign w:val="bottom"/>
            <w:gridSpan w:val="2"/>
          </w:tcPr>
          <w:p>
            <w:pPr>
              <w:jc w:val="right"/>
              <w:ind w:right="41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360" w:type="dxa"/>
            <w:vAlign w:val="bottom"/>
          </w:tcPr>
          <w:p>
            <w:pPr>
              <w:spacing w:after="0"/>
              <w:rPr>
                <w:sz w:val="12"/>
                <w:szCs w:val="12"/>
                <w:color w:val="auto"/>
              </w:rPr>
            </w:pPr>
          </w:p>
        </w:tc>
        <w:tc>
          <w:tcPr>
            <w:tcW w:w="1400" w:type="dxa"/>
            <w:vAlign w:val="bottom"/>
          </w:tcPr>
          <w:p>
            <w:pPr>
              <w:jc w:val="right"/>
              <w:ind w:right="394"/>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r>
      <w:tr>
        <w:trPr>
          <w:trHeight w:val="195"/>
        </w:trPr>
        <w:tc>
          <w:tcPr>
            <w:tcW w:w="4240" w:type="dxa"/>
            <w:vAlign w:val="bottom"/>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 (a)(b)</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 (c)</w:t>
            </w:r>
          </w:p>
        </w:tc>
      </w:tr>
      <w:tr>
        <w:trPr>
          <w:trHeight w:val="196"/>
        </w:trPr>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00" w:type="dxa"/>
            <w:vAlign w:val="bottom"/>
            <w:gridSpan w:val="3"/>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140" w:type="dxa"/>
            <w:vAlign w:val="bottom"/>
            <w:tcBorders>
              <w:bottom w:val="single" w:sz="8" w:color="CCEEFF"/>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2,626</w:t>
            </w:r>
          </w:p>
        </w:tc>
        <w:tc>
          <w:tcPr>
            <w:tcW w:w="1260" w:type="dxa"/>
            <w:vAlign w:val="bottom"/>
            <w:tcBorders>
              <w:bottom w:val="single" w:sz="8" w:color="CCEEFF"/>
            </w:tcBorders>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2,984</w:t>
            </w:r>
          </w:p>
        </w:tc>
        <w:tc>
          <w:tcPr>
            <w:tcW w:w="1280" w:type="dxa"/>
            <w:vAlign w:val="bottom"/>
            <w:tcBorders>
              <w:bottom w:val="single" w:sz="8" w:color="CCEEFF"/>
            </w:tcBorders>
            <w:shd w:val="clear" w:color="auto" w:fill="CCEEFF"/>
          </w:tcPr>
          <w:p>
            <w:pPr>
              <w:jc w:val="right"/>
              <w:ind w:right="9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2,775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4,852</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944</w:t>
            </w:r>
          </w:p>
        </w:tc>
        <w:tc>
          <w:tcPr>
            <w:tcW w:w="12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2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928</w:t>
            </w:r>
          </w:p>
        </w:tc>
        <w:tc>
          <w:tcPr>
            <w:tcW w:w="3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1,968</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Per Basic Share (d)</w:t>
            </w:r>
          </w:p>
        </w:tc>
        <w:tc>
          <w:tcPr>
            <w:tcW w:w="114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1260" w:type="dxa"/>
            <w:vAlign w:val="bottom"/>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280" w:type="dxa"/>
            <w:vAlign w:val="bottom"/>
          </w:tcPr>
          <w:p>
            <w:pPr>
              <w:jc w:val="right"/>
              <w:ind w:right="9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Diluted Share (d)</w:t>
            </w:r>
          </w:p>
        </w:tc>
        <w:tc>
          <w:tcPr>
            <w:tcW w:w="1140" w:type="dxa"/>
            <w:vAlign w:val="bottom"/>
            <w:tcBorders>
              <w:bottom w:val="single" w:sz="8" w:color="CCEEFF"/>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1260" w:type="dxa"/>
            <w:vAlign w:val="bottom"/>
            <w:tcBorders>
              <w:bottom w:val="single" w:sz="8" w:color="CCEEFF"/>
            </w:tcBorders>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280" w:type="dxa"/>
            <w:vAlign w:val="bottom"/>
            <w:tcBorders>
              <w:bottom w:val="single" w:sz="8" w:color="CCEEFF"/>
            </w:tcBorders>
            <w:shd w:val="clear" w:color="auto" w:fill="CCEEFF"/>
          </w:tcPr>
          <w:p>
            <w:pPr>
              <w:jc w:val="right"/>
              <w:ind w:right="99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r>
      <w:tr>
        <w:trPr>
          <w:trHeight w:val="218"/>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includes the effect of an $81 million charge ($73 million after-tax) related to the impairment of certain Victoria's Secret store assets.</w:t>
      </w:r>
    </w:p>
    <w:p>
      <w:pPr>
        <w:spacing w:after="0" w:line="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$20 million ($15 million after-tax) of Henri Bendel closure costs.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effect of a pre-tax loss of $99 million ($55 million after-tax) related to the divestiture of La Senza.</w:t>
      </w:r>
    </w:p>
    <w:p>
      <w:pPr>
        <w:spacing w:after="0" w:line="9" w:lineRule="exact"/>
        <w:rPr>
          <w:rFonts w:ascii="Times New Roman" w:cs="Times New Roman" w:eastAsia="Times New Roman" w:hAnsi="Times New Roman"/>
          <w:sz w:val="18"/>
          <w:szCs w:val="18"/>
          <w:color w:val="auto"/>
        </w:rPr>
      </w:pPr>
    </w:p>
    <w:p>
      <w:pPr>
        <w:ind w:left="660" w:right="280" w:hanging="652"/>
        <w:spacing w:after="0" w:line="26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changes in stock prices during the year and timing of issuances and repurchases of shares, the cumulative total of quarterly net income per share amounts may not equal the net income per share for the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summarized quarterly financial data for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49"/>
        </w:trPr>
        <w:tc>
          <w:tcPr>
            <w:tcW w:w="42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April 29,</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right"/>
              <w:ind w:right="557"/>
              <w:spacing w:after="0" w:line="149" w:lineRule="exact"/>
              <w:rPr>
                <w:sz w:val="20"/>
                <w:szCs w:val="20"/>
                <w:color w:val="auto"/>
              </w:rPr>
            </w:pPr>
            <w:r>
              <w:rPr>
                <w:rFonts w:ascii="Times New Roman" w:cs="Times New Roman" w:eastAsia="Times New Roman" w:hAnsi="Times New Roman"/>
                <w:sz w:val="14"/>
                <w:szCs w:val="14"/>
                <w:b w:val="1"/>
                <w:bCs w:val="1"/>
                <w:color w:val="auto"/>
              </w:rPr>
              <w:t>July 29,</w:t>
            </w:r>
          </w:p>
        </w:tc>
        <w:tc>
          <w:tcPr>
            <w:tcW w:w="380" w:type="dxa"/>
            <w:vAlign w:val="bottom"/>
          </w:tcPr>
          <w:p>
            <w:pPr>
              <w:spacing w:after="0"/>
              <w:rPr>
                <w:sz w:val="12"/>
                <w:szCs w:val="12"/>
                <w:color w:val="auto"/>
              </w:rPr>
            </w:pPr>
          </w:p>
        </w:tc>
        <w:tc>
          <w:tcPr>
            <w:tcW w:w="142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380" w:type="dxa"/>
            <w:vAlign w:val="bottom"/>
          </w:tcPr>
          <w:p>
            <w:pPr>
              <w:spacing w:after="0"/>
              <w:rPr>
                <w:sz w:val="12"/>
                <w:szCs w:val="12"/>
                <w:color w:val="auto"/>
              </w:rPr>
            </w:pPr>
          </w:p>
        </w:tc>
        <w:tc>
          <w:tcPr>
            <w:tcW w:w="1420" w:type="dxa"/>
            <w:vAlign w:val="bottom"/>
          </w:tcPr>
          <w:p>
            <w:pPr>
              <w:jc w:val="right"/>
              <w:ind w:right="394"/>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4240" w:type="dxa"/>
            <w:vAlign w:val="bottom"/>
          </w:tcPr>
          <w:p>
            <w:pPr>
              <w:spacing w:after="0"/>
              <w:rPr>
                <w:sz w:val="16"/>
                <w:szCs w:val="16"/>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2018 (a)(b)(c)</w:t>
            </w:r>
          </w:p>
        </w:tc>
      </w:tr>
      <w:tr>
        <w:trPr>
          <w:trHeight w:val="196"/>
        </w:trPr>
        <w:tc>
          <w:tcPr>
            <w:tcW w:w="4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6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2,755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2,618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4,823</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903</w:t>
            </w:r>
          </w:p>
        </w:tc>
        <w:tc>
          <w:tcPr>
            <w:tcW w:w="4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989</w:t>
            </w:r>
          </w:p>
        </w:tc>
        <w:tc>
          <w:tcPr>
            <w:tcW w:w="3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2,040</w:t>
            </w: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987</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842</w:t>
            </w: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664</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Basic Share (d)</w:t>
            </w:r>
          </w:p>
        </w:tc>
        <w:tc>
          <w:tcPr>
            <w:tcW w:w="116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0.33</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4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Diluted Share (d)</w:t>
            </w:r>
          </w:p>
        </w:tc>
        <w:tc>
          <w:tcPr>
            <w:tcW w:w="116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w:t>
            </w:r>
          </w:p>
        </w:tc>
      </w:tr>
      <w:tr>
        <w:trPr>
          <w:trHeight w:val="218"/>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includes the effect of a pre-tax loss of $45 million ($29 million after-tax) associated with the early extinguishment of the 2019 Notes.</w:t>
      </w:r>
    </w:p>
    <w:p>
      <w:pPr>
        <w:spacing w:after="0" w:line="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effect of a $92 million tax benefit related to changes in U.S. tax legislation.</w:t>
      </w:r>
    </w:p>
    <w:p>
      <w:pPr>
        <w:spacing w:after="0" w:line="9"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the retail calendar for reporting. As such, the results for fiscal 2017 represent the 53-week period ended February 3, 2018 and the fourth quarter consists of a 14-week period.</w:t>
      </w:r>
    </w:p>
    <w:p>
      <w:pPr>
        <w:ind w:left="660" w:right="280" w:hanging="652"/>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changes in stock prices during the year and timing of issuances and repurchases of shares, the cumulative total of quarterly net income per share amounts may not equal the net income per share for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Supplemental Guarantor Financial Information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2020 Notes, 2021 Notes, 2022 Notes, 2023 Notes, 2027 Notes, 2028 Notes, 2035 Notes, 2036 Notes, Secured Revolving Facility and Secured Foreign Facilities are jointly and severally guaranteed on a full and unconditional basis by the Guarantors. The Company is a holding company, and its most significant assets are the stock of its subsidiaries. The Guarantors represent: (a) substantially all of the sales of the Company’s domestic subsidiaries, (b) more than 90% of the assets owned by the Company’s domestic subsidiaries, other than real property, certain other assets and intercompany investments and balances, and (c) more than 95% of the accounts receivable and inventory directly owned by the Company’s domestic subsidiaries.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supplemental financial information sets forth for the Company and its guarantor and non-guarantor subsidiaries: the Condensed Consolidating Balance Sheets as of February 2, 2019 and February 3, 2018 and the Condensed Consolidating Statements of Income, Comprehensive Income and Cash Flows for the years ended February 2, 2019, February 3, 2018 and January 28, 2017.</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18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Investments in and Advances to/from Consolidated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25,882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(Deficit)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25,882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February 3, 2018</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18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Investments in and Advances to/from Consolidated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(Deficit)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0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Divestiture of La Senza</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 BRANDS,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gridSpan w:val="11"/>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CONDENSED CONSOLIDATING STATEMENT OF COMPREHENSIVE INCOME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Foreign Currency Translation to Earnings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0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Net of Tax</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 BRANDS,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gridSpan w:val="11"/>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CONDENSED CONSOLIDATING STATEMENT OF COMPREHENSIVE INCOME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0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Net of Tax</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 BRANDS,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gridSpan w:val="11"/>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CONDENSED CONSOLIDATING STATEMENT OF COMPREHENSIVE INCOME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Gain on Marketable Securities to Earnings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Return of Capital from Easton Investments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Investments in 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from Secured Revolving Facility</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Secured Revolving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from Foreign Facilities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Foreign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Financing Activities and Advances to/from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Affiliates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Financing Costs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2"/>
                <w:szCs w:val="12"/>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Return of Capital from Easton Investments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Long-term Debt, Net of</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from Foreign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of Foreign Facilities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Financing Activities and Advances to/from</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Affiliates</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Costs and Other</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 BRANDS,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2"/>
                <w:szCs w:val="12"/>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 Brands, Inc.</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Return of Capital from Easton Investments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Net of Cash Acquired of $1</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Long-term Debt, Net of</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Borrowings from Foreign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of Foreign Facilities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Financing Activities and Advances to/from</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Affiliates</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Financing Costs and Other</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spacing w:after="0" w:line="12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Management’s Report on Internal Control Over Financial Reporting as of February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is set forth in Item 8. Financial Statements and Supplementary Data.</w:t>
      </w:r>
    </w:p>
    <w:p>
      <w:pPr>
        <w:spacing w:after="0" w:line="10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r>
        <w:rPr>
          <w:rFonts w:ascii="Times New Roman" w:cs="Times New Roman" w:eastAsia="Times New Roman" w:hAnsi="Times New Roman"/>
          <w:sz w:val="18"/>
          <w:szCs w:val="18"/>
          <w:color w:val="auto"/>
        </w:rPr>
        <w:t>. The Report of Independent Registered Public Accounting Firm on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February 2, 2019 is set forth in Item 8. Financial Statements and Supplementary Data.</w:t>
      </w:r>
    </w:p>
    <w:p>
      <w:pPr>
        <w:spacing w:after="0" w:line="104" w:lineRule="exact"/>
        <w:rPr>
          <w:sz w:val="20"/>
          <w:szCs w:val="20"/>
          <w:color w:val="auto"/>
        </w:rPr>
      </w:pPr>
    </w:p>
    <w:p>
      <w:pPr>
        <w:ind w:right="10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that occurred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fourth quarter 2018 that have materially affected, or are reasonably likely to materially affect, our internal control over financial reporting.</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20"/>
          </w:cols>
          <w:pgMar w:left="240" w:top="118" w:right="3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AND CORPORATE GOVERNANCE.</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Information regarding our directors, executive officers and corporate governance is set forth under the captions “ELECTION OF DIRECTORS—Nominees and Directors”, “—Director Independence”, “—Board Leadership Structure ”, “—Risk Oversight; Certain Compensation Matters”, “—Cybersecurity Risk", “—Review of Strategic Plans and Capital Structure", “—Social Responsibility", “—Human Capital Management", “—Succession Planning", “—Information Concerning Board Meeting Attendance”, “—Committees of the Board”, “—Meetings of the Company's Non-Management Directors”, “—Communications with Stockholders”, “—Attendance at Annual Meetings”, “—Code of Conduct, Related Person Transaction Policy and Associated Matters”, “—Copies of the Company’s Code of Conduct, Corporate Governance Principles, Policy and Committee Charters”, and “SECURITY OWNERSHIP OF DIRECTORS AND MANAGEMENT” in the Proxy Statement and is incorporated herein by reference. Information regarding compliance with Section 16(A) of the Securities Exchange Act of 1934, as amended, is set forth under the caption “SECTION 16(a) BENEFICIAL OWNERSHIP REPORTING COMPLIANCE” in the Proxy Statement and is incorporated herein by reference. Information regarding executive officers is set forth herein under the caption “Executive Officers of Registrant” in Part 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Information regarding executive compensation is set forth under the caption “COMPENSATION-RELATED MATTERS” in the Proxy Statement and is incorporated herein by reference.</w:t>
      </w:r>
    </w:p>
    <w:p>
      <w:pPr>
        <w:spacing w:after="0" w:line="15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Information regarding the security ownership of certain beneficial owners and management is set forth under the captions “SECURITY OWNERSHIP OF DIRECTORS AND MANAGEMENT” in the Proxy Statement and “SHARE OWNERSHIP OF PRINCIPAL STOCKHOLDERS” in the Proxy Statement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and exercise price information about L Brands’ equity compensation plans as of February 2, 2019.</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(b) Weighted-average</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20" w:type="dxa"/>
            <w:vAlign w:val="bottom"/>
          </w:tcPr>
          <w:p>
            <w:pPr>
              <w:spacing w:after="0"/>
              <w:rPr>
                <w:sz w:val="12"/>
                <w:szCs w:val="12"/>
                <w:color w:val="auto"/>
              </w:rPr>
            </w:pPr>
          </w:p>
        </w:tc>
        <w:tc>
          <w:tcPr>
            <w:tcW w:w="22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(excluding</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22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56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12,392,717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53.14  (2)</w:t>
            </w: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9,109,757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12,392,717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53.14</w:t>
            </w:r>
          </w:p>
        </w:tc>
        <w:tc>
          <w:tcPr>
            <w:tcW w:w="5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9,109,757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0" w:hanging="652"/>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L Brands, Inc. 2015 Stock Option and Performance Incentive Plan, L Brands, Inc. 2011 Stock Option and Performance Incentive Plan and L Brands, Inc. 1993 Stock Option and Performance Incentive Plan (2009 Restatement). There are no shares remaining available for grant under the 2011 Plan or 1993 Plan.</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rights to receive Common Stock upon the vesting of restricted share awards or settlement of deferred stock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set forth under the caption “ELECTION OF DIRECTORS—Nominees and Directors” and “—Director Independence” in the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set forth under the captions “INDEPENDENT REGISTERED PUBLIC ACCOUNTANTS— Audit Fees”, “—Audit Related Fees”, “—Tax Fees”, “—All Other Fees” and “—Pre-approval Policies and Procedures” in the Proxy Statement and is incorporated herein by reference.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64"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7"/>
          <w:szCs w:val="17"/>
          <w:color w:val="auto"/>
        </w:rPr>
        <w:t>Consolidated Financial Statements</w:t>
      </w:r>
    </w:p>
    <w:p>
      <w:pPr>
        <w:spacing w:after="0" w:line="18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consolidated financial statements of L Brands, Inc. are filed as part of this report under Item 8. Financial Statements and</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Supplementary Data:</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Consolidated Financial Statements</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Consolidated Statements of Income for the Years Ended February 2, 2019, February 3, 2018 and January 28, 2017</w:t>
      </w:r>
    </w:p>
    <w:p>
      <w:pPr>
        <w:spacing w:after="0" w:line="185" w:lineRule="exact"/>
        <w:rPr>
          <w:sz w:val="20"/>
          <w:szCs w:val="20"/>
          <w:color w:val="auto"/>
        </w:rPr>
      </w:pPr>
    </w:p>
    <w:p>
      <w:pPr>
        <w:ind w:left="1960" w:right="260"/>
        <w:spacing w:after="0" w:line="282" w:lineRule="auto"/>
        <w:rPr>
          <w:sz w:val="20"/>
          <w:szCs w:val="20"/>
          <w:color w:val="auto"/>
        </w:rPr>
      </w:pPr>
      <w:r>
        <w:rPr>
          <w:rFonts w:ascii="Times New Roman" w:cs="Times New Roman" w:eastAsia="Times New Roman" w:hAnsi="Times New Roman"/>
          <w:sz w:val="18"/>
          <w:szCs w:val="18"/>
          <w:color w:val="auto"/>
        </w:rPr>
        <w:t>Consolidated Statements of Comprehensive Income for the Years Ended February 2, 2019, February 3, 2018 and January 28, 2017</w:t>
      </w:r>
    </w:p>
    <w:p>
      <w:pPr>
        <w:spacing w:after="0" w:line="1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Consolidated Balance Sheets as of February 2, 2019 and February 3, 2018</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Consolidated Statements of Total Equity (Deficit) for the Years Ended February 2, 2019, February 3, 2018 and January 28, 2017</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February 2, 2019, February 3, 2018 and January 28, 2017</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ind w:left="840" w:hanging="467"/>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84" w:lineRule="exact"/>
        <w:rPr>
          <w:rFonts w:ascii="Times New Roman" w:cs="Times New Roman" w:eastAsia="Times New Roman" w:hAnsi="Times New Roman"/>
          <w:sz w:val="18"/>
          <w:szCs w:val="18"/>
          <w:color w:val="auto"/>
        </w:rPr>
      </w:pPr>
    </w:p>
    <w:p>
      <w:pPr>
        <w:ind w:left="840" w:right="3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176" w:lineRule="exact"/>
        <w:rPr>
          <w:rFonts w:ascii="Times New Roman" w:cs="Times New Roman" w:eastAsia="Times New Roman" w:hAnsi="Times New Roman"/>
          <w:sz w:val="18"/>
          <w:szCs w:val="18"/>
          <w:color w:val="auto"/>
        </w:rPr>
      </w:pPr>
    </w:p>
    <w:p>
      <w:pPr>
        <w:ind w:left="840" w:hanging="467"/>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184"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Articles of Incorporation and Bylaws.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3.1</w:t>
            </w:r>
          </w:p>
        </w:tc>
        <w:tc>
          <w:tcPr>
            <w:tcW w:w="89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Restated Certificate of Incorporation of the Company incorporated by reference to Exhibit 3.1 to the Company’s Form 10-K</w:t>
              </w:r>
            </w:hyperlink>
          </w:p>
        </w:tc>
      </w:tr>
      <w:tr>
        <w:trPr>
          <w:trHeight w:val="196"/>
        </w:trPr>
        <w:tc>
          <w:tcPr>
            <w:tcW w:w="1120" w:type="dxa"/>
            <w:vAlign w:val="bottom"/>
          </w:tcPr>
          <w:p>
            <w:pPr>
              <w:spacing w:after="0"/>
              <w:rPr>
                <w:sz w:val="17"/>
                <w:szCs w:val="17"/>
                <w:color w:val="auto"/>
              </w:rPr>
            </w:pPr>
          </w:p>
        </w:tc>
        <w:tc>
          <w:tcPr>
            <w:tcW w:w="8940" w:type="dxa"/>
            <w:vAlign w:val="bottom"/>
            <w:gridSpan w:val="4"/>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dated February 1, 2014.</w:t>
              </w:r>
            </w:hyperlink>
          </w:p>
        </w:tc>
      </w:tr>
      <w:tr>
        <w:trPr>
          <w:trHeight w:val="20"/>
        </w:trPr>
        <w:tc>
          <w:tcPr>
            <w:tcW w:w="11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3.2</w:t>
            </w:r>
          </w:p>
        </w:tc>
        <w:tc>
          <w:tcPr>
            <w:tcW w:w="8940" w:type="dxa"/>
            <w:vAlign w:val="bottom"/>
            <w:gridSpan w:val="4"/>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Amended and Restated Bylaws of the Company incorporated by reference to Exhibit 3.1 to the Company's Form 8-K dated</w:t>
              </w:r>
            </w:hyperlink>
          </w:p>
        </w:tc>
      </w:tr>
      <w:tr>
        <w:trPr>
          <w:trHeight w:val="196"/>
        </w:trPr>
        <w:tc>
          <w:tcPr>
            <w:tcW w:w="1120" w:type="dxa"/>
            <w:vAlign w:val="bottom"/>
          </w:tcPr>
          <w:p>
            <w:pPr>
              <w:spacing w:after="0"/>
              <w:rPr>
                <w:sz w:val="17"/>
                <w:szCs w:val="17"/>
                <w:color w:val="auto"/>
              </w:rPr>
            </w:pPr>
          </w:p>
        </w:tc>
        <w:tc>
          <w:tcPr>
            <w:tcW w:w="886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November 3, 2016.</w:t>
              </w:r>
            </w:hyperlink>
          </w:p>
        </w:tc>
        <w:tc>
          <w:tcPr>
            <w:tcW w:w="8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1960" w:hanging="1128"/>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4.1</w:t>
            </w:r>
          </w:p>
        </w:tc>
        <w:tc>
          <w:tcPr>
            <w:tcW w:w="9120" w:type="dxa"/>
            <w:vAlign w:val="bottom"/>
            <w:gridSpan w:val="5"/>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Conformed copy of the Indenture dated as of March 15, 1988 between the Company and The Bank of New York, incorporated</w:t>
              </w:r>
            </w:hyperlink>
          </w:p>
        </w:tc>
      </w:tr>
      <w:tr>
        <w:trPr>
          <w:trHeight w:val="196"/>
        </w:trPr>
        <w:tc>
          <w:tcPr>
            <w:tcW w:w="1120" w:type="dxa"/>
            <w:vAlign w:val="bottom"/>
          </w:tcPr>
          <w:p>
            <w:pPr>
              <w:spacing w:after="0"/>
              <w:rPr>
                <w:sz w:val="17"/>
                <w:szCs w:val="17"/>
                <w:color w:val="auto"/>
              </w:rPr>
            </w:pPr>
          </w:p>
        </w:tc>
        <w:tc>
          <w:tcPr>
            <w:tcW w:w="90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by reference to Exhibit 4.1 to the Company’s Registration Statement on Form S-3 (File No. 333-105484) dated May 22, 2003.</w:t>
              </w:r>
            </w:hyperlink>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94"/>
        </w:trPr>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4.2</w:t>
            </w:r>
          </w:p>
        </w:tc>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Proposed form of Debt Warrant Agreement for Warrants attached to Debt Securities, with proposed form of Debt Warrant</w:t>
            </w:r>
          </w:p>
        </w:tc>
      </w:tr>
      <w:tr>
        <w:trPr>
          <w:trHeight w:val="216"/>
        </w:trPr>
        <w:tc>
          <w:tcPr>
            <w:tcW w:w="1120" w:type="dxa"/>
            <w:vAlign w:val="bottom"/>
          </w:tcPr>
          <w:p>
            <w:pPr>
              <w:spacing w:after="0"/>
              <w:rPr>
                <w:sz w:val="18"/>
                <w:szCs w:val="18"/>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Certificate incorporated by reference to Exhibit 4.2 to the Company’s Registration Statement on Form S-3 (File No. 33-53366)</w:t>
            </w:r>
          </w:p>
        </w:tc>
      </w:tr>
      <w:tr>
        <w:trPr>
          <w:trHeight w:val="216"/>
        </w:trPr>
        <w:tc>
          <w:tcPr>
            <w:tcW w:w="1120" w:type="dxa"/>
            <w:vAlign w:val="bottom"/>
          </w:tcPr>
          <w:p>
            <w:pPr>
              <w:spacing w:after="0"/>
              <w:rPr>
                <w:sz w:val="18"/>
                <w:szCs w:val="18"/>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originally filed with the Securities and Exchange Commission (the “SEC”) on October 16, 1992, as amended by Amendment</w:t>
            </w:r>
          </w:p>
        </w:tc>
      </w:tr>
      <w:tr>
        <w:trPr>
          <w:trHeight w:val="234"/>
        </w:trPr>
        <w:tc>
          <w:tcPr>
            <w:tcW w:w="1120" w:type="dxa"/>
            <w:vAlign w:val="bottom"/>
          </w:tcPr>
          <w:p>
            <w:pPr>
              <w:spacing w:after="0"/>
              <w:rPr>
                <w:sz w:val="20"/>
                <w:szCs w:val="20"/>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 1 thereto, filed with the SEC on February 23, 1993 (the “1993 Form S-3”). (P)</w:t>
            </w:r>
          </w:p>
        </w:tc>
      </w:tr>
      <w:tr>
        <w:trPr>
          <w:trHeight w:val="373"/>
        </w:trPr>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4.3</w:t>
            </w:r>
          </w:p>
        </w:tc>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Proposed form of Debt Warrant Agreement for Warrants not attached to Debt Securities, with proposed form of Debt Warrant</w:t>
            </w:r>
          </w:p>
        </w:tc>
      </w:tr>
      <w:tr>
        <w:trPr>
          <w:trHeight w:val="234"/>
        </w:trPr>
        <w:tc>
          <w:tcPr>
            <w:tcW w:w="1120" w:type="dxa"/>
            <w:vAlign w:val="bottom"/>
          </w:tcPr>
          <w:p>
            <w:pPr>
              <w:spacing w:after="0"/>
              <w:rPr>
                <w:sz w:val="20"/>
                <w:szCs w:val="20"/>
                <w:color w:val="auto"/>
              </w:rPr>
            </w:pPr>
          </w:p>
        </w:tc>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Certificate incorporated by reference to Exhibit 4.3 to the 1993 Form S-3. (P)</w:t>
            </w:r>
          </w:p>
        </w:tc>
      </w:tr>
      <w:tr>
        <w:trPr>
          <w:trHeight w:val="351"/>
        </w:trPr>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4.4</w:t>
            </w:r>
          </w:p>
        </w:tc>
        <w:tc>
          <w:tcPr>
            <w:tcW w:w="87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Indenture, dated as of February 19, 2003 between the Company and The Bank of New York, incorporated by reference to</w:t>
              </w:r>
            </w:hyperlink>
          </w:p>
        </w:tc>
        <w:tc>
          <w:tcPr>
            <w:tcW w:w="38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20" w:type="dxa"/>
            <w:vAlign w:val="bottom"/>
            <w:gridSpan w:val="5"/>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Exhibit 4 to the Company’s Registration Statement on Form S-4 (File No. 333-104633) dated April 18, 2003.</w:t>
              </w:r>
            </w:hyperlink>
          </w:p>
        </w:tc>
      </w:tr>
      <w:tr>
        <w:trPr>
          <w:trHeight w:val="628"/>
        </w:trPr>
        <w:tc>
          <w:tcPr>
            <w:tcW w:w="1120" w:type="dxa"/>
            <w:vAlign w:val="bottom"/>
          </w:tcPr>
          <w:p>
            <w:pPr>
              <w:spacing w:after="0"/>
              <w:rPr>
                <w:sz w:val="24"/>
                <w:szCs w:val="24"/>
                <w:color w:val="auto"/>
              </w:rPr>
            </w:pPr>
          </w:p>
        </w:tc>
        <w:tc>
          <w:tcPr>
            <w:tcW w:w="7860" w:type="dxa"/>
            <w:vAlign w:val="bottom"/>
            <w:tcBorders>
              <w:top w:val="single" w:sz="8" w:color="0000FF"/>
            </w:tcBorders>
          </w:tcPr>
          <w:p>
            <w:pPr>
              <w:ind w:left="3660"/>
              <w:spacing w:after="0"/>
              <w:rPr>
                <w:sz w:val="20"/>
                <w:szCs w:val="20"/>
                <w:color w:val="auto"/>
              </w:rPr>
            </w:pPr>
            <w:r>
              <w:rPr>
                <w:rFonts w:ascii="Times New Roman" w:cs="Times New Roman" w:eastAsia="Times New Roman" w:hAnsi="Times New Roman"/>
                <w:sz w:val="18"/>
                <w:szCs w:val="18"/>
                <w:color w:val="auto"/>
              </w:rPr>
              <w:t>96</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118" w:right="45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97"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240" w:type="dxa"/>
            <w:vAlign w:val="bottom"/>
            <w:gridSpan w:val="24"/>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First Supplemental Indenture dated as of May 31, 2005 among the Company, The Bank of New York and The Bank of New</w:t>
              </w:r>
            </w:hyperlink>
          </w:p>
        </w:tc>
      </w:tr>
      <w:tr>
        <w:trPr>
          <w:trHeight w:val="20"/>
        </w:trPr>
        <w:tc>
          <w:tcPr>
            <w:tcW w:w="1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York Trust Company, N.A., incorporated by reference to Exhibit 4.1.2 to the Company’s Registration Statement on Form S-3</w:t>
              </w:r>
            </w:hyperlink>
          </w:p>
        </w:tc>
      </w:tr>
      <w:tr>
        <w:trPr>
          <w:trHeight w:val="196"/>
        </w:trPr>
        <w:tc>
          <w:tcPr>
            <w:tcW w:w="112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(Reg. No. 333-125561) filed June 6, 2005.</w:t>
              </w:r>
            </w:hyperlink>
          </w:p>
        </w:tc>
        <w:tc>
          <w:tcPr>
            <w:tcW w:w="5960" w:type="dxa"/>
            <w:vAlign w:val="bottom"/>
            <w:tcBorders>
              <w:top w:val="single" w:sz="8" w:color="0000FF"/>
            </w:tcBorders>
            <w:gridSpan w:val="13"/>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Second Supplemental Indenture dated as of July 17, 2007 between the Company and The Bank of New York Trust Company,</w:t>
              </w:r>
            </w:hyperlink>
          </w:p>
        </w:tc>
        <w:tc>
          <w:tcPr>
            <w:tcW w:w="22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N.A., incorporated by reference to Exhibit 4.1.3 to the Company’s Registration Statement on Form S-3 (Reg. No. 333-146420)</w:t>
              </w:r>
            </w:hyperlink>
          </w:p>
        </w:tc>
        <w:tc>
          <w:tcPr>
            <w:tcW w:w="10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8">
              <w:r>
                <w:rPr>
                  <w:rFonts w:ascii="Times New Roman" w:cs="Times New Roman" w:eastAsia="Times New Roman" w:hAnsi="Times New Roman"/>
                  <w:sz w:val="18"/>
                  <w:szCs w:val="18"/>
                  <w:color w:val="0000FF"/>
                  <w:w w:val="98"/>
                </w:rPr>
                <w:t>filed October 1, 2007.</w:t>
              </w:r>
            </w:hyperlink>
          </w:p>
        </w:tc>
        <w:tc>
          <w:tcPr>
            <w:tcW w:w="7660" w:type="dxa"/>
            <w:vAlign w:val="bottom"/>
            <w:gridSpan w:val="22"/>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240" w:type="dxa"/>
            <w:vAlign w:val="bottom"/>
            <w:gridSpan w:val="24"/>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Indenture, dated as of June 19, 2009, among the Company, the guarantors named therein and The Bank of New York Mellon</w:t>
              </w:r>
            </w:hyperlink>
          </w:p>
        </w:tc>
      </w:tr>
      <w:tr>
        <w:trPr>
          <w:trHeight w:val="196"/>
        </w:trPr>
        <w:tc>
          <w:tcPr>
            <w:tcW w:w="112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Trust Company, N.A., as trustee, incorporated by reference to Exhibit 4.1 to the Company’s Form 8-K dated June 24, 2009.</w:t>
              </w:r>
            </w:hyperlink>
          </w:p>
        </w:tc>
        <w:tc>
          <w:tcPr>
            <w:tcW w:w="60" w:type="dxa"/>
            <w:vAlign w:val="bottom"/>
            <w:tcBorders>
              <w:top w:val="single" w:sz="8" w:color="0000FF"/>
            </w:tcBorders>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240" w:type="dxa"/>
            <w:vAlign w:val="bottom"/>
            <w:gridSpan w:val="24"/>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Registration Rights Agreement, dated as of June 19, 2009, among the Company, the guarantors named therein and JP Morgan</w:t>
              </w:r>
            </w:hyperlink>
          </w:p>
        </w:tc>
      </w:tr>
      <w:tr>
        <w:trPr>
          <w:trHeight w:val="20"/>
        </w:trPr>
        <w:tc>
          <w:tcPr>
            <w:tcW w:w="1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Securities Inc., as representative of the initial purchasers, incorporated by reference to Exhibit 4.2 to the Company’s Form 8-K</w:t>
              </w:r>
            </w:hyperlink>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0">
              <w:r>
                <w:rPr>
                  <w:rFonts w:ascii="Times New Roman" w:cs="Times New Roman" w:eastAsia="Times New Roman" w:hAnsi="Times New Roman"/>
                  <w:sz w:val="18"/>
                  <w:szCs w:val="18"/>
                  <w:color w:val="0000FF"/>
                  <w:w w:val="98"/>
                </w:rPr>
                <w:t>dated June 24, 2009.</w:t>
              </w:r>
            </w:hyperlink>
          </w:p>
        </w:tc>
        <w:tc>
          <w:tcPr>
            <w:tcW w:w="7760" w:type="dxa"/>
            <w:vAlign w:val="bottom"/>
            <w:gridSpan w:val="23"/>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240" w:type="dxa"/>
            <w:vAlign w:val="bottom"/>
            <w:gridSpan w:val="24"/>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Third Supplemental Indenture dated as of May 4, 2010 between the Company, the guarantors named therein and The Bank of</w:t>
              </w:r>
            </w:hyperlink>
          </w:p>
        </w:tc>
      </w:tr>
      <w:tr>
        <w:trPr>
          <w:trHeight w:val="20"/>
        </w:trPr>
        <w:tc>
          <w:tcPr>
            <w:tcW w:w="112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2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New York Mellon Trust Company, N.A., incorporated by reference to Exhibit 4.1.4 to the Company’s Registration Statement on</w:t>
              </w:r>
            </w:hyperlink>
          </w:p>
        </w:tc>
      </w:tr>
      <w:tr>
        <w:trPr>
          <w:trHeight w:val="196"/>
        </w:trPr>
        <w:tc>
          <w:tcPr>
            <w:tcW w:w="1120" w:type="dxa"/>
            <w:vAlign w:val="bottom"/>
          </w:tcPr>
          <w:p>
            <w:pPr>
              <w:spacing w:after="0"/>
              <w:rPr>
                <w:sz w:val="17"/>
                <w:szCs w:val="17"/>
                <w:color w:val="auto"/>
              </w:rPr>
            </w:pPr>
          </w:p>
        </w:tc>
        <w:tc>
          <w:tcPr>
            <w:tcW w:w="44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Form S-3 (Reg. No. 333-170406) filed on November 5, 2010.</w:t>
              </w:r>
            </w:hyperlink>
          </w:p>
        </w:tc>
        <w:tc>
          <w:tcPr>
            <w:tcW w:w="4800" w:type="dxa"/>
            <w:vAlign w:val="bottom"/>
            <w:gridSpan w:val="19"/>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2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Fourth Supplemental Indenture dated as of January 29, 2011 between the Company, the guarantors named therein and The Bank</w:t>
              </w:r>
            </w:hyperlink>
          </w:p>
        </w:tc>
      </w:tr>
      <w:tr>
        <w:trPr>
          <w:trHeight w:val="196"/>
        </w:trPr>
        <w:tc>
          <w:tcPr>
            <w:tcW w:w="11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of New York Mellon Trust Company, N.A., incorporated by reference to Exhibit 4.1.5 to the post-effective amendment to the</w:t>
              </w:r>
            </w:hyperlink>
          </w:p>
        </w:tc>
      </w:tr>
      <w:tr>
        <w:trPr>
          <w:trHeight w:val="196"/>
        </w:trPr>
        <w:tc>
          <w:tcPr>
            <w:tcW w:w="1120" w:type="dxa"/>
            <w:vAlign w:val="bottom"/>
          </w:tcPr>
          <w:p>
            <w:pPr>
              <w:spacing w:after="0"/>
              <w:rPr>
                <w:sz w:val="17"/>
                <w:szCs w:val="17"/>
                <w:color w:val="auto"/>
              </w:rPr>
            </w:pPr>
          </w:p>
        </w:tc>
        <w:tc>
          <w:tcPr>
            <w:tcW w:w="70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Company’s Registration Statement on Form S-3 (Reg. No. 333-170406) filed on March 22, 2011.</w:t>
              </w:r>
            </w:hyperlink>
          </w:p>
        </w:tc>
        <w:tc>
          <w:tcPr>
            <w:tcW w:w="2000" w:type="dxa"/>
            <w:vAlign w:val="bottom"/>
            <w:tcBorders>
              <w:top w:val="single" w:sz="8" w:color="0000FF"/>
            </w:tcBorders>
            <w:gridSpan w:val="7"/>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Form of Fifth Supplemental Indenture dated as of March 25, 2011 between the Company, the guarantors named therein and The</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Bank of New York Mellon Trust Company, N.A., incorporated by reference to Exhibit 4.1.6 to the post-effective amendment to</w:t>
              </w:r>
            </w:hyperlink>
          </w:p>
        </w:tc>
      </w:tr>
      <w:tr>
        <w:trPr>
          <w:trHeight w:val="196"/>
        </w:trPr>
        <w:tc>
          <w:tcPr>
            <w:tcW w:w="1120" w:type="dxa"/>
            <w:vAlign w:val="bottom"/>
          </w:tcPr>
          <w:p>
            <w:pPr>
              <w:spacing w:after="0"/>
              <w:rPr>
                <w:sz w:val="17"/>
                <w:szCs w:val="17"/>
                <w:color w:val="auto"/>
              </w:rPr>
            </w:pPr>
          </w:p>
        </w:tc>
        <w:tc>
          <w:tcPr>
            <w:tcW w:w="728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the Company’s Registration Statement on Form S-3 (Reg. No. 333-170406) filed on March 22, 2011.</w:t>
              </w:r>
            </w:hyperlink>
          </w:p>
        </w:tc>
        <w:tc>
          <w:tcPr>
            <w:tcW w:w="1880" w:type="dxa"/>
            <w:vAlign w:val="bottom"/>
            <w:tcBorders>
              <w:top w:val="single" w:sz="8" w:color="0000FF"/>
            </w:tcBorders>
            <w:gridSpan w:val="10"/>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Sixth Supplemental Indenture dated as of February 7, 2012 among the Company, the guarantors named therein and The Bank of</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8"/>
              </w:rPr>
            </w:pPr>
            <w:hyperlink r:id="rId24">
              <w:r>
                <w:rPr>
                  <w:rFonts w:ascii="Times New Roman" w:cs="Times New Roman" w:eastAsia="Times New Roman" w:hAnsi="Times New Roman"/>
                  <w:sz w:val="18"/>
                  <w:szCs w:val="18"/>
                  <w:color w:val="0000FF"/>
                  <w:w w:val="98"/>
                </w:rPr>
                <w:t>New York Mellon Trust Company, N.A., incorporated by reference to Exhibit 4.1 to the Company’s Quarterly Report on Form</w:t>
              </w:r>
            </w:hyperlink>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0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10-Q for the quarter ended April 28, 2012.</w:t>
              </w:r>
            </w:hyperlink>
          </w:p>
        </w:tc>
        <w:tc>
          <w:tcPr>
            <w:tcW w:w="6180" w:type="dxa"/>
            <w:vAlign w:val="bottom"/>
            <w:gridSpan w:val="21"/>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2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Seventh Supplemental Indenture dated as of March 22, 2013 between the Company, the guarantors named therein and The Bank</w:t>
              </w:r>
            </w:hyperlink>
          </w:p>
        </w:tc>
      </w:tr>
      <w:tr>
        <w:trPr>
          <w:trHeight w:val="196"/>
        </w:trPr>
        <w:tc>
          <w:tcPr>
            <w:tcW w:w="1120" w:type="dxa"/>
            <w:vAlign w:val="bottom"/>
          </w:tcPr>
          <w:p>
            <w:pPr>
              <w:spacing w:after="0"/>
              <w:rPr>
                <w:sz w:val="17"/>
                <w:szCs w:val="17"/>
                <w:color w:val="auto"/>
              </w:rPr>
            </w:pPr>
          </w:p>
        </w:tc>
        <w:tc>
          <w:tcPr>
            <w:tcW w:w="92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of New York Mellon Trust Company, N.A., incorporated by reference to Exhibit 4.1.8 to the Company’s Registration Statement</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5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on Form S-3 (Reg. No. 333-191968) filed on October 29, 2013.</w:t>
              </w:r>
            </w:hyperlink>
          </w:p>
        </w:tc>
        <w:tc>
          <w:tcPr>
            <w:tcW w:w="4660" w:type="dxa"/>
            <w:vAlign w:val="bottom"/>
            <w:gridSpan w:val="17"/>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88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Eighth Supplemental Indenture dated as of October 16, 2013 between the Company, the guarantors named therein and The</w:t>
              </w:r>
            </w:hyperlink>
          </w:p>
        </w:tc>
        <w:tc>
          <w:tcPr>
            <w:tcW w:w="40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8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Bank of New York Mellon Trust Company, N.A., incorporated by reference to Exhibit 4.1.9 to the Company’s Registration</w:t>
              </w:r>
            </w:hyperlink>
          </w:p>
        </w:tc>
        <w:tc>
          <w:tcPr>
            <w:tcW w:w="38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Statement on Form S-3 (Reg. No. 333-191968) filed on October 29, 2013.</w:t>
              </w:r>
            </w:hyperlink>
          </w:p>
        </w:tc>
        <w:tc>
          <w:tcPr>
            <w:tcW w:w="3900" w:type="dxa"/>
            <w:vAlign w:val="bottom"/>
            <w:gridSpan w:val="16"/>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88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Amendment and Restatement Agreement dated July 18, 2014 among L Brands, Inc., a Delaware corporation, L (Overseas)</w:t>
              </w:r>
            </w:hyperlink>
          </w:p>
        </w:tc>
        <w:tc>
          <w:tcPr>
            <w:tcW w:w="40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Holdings LP, an Alberta limited partnership, Canadian Retail Holdings Corporation, a Nova Scotia company, Victoria’s Secret</w:t>
              </w:r>
            </w:hyperlink>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1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UK Limited, a company organized under the laws of England and Wales, and Mast Industries (Far East) Limited, a Hong Kong</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8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corporation, the lenders party thereto and JPMorgan Chase Bank, N.A., as Administrative Agent and Collateral Agent (the</w:t>
              </w:r>
            </w:hyperlink>
          </w:p>
        </w:tc>
        <w:tc>
          <w:tcPr>
            <w:tcW w:w="42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“Administrative Agent”), in respect of the Amended and Restated Five-Year Revolving Credit Agreement dated as of July 15,</w:t>
              </w:r>
            </w:hyperlink>
          </w:p>
        </w:tc>
        <w:tc>
          <w:tcPr>
            <w:tcW w:w="1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2011 among the Company, the lenders from time to time party thereto and the Administrative Agent, incorporated by reference</w:t>
              </w:r>
            </w:hyperlink>
          </w:p>
        </w:tc>
      </w:tr>
      <w:tr>
        <w:trPr>
          <w:trHeight w:val="196"/>
        </w:trPr>
        <w:tc>
          <w:tcPr>
            <w:tcW w:w="112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to Exhibit 4.1 to the Company’s Form 8-K dated July 22, 2014.</w:t>
              </w:r>
            </w:hyperlink>
          </w:p>
        </w:tc>
        <w:tc>
          <w:tcPr>
            <w:tcW w:w="4580" w:type="dxa"/>
            <w:vAlign w:val="bottom"/>
            <w:tcBorders>
              <w:top w:val="single" w:sz="8" w:color="0000FF"/>
            </w:tcBorders>
            <w:gridSpan w:val="13"/>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1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Ninth Supplemental Indenture dated as of January 30, 2015 among the Registrant, the New Guarantors, The Bank of New York</w:t>
              </w:r>
            </w:hyperlink>
          </w:p>
        </w:tc>
        <w:tc>
          <w:tcPr>
            <w:tcW w:w="6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9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Mellon Trust Company, as Trustee, and the Old Guarantors to the Base Indenture dated as of March 15, 1988, as amended,</w:t>
              </w:r>
            </w:hyperlink>
          </w:p>
        </w:tc>
        <w:tc>
          <w:tcPr>
            <w:tcW w:w="340" w:type="dxa"/>
            <w:vAlign w:val="bottom"/>
            <w:gridSpan w:val="10"/>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0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relating to the 7.000% Senior Notes due 2020, the 6.625% Senior Notes due 2021, the 5.625% Senior Notes due 2022 and the</w:t>
              </w:r>
            </w:hyperlink>
          </w:p>
        </w:tc>
        <w:tc>
          <w:tcPr>
            <w:tcW w:w="18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625%</w:t>
              </w:r>
              <w:r>
                <w:rPr>
                  <w:rFonts w:ascii="Times New Roman" w:cs="Times New Roman" w:eastAsia="Times New Roman" w:hAnsi="Times New Roman"/>
                  <w:sz w:val="18"/>
                  <w:szCs w:val="18"/>
                  <w:color w:val="0000FF"/>
                </w:rPr>
                <w:t xml:space="preserve"> Senior Notes due 2023, incorporated by reference to Exhibit 4.16 to the Company’s Registration Statement on Form S-</w:t>
              </w:r>
            </w:hyperlink>
          </w:p>
        </w:tc>
      </w:tr>
      <w:tr>
        <w:trPr>
          <w:trHeight w:val="196"/>
        </w:trPr>
        <w:tc>
          <w:tcPr>
            <w:tcW w:w="1120" w:type="dxa"/>
            <w:vAlign w:val="bottom"/>
          </w:tcPr>
          <w:p>
            <w:pPr>
              <w:spacing w:after="0"/>
              <w:rPr>
                <w:sz w:val="17"/>
                <w:szCs w:val="17"/>
                <w:color w:val="auto"/>
              </w:rPr>
            </w:pPr>
          </w:p>
        </w:tc>
        <w:tc>
          <w:tcPr>
            <w:tcW w:w="916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4 (Reg. No. 333-209114) filed on January 25, 2016.</w:t>
              </w:r>
            </w:hyperlink>
          </w:p>
        </w:tc>
        <w:tc>
          <w:tcPr>
            <w:tcW w:w="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518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240" w:type="dxa"/>
            <w:vAlign w:val="bottom"/>
            <w:gridSpan w:val="24"/>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First Amendment dated as of April 21, 2015 among the Company, L (Overseas) Holding LP, an Alberta limited partnership,</w:t>
              </w:r>
            </w:hyperlink>
          </w:p>
        </w:tc>
      </w:tr>
      <w:tr>
        <w:trPr>
          <w:trHeight w:val="20"/>
        </w:trPr>
        <w:tc>
          <w:tcPr>
            <w:tcW w:w="1120" w:type="dxa"/>
            <w:vAlign w:val="bottom"/>
          </w:tcPr>
          <w:p>
            <w:pPr>
              <w:spacing w:after="0" w:line="20" w:lineRule="exact"/>
              <w:rPr>
                <w:sz w:val="1"/>
                <w:szCs w:val="1"/>
                <w:color w:val="auto"/>
              </w:rPr>
            </w:pPr>
          </w:p>
        </w:tc>
        <w:tc>
          <w:tcPr>
            <w:tcW w:w="8900" w:type="dxa"/>
            <w:vAlign w:val="bottom"/>
            <w:tcBorders>
              <w:right w:val="single" w:sz="8" w:color="0000FF"/>
            </w:tcBorders>
            <w:gridSpan w:val="1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240" w:type="dxa"/>
            <w:vAlign w:val="bottom"/>
            <w:gridSpan w:val="24"/>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Canadian Retail Holdings Corporation, a Nova Scotia company, Victoria’s Secret UK Limited, a company organized under the</w:t>
              </w:r>
            </w:hyperlink>
          </w:p>
        </w:tc>
      </w:tr>
      <w:tr>
        <w:trPr>
          <w:trHeight w:val="20"/>
        </w:trPr>
        <w:tc>
          <w:tcPr>
            <w:tcW w:w="1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960" w:right="40"/>
        <w:spacing w:after="0" w:line="258" w:lineRule="auto"/>
        <w:rPr>
          <w:rFonts w:ascii="Times New Roman" w:cs="Times New Roman" w:eastAsia="Times New Roman" w:hAnsi="Times New Roman"/>
          <w:sz w:val="18"/>
          <w:szCs w:val="18"/>
          <w:u w:val="single" w:color="auto"/>
          <w:color w:val="0000FF"/>
        </w:rPr>
      </w:pPr>
      <w:hyperlink r:id="rId29">
        <w:r>
          <w:rPr>
            <w:rFonts w:ascii="Times New Roman" w:cs="Times New Roman" w:eastAsia="Times New Roman" w:hAnsi="Times New Roman"/>
            <w:sz w:val="18"/>
            <w:szCs w:val="18"/>
            <w:u w:val="single" w:color="auto"/>
            <w:color w:val="0000FF"/>
          </w:rPr>
          <w:t>laws of England and Wales, and Mast Industries (Far East) Limited, a Hong Kong corporation, the lenders party thereto and</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JPMorgan Chase Bank, N.A., as Administrative Agent and Collateral Agent (the “Administrative Agent”), in respect of the</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Amended and Restated Five-Year Revolving Credit Agreement dated as of July 18, 2014 among the Company, the lenders from</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time to time party thereto and the Administrative Agent, incorporated by reference to Exhibit 4.1 to the Company’s Quarterly</w:t>
        </w:r>
      </w:hyperlink>
      <w:r>
        <w:rPr>
          <w:rFonts w:ascii="Times New Roman" w:cs="Times New Roman" w:eastAsia="Times New Roman" w:hAnsi="Times New Roman"/>
          <w:sz w:val="18"/>
          <w:szCs w:val="18"/>
          <w:u w:val="single" w:color="auto"/>
          <w:color w:val="0000FF"/>
        </w:rPr>
        <w:t xml:space="preserve"> </w:t>
      </w:r>
      <w:hyperlink r:id="rId29">
        <w:r>
          <w:rPr>
            <w:rFonts w:ascii="Times New Roman" w:cs="Times New Roman" w:eastAsia="Times New Roman" w:hAnsi="Times New Roman"/>
            <w:sz w:val="18"/>
            <w:szCs w:val="18"/>
            <w:u w:val="single" w:color="auto"/>
            <w:color w:val="0000FF"/>
          </w:rPr>
          <w:t>Report on Form 10-Q for the quarter ended May 2, 2015.</w:t>
        </w:r>
      </w:hyperlink>
    </w:p>
    <w:p>
      <w:pPr>
        <w:sectPr>
          <w:pgSz w:w="11900" w:h="16838" w:orient="portrait"/>
          <w:cols w:equalWidth="0" w:num="1">
            <w:col w:w="11200"/>
          </w:cols>
          <w:pgMar w:left="240" w:top="118" w:right="459" w:bottom="1440" w:gutter="0" w:footer="0" w:header="0"/>
        </w:sectPr>
      </w:pPr>
    </w:p>
    <w:p>
      <w:pPr>
        <w:spacing w:after="0" w:line="360" w:lineRule="exact"/>
        <w:rPr>
          <w:rFonts w:ascii="Times New Roman" w:cs="Times New Roman" w:eastAsia="Times New Roman" w:hAnsi="Times New Roman"/>
          <w:sz w:val="18"/>
          <w:szCs w:val="18"/>
          <w:u w:val="single" w:color="auto"/>
          <w:color w:val="0000FF"/>
        </w:rPr>
      </w:pPr>
    </w:p>
    <w:p>
      <w:pPr>
        <w:jc w:val="center"/>
        <w:ind w:right="-2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00"/>
          </w:cols>
          <w:pgMar w:left="240" w:top="118" w:right="459" w:bottom="1440" w:gutter="0" w:footer="0" w:header="0"/>
          <w:type w:val="continuous"/>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97"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4.18</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Indenture, dated as of October 30, 2015, among L Brands, Inc., the guarantors named therein and The Bank of New York</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1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Mellon Trust Company, N.A., as trustee, incorporated by reference to Exhibit 4.1 to the Company’s Form 8-K dated November</w:t>
              </w:r>
            </w:hyperlink>
          </w:p>
        </w:tc>
      </w:tr>
      <w:tr>
        <w:trPr>
          <w:trHeight w:val="196"/>
        </w:trPr>
        <w:tc>
          <w:tcPr>
            <w:tcW w:w="1120" w:type="dxa"/>
            <w:vAlign w:val="bottom"/>
          </w:tcPr>
          <w:p>
            <w:pPr>
              <w:spacing w:after="0"/>
              <w:rPr>
                <w:sz w:val="17"/>
                <w:szCs w:val="17"/>
                <w:color w:val="auto"/>
              </w:rPr>
            </w:pPr>
          </w:p>
        </w:tc>
        <w:tc>
          <w:tcPr>
            <w:tcW w:w="5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30">
              <w:r>
                <w:rPr>
                  <w:rFonts w:ascii="Times New Roman" w:cs="Times New Roman" w:eastAsia="Times New Roman" w:hAnsi="Times New Roman"/>
                  <w:sz w:val="18"/>
                  <w:szCs w:val="18"/>
                  <w:color w:val="0000FF"/>
                  <w:w w:val="95"/>
                </w:rPr>
                <w:t>3, 2015.</w:t>
              </w:r>
            </w:hyperlink>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4.19</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of 6.875% senior notes due 2035, incorporated by reference to Exhibit 4.2 to the Company’s Form 8-K dated November</w:t>
              </w:r>
            </w:hyperlink>
          </w:p>
        </w:tc>
      </w:tr>
      <w:tr>
        <w:trPr>
          <w:trHeight w:val="196"/>
        </w:trPr>
        <w:tc>
          <w:tcPr>
            <w:tcW w:w="112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30">
              <w:r>
                <w:rPr>
                  <w:rFonts w:ascii="Times New Roman" w:cs="Times New Roman" w:eastAsia="Times New Roman" w:hAnsi="Times New Roman"/>
                  <w:sz w:val="18"/>
                  <w:szCs w:val="18"/>
                  <w:color w:val="0000FF"/>
                  <w:w w:val="95"/>
                </w:rPr>
                <w:t>3, 2015.</w:t>
              </w:r>
            </w:hyperlink>
          </w:p>
        </w:tc>
        <w:tc>
          <w:tcPr>
            <w:tcW w:w="80" w:type="dxa"/>
            <w:vAlign w:val="bottom"/>
            <w:tcBorders>
              <w:top w:val="single" w:sz="8" w:color="0000FF"/>
            </w:tcBorders>
          </w:tcPr>
          <w:p>
            <w:pPr>
              <w:spacing w:after="0"/>
              <w:rPr>
                <w:sz w:val="17"/>
                <w:szCs w:val="17"/>
                <w:color w:val="auto"/>
              </w:rPr>
            </w:pPr>
          </w:p>
        </w:tc>
        <w:tc>
          <w:tcPr>
            <w:tcW w:w="32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8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4.20</w:t>
            </w:r>
          </w:p>
        </w:tc>
        <w:tc>
          <w:tcPr>
            <w:tcW w:w="9160" w:type="dxa"/>
            <w:vAlign w:val="bottom"/>
            <w:gridSpan w:val="21"/>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Registration Rights Agreement, dated as of October 30, 2015, among L Brands, Inc., the guarantors named therein and Merrill</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1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Lynch, Pierce, Fenner &amp; Smith Incorporated as representative of the initial purchasers, incorporated by reference to Exhibit 4.3</w:t>
              </w:r>
            </w:hyperlink>
          </w:p>
        </w:tc>
      </w:tr>
      <w:tr>
        <w:trPr>
          <w:trHeight w:val="196"/>
        </w:trPr>
        <w:tc>
          <w:tcPr>
            <w:tcW w:w="1120" w:type="dxa"/>
            <w:vAlign w:val="bottom"/>
          </w:tcPr>
          <w:p>
            <w:pPr>
              <w:spacing w:after="0"/>
              <w:rPr>
                <w:sz w:val="17"/>
                <w:szCs w:val="17"/>
                <w:color w:val="auto"/>
              </w:rPr>
            </w:pPr>
          </w:p>
        </w:tc>
        <w:tc>
          <w:tcPr>
            <w:tcW w:w="39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to the Company’s Form 8-K dated November 3, 2015.</w:t>
              </w:r>
            </w:hyperlink>
          </w:p>
        </w:tc>
        <w:tc>
          <w:tcPr>
            <w:tcW w:w="5260" w:type="dxa"/>
            <w:vAlign w:val="bottom"/>
            <w:gridSpan w:val="17"/>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4.21</w:t>
            </w:r>
          </w:p>
        </w:tc>
        <w:tc>
          <w:tcPr>
            <w:tcW w:w="8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Indenture, dated as of June 16, 2016, among L Brands, Inc. and U.S. Bank National Association, as trustee, incorporated by</w:t>
              </w:r>
            </w:hyperlink>
          </w:p>
        </w:tc>
        <w:tc>
          <w:tcPr>
            <w:tcW w:w="24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reference to Exhibit 4.1 to the Company’s Form 8-K dated June 16, 2016.</w:t>
              </w:r>
            </w:hyperlink>
          </w:p>
        </w:tc>
        <w:tc>
          <w:tcPr>
            <w:tcW w:w="3860" w:type="dxa"/>
            <w:vAlign w:val="bottom"/>
            <w:gridSpan w:val="15"/>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4.22</w:t>
            </w:r>
          </w:p>
        </w:tc>
        <w:tc>
          <w:tcPr>
            <w:tcW w:w="90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First Supplemental Indenture, dated as of June 16, 2016, by and among L Brands, Inc., the guarantors named therein and U.S.</w:t>
              </w:r>
            </w:hyperlink>
          </w:p>
        </w:tc>
        <w:tc>
          <w:tcPr>
            <w:tcW w:w="1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60" w:type="dxa"/>
            <w:vAlign w:val="bottom"/>
            <w:gridSpan w:val="21"/>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Bank National Association, as trustee, incorporated by reference to Exhibit 4.2 to the Company’s Form 8-K dated June 16,</w:t>
              </w:r>
            </w:hyperlink>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3">
              <w:r>
                <w:rPr>
                  <w:rFonts w:ascii="Times New Roman" w:cs="Times New Roman" w:eastAsia="Times New Roman" w:hAnsi="Times New Roman"/>
                  <w:sz w:val="18"/>
                  <w:szCs w:val="18"/>
                  <w:color w:val="0000FF"/>
                  <w:w w:val="93"/>
                </w:rPr>
                <w:t>2016.</w:t>
              </w:r>
            </w:hyperlink>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8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4.23</w:t>
            </w:r>
          </w:p>
        </w:tc>
        <w:tc>
          <w:tcPr>
            <w:tcW w:w="9160" w:type="dxa"/>
            <w:vAlign w:val="bottom"/>
            <w:gridSpan w:val="21"/>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Amendment and Restatement Agreement dated as of May 11, 2017 among the Company, L (Overseas) Holding LP, an Alberta</w:t>
              </w:r>
            </w:hyperlink>
          </w:p>
        </w:tc>
      </w:tr>
      <w:tr>
        <w:trPr>
          <w:trHeight w:val="196"/>
        </w:trPr>
        <w:tc>
          <w:tcPr>
            <w:tcW w:w="1120" w:type="dxa"/>
            <w:vAlign w:val="bottom"/>
          </w:tcPr>
          <w:p>
            <w:pPr>
              <w:spacing w:after="0"/>
              <w:rPr>
                <w:sz w:val="17"/>
                <w:szCs w:val="17"/>
                <w:color w:val="auto"/>
              </w:rPr>
            </w:pPr>
          </w:p>
        </w:tc>
        <w:tc>
          <w:tcPr>
            <w:tcW w:w="910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limited partnership, Bath &amp; Body Works (Canada) Corp., a Nova Scotia company, Victoria’s Secret UK Limited, a company</w:t>
              </w:r>
            </w:hyperlink>
          </w:p>
        </w:tc>
        <w:tc>
          <w:tcPr>
            <w:tcW w:w="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90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organized under the laws of England and Wales, Mast Industries (Far East) Limited, a Hong Kong corporation, and LB Full</w:t>
              </w:r>
            </w:hyperlink>
          </w:p>
        </w:tc>
        <w:tc>
          <w:tcPr>
            <w:tcW w:w="40" w:type="dxa"/>
            <w:vAlign w:val="bottom"/>
            <w:tcBorders>
              <w:top w:val="single" w:sz="8" w:color="0000FF"/>
            </w:tcBorders>
            <w:gridSpan w:val="2"/>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160" w:type="dxa"/>
            <w:vAlign w:val="bottom"/>
            <w:gridSpan w:val="21"/>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Assortment HK Limited, a Hong Kong corporation, the lenders party thereto and JPMorgan Chase Bank, N.A., as</w:t>
              </w:r>
            </w:hyperlink>
          </w:p>
        </w:tc>
      </w:tr>
      <w:tr>
        <w:trPr>
          <w:trHeight w:val="20"/>
        </w:trPr>
        <w:tc>
          <w:tcPr>
            <w:tcW w:w="11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9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Administrative Agent and Collateral Agent (the “Administrative Agent”), in respect of the Amended and Restated Five-Year</w:t>
              </w:r>
            </w:hyperlink>
          </w:p>
        </w:tc>
        <w:tc>
          <w:tcPr>
            <w:tcW w:w="18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160" w:type="dxa"/>
            <w:vAlign w:val="bottom"/>
            <w:gridSpan w:val="21"/>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Revolving Credit Agreement dated as of July 18, 2014, as amended by Amendment No. 1 thereto dated as of April 21, 2015,</w:t>
              </w:r>
            </w:hyperlink>
          </w:p>
        </w:tc>
      </w:tr>
      <w:tr>
        <w:trPr>
          <w:trHeight w:val="196"/>
        </w:trPr>
        <w:tc>
          <w:tcPr>
            <w:tcW w:w="1120" w:type="dxa"/>
            <w:vAlign w:val="bottom"/>
          </w:tcPr>
          <w:p>
            <w:pPr>
              <w:spacing w:after="0"/>
              <w:rPr>
                <w:sz w:val="17"/>
                <w:szCs w:val="17"/>
                <w:color w:val="auto"/>
              </w:rPr>
            </w:pPr>
          </w:p>
        </w:tc>
        <w:tc>
          <w:tcPr>
            <w:tcW w:w="89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among the Company, the lenders from time to time party thereto and the Administrative Agent, incorporated by reference to</w:t>
              </w:r>
            </w:hyperlink>
          </w:p>
        </w:tc>
        <w:tc>
          <w:tcPr>
            <w:tcW w:w="18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Exhibit 4.1 to the Company’s Form 8-K dated May 17, 2017.</w:t>
              </w:r>
            </w:hyperlink>
          </w:p>
        </w:tc>
        <w:tc>
          <w:tcPr>
            <w:tcW w:w="4520" w:type="dxa"/>
            <w:vAlign w:val="bottom"/>
            <w:tcBorders>
              <w:top w:val="single" w:sz="8" w:color="0000FF"/>
            </w:tcBorders>
            <w:gridSpan w:val="7"/>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588"/>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4.24</w:t>
            </w:r>
          </w:p>
        </w:tc>
        <w:tc>
          <w:tcPr>
            <w:tcW w:w="91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Second Supplemental Indenture, dated as of January 23, 2018, by and among L Brands, Inc., the guarantors named therein and</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6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U.S. Bank National Association, as trustee, incorporated by reference to Exhibit 4.2 to the Company’s Form 8-K dated January</w:t>
              </w:r>
            </w:hyperlink>
          </w:p>
        </w:tc>
      </w:tr>
      <w:tr>
        <w:trPr>
          <w:trHeight w:val="196"/>
        </w:trPr>
        <w:tc>
          <w:tcPr>
            <w:tcW w:w="11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4"/>
              </w:rPr>
            </w:pPr>
            <w:hyperlink r:id="rId35">
              <w:r>
                <w:rPr>
                  <w:rFonts w:ascii="Times New Roman" w:cs="Times New Roman" w:eastAsia="Times New Roman" w:hAnsi="Times New Roman"/>
                  <w:sz w:val="18"/>
                  <w:szCs w:val="18"/>
                  <w:color w:val="0000FF"/>
                  <w:w w:val="94"/>
                </w:rPr>
                <w:t>23, 2018.</w:t>
              </w:r>
            </w:hyperlink>
          </w:p>
        </w:tc>
        <w:tc>
          <w:tcPr>
            <w:tcW w:w="32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8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4.25</w:t>
            </w:r>
          </w:p>
        </w:tc>
        <w:tc>
          <w:tcPr>
            <w:tcW w:w="8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Indenture, dated as of June 18, 2018, by and among L Brands, Inc., the guarantors named therein and U.S. Bank National</w:t>
              </w:r>
            </w:hyperlink>
          </w:p>
        </w:tc>
        <w:tc>
          <w:tcPr>
            <w:tcW w:w="42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7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Association, as trustee, incorporated by reference to Exhibit 4.25 to the Company's Form S-4 dated September 11, 2018.</w:t>
              </w:r>
            </w:hyperlink>
          </w:p>
        </w:tc>
        <w:tc>
          <w:tcPr>
            <w:tcW w:w="440" w:type="dxa"/>
            <w:vAlign w:val="bottom"/>
            <w:gridSpan w:val="13"/>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4.26</w:t>
            </w:r>
          </w:p>
        </w:tc>
        <w:tc>
          <w:tcPr>
            <w:tcW w:w="90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First Supplemental Indenture, dated as of June 29, 2018, by and among L Brands, Inc., the guarantors named therein and U.S.</w:t>
              </w:r>
            </w:hyperlink>
          </w:p>
        </w:tc>
        <w:tc>
          <w:tcPr>
            <w:tcW w:w="1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160" w:type="dxa"/>
            <w:vAlign w:val="bottom"/>
            <w:gridSpan w:val="21"/>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Bank National Association, as trustee, incorporated by reference to Exhibit 4.26 to the Company's Form S-4 dated September</w:t>
              </w:r>
            </w:hyperlink>
          </w:p>
        </w:tc>
      </w:tr>
      <w:tr>
        <w:trPr>
          <w:trHeight w:val="196"/>
        </w:trPr>
        <w:tc>
          <w:tcPr>
            <w:tcW w:w="11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4"/>
              </w:rPr>
            </w:pPr>
            <w:hyperlink r:id="rId37">
              <w:r>
                <w:rPr>
                  <w:rFonts w:ascii="Times New Roman" w:cs="Times New Roman" w:eastAsia="Times New Roman" w:hAnsi="Times New Roman"/>
                  <w:sz w:val="18"/>
                  <w:szCs w:val="18"/>
                  <w:color w:val="0000FF"/>
                  <w:w w:val="94"/>
                </w:rPr>
                <w:t>11, 2018.</w:t>
              </w:r>
            </w:hyperlink>
          </w:p>
        </w:tc>
        <w:tc>
          <w:tcPr>
            <w:tcW w:w="32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8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84" w:lineRule="exact"/>
        <w:rPr>
          <w:sz w:val="20"/>
          <w:szCs w:val="20"/>
          <w:color w:val="auto"/>
        </w:rPr>
      </w:pPr>
    </w:p>
    <w:p>
      <w:pPr>
        <w:ind w:left="1960" w:hanging="1128"/>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10.1</w:t>
            </w:r>
          </w:p>
        </w:tc>
        <w:tc>
          <w:tcPr>
            <w:tcW w:w="9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Officers’ Benefits Plan incorporated by reference to Exhibit 10.4 to the Company’s Annual Report on Form 10-K for the fiscal</w:t>
            </w:r>
          </w:p>
        </w:tc>
      </w:tr>
      <w:tr>
        <w:trPr>
          <w:trHeight w:val="234"/>
        </w:trPr>
        <w:tc>
          <w:tcPr>
            <w:tcW w:w="1120" w:type="dxa"/>
            <w:vAlign w:val="bottom"/>
          </w:tcPr>
          <w:p>
            <w:pPr>
              <w:spacing w:after="0"/>
              <w:rPr>
                <w:sz w:val="20"/>
                <w:szCs w:val="20"/>
                <w:color w:val="auto"/>
              </w:rPr>
            </w:pPr>
          </w:p>
        </w:tc>
        <w:tc>
          <w:tcPr>
            <w:tcW w:w="91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year ended January 28, 1989 (the “1988 Form 10-K”).** (P)</w:t>
            </w:r>
          </w:p>
        </w:tc>
      </w:tr>
      <w:tr>
        <w:trPr>
          <w:trHeight w:val="351"/>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10.2</w:t>
            </w:r>
          </w:p>
        </w:tc>
        <w:tc>
          <w:tcPr>
            <w:tcW w:w="9120" w:type="dxa"/>
            <w:vAlign w:val="bottom"/>
            <w:gridSpan w:val="13"/>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The Company's Supplemental Retirement and Deferred Compensation Plan incorporated by reference to Exhibit 10.3 to the</w:t>
              </w:r>
            </w:hyperlink>
          </w:p>
        </w:tc>
      </w:tr>
      <w:tr>
        <w:trPr>
          <w:trHeight w:val="196"/>
        </w:trPr>
        <w:tc>
          <w:tcPr>
            <w:tcW w:w="1120" w:type="dxa"/>
            <w:vAlign w:val="bottom"/>
          </w:tcPr>
          <w:p>
            <w:pPr>
              <w:spacing w:after="0"/>
              <w:rPr>
                <w:sz w:val="17"/>
                <w:szCs w:val="17"/>
                <w:color w:val="auto"/>
              </w:rPr>
            </w:pPr>
          </w:p>
        </w:tc>
        <w:tc>
          <w:tcPr>
            <w:tcW w:w="89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Company’s Annual Report on Form 10-K for the fiscal year ended February 3, 2001.**</w:t>
              </w:r>
            </w:hyperlink>
          </w:p>
        </w:tc>
        <w:tc>
          <w:tcPr>
            <w:tcW w:w="22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10.3</w:t>
            </w:r>
          </w:p>
        </w:tc>
        <w:tc>
          <w:tcPr>
            <w:tcW w:w="83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Form of Indemnification Agreement between the Company and the directors and executive officers of the Company</w:t>
              </w:r>
            </w:hyperlink>
          </w:p>
        </w:tc>
        <w:tc>
          <w:tcPr>
            <w:tcW w:w="76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incorporated by reference to Exhibit 10.4 to the 1998 Form 10-K.**</w:t>
              </w:r>
            </w:hyperlink>
          </w:p>
        </w:tc>
        <w:tc>
          <w:tcPr>
            <w:tcW w:w="4220" w:type="dxa"/>
            <w:vAlign w:val="bottom"/>
            <w:gridSpan w:val="10"/>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10.4</w:t>
            </w:r>
          </w:p>
        </w:tc>
        <w:tc>
          <w:tcPr>
            <w:tcW w:w="9120" w:type="dxa"/>
            <w:vAlign w:val="bottom"/>
            <w:gridSpan w:val="13"/>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Supplemental schedule of directors and executive officers who are parties to an Indemnification Agreement incorporated by</w:t>
              </w:r>
            </w:hyperlink>
          </w:p>
        </w:tc>
      </w:tr>
      <w:tr>
        <w:trPr>
          <w:trHeight w:val="196"/>
        </w:trPr>
        <w:tc>
          <w:tcPr>
            <w:tcW w:w="112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reference to Exhibit 10.5 to the 1998 Form 10-K.**</w:t>
              </w:r>
            </w:hyperlink>
          </w:p>
        </w:tc>
        <w:tc>
          <w:tcPr>
            <w:tcW w:w="5200" w:type="dxa"/>
            <w:vAlign w:val="bottom"/>
            <w:tcBorders>
              <w:top w:val="single" w:sz="8" w:color="0000FF"/>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10.5</w:t>
            </w:r>
          </w:p>
        </w:tc>
        <w:tc>
          <w:tcPr>
            <w:tcW w:w="9120" w:type="dxa"/>
            <w:vAlign w:val="bottom"/>
            <w:gridSpan w:val="13"/>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The Company's Incentive Compensation Performance Plan incorporated by reference to Exhibit A to the Company’s Proxy</w:t>
              </w:r>
            </w:hyperlink>
          </w:p>
        </w:tc>
      </w:tr>
      <w:tr>
        <w:trPr>
          <w:trHeight w:val="196"/>
        </w:trPr>
        <w:tc>
          <w:tcPr>
            <w:tcW w:w="1120" w:type="dxa"/>
            <w:vAlign w:val="bottom"/>
          </w:tcPr>
          <w:p>
            <w:pPr>
              <w:spacing w:after="0"/>
              <w:rPr>
                <w:sz w:val="17"/>
                <w:szCs w:val="17"/>
                <w:color w:val="auto"/>
              </w:rPr>
            </w:pPr>
          </w:p>
        </w:tc>
        <w:tc>
          <w:tcPr>
            <w:tcW w:w="2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Statement dated April 14, 1997.**</w:t>
              </w:r>
            </w:hyperlink>
          </w:p>
        </w:tc>
        <w:tc>
          <w:tcPr>
            <w:tcW w:w="6380" w:type="dxa"/>
            <w:vAlign w:val="bottom"/>
            <w:tcBorders>
              <w:top w:val="single" w:sz="8" w:color="0000FF"/>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10.6</w:t>
            </w:r>
          </w:p>
        </w:tc>
        <w:tc>
          <w:tcPr>
            <w:tcW w:w="9120" w:type="dxa"/>
            <w:vAlign w:val="bottom"/>
            <w:gridSpan w:val="13"/>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Agreement dated as of May 3, 1999 among the Company, Leslie H. Wexner and the Wexner Children’s Trust, incorporated by</w:t>
              </w:r>
            </w:hyperlink>
          </w:p>
        </w:tc>
      </w:tr>
      <w:tr>
        <w:trPr>
          <w:trHeight w:val="196"/>
        </w:trPr>
        <w:tc>
          <w:tcPr>
            <w:tcW w:w="112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reference to Exhibit 99 (c) 1 to the Company’s Schedule 13E-4 dated May 4, 1999.</w:t>
              </w:r>
            </w:hyperlink>
          </w:p>
        </w:tc>
        <w:tc>
          <w:tcPr>
            <w:tcW w:w="3080" w:type="dxa"/>
            <w:vAlign w:val="bottom"/>
            <w:tcBorders>
              <w:top w:val="single" w:sz="8" w:color="0000FF"/>
            </w:tcBorders>
            <w:gridSpan w:val="8"/>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10.7</w:t>
            </w:r>
          </w:p>
        </w:tc>
        <w:tc>
          <w:tcPr>
            <w:tcW w:w="87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The Company's Stock Award and Deferred Compensation Plan for Non-Associate Directors incorporated by reference to</w:t>
              </w:r>
            </w:hyperlink>
          </w:p>
        </w:tc>
        <w:tc>
          <w:tcPr>
            <w:tcW w:w="42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5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Exhibit 4.1 to the Company’s Registration Statement on Form S-8 (File No. 333-110465) dated November 13, 2003.**</w:t>
              </w:r>
            </w:hyperlink>
          </w:p>
        </w:tc>
        <w:tc>
          <w:tcPr>
            <w:tcW w:w="560" w:type="dxa"/>
            <w:vAlign w:val="bottom"/>
            <w:gridSpan w:val="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20"/>
          </w:cols>
          <w:pgMar w:left="240" w:top="118" w:right="539" w:bottom="1440" w:gutter="0" w:footer="0" w:header="0"/>
        </w:sectPr>
      </w:pPr>
    </w:p>
    <w:p>
      <w:pPr>
        <w:spacing w:after="0" w:line="2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240" w:top="118" w:right="539" w:bottom="1440" w:gutter="0" w:footer="0" w:header="0"/>
          <w:type w:val="continuous"/>
        </w:sectPr>
      </w:pPr>
    </w:p>
    <w:bookmarkStart w:id="100" w:name="page101"/>
    <w:bookmarkEnd w:id="10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97"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Form of Stock Ownership Guideline incorporated by reference to Exhibit 10.32 to the Company’s Annual Report on Form 10-K</w:t>
              </w:r>
            </w:hyperlink>
          </w:p>
        </w:tc>
      </w:tr>
      <w:tr>
        <w:trPr>
          <w:trHeight w:val="196"/>
        </w:trPr>
        <w:tc>
          <w:tcPr>
            <w:tcW w:w="1120" w:type="dxa"/>
            <w:vAlign w:val="bottom"/>
          </w:tcPr>
          <w:p>
            <w:pPr>
              <w:spacing w:after="0"/>
              <w:rPr>
                <w:sz w:val="17"/>
                <w:szCs w:val="17"/>
                <w:color w:val="auto"/>
              </w:rPr>
            </w:pPr>
          </w:p>
        </w:tc>
        <w:tc>
          <w:tcPr>
            <w:tcW w:w="32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for the fiscal year ended January 29, 2005.**</w:t>
              </w:r>
            </w:hyperlink>
          </w:p>
        </w:tc>
        <w:tc>
          <w:tcPr>
            <w:tcW w:w="5960" w:type="dxa"/>
            <w:vAlign w:val="bottom"/>
            <w:gridSpan w:val="20"/>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220" w:type="dxa"/>
            <w:vAlign w:val="bottom"/>
            <w:gridSpan w:val="23"/>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Employment Agreement effective as of April 9, 2007 among the Company and Stuart Burgdoerfer incorporated by reference to</w:t>
              </w:r>
            </w:hyperlink>
          </w:p>
        </w:tc>
      </w:tr>
      <w:tr>
        <w:trPr>
          <w:trHeight w:val="196"/>
        </w:trPr>
        <w:tc>
          <w:tcPr>
            <w:tcW w:w="1120" w:type="dxa"/>
            <w:vAlign w:val="bottom"/>
          </w:tcPr>
          <w:p>
            <w:pPr>
              <w:spacing w:after="0"/>
              <w:rPr>
                <w:sz w:val="17"/>
                <w:szCs w:val="17"/>
                <w:color w:val="auto"/>
              </w:rPr>
            </w:pPr>
          </w:p>
        </w:tc>
        <w:tc>
          <w:tcPr>
            <w:tcW w:w="472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Exhibit 10.2 to the Company’s Form 8-K dated April 11, 2007.**</w:t>
              </w:r>
            </w:hyperlink>
          </w:p>
        </w:tc>
        <w:tc>
          <w:tcPr>
            <w:tcW w:w="4440" w:type="dxa"/>
            <w:vAlign w:val="bottom"/>
            <w:tcBorders>
              <w:top w:val="single" w:sz="8" w:color="0000FF"/>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220" w:type="dxa"/>
            <w:vAlign w:val="bottom"/>
            <w:gridSpan w:val="23"/>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Employment Agreement Amendment effective September 5, 2008 among Limited Brands, Inc., and Stuart Burgdoerfer</w:t>
              </w:r>
            </w:hyperlink>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220" w:type="dxa"/>
            <w:vAlign w:val="bottom"/>
            <w:gridSpan w:val="23"/>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incorporated by reference to Exhibit 10.1 to the Company's Quarterly Report on Form 10-Q for the quarter ended August 2,</w:t>
              </w:r>
            </w:hyperlink>
          </w:p>
        </w:tc>
      </w:tr>
      <w:tr>
        <w:trPr>
          <w:trHeight w:val="196"/>
        </w:trPr>
        <w:tc>
          <w:tcPr>
            <w:tcW w:w="11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45">
              <w:r>
                <w:rPr>
                  <w:rFonts w:ascii="Times New Roman" w:cs="Times New Roman" w:eastAsia="Times New Roman" w:hAnsi="Times New Roman"/>
                  <w:sz w:val="18"/>
                  <w:szCs w:val="18"/>
                  <w:color w:val="0000FF"/>
                  <w:w w:val="95"/>
                </w:rPr>
                <w:t>2008.**</w:t>
              </w:r>
            </w:hyperlink>
          </w:p>
        </w:tc>
        <w:tc>
          <w:tcPr>
            <w:tcW w:w="17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220" w:type="dxa"/>
            <w:vAlign w:val="bottom"/>
            <w:gridSpan w:val="23"/>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The Company's 1993 Stock Option and Performance Incentive Plan (2009 Restatement) incorporated by reference to Exhibit</w:t>
              </w:r>
            </w:hyperlink>
          </w:p>
        </w:tc>
      </w:tr>
      <w:tr>
        <w:trPr>
          <w:trHeight w:val="196"/>
        </w:trPr>
        <w:tc>
          <w:tcPr>
            <w:tcW w:w="1120" w:type="dxa"/>
            <w:vAlign w:val="bottom"/>
          </w:tcPr>
          <w:p>
            <w:pPr>
              <w:spacing w:after="0"/>
              <w:rPr>
                <w:sz w:val="17"/>
                <w:szCs w:val="17"/>
                <w:color w:val="auto"/>
              </w:rPr>
            </w:pPr>
          </w:p>
        </w:tc>
        <w:tc>
          <w:tcPr>
            <w:tcW w:w="898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Registration Statement on Form S-8 (File No. 333-110465) dated September 10, 2009.**</w:t>
              </w:r>
            </w:hyperlink>
          </w:p>
        </w:tc>
        <w:tc>
          <w:tcPr>
            <w:tcW w:w="240" w:type="dxa"/>
            <w:vAlign w:val="bottom"/>
            <w:gridSpan w:val="7"/>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Employment Agreement dated as of December 31, 2007 among the Company, beautyAvenues, LLC, and Charles C. McGuigan,</w:t>
              </w:r>
            </w:hyperlink>
          </w:p>
        </w:tc>
      </w:tr>
      <w:tr>
        <w:trPr>
          <w:trHeight w:val="196"/>
        </w:trPr>
        <w:tc>
          <w:tcPr>
            <w:tcW w:w="1120" w:type="dxa"/>
            <w:vAlign w:val="bottom"/>
          </w:tcPr>
          <w:p>
            <w:pPr>
              <w:spacing w:after="0"/>
              <w:rPr>
                <w:sz w:val="17"/>
                <w:szCs w:val="17"/>
                <w:color w:val="auto"/>
              </w:rPr>
            </w:pPr>
          </w:p>
        </w:tc>
        <w:tc>
          <w:tcPr>
            <w:tcW w:w="92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as amended by Amendment to Agreement dated December 1, 2008 and Form of Employment Agreement Amendment effective</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1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as of March 15, 2012 incorporated by reference to Exhibit 10.24 to the Company’s Annual Report on Form 10-K for the fiscal</w:t>
              </w:r>
            </w:hyperlink>
          </w:p>
        </w:tc>
        <w:tc>
          <w:tcPr>
            <w:tcW w:w="12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220" w:type="dxa"/>
            <w:vAlign w:val="bottom"/>
            <w:gridSpan w:val="23"/>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year ended January 28, 2012.**</w:t>
              </w:r>
            </w:hyperlink>
          </w:p>
        </w:tc>
      </w:tr>
      <w:tr>
        <w:trPr>
          <w:trHeight w:val="20"/>
        </w:trPr>
        <w:tc>
          <w:tcPr>
            <w:tcW w:w="11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The Company's 2011 Stock Option and Performance Incentive Plan originally incorporated by reference to Appendix A to the</w:t>
              </w:r>
            </w:hyperlink>
          </w:p>
        </w:tc>
        <w:tc>
          <w:tcPr>
            <w:tcW w:w="14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220" w:type="dxa"/>
            <w:vAlign w:val="bottom"/>
            <w:gridSpan w:val="23"/>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Company's Proxy Statement dated April 11, 2011 and Amended and Restated dated July 21, 2011 incorporated by reference to</w:t>
              </w:r>
            </w:hyperlink>
          </w:p>
        </w:tc>
      </w:tr>
      <w:tr>
        <w:trPr>
          <w:trHeight w:val="196"/>
        </w:trPr>
        <w:tc>
          <w:tcPr>
            <w:tcW w:w="1120" w:type="dxa"/>
            <w:vAlign w:val="bottom"/>
          </w:tcPr>
          <w:p>
            <w:pPr>
              <w:spacing w:after="0"/>
              <w:rPr>
                <w:sz w:val="17"/>
                <w:szCs w:val="17"/>
                <w:color w:val="auto"/>
              </w:rPr>
            </w:pPr>
          </w:p>
        </w:tc>
        <w:tc>
          <w:tcPr>
            <w:tcW w:w="910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Exhibit 10.25 to the Company’s Annual Report on Form 10-K for the fiscal year ended January 28, 2012.**</w:t>
              </w:r>
            </w:hyperlink>
          </w:p>
        </w:tc>
        <w:tc>
          <w:tcPr>
            <w:tcW w:w="12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Form of Sixth Amended and Restated Master Aircraft Time Sharing Agreement incorporated by reference to Exhibit 10.23 to</w:t>
              </w:r>
            </w:hyperlink>
          </w:p>
        </w:tc>
        <w:tc>
          <w:tcPr>
            <w:tcW w:w="18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the Company’s Annual Report on Form 10-K for the fiscal year ended January 31, 2015.**</w:t>
              </w:r>
            </w:hyperlink>
          </w:p>
        </w:tc>
        <w:tc>
          <w:tcPr>
            <w:tcW w:w="2660" w:type="dxa"/>
            <w:vAlign w:val="bottom"/>
            <w:gridSpan w:val="18"/>
          </w:tcPr>
          <w:p>
            <w:pPr>
              <w:spacing w:after="0"/>
              <w:rPr>
                <w:sz w:val="17"/>
                <w:szCs w:val="17"/>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220" w:type="dxa"/>
            <w:vAlign w:val="bottom"/>
            <w:gridSpan w:val="23"/>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The Company’s 2015 Stock Option and Performance Incentive Plan, incorporated by reference to Exhibit 99.1 to the</w:t>
              </w:r>
            </w:hyperlink>
          </w:p>
        </w:tc>
      </w:tr>
      <w:tr>
        <w:trPr>
          <w:trHeight w:val="196"/>
        </w:trPr>
        <w:tc>
          <w:tcPr>
            <w:tcW w:w="1120" w:type="dxa"/>
            <w:vAlign w:val="bottom"/>
          </w:tcPr>
          <w:p>
            <w:pPr>
              <w:spacing w:after="0"/>
              <w:rPr>
                <w:sz w:val="17"/>
                <w:szCs w:val="17"/>
                <w:color w:val="auto"/>
              </w:rPr>
            </w:pPr>
          </w:p>
        </w:tc>
        <w:tc>
          <w:tcPr>
            <w:tcW w:w="840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Company’s Registration Statement on Form S-8 (Reg. No. 333-176588) dated September 4, 2015.**</w:t>
              </w:r>
            </w:hyperlink>
          </w:p>
        </w:tc>
        <w:tc>
          <w:tcPr>
            <w:tcW w:w="820" w:type="dxa"/>
            <w:vAlign w:val="bottom"/>
            <w:gridSpan w:val="1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7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L Brands, Inc. 2015 Stock Option and Performance Incentive Plan Terms and Conditions of Restricted Share Unit Grant,</w:t>
              </w:r>
            </w:hyperlink>
          </w:p>
        </w:tc>
        <w:tc>
          <w:tcPr>
            <w:tcW w:w="52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220" w:type="dxa"/>
            <w:vAlign w:val="bottom"/>
            <w:gridSpan w:val="23"/>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incorporated by reference to Exhibit 10.1 to the Company’s Quarterly Report on Form 10-Q for the quarter ended August 1,</w:t>
              </w:r>
            </w:hyperlink>
          </w:p>
        </w:tc>
      </w:tr>
      <w:tr>
        <w:trPr>
          <w:trHeight w:val="196"/>
        </w:trPr>
        <w:tc>
          <w:tcPr>
            <w:tcW w:w="112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51">
              <w:r>
                <w:rPr>
                  <w:rFonts w:ascii="Times New Roman" w:cs="Times New Roman" w:eastAsia="Times New Roman" w:hAnsi="Times New Roman"/>
                  <w:sz w:val="18"/>
                  <w:szCs w:val="18"/>
                  <w:color w:val="0000FF"/>
                  <w:w w:val="95"/>
                </w:rPr>
                <w:t>2015.**</w:t>
              </w:r>
            </w:hyperlink>
          </w:p>
        </w:tc>
        <w:tc>
          <w:tcPr>
            <w:tcW w:w="17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L Brands, Inc. 2015 Stock Option and Performance Incentive Plan Terms and Conditions of Stock Option Grant, incorporated</w:t>
              </w:r>
            </w:hyperlink>
          </w:p>
        </w:tc>
        <w:tc>
          <w:tcPr>
            <w:tcW w:w="16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6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by reference to Exhibit 10.2 to the Company’s Quarterly Report on Form 10-Q for the quarter ended August 1, 2015.**</w:t>
              </w:r>
            </w:hyperlink>
          </w:p>
        </w:tc>
        <w:tc>
          <w:tcPr>
            <w:tcW w:w="620" w:type="dxa"/>
            <w:vAlign w:val="bottom"/>
            <w:gridSpan w:val="11"/>
          </w:tcPr>
          <w:p>
            <w:pPr>
              <w:spacing w:after="0"/>
              <w:rPr>
                <w:sz w:val="17"/>
                <w:szCs w:val="17"/>
                <w:color w:val="auto"/>
              </w:rPr>
            </w:pPr>
          </w:p>
        </w:tc>
      </w:tr>
      <w:tr>
        <w:trPr>
          <w:trHeight w:val="38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4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L Brands, Inc. 2015 Cash Incentive Compensation Performance Plan, incorporated by reference to Exhibit 10.2 to the</w:t>
              </w:r>
            </w:hyperlink>
          </w:p>
        </w:tc>
        <w:tc>
          <w:tcPr>
            <w:tcW w:w="740" w:type="dxa"/>
            <w:vAlign w:val="bottom"/>
            <w:gridSpan w:val="1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220" w:type="dxa"/>
            <w:vAlign w:val="bottom"/>
            <w:gridSpan w:val="23"/>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Company's Form 8-K dated May 26, 2015.**</w:t>
              </w:r>
            </w:hyperlink>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60" w:hanging="1128"/>
        <w:spacing w:after="0"/>
        <w:tabs>
          <w:tab w:leader="none" w:pos="1960" w:val="left"/>
        </w:tabs>
        <w:numPr>
          <w:ilvl w:val="0"/>
          <w:numId w:val="67"/>
        </w:numPr>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Subsidiaries of the Registrant.</w:t>
        </w:r>
      </w:hyperlink>
    </w:p>
    <w:p>
      <w:pPr>
        <w:spacing w:after="0" w:line="185" w:lineRule="exact"/>
        <w:rPr>
          <w:sz w:val="20"/>
          <w:szCs w:val="20"/>
          <w:color w:val="auto"/>
        </w:rPr>
      </w:pPr>
    </w:p>
    <w:p>
      <w:pPr>
        <w:ind w:left="840"/>
        <w:spacing w:after="0"/>
        <w:tabs>
          <w:tab w:leader="none" w:pos="1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23.1</w:t>
      </w:r>
      <w:r>
        <w:rPr>
          <w:sz w:val="20"/>
          <w:szCs w:val="20"/>
          <w:color w:val="auto"/>
        </w:rPr>
        <w:tab/>
      </w:r>
      <w:hyperlink w:anchor="page107">
        <w:r>
          <w:rPr>
            <w:rFonts w:ascii="Times New Roman" w:cs="Times New Roman" w:eastAsia="Times New Roman" w:hAnsi="Times New Roman"/>
            <w:sz w:val="17"/>
            <w:szCs w:val="17"/>
            <w:u w:val="single" w:color="auto"/>
            <w:color w:val="0000FF"/>
          </w:rPr>
          <w:t>Consent of Ernst &amp; Young LLP.</w:t>
        </w:r>
      </w:hyperlink>
    </w:p>
    <w:p>
      <w:pPr>
        <w:spacing w:after="0" w:line="185" w:lineRule="exact"/>
        <w:rPr>
          <w:sz w:val="20"/>
          <w:szCs w:val="20"/>
          <w:color w:val="auto"/>
        </w:rPr>
      </w:pPr>
    </w:p>
    <w:p>
      <w:pPr>
        <w:ind w:left="1960" w:hanging="1128"/>
        <w:spacing w:after="0"/>
        <w:tabs>
          <w:tab w:leader="none" w:pos="1960" w:val="left"/>
        </w:tabs>
        <w:numPr>
          <w:ilvl w:val="0"/>
          <w:numId w:val="68"/>
        </w:numPr>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Powers of Attorney.</w:t>
        </w:r>
      </w:hyperlink>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31.1</w:t>
            </w:r>
          </w:p>
        </w:tc>
        <w:tc>
          <w:tcPr>
            <w:tcW w:w="88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Section 302</w:t>
              </w:r>
            </w:hyperlink>
          </w:p>
        </w:tc>
        <w:tc>
          <w:tcPr>
            <w:tcW w:w="1560" w:type="dxa"/>
            <w:vAlign w:val="bottom"/>
            <w:tcBorders>
              <w:bottom w:val="single" w:sz="8" w:color="0000FF"/>
            </w:tcBorders>
          </w:tcPr>
          <w:p>
            <w:pPr>
              <w:ind w:left="20"/>
              <w:spacing w:after="0"/>
              <w:rPr>
                <w:rFonts w:ascii="Times New Roman" w:cs="Times New Roman" w:eastAsia="Times New Roman" w:hAnsi="Times New Roman"/>
                <w:sz w:val="18"/>
                <w:szCs w:val="18"/>
                <w:color w:val="0000FF"/>
                <w:w w:val="97"/>
              </w:rPr>
            </w:pPr>
            <w:hyperlink w:anchor="page120">
              <w:r>
                <w:rPr>
                  <w:rFonts w:ascii="Times New Roman" w:cs="Times New Roman" w:eastAsia="Times New Roman" w:hAnsi="Times New Roman"/>
                  <w:sz w:val="18"/>
                  <w:szCs w:val="18"/>
                  <w:color w:val="0000FF"/>
                  <w:w w:val="97"/>
                </w:rPr>
                <w:t>Certification of CEO.</w:t>
              </w:r>
            </w:hyperlink>
          </w:p>
        </w:tc>
      </w:tr>
      <w:tr>
        <w:trPr>
          <w:trHeight w:val="372"/>
        </w:trPr>
        <w:tc>
          <w:tcPr>
            <w:tcW w:w="1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31.2</w:t>
            </w:r>
          </w:p>
        </w:tc>
        <w:tc>
          <w:tcPr>
            <w:tcW w:w="88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w:anchor="page121">
              <w:r>
                <w:rPr>
                  <w:rFonts w:ascii="Times New Roman" w:cs="Times New Roman" w:eastAsia="Times New Roman" w:hAnsi="Times New Roman"/>
                  <w:sz w:val="18"/>
                  <w:szCs w:val="18"/>
                  <w:color w:val="0000FF"/>
                </w:rPr>
                <w:t>Section 302</w:t>
              </w:r>
            </w:hyperlink>
          </w:p>
        </w:tc>
        <w:tc>
          <w:tcPr>
            <w:tcW w:w="1560" w:type="dxa"/>
            <w:vAlign w:val="bottom"/>
            <w:tcBorders>
              <w:bottom w:val="single" w:sz="8" w:color="0000FF"/>
            </w:tcBorders>
          </w:tcPr>
          <w:p>
            <w:pPr>
              <w:ind w:left="20"/>
              <w:spacing w:after="0"/>
              <w:rPr>
                <w:rFonts w:ascii="Times New Roman" w:cs="Times New Roman" w:eastAsia="Times New Roman" w:hAnsi="Times New Roman"/>
                <w:sz w:val="18"/>
                <w:szCs w:val="18"/>
                <w:color w:val="0000FF"/>
                <w:w w:val="98"/>
              </w:rPr>
            </w:pPr>
            <w:hyperlink w:anchor="page121">
              <w:r>
                <w:rPr>
                  <w:rFonts w:ascii="Times New Roman" w:cs="Times New Roman" w:eastAsia="Times New Roman" w:hAnsi="Times New Roman"/>
                  <w:sz w:val="18"/>
                  <w:szCs w:val="18"/>
                  <w:color w:val="0000FF"/>
                  <w:w w:val="98"/>
                </w:rPr>
                <w:t>Certification of CFO.</w:t>
              </w:r>
            </w:hyperlink>
          </w:p>
        </w:tc>
      </w:tr>
    </w:tbl>
    <w:p>
      <w:pPr>
        <w:spacing w:after="0" w:line="184" w:lineRule="exact"/>
        <w:rPr>
          <w:sz w:val="20"/>
          <w:szCs w:val="20"/>
          <w:color w:val="auto"/>
        </w:rPr>
      </w:pPr>
    </w:p>
    <w:p>
      <w:pPr>
        <w:ind w:left="1960" w:hanging="1128"/>
        <w:spacing w:after="0"/>
        <w:tabs>
          <w:tab w:leader="none" w:pos="1960" w:val="left"/>
        </w:tabs>
        <w:numPr>
          <w:ilvl w:val="0"/>
          <w:numId w:val="69"/>
        </w:numPr>
        <w:rPr>
          <w:rFonts w:ascii="Times New Roman" w:cs="Times New Roman" w:eastAsia="Times New Roman" w:hAnsi="Times New Roman"/>
          <w:sz w:val="18"/>
          <w:szCs w:val="18"/>
          <w:u w:val="single" w:color="auto"/>
          <w:color w:val="0000FF"/>
        </w:rPr>
      </w:pPr>
      <w:hyperlink w:anchor="page122">
        <w:r>
          <w:rPr>
            <w:rFonts w:ascii="Times New Roman" w:cs="Times New Roman" w:eastAsia="Times New Roman" w:hAnsi="Times New Roman"/>
            <w:sz w:val="18"/>
            <w:szCs w:val="18"/>
            <w:u w:val="single" w:color="auto"/>
            <w:color w:val="0000FF"/>
          </w:rPr>
          <w:t>Section 906 Certification (by CEO and CFO).</w:t>
        </w:r>
      </w:hyperlink>
    </w:p>
    <w:p>
      <w:pPr>
        <w:spacing w:after="0" w:line="185"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ectPr>
          <w:pgSz w:w="11900" w:h="16838" w:orient="portrait"/>
          <w:cols w:equalWidth="0" w:num="1">
            <w:col w:w="11180"/>
          </w:cols>
          <w:pgMar w:left="240" w:top="118" w:right="479" w:bottom="1440" w:gutter="0" w:footer="0" w:header="0"/>
        </w:sectPr>
      </w:pP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80"/>
          </w:cols>
          <w:pgMar w:left="240" w:top="118" w:right="479" w:bottom="1440" w:gutter="0" w:footer="0" w:header="0"/>
          <w:type w:val="continuous"/>
        </w:sectPr>
      </w:pPr>
    </w:p>
    <w:bookmarkStart w:id="101" w:name="page102"/>
    <w:bookmarkEnd w:id="10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720" w:hanging="685"/>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contracts or compensatory plans or arrangements.</w:t>
      </w:r>
    </w:p>
    <w:p>
      <w:pPr>
        <w:spacing w:after="0" w:line="63" w:lineRule="exact"/>
        <w:rPr>
          <w:sz w:val="20"/>
          <w:szCs w:val="20"/>
          <w:color w:val="auto"/>
        </w:rPr>
      </w:pPr>
    </w:p>
    <w:p>
      <w:pPr>
        <w:ind w:left="720" w:hanging="685"/>
        <w:spacing w:after="0"/>
        <w:tabs>
          <w:tab w:leader="none" w:pos="7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Paper Exhibits</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report are listed in section (a)(3) of Item 15 above.</w:t>
      </w:r>
    </w:p>
    <w:p>
      <w:pPr>
        <w:spacing w:after="0" w:line="90"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219"/>
          </w:cols>
          <w:pgMar w:left="240" w:top="118" w:right="1440" w:bottom="1440" w:gutter="0" w:footer="0" w:header="0"/>
        </w:sectPr>
      </w:pPr>
    </w:p>
    <w:bookmarkStart w:id="102" w:name="page103"/>
    <w:bookmarkEnd w:id="10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2019</w:t>
      </w:r>
    </w:p>
    <w:p>
      <w:pPr>
        <w:spacing w:after="0" w:line="2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L BRANDS, INC. (Registrant)</w:t>
      </w:r>
    </w:p>
    <w:p>
      <w:pPr>
        <w:spacing w:after="0" w:line="210" w:lineRule="exact"/>
        <w:rPr>
          <w:sz w:val="20"/>
          <w:szCs w:val="20"/>
          <w:color w:val="auto"/>
        </w:rPr>
      </w:pPr>
    </w:p>
    <w:p>
      <w:pPr>
        <w:ind w:left="5420"/>
        <w:spacing w:after="0"/>
        <w:tabs>
          <w:tab w:leader="none" w:pos="63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33020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Stuart B. Burgdoerfer,</w:t>
      </w:r>
    </w:p>
    <w:p>
      <w:pPr>
        <w:spacing w:after="0" w:line="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7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 2019:</w:t>
      </w:r>
    </w:p>
    <w:p>
      <w:pPr>
        <w:sectPr>
          <w:pgSz w:w="11900" w:h="16838" w:orient="portrait"/>
          <w:cols w:equalWidth="0" w:num="1">
            <w:col w:w="11400"/>
          </w:cols>
          <w:pgMar w:left="240" w:top="118" w:right="25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84"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LESLIE H.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59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Leslie H. Wexner</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59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Stuart B. Burgdoerfer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PATRICIA S. BELLINGER*</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Patricia S. Bellinger</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 GORDON GEE*</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 Gordon Gee</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DENNIS S. HERSCH*</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Dennis S. Hersch</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DONNA A. JAMES*</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Donna A. James</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DAVID T. KOLLAT*</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David T. Kollat</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MICHAEL G. MORRIS*</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Michael G. Morris</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ROBERT H. SCHOTTENSTEIN*</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Robert H. Schottenstein</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STEPHEN D. STEINOUR*</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Stephen D. Steinour</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ALLAN R. TESSLER*</w:t>
            </w:r>
          </w:p>
        </w:tc>
      </w:tr>
      <w:tr>
        <w:trPr>
          <w:trHeight w:val="31"/>
        </w:trPr>
        <w:tc>
          <w:tcPr>
            <w:tcW w:w="5620" w:type="dxa"/>
            <w:vAlign w:val="bottom"/>
            <w:tcBorders>
              <w:bottom w:val="single" w:sz="8" w:color="auto"/>
            </w:tcBorders>
            <w:gridSpan w:val="2"/>
          </w:tcPr>
          <w:p>
            <w:pPr>
              <w:spacing w:after="0"/>
              <w:rPr>
                <w:sz w:val="2"/>
                <w:szCs w:val="2"/>
                <w:color w:val="auto"/>
              </w:rPr>
            </w:pPr>
          </w:p>
        </w:tc>
      </w:tr>
      <w:tr>
        <w:trPr>
          <w:trHeight w:val="219"/>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Allan R. Tessler</w:t>
            </w:r>
          </w:p>
        </w:tc>
      </w:tr>
      <w:tr>
        <w:trPr>
          <w:trHeight w:val="392"/>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ABIGAIL S. WEXNER*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59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Abigail S. Wexner</w:t>
      </w:r>
    </w:p>
    <w:p>
      <w:pPr>
        <w:spacing w:after="0" w:line="196"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RAYMOND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59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Raymond Zimmerman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84" w:lineRule="exact"/>
        <w:rPr>
          <w:sz w:val="20"/>
          <w:szCs w:val="20"/>
          <w:color w:val="auto"/>
        </w:rPr>
      </w:pPr>
    </w:p>
    <w:p>
      <w:pPr>
        <w:ind w:left="180" w:right="1360" w:hanging="175"/>
        <w:spacing w:after="0" w:line="340" w:lineRule="auto"/>
        <w:rPr>
          <w:sz w:val="20"/>
          <w:szCs w:val="20"/>
          <w:color w:val="auto"/>
        </w:rPr>
      </w:pPr>
      <w:r>
        <w:rPr>
          <w:rFonts w:ascii="Times New Roman" w:cs="Times New Roman" w:eastAsia="Times New Roman" w:hAnsi="Times New Roman"/>
          <w:sz w:val="17"/>
          <w:szCs w:val="17"/>
          <w:color w:val="auto"/>
        </w:rPr>
        <w:t>Chairman of the Board of Directors and Chief Executive Officer (Principal Executive Officer)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479" w:lineRule="exact"/>
        <w:rPr>
          <w:sz w:val="20"/>
          <w:szCs w:val="20"/>
          <w:color w:val="auto"/>
        </w:rPr>
      </w:pPr>
    </w:p>
    <w:p>
      <w:pPr>
        <w:sectPr>
          <w:pgSz w:w="11900" w:h="16838" w:orient="portrait"/>
          <w:cols w:equalWidth="0" w:num="2">
            <w:col w:w="5620" w:space="120"/>
            <w:col w:w="5660"/>
          </w:cols>
          <w:pgMar w:left="240" w:top="118" w:right="259" w:bottom="1440" w:gutter="0" w:footer="0" w:header="0"/>
          <w:type w:val="continuous"/>
        </w:sectPr>
      </w:pPr>
    </w:p>
    <w:p>
      <w:pPr>
        <w:ind w:left="620" w:right="120" w:hanging="585"/>
        <w:spacing w:after="0" w:line="260" w:lineRule="auto"/>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undersigned, by signing his name hereto, does hereby sign this report on behalf of each of the above-indicated directors of the registrant pursuant to powers of attorney executed by such directors.</w:t>
      </w:r>
    </w:p>
    <w:p>
      <w:pPr>
        <w:spacing w:after="0" w:line="158"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34290</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Stuart B. Burgdoerfer</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Attorney-in-fact</w:t>
      </w:r>
    </w:p>
    <w:p>
      <w:pPr>
        <w:sectPr>
          <w:pgSz w:w="11900" w:h="16838" w:orient="portrait"/>
          <w:cols w:equalWidth="0" w:num="1">
            <w:col w:w="11400"/>
          </w:cols>
          <w:pgMar w:left="240" w:top="118" w:right="259" w:bottom="1440" w:gutter="0" w:footer="0" w:header="0"/>
          <w:type w:val="continuous"/>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00"/>
          </w:cols>
          <w:pgMar w:left="240" w:top="118" w:right="259" w:bottom="1440" w:gutter="0" w:footer="0" w:header="0"/>
          <w:type w:val="continuous"/>
        </w:sectPr>
      </w:pPr>
    </w:p>
    <w:bookmarkStart w:id="103" w:name="page104"/>
    <w:bookmarkEnd w:id="10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43"/>
          <w:szCs w:val="43"/>
          <w:b w:val="1"/>
          <w:bCs w:val="1"/>
          <w:color w:val="auto"/>
        </w:rPr>
        <w:t>L BRANDS, INC.</w:t>
      </w:r>
    </w:p>
    <w:p>
      <w:pPr>
        <w:spacing w:after="0" w:line="5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219"/>
          </w:cols>
          <w:pgMar w:left="240" w:top="118" w:right="1440" w:bottom="1440" w:gutter="0" w:footer="0" w:header="0"/>
        </w:sectPr>
      </w:pPr>
    </w:p>
    <w:bookmarkStart w:id="104" w:name="page105"/>
    <w:bookmarkEnd w:id="10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9020" w:type="dxa"/>
            <w:vAlign w:val="bottom"/>
          </w:tcPr>
          <w:p>
            <w:pPr>
              <w:spacing w:after="0"/>
              <w:rPr>
                <w:sz w:val="16"/>
                <w:szCs w:val="16"/>
                <w:color w:val="auto"/>
              </w:rPr>
            </w:pPr>
          </w:p>
        </w:tc>
      </w:tr>
      <w:tr>
        <w:trPr>
          <w:trHeight w:val="363"/>
        </w:trPr>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99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Powers of Attorney.</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CEO.</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CFO.</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w:t>
            </w:r>
          </w:p>
        </w:tc>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(by CEO and CFO).</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2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103</w:t>
            </w:r>
          </w:p>
        </w:tc>
      </w:tr>
    </w:tbl>
    <w:p>
      <w:pPr>
        <w:sectPr>
          <w:pgSz w:w="11900" w:h="16838" w:orient="portrait"/>
          <w:cols w:equalWidth="0" w:num="1">
            <w:col w:w="11420"/>
          </w:cols>
          <w:pgMar w:left="240" w:top="118"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545"/>
        </w:trPr>
        <w:tc>
          <w:tcPr>
            <w:tcW w:w="38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52"/>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(a)</w:t>
            </w:r>
          </w:p>
        </w:tc>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7"/>
        </w:trPr>
        <w:tc>
          <w:tcPr>
            <w:tcW w:w="38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Brand Management, Inc.</w:t>
            </w: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LLC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beautyAvenues, LLC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Intimate Brands Holding, LLC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Intimate Brands, Inc.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Brands (Overseas), Inc.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 US Holding, Inc.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 Industries (Far East) Limited</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 Industries, Inc.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Store Operations, Inc.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Direct Brand Management, LLC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Brand Management, Inc.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LLC</w:t>
            </w: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25" w:lineRule="exact"/>
        <w:rPr>
          <w:sz w:val="20"/>
          <w:szCs w:val="20"/>
          <w:color w:val="auto"/>
        </w:rPr>
      </w:pPr>
    </w:p>
    <w:p>
      <w:pPr>
        <w:ind w:left="320" w:right="20" w:hanging="318"/>
        <w:spacing w:after="0" w:line="282"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subsidiaries are omitted because such unnamed subsidiaries, considered in the aggregate as a single subsidiary, would not constitute a significant subsidiary as of February 2, 2019.</w:t>
      </w:r>
    </w:p>
    <w:p>
      <w:pPr>
        <w:sectPr>
          <w:pgSz w:w="11900" w:h="16838" w:orient="portrait"/>
          <w:cols w:equalWidth="0" w:num="1">
            <w:col w:w="11400"/>
          </w:cols>
          <w:pgMar w:left="260" w:top="1008"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L Brands,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Registration Statement (Form S-8 No. 333-161841)</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Registration Statement (Form S-8 No. 333-176588)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Registration Statement (Form S-8 No. 333-206787)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Registration Statement (Form S-3 ASR No. 333-229414)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Registration Statement (Form S-4 No. 333-227288);</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22, 2019, with respect to the consolidated financial statements of L Brands, Inc., and the effectiveness of internal control over financial reporting of L Brands, Inc., included in this Annual Report (Form 10-K) for the year ended February 2,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2019</w:t>
      </w:r>
    </w:p>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/s/ LESLIE H.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Leslie H. Wexner</w:t>
      </w:r>
    </w:p>
    <w:p>
      <w:pPr>
        <w:sectPr>
          <w:pgSz w:w="11900" w:h="16838" w:orient="portrait"/>
          <w:cols w:equalWidth="0" w:num="1">
            <w:col w:w="11420"/>
          </w:cols>
          <w:pgMar w:left="240" w:top="576" w:right="2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PATRICIA S. BELLINGER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Patricia S. Bellinger</w:t>
      </w:r>
    </w:p>
    <w:p>
      <w:pPr>
        <w:sectPr>
          <w:pgSz w:w="11900" w:h="16838" w:orient="portrait"/>
          <w:cols w:equalWidth="0" w:num="1">
            <w:col w:w="11400"/>
          </w:cols>
          <w:pgMar w:left="240" w:top="796" w:right="2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E. GORDON 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E. Gordon Gee</w:t>
      </w:r>
    </w:p>
    <w:p>
      <w:pPr>
        <w:sectPr>
          <w:pgSz w:w="11900" w:h="16838" w:orient="portrait"/>
          <w:cols w:equalWidth="0" w:num="1">
            <w:col w:w="11400"/>
          </w:cols>
          <w:pgMar w:left="240" w:top="796" w:right="2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DENNIS S. HERSCH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Dennis S. Hersch</w:t>
      </w:r>
    </w:p>
    <w:p>
      <w:pPr>
        <w:sectPr>
          <w:pgSz w:w="11900" w:h="16838" w:orient="portrait"/>
          <w:cols w:equalWidth="0" w:num="1">
            <w:col w:w="11400"/>
          </w:cols>
          <w:pgMar w:left="240" w:top="580" w:right="2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DONNA 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Donna A. James</w:t>
      </w:r>
    </w:p>
    <w:p>
      <w:pPr>
        <w:sectPr>
          <w:pgSz w:w="11900" w:h="16838" w:orient="portrait"/>
          <w:cols w:equalWidth="0" w:num="1">
            <w:col w:w="11400"/>
          </w:cols>
          <w:pgMar w:left="240" w:top="580" w:right="2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DAVID T. KOLLAT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David T. Kollat</w:t>
      </w:r>
    </w:p>
    <w:p>
      <w:pPr>
        <w:sectPr>
          <w:pgSz w:w="11900" w:h="16838" w:orient="portrait"/>
          <w:cols w:equalWidth="0" w:num="1">
            <w:col w:w="11400"/>
          </w:cols>
          <w:pgMar w:left="240" w:top="580" w:right="2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MICHAEL G.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Michael G. Morris</w:t>
      </w:r>
    </w:p>
    <w:p>
      <w:pPr>
        <w:sectPr>
          <w:pgSz w:w="11900" w:h="16838" w:orient="portrait"/>
          <w:cols w:equalWidth="0" w:num="1">
            <w:col w:w="11400"/>
          </w:cols>
          <w:pgMar w:left="240" w:top="580" w:right="25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ROBERT H. SCHOTTENSTEIN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Robert H. Schottenstein</w:t>
      </w:r>
    </w:p>
    <w:p>
      <w:pPr>
        <w:sectPr>
          <w:pgSz w:w="11900" w:h="16838" w:orient="portrait"/>
          <w:cols w:equalWidth="0" w:num="1">
            <w:col w:w="11400"/>
          </w:cols>
          <w:pgMar w:left="240" w:top="796" w:right="25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STEPHEN D. STEINOUR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Stephen D. Steinour</w:t>
      </w:r>
    </w:p>
    <w:p>
      <w:pPr>
        <w:sectPr>
          <w:pgSz w:w="11900" w:h="16838" w:orient="portrait"/>
          <w:cols w:equalWidth="0" w:num="1">
            <w:col w:w="11400"/>
          </w:cols>
          <w:pgMar w:left="240" w:top="580" w:right="25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ALLAN R. TESSLER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Allan R. Tessler</w:t>
      </w:r>
    </w:p>
    <w:p>
      <w:pPr>
        <w:sectPr>
          <w:pgSz w:w="11900" w:h="16838" w:orient="portrait"/>
          <w:cols w:equalWidth="0" w:num="1">
            <w:col w:w="11400"/>
          </w:cols>
          <w:pgMar w:left="240" w:top="580" w:right="25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ABIGAIL S.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Abigail S. Wexner</w:t>
      </w:r>
    </w:p>
    <w:p>
      <w:pPr>
        <w:sectPr>
          <w:pgSz w:w="11900" w:h="16838" w:orient="portrait"/>
          <w:cols w:equalWidth="0" w:num="1">
            <w:col w:w="11400"/>
          </w:cols>
          <w:pgMar w:left="240" w:top="580" w:right="25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 BRANDS, INC.</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officer and/or director of L Brands, Inc., a Delaware corporation, which anticipates filing an Annual Report on Form 10-K for its fiscal year ended February 2, 2019 under the provisions of the Securities Exchange Act of 1934 with the Securities and Exchange Commission, Washington, DC, hereby constitutes and appoints Leslie H. Wexner and Stuart B. Burgdoerfer,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EXECUTED as of the 31st day of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/s/ RAYMOND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881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right="6860"/>
        <w:spacing w:after="0"/>
        <w:rPr>
          <w:sz w:val="20"/>
          <w:szCs w:val="20"/>
          <w:color w:val="auto"/>
        </w:rPr>
      </w:pPr>
      <w:r>
        <w:rPr>
          <w:rFonts w:ascii="Times New Roman" w:cs="Times New Roman" w:eastAsia="Times New Roman" w:hAnsi="Times New Roman"/>
          <w:sz w:val="18"/>
          <w:szCs w:val="18"/>
          <w:color w:val="auto"/>
        </w:rPr>
        <w:t>Raymond Zimmerman</w:t>
      </w:r>
    </w:p>
    <w:p>
      <w:pPr>
        <w:sectPr>
          <w:pgSz w:w="11900" w:h="16838" w:orient="portrait"/>
          <w:cols w:equalWidth="0" w:num="1">
            <w:col w:w="11400"/>
          </w:cols>
          <w:pgMar w:left="240" w:top="580" w:right="2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H. Wexner, certify that:</w:t>
      </w:r>
    </w:p>
    <w:p>
      <w:pPr>
        <w:spacing w:after="0" w:line="171"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Brands,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LESLIE H.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Leslie H. Wexner</w:t>
      </w:r>
    </w:p>
    <w:p>
      <w:pPr>
        <w:spacing w:after="0" w:line="2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2019</w:t>
      </w:r>
    </w:p>
    <w:p>
      <w:pPr>
        <w:sectPr>
          <w:pgSz w:w="11900" w:h="16838" w:orient="portrait"/>
          <w:cols w:equalWidth="0" w:num="1">
            <w:col w:w="11420"/>
          </w:cols>
          <w:pgMar w:left="240" w:top="576"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B. Burgdoerfer, certify that:</w:t>
      </w:r>
    </w:p>
    <w:p>
      <w:pPr>
        <w:spacing w:after="0" w:line="17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 Brands,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Stuart B. Burgdoerfer</w:t>
      </w:r>
    </w:p>
    <w:p>
      <w:pPr>
        <w:spacing w:after="0" w:line="27"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2019</w:t>
      </w:r>
    </w:p>
    <w:p>
      <w:pPr>
        <w:sectPr>
          <w:pgSz w:w="11900" w:h="16838" w:orient="portrait"/>
          <w:cols w:equalWidth="0" w:num="1">
            <w:col w:w="11420"/>
          </w:cols>
          <w:pgMar w:left="240" w:top="576"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Leslie H. Wexner, the Chairman and Chief Executive Officer, and Stuart B. Burgdoerfer, the Executive Vice President and Chief Financial Officer, of L Brands, Inc. (the “Company”), each certifies that, to the best of his knowledge:</w:t>
      </w:r>
    </w:p>
    <w:p>
      <w:pPr>
        <w:spacing w:after="0" w:line="108" w:lineRule="exact"/>
        <w:rPr>
          <w:sz w:val="20"/>
          <w:szCs w:val="20"/>
          <w:color w:val="auto"/>
        </w:rPr>
      </w:pPr>
    </w:p>
    <w:p>
      <w:pPr>
        <w:ind w:left="660" w:right="640" w:hanging="652"/>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dated March 22, 2019 for the fiscal year ended February 2, 2019 (the “Form 10-K”),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8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LESLIE H.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146050</wp:posOffset>
            </wp:positionV>
            <wp:extent cx="2675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Leslie H. Wexner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STUART B.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Stuart B. Burgdoerfer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Letter"/>
      <w:start w:val="2"/>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lvl w:ilvl="1">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1)"/>
      <w:numFmt w:val="lowerLetter"/>
      <w:start w:val="1"/>
    </w:lvl>
    <w:lvl w:ilvl="1">
      <w:lvlJc w:val="left"/>
      <w:lvlText w:val="(%2)"/>
      <w:numFmt w:val="lowerRoman"/>
      <w:start w:val="1"/>
    </w:lvl>
  </w:abstractNum>
  <w:abstractNum w:abstractNumId="11">
    <w:nsid w:val="57E4CCAF"/>
    <w:multiLevelType w:val="hybridMultilevel"/>
    <w:lvl w:ilvl="0">
      <w:lvlJc w:val="left"/>
      <w:lvlText w:val="(%1)"/>
      <w:numFmt w:val="lowerLetter"/>
      <w:start w:val="3"/>
    </w:lvl>
    <w:lvl w:ilvl="1">
      <w:lvlJc w:val="left"/>
      <w:lvlText w:val="(%2)"/>
      <w:numFmt w:val="lowerRoman"/>
      <w:start w:val="1"/>
    </w:lvl>
  </w:abstractNum>
  <w:abstractNum w:abstractNumId="12">
    <w:nsid w:val="7A6D8D3C"/>
    <w:multiLevelType w:val="hybridMultilevel"/>
    <w:lvl w:ilvl="0">
      <w:lvlJc w:val="left"/>
      <w:lvlText w:val="(%1)"/>
      <w:numFmt w:val="lowerLetter"/>
      <w:start w:val="4"/>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lvl w:ilvl="1">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1)"/>
      <w:numFmt w:val="lowerLetter"/>
      <w:start w:val="3"/>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lowerLetter"/>
      <w:start w:val="1"/>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1)"/>
      <w:numFmt w:val="lowerLetter"/>
      <w:start w:val="1"/>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1)"/>
      <w:numFmt w:val="lowerLetter"/>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lowerLetter"/>
      <w:start w:val="2"/>
    </w:lvl>
  </w:abstractNum>
  <w:abstractNum w:abstractNumId="30">
    <w:nsid w:val="4F4EF005"/>
    <w:multiLevelType w:val="hybridMultilevel"/>
    <w:lvl w:ilvl="0">
      <w:lvlJc w:val="left"/>
      <w:lvlText w:val="(%1)"/>
      <w:numFmt w:val="lowerLetter"/>
      <w:start w:val="1"/>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2"/>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lowerLetter"/>
      <w:start w:val="1"/>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2"/>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2"/>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2"/>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decimal"/>
      <w:start w:val="9"/>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decimal"/>
      <w:start w:val="14"/>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decimal"/>
      <w:start w:val="20"/>
    </w:lvl>
  </w:abstractNum>
  <w:abstractNum w:abstractNumId="55">
    <w:nsid w:val="1F48EAA1"/>
    <w:multiLevelType w:val="hybridMultilevel"/>
    <w:lvl w:ilvl="0">
      <w:lvlJc w:val="left"/>
      <w:lvlText w:val="%1."/>
      <w:numFmt w:val="decimal"/>
      <w:start w:val="2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2"/>
    </w:lvl>
  </w:abstractNum>
  <w:abstractNum w:abstractNumId="64">
    <w:nsid w:val="6B94764"/>
    <w:multiLevelType w:val="hybridMultilevel"/>
    <w:lvl w:ilvl="0">
      <w:lvlJc w:val="left"/>
      <w:lvlText w:val="%1."/>
      <w:numFmt w:val="decimal"/>
      <w:start w:val="4"/>
    </w:lvl>
  </w:abstractNum>
  <w:abstractNum w:abstractNumId="65">
    <w:nsid w:val="42C296BD"/>
    <w:multiLevelType w:val="hybridMultilevel"/>
    <w:lvl w:ilvl="0">
      <w:lvlJc w:val="left"/>
      <w:lvlText w:val="%1."/>
      <w:numFmt w:val="decimal"/>
      <w:start w:val="10"/>
    </w:lvl>
  </w:abstractNum>
  <w:abstractNum w:abstractNumId="66">
    <w:nsid w:val="168E121F"/>
    <w:multiLevelType w:val="hybridMultilevel"/>
    <w:lvl w:ilvl="0">
      <w:lvlJc w:val="left"/>
      <w:lvlText w:val="%1."/>
      <w:numFmt w:val="decimal"/>
      <w:start w:val="21"/>
    </w:lvl>
  </w:abstractNum>
  <w:abstractNum w:abstractNumId="67">
    <w:nsid w:val="1EBA5D23"/>
    <w:multiLevelType w:val="hybridMultilevel"/>
    <w:lvl w:ilvl="0">
      <w:lvlJc w:val="left"/>
      <w:lvlText w:val="%1."/>
      <w:numFmt w:val="decimal"/>
      <w:start w:val="24"/>
    </w:lvl>
  </w:abstractNum>
  <w:abstractNum w:abstractNumId="68">
    <w:nsid w:val="661E3F1E"/>
    <w:multiLevelType w:val="hybridMultilevel"/>
    <w:lvl w:ilvl="0">
      <w:lvlJc w:val="left"/>
      <w:lvlText w:val="%1."/>
      <w:numFmt w:val="decimal"/>
      <w:start w:val="32"/>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1"/>
      <w:numFmt w:val="lowerLetter"/>
      <w:start w:val="1"/>
    </w:lvl>
    <w:lvl w:ilvl="1">
      <w:lvlJc w:val="left"/>
      <w:lvlText w:val="(%2)"/>
      <w:numFmt w:val="upperLetter"/>
      <w:start w:val="16"/>
    </w:lvl>
  </w:abstractNum>
  <w:abstractNum w:abstractNumId="71">
    <w:nsid w:val="7BD3EE7B"/>
    <w:multiLevelType w:val="hybridMultilevel"/>
    <w:lvl w:ilvl="0">
      <w:lvlJc w:val="left"/>
      <w:lvlText w:val="(%1)"/>
      <w:numFmt w:val="lowerLetter"/>
      <w:start w:val="2"/>
    </w:lvl>
    <w:lvl w:ilvl="1">
      <w:lvlJc w:val="left"/>
      <w:lvlText w:val="%2"/>
      <w:numFmt w:val="upperLetter"/>
      <w:start w:val="1"/>
    </w:lvl>
  </w:abstractNum>
  <w:abstractNum w:abstractNumId="72">
    <w:nsid w:val="51D9C564"/>
    <w:multiLevelType w:val="hybridMultilevel"/>
    <w:lvl w:ilvl="0">
      <w:lvlJc w:val="left"/>
      <w:lvlText w:val="(%1)"/>
      <w:numFmt w:val="lowerLetter"/>
      <w:start w:val="3"/>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54" Type="http://schemas.openxmlformats.org/officeDocument/2006/relationships/image" Target="media/image6.pn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74" Type="http://schemas.openxmlformats.org/officeDocument/2006/relationships/image" Target="media/image26.png"/><Relationship Id="rId75" Type="http://schemas.openxmlformats.org/officeDocument/2006/relationships/image" Target="media/image27.png"/><Relationship Id="rId13" Type="http://schemas.openxmlformats.org/officeDocument/2006/relationships/hyperlink" Target="http://www.sec.gov/Archives/edgar/data/701985/000070198514000013/lb21201410kex31.htm" TargetMode="External"/><Relationship Id="rId14" Type="http://schemas.openxmlformats.org/officeDocument/2006/relationships/hyperlink" Target="http://www.sec.gov/Archives/edgar/data/701985/000070198516000093/a31amendedandrestatedbylaw.htm" TargetMode="External"/><Relationship Id="rId15" Type="http://schemas.openxmlformats.org/officeDocument/2006/relationships/hyperlink" Target="http://www.sec.gov/Archives/edgar/data/701985/000095010303001339/may2003_ex0401.txt" TargetMode="External"/><Relationship Id="rId16" Type="http://schemas.openxmlformats.org/officeDocument/2006/relationships/hyperlink" Target="http://www.sec.gov/Archives/edgar/data/701985/000095010303001167/apr1403_ex04.txt" TargetMode="External"/><Relationship Id="rId17" Type="http://schemas.openxmlformats.org/officeDocument/2006/relationships/hyperlink" Target="http://www.sec.gov/Archives/edgar/data/701985/000095010305001555/ex040102.htm" TargetMode="External"/><Relationship Id="rId18" Type="http://schemas.openxmlformats.org/officeDocument/2006/relationships/hyperlink" Target="http://www.sec.gov/Archives/edgar/data/701985/000119312507211040/dex413.htm" TargetMode="External"/><Relationship Id="rId19" Type="http://schemas.openxmlformats.org/officeDocument/2006/relationships/hyperlink" Target="http://www.sec.gov/Archives/edgar/data/701985/000119312509136679/dex41.htm" TargetMode="External"/><Relationship Id="rId20" Type="http://schemas.openxmlformats.org/officeDocument/2006/relationships/hyperlink" Target="http://www.sec.gov/Archives/edgar/data/701985/000119312509136679/dex42.htm" TargetMode="External"/><Relationship Id="rId21" Type="http://schemas.openxmlformats.org/officeDocument/2006/relationships/hyperlink" Target="http://www.sec.gov/Archives/edgar/data/701985/000095010310003271/dp19831_ex040104.htm" TargetMode="External"/><Relationship Id="rId22" Type="http://schemas.openxmlformats.org/officeDocument/2006/relationships/hyperlink" Target="http://www.sec.gov/Archives/edgar/data/701985/000119312511073224/dex415.htm" TargetMode="External"/><Relationship Id="rId23" Type="http://schemas.openxmlformats.org/officeDocument/2006/relationships/hyperlink" Target="http://www.sec.gov/Archives/edgar/data/701985/000119312511073224/dex416.htm" TargetMode="External"/><Relationship Id="rId24" Type="http://schemas.openxmlformats.org/officeDocument/2006/relationships/hyperlink" Target="http://www.sec.gov/Archives/edgar/data/701985/000070198512000027/ltd-2012428_ex41.htm" TargetMode="External"/><Relationship Id="rId25" Type="http://schemas.openxmlformats.org/officeDocument/2006/relationships/hyperlink" Target="http://www.sec.gov/Archives/edgar/data/701985/000095010313006223/dp41492_ex040108.htm" TargetMode="External"/><Relationship Id="rId26" Type="http://schemas.openxmlformats.org/officeDocument/2006/relationships/hyperlink" Target="http://www.sec.gov/Archives/edgar/data/701985/000095010313006223/dp41492_ex040109.htm" TargetMode="External"/><Relationship Id="rId27" Type="http://schemas.openxmlformats.org/officeDocument/2006/relationships/hyperlink" Target="http://www.sec.gov/Archives/edgar/data/701985/000070198514000030/ex41lbrands-2014amendmenta.htm" TargetMode="External"/><Relationship Id="rId28" Type="http://schemas.openxmlformats.org/officeDocument/2006/relationships/hyperlink" Target="http://www.sec.gov/Archives/edgar/data/701985/000119312516436961/d238804dex416.htm" TargetMode="External"/><Relationship Id="rId29" Type="http://schemas.openxmlformats.org/officeDocument/2006/relationships/hyperlink" Target="http://www.sec.gov/Archives/edgar/data/701985/000070198515000014/ltd-201552_ex41.htm" TargetMode="External"/><Relationship Id="rId30" Type="http://schemas.openxmlformats.org/officeDocument/2006/relationships/hyperlink" Target="http://www.sec.gov/Archives/edgar/data/701985/000070198515000035/a41october2015indenture.htm" TargetMode="External"/><Relationship Id="rId31" Type="http://schemas.openxmlformats.org/officeDocument/2006/relationships/hyperlink" Target="http://www.sec.gov/Archives/edgar/data/701985/000070198515000035/a43october2015registration.htm" TargetMode="External"/><Relationship Id="rId32" Type="http://schemas.openxmlformats.org/officeDocument/2006/relationships/hyperlink" Target="http://www.sec.gov/Archives/edgar/data/701985/000119312516623095/d167047dex41.htm" TargetMode="External"/><Relationship Id="rId33" Type="http://schemas.openxmlformats.org/officeDocument/2006/relationships/hyperlink" Target="http://www.sec.gov/Archives/edgar/data/701985/000119312516623095/d167047dex42.htm" TargetMode="External"/><Relationship Id="rId34" Type="http://schemas.openxmlformats.org/officeDocument/2006/relationships/hyperlink" Target="http://www.sec.gov/Archives/edgar/data/701985/000095010317004707/dp76280_ex0401.htm" TargetMode="External"/><Relationship Id="rId35" Type="http://schemas.openxmlformats.org/officeDocument/2006/relationships/hyperlink" Target="http://www.sec.gov/Archives/edgar/data/701985/000119312518016808/d527009dex42.htm" TargetMode="External"/><Relationship Id="rId36" Type="http://schemas.openxmlformats.org/officeDocument/2006/relationships/hyperlink" Target="http://www.sec.gov/Archives/edgar/data/701985/000114036118038258/s002352x1_ex4-25.htm" TargetMode="External"/><Relationship Id="rId37" Type="http://schemas.openxmlformats.org/officeDocument/2006/relationships/hyperlink" Target="http://www.sec.gov/Archives/edgar/data/701985/000114036118038258/s002352x1_ex4-26.htm" TargetMode="External"/><Relationship Id="rId38" Type="http://schemas.openxmlformats.org/officeDocument/2006/relationships/hyperlink" Target="http://www.sec.gov/Archives/edgar/data/701985/000095010901500716/dex103.txt" TargetMode="External"/><Relationship Id="rId39" Type="http://schemas.openxmlformats.org/officeDocument/2006/relationships/hyperlink" Target="http://www.sec.gov/Archives/edgar/data/701985/0000950109-99-001502.txt" TargetMode="External"/><Relationship Id="rId40" Type="http://schemas.openxmlformats.org/officeDocument/2006/relationships/hyperlink" Target="http://www.sec.gov/Archives/edgar/data/701985/0000950130-97-001678.txt" TargetMode="External"/><Relationship Id="rId41" Type="http://schemas.openxmlformats.org/officeDocument/2006/relationships/hyperlink" Target="http://www.sec.gov/Archives/edgar/data/701985/0000950130-99-002635.txt" TargetMode="External"/><Relationship Id="rId42" Type="http://schemas.openxmlformats.org/officeDocument/2006/relationships/hyperlink" Target="http://www.sec.gov/Archives/edgar/data/701985/000119312503080045/dex41.txt" TargetMode="External"/><Relationship Id="rId43" Type="http://schemas.openxmlformats.org/officeDocument/2006/relationships/hyperlink" Target="http://www.sec.gov/Archives/edgar/data/701985/000119312505072902/dex1032.htm" TargetMode="External"/><Relationship Id="rId44" Type="http://schemas.openxmlformats.org/officeDocument/2006/relationships/hyperlink" Target="http://www.sec.gov/Archives/edgar/data/701985/000095010307000901/dp05281e_ex1002.htm" TargetMode="External"/><Relationship Id="rId45" Type="http://schemas.openxmlformats.org/officeDocument/2006/relationships/hyperlink" Target="http://www.sec.gov/Archives/edgar/data/701985/000119312508191095/dex101.htm" TargetMode="External"/><Relationship Id="rId46" Type="http://schemas.openxmlformats.org/officeDocument/2006/relationships/hyperlink" Target="http://www.sec.gov/Archives/edgar/data/701985/000095010309002240/dp14748_ex9901.htm" TargetMode="External"/><Relationship Id="rId47" Type="http://schemas.openxmlformats.org/officeDocument/2006/relationships/hyperlink" Target="http://www.sec.gov/Archives/edgar/data/701985/000070198512000021/ltd128201210kex1024.htm" TargetMode="External"/><Relationship Id="rId48" Type="http://schemas.openxmlformats.org/officeDocument/2006/relationships/hyperlink" Target="http://www.sec.gov/Archives/edgar/data/701985/000070198512000021/ltd128201210kex1025.htm" TargetMode="External"/><Relationship Id="rId49" Type="http://schemas.openxmlformats.org/officeDocument/2006/relationships/hyperlink" Target="http://www.sec.gov/Archives/edgar/data/701985/000070198515000006/lb131201510kex1023.htm" TargetMode="External"/><Relationship Id="rId50" Type="http://schemas.openxmlformats.org/officeDocument/2006/relationships/hyperlink" Target="http://www.sec.gov/Archives/edgar/data/701985/000070198515000031/lb2015sbcs-8_ex9912015lbsb.htm" TargetMode="External"/><Relationship Id="rId51" Type="http://schemas.openxmlformats.org/officeDocument/2006/relationships/hyperlink" Target="http://www.sec.gov/Archives/edgar/data/701985/000070198515000030/ltd-201581_ex101.htm" TargetMode="External"/><Relationship Id="rId52" Type="http://schemas.openxmlformats.org/officeDocument/2006/relationships/hyperlink" Target="http://www.sec.gov/Archives/edgar/data/701985/000070198515000030/ltd-201581_ex102.htm" TargetMode="External"/><Relationship Id="rId53" Type="http://schemas.openxmlformats.org/officeDocument/2006/relationships/hyperlink" Target="http://www.sec.gov/Archives/edgar/data/701985/000095010315004114/dp56349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2019-12-28T14:40:40Z</dcterms:created>
  <dcterms:modified xsi:type="dcterms:W3CDTF">2019-12-28T14:40:40Z</dcterms:modified>
</cp:coreProperties>
</file>