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71755</wp:posOffset>
            </wp:positionV>
            <wp:extent cx="599567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95670" cy="1651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129540</wp:posOffset>
            </wp:positionV>
            <wp:extent cx="59956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95670" cy="8255"/>
                    </a:xfrm>
                    <a:prstGeom prst="rect">
                      <a:avLst/>
                    </a:prstGeom>
                    <a:noFill/>
                  </pic:spPr>
                </pic:pic>
              </a:graphicData>
            </a:graphic>
          </wp:anchor>
        </w:drawing>
      </w:r>
    </w:p>
    <w:p>
      <w:pPr>
        <w:spacing w:after="0" w:line="398" w:lineRule="exact"/>
        <w:rPr>
          <w:sz w:val="24"/>
          <w:szCs w:val="24"/>
          <w:color w:val="auto"/>
        </w:rPr>
      </w:pPr>
    </w:p>
    <w:p>
      <w:pPr>
        <w:jc w:val="center"/>
        <w:ind w:right="-140"/>
        <w:spacing w:after="0"/>
        <w:rPr>
          <w:sz w:val="20"/>
          <w:szCs w:val="20"/>
          <w:color w:val="auto"/>
        </w:rPr>
      </w:pPr>
      <w:r>
        <w:rPr>
          <w:rFonts w:ascii="Arial" w:cs="Arial" w:eastAsia="Arial" w:hAnsi="Arial"/>
          <w:sz w:val="24"/>
          <w:szCs w:val="24"/>
          <w:b w:val="1"/>
          <w:bCs w:val="1"/>
          <w:color w:val="auto"/>
        </w:rPr>
        <w:t>UNITED STATES</w:t>
      </w:r>
    </w:p>
    <w:p>
      <w:pPr>
        <w:spacing w:after="0" w:line="37" w:lineRule="exact"/>
        <w:rPr>
          <w:sz w:val="24"/>
          <w:szCs w:val="24"/>
          <w:color w:val="auto"/>
        </w:rPr>
      </w:pPr>
    </w:p>
    <w:p>
      <w:pPr>
        <w:jc w:val="center"/>
        <w:ind w:right="-140"/>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220"/>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150495</wp:posOffset>
            </wp:positionV>
            <wp:extent cx="10661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spacing w:after="0" w:line="303" w:lineRule="exact"/>
        <w:rPr>
          <w:sz w:val="24"/>
          <w:szCs w:val="24"/>
          <w:color w:val="auto"/>
        </w:rPr>
      </w:pPr>
    </w:p>
    <w:p>
      <w:pPr>
        <w:jc w:val="center"/>
        <w:ind w:right="-220"/>
        <w:spacing w:after="0"/>
        <w:rPr>
          <w:sz w:val="20"/>
          <w:szCs w:val="20"/>
          <w:color w:val="auto"/>
        </w:rPr>
      </w:pPr>
      <w:r>
        <w:rPr>
          <w:rFonts w:ascii="Arial" w:cs="Arial" w:eastAsia="Arial" w:hAnsi="Arial"/>
          <w:sz w:val="28"/>
          <w:szCs w:val="28"/>
          <w:b w:val="1"/>
          <w:bCs w:val="1"/>
          <w:color w:val="auto"/>
        </w:rPr>
        <w:t>SCHEDULE 14A</w:t>
      </w:r>
    </w:p>
    <w:p>
      <w:pPr>
        <w:spacing w:after="0" w:line="137" w:lineRule="exact"/>
        <w:rPr>
          <w:sz w:val="24"/>
          <w:szCs w:val="24"/>
          <w:color w:val="auto"/>
        </w:rPr>
      </w:pPr>
    </w:p>
    <w:p>
      <w:pPr>
        <w:jc w:val="center"/>
        <w:ind w:right="-160"/>
        <w:spacing w:after="0"/>
        <w:rPr>
          <w:sz w:val="20"/>
          <w:szCs w:val="20"/>
          <w:color w:val="auto"/>
        </w:rPr>
      </w:pPr>
      <w:r>
        <w:rPr>
          <w:rFonts w:ascii="Arial" w:cs="Arial" w:eastAsia="Arial" w:hAnsi="Arial"/>
          <w:sz w:val="17"/>
          <w:szCs w:val="17"/>
          <w:b w:val="1"/>
          <w:bCs w:val="1"/>
          <w:color w:val="auto"/>
        </w:rPr>
        <w:t>(Rule 14a-101)</w:t>
      </w:r>
    </w:p>
    <w:p>
      <w:pPr>
        <w:spacing w:after="0" w:line="19" w:lineRule="exact"/>
        <w:rPr>
          <w:sz w:val="24"/>
          <w:szCs w:val="24"/>
          <w:color w:val="auto"/>
        </w:rPr>
      </w:pPr>
    </w:p>
    <w:p>
      <w:pPr>
        <w:jc w:val="center"/>
        <w:ind w:right="-160"/>
        <w:spacing w:after="0"/>
        <w:rPr>
          <w:sz w:val="20"/>
          <w:szCs w:val="20"/>
          <w:color w:val="auto"/>
        </w:rPr>
      </w:pPr>
      <w:r>
        <w:rPr>
          <w:rFonts w:ascii="Arial" w:cs="Arial" w:eastAsia="Arial" w:hAnsi="Arial"/>
          <w:sz w:val="17"/>
          <w:szCs w:val="17"/>
          <w:b w:val="1"/>
          <w:bCs w:val="1"/>
          <w:color w:val="auto"/>
        </w:rPr>
        <w:t>INFORMATION REQUIRED IN PROXY STATEMENT</w:t>
      </w:r>
    </w:p>
    <w:p>
      <w:pPr>
        <w:spacing w:after="0" w:line="1" w:lineRule="exact"/>
        <w:rPr>
          <w:sz w:val="24"/>
          <w:szCs w:val="24"/>
          <w:color w:val="auto"/>
        </w:rPr>
      </w:pPr>
    </w:p>
    <w:p>
      <w:pPr>
        <w:jc w:val="center"/>
        <w:ind w:right="-220"/>
        <w:spacing w:after="0"/>
        <w:rPr>
          <w:sz w:val="20"/>
          <w:szCs w:val="20"/>
          <w:color w:val="auto"/>
        </w:rPr>
      </w:pPr>
      <w:r>
        <w:rPr>
          <w:rFonts w:ascii="Arial" w:cs="Arial" w:eastAsia="Arial" w:hAnsi="Arial"/>
          <w:sz w:val="17"/>
          <w:szCs w:val="17"/>
          <w:b w:val="1"/>
          <w:bCs w:val="1"/>
          <w:color w:val="auto"/>
        </w:rPr>
        <w:t>SCHEDULE 14A INFORMATION</w:t>
      </w:r>
    </w:p>
    <w:p>
      <w:pPr>
        <w:spacing w:after="0" w:line="127" w:lineRule="exact"/>
        <w:rPr>
          <w:sz w:val="24"/>
          <w:szCs w:val="24"/>
          <w:color w:val="auto"/>
        </w:rPr>
      </w:pPr>
    </w:p>
    <w:p>
      <w:pPr>
        <w:jc w:val="center"/>
        <w:ind w:right="-160"/>
        <w:spacing w:after="0"/>
        <w:rPr>
          <w:sz w:val="20"/>
          <w:szCs w:val="20"/>
          <w:color w:val="auto"/>
        </w:rPr>
      </w:pPr>
      <w:r>
        <w:rPr>
          <w:rFonts w:ascii="Arial" w:cs="Arial" w:eastAsia="Arial" w:hAnsi="Arial"/>
          <w:sz w:val="17"/>
          <w:szCs w:val="17"/>
          <w:b w:val="1"/>
          <w:bCs w:val="1"/>
          <w:color w:val="auto"/>
        </w:rPr>
        <w:t>Proxy Statement Pursuant to Section 14(a) of the</w:t>
      </w:r>
    </w:p>
    <w:p>
      <w:pPr>
        <w:spacing w:after="0" w:line="19" w:lineRule="exact"/>
        <w:rPr>
          <w:sz w:val="24"/>
          <w:szCs w:val="24"/>
          <w:color w:val="auto"/>
        </w:rPr>
      </w:pPr>
    </w:p>
    <w:p>
      <w:pPr>
        <w:jc w:val="center"/>
        <w:ind w:right="-220"/>
        <w:spacing w:after="0"/>
        <w:rPr>
          <w:sz w:val="20"/>
          <w:szCs w:val="20"/>
          <w:color w:val="auto"/>
        </w:rPr>
      </w:pPr>
      <w:r>
        <w:rPr>
          <w:rFonts w:ascii="Arial" w:cs="Arial" w:eastAsia="Arial" w:hAnsi="Arial"/>
          <w:sz w:val="17"/>
          <w:szCs w:val="17"/>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175895</wp:posOffset>
            </wp:positionV>
            <wp:extent cx="10661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spacing w:after="0" w:line="184" w:lineRule="exact"/>
        <w:tabs>
          <w:tab w:leader="none" w:pos="3340" w:val="left"/>
        </w:tabs>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214"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w:t>
      </w:r>
    </w:p>
    <w:p>
      <w:pPr>
        <w:spacing w:after="0" w:line="255" w:lineRule="exact"/>
        <w:rPr>
          <w:sz w:val="24"/>
          <w:szCs w:val="24"/>
          <w:color w:val="auto"/>
        </w:rPr>
      </w:pPr>
    </w:p>
    <w:p>
      <w:pPr>
        <w:ind w:left="420" w:hanging="413"/>
        <w:spacing w:after="0"/>
        <w:tabs>
          <w:tab w:leader="none" w:pos="420"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181" w:lineRule="exact"/>
        <w:rPr>
          <w:rFonts w:ascii="MS PGothic" w:cs="MS PGothic" w:eastAsia="MS PGothic" w:hAnsi="MS PGothic"/>
          <w:sz w:val="16"/>
          <w:szCs w:val="16"/>
          <w:color w:val="auto"/>
        </w:rPr>
      </w:pPr>
    </w:p>
    <w:p>
      <w:pPr>
        <w:ind w:left="420" w:hanging="413"/>
        <w:spacing w:after="0"/>
        <w:tabs>
          <w:tab w:leader="none" w:pos="420" w:val="left"/>
        </w:tabs>
        <w:numPr>
          <w:ilvl w:val="1"/>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198" w:lineRule="exact"/>
        <w:rPr>
          <w:rFonts w:ascii="MS PGothic" w:cs="MS PGothic" w:eastAsia="MS PGothic" w:hAnsi="MS PGothic"/>
          <w:sz w:val="16"/>
          <w:szCs w:val="16"/>
          <w:color w:val="auto"/>
        </w:rPr>
      </w:pPr>
    </w:p>
    <w:p>
      <w:pPr>
        <w:ind w:left="420" w:hanging="417"/>
        <w:spacing w:after="0"/>
        <w:tabs>
          <w:tab w:leader="none" w:pos="4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170" w:lineRule="exact"/>
        <w:rPr>
          <w:rFonts w:ascii="MS PGothic" w:cs="MS PGothic" w:eastAsia="MS PGothic" w:hAnsi="MS PGothic"/>
          <w:sz w:val="16"/>
          <w:szCs w:val="16"/>
          <w:color w:val="auto"/>
        </w:rPr>
      </w:pPr>
    </w:p>
    <w:p>
      <w:pPr>
        <w:ind w:left="420" w:hanging="413"/>
        <w:spacing w:after="0"/>
        <w:tabs>
          <w:tab w:leader="none" w:pos="420"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196" w:lineRule="exact"/>
        <w:rPr>
          <w:rFonts w:ascii="MS PGothic" w:cs="MS PGothic" w:eastAsia="MS PGothic" w:hAnsi="MS PGothic"/>
          <w:sz w:val="16"/>
          <w:szCs w:val="16"/>
          <w:color w:val="auto"/>
        </w:rPr>
      </w:pPr>
    </w:p>
    <w:p>
      <w:pPr>
        <w:ind w:left="420" w:hanging="413"/>
        <w:spacing w:after="0"/>
        <w:tabs>
          <w:tab w:leader="none" w:pos="420"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§240.14a-12</w:t>
      </w:r>
    </w:p>
    <w:p>
      <w:pPr>
        <w:spacing w:after="0" w:line="249" w:lineRule="exact"/>
        <w:rPr>
          <w:sz w:val="24"/>
          <w:szCs w:val="24"/>
          <w:color w:val="auto"/>
        </w:rPr>
      </w:pPr>
    </w:p>
    <w:p>
      <w:pPr>
        <w:jc w:val="center"/>
        <w:ind w:right="-120"/>
        <w:spacing w:after="0"/>
        <w:rPr>
          <w:sz w:val="20"/>
          <w:szCs w:val="20"/>
          <w:color w:val="auto"/>
        </w:rPr>
      </w:pPr>
      <w:r>
        <w:rPr>
          <w:rFonts w:ascii="Arial" w:cs="Arial" w:eastAsia="Arial" w:hAnsi="Arial"/>
          <w:sz w:val="35"/>
          <w:szCs w:val="35"/>
          <w:b w:val="1"/>
          <w:bCs w:val="1"/>
          <w:color w:val="auto"/>
        </w:rPr>
        <w:t>Bath &amp; Body Works, Inc.</w:t>
      </w:r>
    </w:p>
    <w:p>
      <w:pPr>
        <w:spacing w:after="0" w:line="41" w:lineRule="exact"/>
        <w:rPr>
          <w:sz w:val="24"/>
          <w:szCs w:val="24"/>
          <w:color w:val="auto"/>
        </w:rPr>
      </w:pPr>
    </w:p>
    <w:p>
      <w:pPr>
        <w:ind w:left="2760"/>
        <w:spacing w:after="0"/>
        <w:rPr>
          <w:sz w:val="20"/>
          <w:szCs w:val="20"/>
          <w:color w:val="auto"/>
        </w:rPr>
      </w:pPr>
      <w:r>
        <w:rPr>
          <w:rFonts w:ascii="Arial" w:cs="Arial" w:eastAsia="Arial" w:hAnsi="Arial"/>
          <w:sz w:val="17"/>
          <w:szCs w:val="17"/>
          <w:b w:val="1"/>
          <w:bCs w:val="1"/>
          <w:color w:val="auto"/>
        </w:rPr>
        <w:t>(Name of Registrant as Specified in its Charter)</w:t>
      </w:r>
    </w:p>
    <w:p>
      <w:pPr>
        <w:spacing w:after="0" w:line="1" w:lineRule="exact"/>
        <w:rPr>
          <w:sz w:val="24"/>
          <w:szCs w:val="24"/>
          <w:color w:val="auto"/>
        </w:rPr>
      </w:pPr>
    </w:p>
    <w:p>
      <w:pPr>
        <w:ind w:left="4620"/>
        <w:spacing w:after="0"/>
        <w:rPr>
          <w:sz w:val="20"/>
          <w:szCs w:val="20"/>
          <w:color w:val="auto"/>
        </w:rPr>
      </w:pPr>
      <w:r>
        <w:rPr>
          <w:rFonts w:ascii="Arial" w:cs="Arial" w:eastAsia="Arial" w:hAnsi="Arial"/>
          <w:sz w:val="17"/>
          <w:szCs w:val="17"/>
          <w:b w:val="1"/>
          <w:bCs w:val="1"/>
          <w:color w:val="auto"/>
        </w:rPr>
        <w:t> </w:t>
      </w:r>
    </w:p>
    <w:p>
      <w:pPr>
        <w:spacing w:after="0" w:line="1" w:lineRule="exact"/>
        <w:rPr>
          <w:sz w:val="24"/>
          <w:szCs w:val="24"/>
          <w:color w:val="auto"/>
        </w:rPr>
      </w:pPr>
    </w:p>
    <w:p>
      <w:pPr>
        <w:ind w:left="4080"/>
        <w:spacing w:after="0"/>
        <w:rPr>
          <w:sz w:val="20"/>
          <w:szCs w:val="20"/>
          <w:color w:val="auto"/>
        </w:rPr>
      </w:pPr>
      <w:r>
        <w:rPr>
          <w:rFonts w:ascii="Arial" w:cs="Arial" w:eastAsia="Arial" w:hAnsi="Arial"/>
          <w:sz w:val="17"/>
          <w:szCs w:val="17"/>
          <w:b w:val="1"/>
          <w:bCs w:val="1"/>
          <w:color w:val="auto"/>
        </w:rPr>
        <w:t>Not applicable.</w:t>
      </w:r>
    </w:p>
    <w:p>
      <w:pPr>
        <w:spacing w:after="0" w:line="1" w:lineRule="exact"/>
        <w:rPr>
          <w:sz w:val="24"/>
          <w:szCs w:val="24"/>
          <w:color w:val="auto"/>
        </w:rPr>
      </w:pPr>
    </w:p>
    <w:p>
      <w:pPr>
        <w:jc w:val="right"/>
        <w:ind w:right="1539"/>
        <w:spacing w:after="0"/>
        <w:rPr>
          <w:sz w:val="20"/>
          <w:szCs w:val="20"/>
          <w:color w:val="auto"/>
        </w:rPr>
      </w:pPr>
      <w:r>
        <w:rPr>
          <w:rFonts w:ascii="Arial" w:cs="Arial" w:eastAsia="Arial" w:hAnsi="Arial"/>
          <w:sz w:val="17"/>
          <w:szCs w:val="17"/>
          <w:b w:val="1"/>
          <w:bCs w:val="1"/>
          <w:color w:val="auto"/>
        </w:rPr>
        <w:t>(Name of Person(s) Filing Proxy Statement, if other than the Registrant)</w:t>
      </w:r>
    </w:p>
    <w:p>
      <w:pPr>
        <w:spacing w:after="0" w:line="208" w:lineRule="exact"/>
        <w:rPr>
          <w:sz w:val="24"/>
          <w:szCs w:val="24"/>
          <w:color w:val="auto"/>
        </w:rPr>
      </w:pPr>
    </w:p>
    <w:p>
      <w:pPr>
        <w:spacing w:after="0"/>
        <w:rPr>
          <w:sz w:val="20"/>
          <w:szCs w:val="20"/>
          <w:color w:val="auto"/>
        </w:rPr>
      </w:pPr>
      <w:r>
        <w:rPr>
          <w:rFonts w:ascii="Arial" w:cs="Arial" w:eastAsia="Arial" w:hAnsi="Arial"/>
          <w:sz w:val="17"/>
          <w:szCs w:val="17"/>
          <w:color w:val="auto"/>
        </w:rPr>
        <w:t>Payment of Filing Fee (Check all boxes that apply):</w:t>
      </w:r>
    </w:p>
    <w:p>
      <w:pPr>
        <w:spacing w:after="0" w:line="242" w:lineRule="exact"/>
        <w:rPr>
          <w:sz w:val="24"/>
          <w:szCs w:val="24"/>
          <w:color w:val="auto"/>
        </w:rPr>
      </w:pPr>
    </w:p>
    <w:p>
      <w:pPr>
        <w:ind w:left="420" w:hanging="417"/>
        <w:spacing w:after="0"/>
        <w:tabs>
          <w:tab w:leader="none" w:pos="42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170" w:lineRule="exact"/>
        <w:rPr>
          <w:rFonts w:ascii="MS PGothic" w:cs="MS PGothic" w:eastAsia="MS PGothic" w:hAnsi="MS PGothic"/>
          <w:sz w:val="16"/>
          <w:szCs w:val="16"/>
          <w:color w:val="auto"/>
        </w:rPr>
      </w:pPr>
    </w:p>
    <w:p>
      <w:pPr>
        <w:ind w:left="420" w:hanging="413"/>
        <w:spacing w:after="0"/>
        <w:tabs>
          <w:tab w:leader="none" w:pos="420" w:val="left"/>
        </w:tabs>
        <w:numPr>
          <w:ilvl w:val="1"/>
          <w:numId w:val="2"/>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196" w:lineRule="exact"/>
        <w:rPr>
          <w:rFonts w:ascii="MS PGothic" w:cs="MS PGothic" w:eastAsia="MS PGothic" w:hAnsi="MS PGothic"/>
          <w:sz w:val="16"/>
          <w:szCs w:val="16"/>
          <w:color w:val="auto"/>
        </w:rPr>
      </w:pPr>
    </w:p>
    <w:p>
      <w:pPr>
        <w:ind w:left="420" w:hanging="413"/>
        <w:spacing w:after="0"/>
        <w:tabs>
          <w:tab w:leader="none" w:pos="420" w:val="left"/>
        </w:tabs>
        <w:numPr>
          <w:ilvl w:val="1"/>
          <w:numId w:val="2"/>
        </w:numPr>
        <w:rPr>
          <w:rFonts w:ascii="MS PGothic" w:cs="MS PGothic" w:eastAsia="MS PGothic" w:hAnsi="MS PGothic"/>
          <w:sz w:val="16"/>
          <w:szCs w:val="16"/>
          <w:color w:val="auto"/>
        </w:rPr>
      </w:pPr>
      <w:r>
        <w:rPr>
          <w:rFonts w:ascii="Arial" w:cs="Arial" w:eastAsia="Arial" w:hAnsi="Arial"/>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-393065</wp:posOffset>
            </wp:positionH>
            <wp:positionV relativeFrom="paragraph">
              <wp:posOffset>390525</wp:posOffset>
            </wp:positionV>
            <wp:extent cx="6795135"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95135" cy="1651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173990</wp:posOffset>
            </wp:positionV>
            <wp:extent cx="59956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95670" cy="82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232410</wp:posOffset>
            </wp:positionV>
            <wp:extent cx="5995670"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95670" cy="16510"/>
                    </a:xfrm>
                    <a:prstGeom prst="rect">
                      <a:avLst/>
                    </a:prstGeom>
                    <a:noFill/>
                  </pic:spPr>
                </pic:pic>
              </a:graphicData>
            </a:graphic>
          </wp:anchor>
        </w:drawing>
      </w:r>
    </w:p>
    <w:p>
      <w:pPr>
        <w:sectPr>
          <w:pgSz w:w="11900" w:h="16838" w:orient="portrait"/>
          <w:cols w:equalWidth="0" w:num="1">
            <w:col w:w="9239"/>
          </w:cols>
          <w:pgMar w:left="1220" w:top="22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094855" cy="91928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94855" cy="9192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115570</wp:posOffset>
            </wp:positionV>
            <wp:extent cx="6795135"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95135" cy="16510"/>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wp:posOffset>
            </wp:positionH>
            <wp:positionV relativeFrom="paragraph">
              <wp:posOffset>103505</wp:posOffset>
            </wp:positionV>
            <wp:extent cx="6994525" cy="91179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4525" cy="9117965"/>
                    </a:xfrm>
                    <a:prstGeom prst="rect">
                      <a:avLst/>
                    </a:prstGeom>
                    <a:noFill/>
                  </pic:spPr>
                </pic:pic>
              </a:graphicData>
            </a:graphic>
          </wp:anchor>
        </w:drawing>
      </w:r>
    </w:p>
    <w:p>
      <w:pPr>
        <w:sectPr>
          <w:pgSz w:w="11900" w:h="16838" w:orient="portrait"/>
          <w:cols w:equalWidth="0" w:num="1">
            <w:col w:w="10139"/>
          </w:cols>
          <w:pgMar w:left="320" w:top="116"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9" w:lineRule="exact"/>
        <w:rPr>
          <w:sz w:val="20"/>
          <w:szCs w:val="20"/>
          <w:color w:val="auto"/>
        </w:rPr>
      </w:pPr>
    </w:p>
    <w:p>
      <w:pPr>
        <w:spacing w:after="0"/>
        <w:rPr>
          <w:sz w:val="20"/>
          <w:szCs w:val="20"/>
          <w:color w:val="auto"/>
        </w:rPr>
      </w:pPr>
      <w:r>
        <w:rPr>
          <w:rFonts w:ascii="Arial" w:cs="Arial" w:eastAsia="Arial" w:hAnsi="Arial"/>
          <w:sz w:val="28"/>
          <w:szCs w:val="28"/>
          <w:color w:val="292F72"/>
        </w:rPr>
        <w:t>Dear Fellow Shareholders,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As we reflect on fiscal 2025, it has been a year of transition fueled by change and transformative, innovative energy to help set the groundwork for</w:t>
      </w:r>
    </w:p>
    <w:p>
      <w:pPr>
        <w:spacing w:after="0" w:line="10" w:lineRule="exact"/>
        <w:rPr>
          <w:sz w:val="20"/>
          <w:szCs w:val="20"/>
          <w:color w:val="auto"/>
        </w:rPr>
      </w:pPr>
    </w:p>
    <w:p>
      <w:pPr>
        <w:ind w:right="300"/>
        <w:spacing w:after="0" w:line="242" w:lineRule="auto"/>
        <w:rPr>
          <w:sz w:val="20"/>
          <w:szCs w:val="20"/>
          <w:color w:val="auto"/>
        </w:rPr>
      </w:pPr>
      <w:r>
        <w:rPr>
          <w:rFonts w:ascii="Arial" w:cs="Arial" w:eastAsia="Arial" w:hAnsi="Arial"/>
          <w:sz w:val="13"/>
          <w:szCs w:val="13"/>
          <w:color w:val="auto"/>
        </w:rPr>
        <w:t>success in 2026 and beyond. Bath &amp; Body Works is a business with meaningful and durable advantages: an iconic brand with deep customer affection, category-leading fragrance franchises, a large and highly engaged loyalty base of 40 million members, a fast and flexible domestic</w:t>
      </w:r>
    </w:p>
    <w:p>
      <w:pPr>
        <w:spacing w:after="0"/>
        <w:rPr>
          <w:sz w:val="20"/>
          <w:szCs w:val="20"/>
          <w:color w:val="auto"/>
        </w:rPr>
      </w:pPr>
      <w:r>
        <w:rPr>
          <w:rFonts w:ascii="Arial" w:cs="Arial" w:eastAsia="Arial" w:hAnsi="Arial"/>
          <w:sz w:val="14"/>
          <w:szCs w:val="14"/>
          <w:color w:val="auto"/>
        </w:rPr>
        <w:t>supply chain, and a global fleet of 2,500 stores. These are powerful assets that we believe position us to win.</w:t>
      </w:r>
    </w:p>
    <w:p>
      <w:pPr>
        <w:spacing w:after="0" w:line="48" w:lineRule="exact"/>
        <w:rPr>
          <w:sz w:val="20"/>
          <w:szCs w:val="20"/>
          <w:color w:val="auto"/>
        </w:rPr>
      </w:pPr>
    </w:p>
    <w:p>
      <w:pPr>
        <w:ind w:right="80"/>
        <w:spacing w:after="0" w:line="280" w:lineRule="auto"/>
        <w:rPr>
          <w:sz w:val="20"/>
          <w:szCs w:val="20"/>
          <w:color w:val="auto"/>
        </w:rPr>
      </w:pPr>
      <w:r>
        <w:rPr>
          <w:rFonts w:ascii="Arial" w:cs="Arial" w:eastAsia="Arial" w:hAnsi="Arial"/>
          <w:sz w:val="13"/>
          <w:szCs w:val="13"/>
          <w:color w:val="auto"/>
        </w:rPr>
        <w:t xml:space="preserve">In 2025, the Board of Directors fulfilled a key governance responsibility by guiding a planned CEO transition. Under this new leadership, we acknowledged that recent performance does not fully realize the Company’s potential. In response, we introduced the </w:t>
      </w:r>
      <w:r>
        <w:rPr>
          <w:rFonts w:ascii="Arial" w:cs="Arial" w:eastAsia="Arial" w:hAnsi="Arial"/>
          <w:sz w:val="13"/>
          <w:szCs w:val="13"/>
          <w:b w:val="1"/>
          <w:bCs w:val="1"/>
          <w:color w:val="auto"/>
        </w:rPr>
        <w:t>Consumer First Formula</w:t>
      </w:r>
      <w:r>
        <w:rPr>
          <w:rFonts w:ascii="Arial" w:cs="Arial" w:eastAsia="Arial" w:hAnsi="Arial"/>
          <w:sz w:val="13"/>
          <w:szCs w:val="13"/>
          <w:color w:val="auto"/>
        </w:rPr>
        <w:t>, a comprehensive, multi-year strategy to drive sustainable, profitable growth by placing the consumer back at the center of every decision.</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Our Plan: The Consumer First Formula</w:t>
      </w:r>
    </w:p>
    <w:p>
      <w:pPr>
        <w:spacing w:after="0" w:line="70" w:lineRule="exact"/>
        <w:rPr>
          <w:sz w:val="20"/>
          <w:szCs w:val="20"/>
          <w:color w:val="auto"/>
        </w:rPr>
      </w:pPr>
    </w:p>
    <w:p>
      <w:pPr>
        <w:jc w:val="both"/>
        <w:ind w:right="160"/>
        <w:spacing w:after="0" w:line="253" w:lineRule="auto"/>
        <w:rPr>
          <w:sz w:val="20"/>
          <w:szCs w:val="20"/>
          <w:color w:val="auto"/>
        </w:rPr>
      </w:pPr>
      <w:r>
        <w:rPr>
          <w:rFonts w:ascii="Arial" w:cs="Arial" w:eastAsia="Arial" w:hAnsi="Arial"/>
          <w:sz w:val="13"/>
          <w:szCs w:val="13"/>
          <w:color w:val="auto"/>
        </w:rPr>
        <w:t xml:space="preserve">First, </w:t>
      </w:r>
      <w:r>
        <w:rPr>
          <w:rFonts w:ascii="Arial" w:cs="Arial" w:eastAsia="Arial" w:hAnsi="Arial"/>
          <w:sz w:val="13"/>
          <w:szCs w:val="13"/>
          <w:b w:val="1"/>
          <w:bCs w:val="1"/>
          <w:color w:val="auto"/>
        </w:rPr>
        <w:t>Create Innovative, Disruptive Product</w:t>
      </w:r>
      <w:r>
        <w:rPr>
          <w:rFonts w:ascii="Arial" w:cs="Arial" w:eastAsia="Arial" w:hAnsi="Arial"/>
          <w:sz w:val="13"/>
          <w:szCs w:val="13"/>
          <w:color w:val="auto"/>
        </w:rPr>
        <w:t>. We are refocusing on our hero categories where we believe that our brand and expertise give us the strongest right to win - body care, home fragrance, and soaps &amp; sanitizers. Our innovation pipeline is grounded in deeper consumer insight,</w:t>
      </w:r>
    </w:p>
    <w:p>
      <w:pPr>
        <w:spacing w:after="0"/>
        <w:rPr>
          <w:sz w:val="20"/>
          <w:szCs w:val="20"/>
          <w:color w:val="auto"/>
        </w:rPr>
      </w:pPr>
      <w:r>
        <w:rPr>
          <w:rFonts w:ascii="Arial" w:cs="Arial" w:eastAsia="Arial" w:hAnsi="Arial"/>
          <w:sz w:val="14"/>
          <w:szCs w:val="14"/>
          <w:color w:val="auto"/>
        </w:rPr>
        <w:t>earlier testing, and a sharper focus on benefits.</w:t>
      </w:r>
    </w:p>
    <w:p>
      <w:pPr>
        <w:spacing w:after="0" w:line="48" w:lineRule="exact"/>
        <w:rPr>
          <w:sz w:val="20"/>
          <w:szCs w:val="20"/>
          <w:color w:val="auto"/>
        </w:rPr>
      </w:pPr>
    </w:p>
    <w:p>
      <w:pPr>
        <w:ind w:right="60"/>
        <w:spacing w:after="0" w:line="252" w:lineRule="auto"/>
        <w:rPr>
          <w:sz w:val="20"/>
          <w:szCs w:val="20"/>
          <w:color w:val="auto"/>
        </w:rPr>
      </w:pPr>
      <w:r>
        <w:rPr>
          <w:rFonts w:ascii="Arial" w:cs="Arial" w:eastAsia="Arial" w:hAnsi="Arial"/>
          <w:sz w:val="14"/>
          <w:szCs w:val="14"/>
          <w:color w:val="auto"/>
        </w:rPr>
        <w:t xml:space="preserve">Second, </w:t>
      </w:r>
      <w:r>
        <w:rPr>
          <w:rFonts w:ascii="Arial" w:cs="Arial" w:eastAsia="Arial" w:hAnsi="Arial"/>
          <w:sz w:val="14"/>
          <w:szCs w:val="14"/>
          <w:b w:val="1"/>
          <w:bCs w:val="1"/>
          <w:color w:val="auto"/>
        </w:rPr>
        <w:t>Reignite the Brand</w:t>
      </w:r>
      <w:r>
        <w:rPr>
          <w:rFonts w:ascii="Arial" w:cs="Arial" w:eastAsia="Arial" w:hAnsi="Arial"/>
          <w:sz w:val="14"/>
          <w:szCs w:val="14"/>
          <w:color w:val="auto"/>
        </w:rPr>
        <w:t>. Bath &amp; Body Works has high awareness, but awareness alone is not enough. We must earn greater cultural relevance and give new and younger consumers stronger reasons to choose us. We believe that this requires clearer positioning, more distinctive storytelling, and a more elevated, creator-led, and digitally driven marketing model.</w:t>
      </w:r>
    </w:p>
    <w:p>
      <w:pPr>
        <w:spacing w:after="0" w:line="31" w:lineRule="exact"/>
        <w:rPr>
          <w:sz w:val="20"/>
          <w:szCs w:val="20"/>
          <w:color w:val="auto"/>
        </w:rPr>
      </w:pPr>
    </w:p>
    <w:p>
      <w:pPr>
        <w:ind w:right="40"/>
        <w:spacing w:after="0" w:line="246" w:lineRule="auto"/>
        <w:rPr>
          <w:sz w:val="20"/>
          <w:szCs w:val="20"/>
          <w:color w:val="auto"/>
        </w:rPr>
      </w:pPr>
      <w:r>
        <w:rPr>
          <w:rFonts w:ascii="Arial" w:cs="Arial" w:eastAsia="Arial" w:hAnsi="Arial"/>
          <w:sz w:val="14"/>
          <w:szCs w:val="14"/>
          <w:color w:val="auto"/>
        </w:rPr>
        <w:t xml:space="preserve">Third, </w:t>
      </w:r>
      <w:r>
        <w:rPr>
          <w:rFonts w:ascii="Arial" w:cs="Arial" w:eastAsia="Arial" w:hAnsi="Arial"/>
          <w:sz w:val="14"/>
          <w:szCs w:val="14"/>
          <w:b w:val="1"/>
          <w:bCs w:val="1"/>
          <w:color w:val="auto"/>
        </w:rPr>
        <w:t>Win in the Marketplace</w:t>
      </w:r>
      <w:r>
        <w:rPr>
          <w:rFonts w:ascii="Arial" w:cs="Arial" w:eastAsia="Arial" w:hAnsi="Arial"/>
          <w:sz w:val="14"/>
          <w:szCs w:val="14"/>
          <w:color w:val="auto"/>
        </w:rPr>
        <w:t>. We are putting ourselves in the path of the consumer. Our store fleet remains a significant competitive advantage, and we are improving the in-store experience through simplification and better navigation. At the same time, our Amazon launch and digital investments expand our reach to new and lapsed consumers. Internationally, our partners continue to deliver strong growth, providing an additional avenue for expansion.</w:t>
      </w:r>
    </w:p>
    <w:p>
      <w:pPr>
        <w:spacing w:after="0" w:line="35" w:lineRule="exact"/>
        <w:rPr>
          <w:sz w:val="20"/>
          <w:szCs w:val="20"/>
          <w:color w:val="auto"/>
        </w:rPr>
      </w:pPr>
    </w:p>
    <w:p>
      <w:pPr>
        <w:spacing w:after="0" w:line="252" w:lineRule="auto"/>
        <w:rPr>
          <w:sz w:val="20"/>
          <w:szCs w:val="20"/>
          <w:color w:val="auto"/>
        </w:rPr>
      </w:pPr>
      <w:r>
        <w:rPr>
          <w:rFonts w:ascii="Arial" w:cs="Arial" w:eastAsia="Arial" w:hAnsi="Arial"/>
          <w:sz w:val="14"/>
          <w:szCs w:val="14"/>
          <w:color w:val="auto"/>
        </w:rPr>
        <w:t xml:space="preserve">Fourth, </w:t>
      </w:r>
      <w:r>
        <w:rPr>
          <w:rFonts w:ascii="Arial" w:cs="Arial" w:eastAsia="Arial" w:hAnsi="Arial"/>
          <w:sz w:val="14"/>
          <w:szCs w:val="14"/>
          <w:b w:val="1"/>
          <w:bCs w:val="1"/>
          <w:color w:val="auto"/>
        </w:rPr>
        <w:t>Operate with Speed &amp; Efficiency</w:t>
      </w:r>
      <w:r>
        <w:rPr>
          <w:rFonts w:ascii="Arial" w:cs="Arial" w:eastAsia="Arial" w:hAnsi="Arial"/>
          <w:sz w:val="14"/>
          <w:szCs w:val="14"/>
          <w:color w:val="auto"/>
        </w:rPr>
        <w:t>. We are simplifying how we operate and reallocating resources to the highest-impact opportunities. Our Fuel for Growth program targets $250 million in cost savings over two years, including $175 million in 2026. These savings will fund investments in product, brand, and distribution while increasing the speed and agility of the organization.</w:t>
      </w:r>
    </w:p>
    <w:p>
      <w:pPr>
        <w:spacing w:after="0" w:line="31" w:lineRule="exact"/>
        <w:rPr>
          <w:sz w:val="20"/>
          <w:szCs w:val="20"/>
          <w:color w:val="auto"/>
        </w:rPr>
      </w:pPr>
    </w:p>
    <w:p>
      <w:pPr>
        <w:jc w:val="both"/>
        <w:ind w:right="160"/>
        <w:spacing w:after="0" w:line="269" w:lineRule="auto"/>
        <w:rPr>
          <w:sz w:val="20"/>
          <w:szCs w:val="20"/>
          <w:color w:val="auto"/>
        </w:rPr>
      </w:pPr>
      <w:r>
        <w:rPr>
          <w:rFonts w:ascii="Arial" w:cs="Arial" w:eastAsia="Arial" w:hAnsi="Arial"/>
          <w:sz w:val="14"/>
          <w:szCs w:val="14"/>
          <w:color w:val="auto"/>
        </w:rPr>
        <w:t>We have also strengthened leadership across key functions, including merchandising, digital, wholesale, stores, and brand. Equally important is the culture we are cultivating - one that is more agile, accountable, and creative, with a strong consumer-centric foundation.</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Board Support</w:t>
      </w:r>
    </w:p>
    <w:p>
      <w:pPr>
        <w:spacing w:after="0" w:line="109" w:lineRule="exact"/>
        <w:rPr>
          <w:sz w:val="20"/>
          <w:szCs w:val="20"/>
          <w:color w:val="auto"/>
        </w:rPr>
      </w:pPr>
    </w:p>
    <w:p>
      <w:pPr>
        <w:ind w:right="440"/>
        <w:spacing w:after="0" w:line="269" w:lineRule="auto"/>
        <w:rPr>
          <w:sz w:val="20"/>
          <w:szCs w:val="20"/>
          <w:color w:val="auto"/>
        </w:rPr>
      </w:pPr>
      <w:r>
        <w:rPr>
          <w:rFonts w:ascii="Arial" w:cs="Arial" w:eastAsia="Arial" w:hAnsi="Arial"/>
          <w:sz w:val="14"/>
          <w:szCs w:val="14"/>
          <w:color w:val="auto"/>
        </w:rPr>
        <w:t>As we navigate our transformation, we remain grounded in strong corporate governance and support the creation of long-term value for our shareholders.</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We are committed to ensuring balanced and thoughtful allocation of capital, as we invest in the new strategy while returning cash to shareholders.</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We were pleased to pay $167 million in dividends and repurchase approximately 15 million shares of common stock for $400 million in 2025.</w:t>
      </w:r>
    </w:p>
    <w:p>
      <w:pPr>
        <w:spacing w:after="0" w:line="48" w:lineRule="exact"/>
        <w:rPr>
          <w:sz w:val="20"/>
          <w:szCs w:val="20"/>
          <w:color w:val="auto"/>
        </w:rPr>
      </w:pPr>
    </w:p>
    <w:p>
      <w:pPr>
        <w:jc w:val="both"/>
        <w:ind w:right="160"/>
        <w:spacing w:after="0" w:line="252" w:lineRule="auto"/>
        <w:rPr>
          <w:sz w:val="20"/>
          <w:szCs w:val="20"/>
          <w:color w:val="auto"/>
        </w:rPr>
      </w:pPr>
      <w:r>
        <w:rPr>
          <w:rFonts w:ascii="Arial" w:cs="Arial" w:eastAsia="Arial" w:hAnsi="Arial"/>
          <w:sz w:val="14"/>
          <w:szCs w:val="14"/>
          <w:color w:val="auto"/>
        </w:rPr>
        <w:t>We are focused on ensuring our executive compensation program is designed to drive shareholder value creation and top-line growth. This past year we started transitioning our short-term incentive program to an annual program to better align with market practice. In 2026, we will evolve our executive compensation program to support the Consumer First Formula.</w:t>
      </w:r>
    </w:p>
    <w:p>
      <w:pPr>
        <w:spacing w:after="0" w:line="31" w:lineRule="exact"/>
        <w:rPr>
          <w:sz w:val="20"/>
          <w:szCs w:val="20"/>
          <w:color w:val="auto"/>
        </w:rPr>
      </w:pPr>
    </w:p>
    <w:p>
      <w:pPr>
        <w:ind w:right="180"/>
        <w:spacing w:after="0" w:line="252" w:lineRule="auto"/>
        <w:rPr>
          <w:sz w:val="20"/>
          <w:szCs w:val="20"/>
          <w:color w:val="auto"/>
        </w:rPr>
      </w:pPr>
      <w:r>
        <w:rPr>
          <w:rFonts w:ascii="Arial" w:cs="Arial" w:eastAsia="Arial" w:hAnsi="Arial"/>
          <w:sz w:val="14"/>
          <w:szCs w:val="14"/>
          <w:color w:val="auto"/>
        </w:rPr>
        <w:t>We believe that our significantly refreshed Board of Directors has the optimal structure and composition with the right mix of expertise, backgrounds, and tenures. If all nominees are elected to serve as directors at the 2026 annual meeting, the average tenure will be 5 years, with 90% of the directors joining in 2019 or later.</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Looking Ahead</w:t>
      </w:r>
    </w:p>
    <w:p>
      <w:pPr>
        <w:spacing w:after="0" w:line="57" w:lineRule="exact"/>
        <w:rPr>
          <w:sz w:val="20"/>
          <w:szCs w:val="20"/>
          <w:color w:val="auto"/>
        </w:rPr>
      </w:pPr>
    </w:p>
    <w:p>
      <w:pPr>
        <w:ind w:right="80"/>
        <w:spacing w:after="0" w:line="269" w:lineRule="auto"/>
        <w:rPr>
          <w:sz w:val="20"/>
          <w:szCs w:val="20"/>
          <w:color w:val="auto"/>
        </w:rPr>
      </w:pPr>
      <w:r>
        <w:rPr>
          <w:rFonts w:ascii="Arial" w:cs="Arial" w:eastAsia="Arial" w:hAnsi="Arial"/>
          <w:sz w:val="14"/>
          <w:szCs w:val="14"/>
          <w:color w:val="auto"/>
        </w:rPr>
        <w:t>The work is well underway, and customers and shareholders will see increasing momentum throughout 2026 and into 2027. We remain confident in our ability to deliver to all our stakeholders. We believe that we have the platform, the plan, and the team to win.</w:t>
      </w:r>
    </w:p>
    <w:p>
      <w:pPr>
        <w:spacing w:after="0" w:line="19" w:lineRule="exact"/>
        <w:rPr>
          <w:sz w:val="20"/>
          <w:szCs w:val="20"/>
          <w:color w:val="auto"/>
        </w:rPr>
      </w:pPr>
    </w:p>
    <w:p>
      <w:pPr>
        <w:ind w:right="120"/>
        <w:spacing w:after="0" w:line="269" w:lineRule="auto"/>
        <w:rPr>
          <w:sz w:val="20"/>
          <w:szCs w:val="20"/>
          <w:color w:val="auto"/>
        </w:rPr>
      </w:pPr>
      <w:r>
        <w:rPr>
          <w:rFonts w:ascii="Arial" w:cs="Arial" w:eastAsia="Arial" w:hAnsi="Arial"/>
          <w:sz w:val="14"/>
          <w:szCs w:val="14"/>
          <w:color w:val="auto"/>
        </w:rPr>
        <w:t>The Company and the Board are committed to ongoing engagement with our shareholders. We continue to listen, learn and implement feedback that supports our Company’s long-term growth.</w:t>
      </w:r>
    </w:p>
    <w:p>
      <w:pPr>
        <w:spacing w:after="0" w:line="19" w:lineRule="exact"/>
        <w:rPr>
          <w:sz w:val="20"/>
          <w:szCs w:val="20"/>
          <w:color w:val="auto"/>
        </w:rPr>
      </w:pPr>
    </w:p>
    <w:p>
      <w:pPr>
        <w:spacing w:after="0" w:line="269" w:lineRule="auto"/>
        <w:rPr>
          <w:sz w:val="20"/>
          <w:szCs w:val="20"/>
          <w:color w:val="auto"/>
        </w:rPr>
      </w:pPr>
      <w:r>
        <w:rPr>
          <w:rFonts w:ascii="Arial" w:cs="Arial" w:eastAsia="Arial" w:hAnsi="Arial"/>
          <w:sz w:val="14"/>
          <w:szCs w:val="14"/>
          <w:color w:val="auto"/>
        </w:rPr>
        <w:t>Thank you for your continued support and confidence in Bath &amp; Body Works. We respectfully ask for your voting support on the matters set forth in this proxy statement.</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53340</wp:posOffset>
            </wp:positionV>
            <wp:extent cx="2872740" cy="3079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72740" cy="307975"/>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sect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color w:val="auto"/>
        </w:rPr>
        <w:t> </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292F72"/>
        </w:rPr>
        <w:t>Daniel Heaf</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b w:val="1"/>
          <w:bCs w:val="1"/>
          <w:color w:val="292F72"/>
        </w:rPr>
        <w:t>Chief Executive Officer</w:t>
      </w:r>
    </w:p>
    <w:p>
      <w:pPr>
        <w:spacing w:after="0"/>
        <w:rPr>
          <w:sz w:val="20"/>
          <w:szCs w:val="20"/>
          <w:color w:val="auto"/>
        </w:rPr>
      </w:pPr>
      <w:r>
        <w:rPr>
          <w:rFonts w:ascii="Arial" w:cs="Arial" w:eastAsia="Arial" w:hAnsi="Arial"/>
          <w:sz w:val="14"/>
          <w:szCs w:val="14"/>
          <w:color w:val="auto"/>
        </w:rPr>
        <w:t>Bath &amp; Body Works,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1723390" cy="18567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23390" cy="1856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 </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color w:val="292F72"/>
        </w:rPr>
        <w:t>Sarah E. Nash</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b w:val="1"/>
          <w:bCs w:val="1"/>
          <w:color w:val="292F72"/>
        </w:rPr>
        <w:t>Board Chair</w:t>
      </w:r>
    </w:p>
    <w:p>
      <w:pPr>
        <w:spacing w:after="0"/>
        <w:rPr>
          <w:sz w:val="20"/>
          <w:szCs w:val="20"/>
          <w:color w:val="auto"/>
        </w:rPr>
      </w:pPr>
      <w:r>
        <w:rPr>
          <w:rFonts w:ascii="Arial" w:cs="Arial" w:eastAsia="Arial" w:hAnsi="Arial"/>
          <w:sz w:val="14"/>
          <w:szCs w:val="14"/>
          <w:color w:val="auto"/>
        </w:rPr>
        <w:t>Bath &amp; Body Works,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2428240</wp:posOffset>
            </wp:positionH>
            <wp:positionV relativeFrom="paragraph">
              <wp:posOffset>61595</wp:posOffset>
            </wp:positionV>
            <wp:extent cx="1840230" cy="18319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40230" cy="183197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480" w:right="3100"/>
        <w:spacing w:after="0" w:line="271" w:lineRule="auto"/>
        <w:rPr>
          <w:sz w:val="20"/>
          <w:szCs w:val="20"/>
          <w:color w:val="auto"/>
        </w:rPr>
      </w:pPr>
      <w:r>
        <w:rPr>
          <w:rFonts w:ascii="Arial" w:cs="Arial" w:eastAsia="Arial" w:hAnsi="Arial"/>
          <w:sz w:val="22"/>
          <w:szCs w:val="22"/>
          <w:color w:val="6D8CC3"/>
        </w:rPr>
        <w:t>Thank you for your continued support and confidence in Bath</w:t>
      </w:r>
    </w:p>
    <w:p>
      <w:pPr>
        <w:spacing w:after="0" w:line="1" w:lineRule="exact"/>
        <w:rPr>
          <w:sz w:val="20"/>
          <w:szCs w:val="20"/>
          <w:color w:val="auto"/>
        </w:rPr>
      </w:pPr>
    </w:p>
    <w:p>
      <w:pPr>
        <w:ind w:left="480" w:right="2940" w:hanging="1"/>
        <w:spacing w:after="0" w:line="253" w:lineRule="auto"/>
        <w:tabs>
          <w:tab w:leader="none" w:pos="695" w:val="left"/>
        </w:tabs>
        <w:numPr>
          <w:ilvl w:val="0"/>
          <w:numId w:val="3"/>
        </w:numPr>
        <w:rPr>
          <w:rFonts w:ascii="Arial" w:cs="Arial" w:eastAsia="Arial" w:hAnsi="Arial"/>
          <w:sz w:val="23"/>
          <w:szCs w:val="23"/>
          <w:color w:val="6D8CC3"/>
        </w:rPr>
      </w:pPr>
      <w:r>
        <w:rPr>
          <w:rFonts w:ascii="Arial" w:cs="Arial" w:eastAsia="Arial" w:hAnsi="Arial"/>
          <w:sz w:val="23"/>
          <w:szCs w:val="23"/>
          <w:color w:val="6D8CC3"/>
        </w:rPr>
        <w:t>Body Works. We respectfully ask for your voting support on the matters set forth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-1468755</wp:posOffset>
            </wp:positionH>
            <wp:positionV relativeFrom="paragraph">
              <wp:posOffset>538480</wp:posOffset>
            </wp:positionV>
            <wp:extent cx="57372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37225" cy="8255"/>
                    </a:xfrm>
                    <a:prstGeom prst="rect">
                      <a:avLst/>
                    </a:prstGeom>
                    <a:noFill/>
                  </pic:spPr>
                </pic:pic>
              </a:graphicData>
            </a:graphic>
          </wp:anchor>
        </w:drawing>
        <w:drawing>
          <wp:anchor simplePos="0" relativeHeight="251657728" behindDoc="1" locked="0" layoutInCell="0" allowOverlap="1">
            <wp:simplePos x="0" y="0"/>
            <wp:positionH relativeFrom="column">
              <wp:posOffset>-1993265</wp:posOffset>
            </wp:positionH>
            <wp:positionV relativeFrom="paragraph">
              <wp:posOffset>654685</wp:posOffset>
            </wp:positionV>
            <wp:extent cx="6795135"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95135" cy="16510"/>
                    </a:xfrm>
                    <a:prstGeom prst="rect">
                      <a:avLst/>
                    </a:prstGeom>
                    <a:noFill/>
                  </pic:spPr>
                </pic:pic>
              </a:graphicData>
            </a:graphic>
          </wp:anchor>
        </w:drawing>
      </w:r>
    </w:p>
    <w:p>
      <w:pPr>
        <w:sectPr>
          <w:pgSz w:w="11900" w:h="16838" w:orient="portrait"/>
          <w:cols w:equalWidth="0" w:num="2">
            <w:col w:w="1600" w:space="720"/>
            <w:col w:w="6720"/>
          </w:cols>
          <w:pgMar w:left="1420" w:top="115" w:right="14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8" w:lineRule="exact"/>
        <w:rPr>
          <w:sz w:val="20"/>
          <w:szCs w:val="20"/>
          <w:color w:val="auto"/>
        </w:rPr>
      </w:pPr>
    </w:p>
    <w:p>
      <w:pPr>
        <w:spacing w:after="0"/>
        <w:rPr>
          <w:sz w:val="20"/>
          <w:szCs w:val="20"/>
          <w:color w:val="auto"/>
        </w:rPr>
      </w:pPr>
      <w:r>
        <w:rPr>
          <w:rFonts w:ascii="Arial" w:cs="Arial" w:eastAsia="Arial" w:hAnsi="Arial"/>
          <w:sz w:val="38"/>
          <w:szCs w:val="38"/>
          <w:color w:val="292F72"/>
        </w:rPr>
        <w:t>Notice of Annual Meeting of Shareholders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6D8CC3"/>
        </w:rPr>
        <w:t>June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167005</wp:posOffset>
            </wp:positionV>
            <wp:extent cx="8255" cy="1057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255" cy="1057275"/>
                    </a:xfrm>
                    <a:prstGeom prst="rect">
                      <a:avLst/>
                    </a:prstGeom>
                    <a:noFill/>
                  </pic:spPr>
                </pic:pic>
              </a:graphicData>
            </a:graphic>
          </wp:anchor>
        </w:drawing>
        <w:drawing>
          <wp:anchor simplePos="0" relativeHeight="251657728" behindDoc="1" locked="0" layoutInCell="0" allowOverlap="1">
            <wp:simplePos x="0" y="0"/>
            <wp:positionH relativeFrom="column">
              <wp:posOffset>2851785</wp:posOffset>
            </wp:positionH>
            <wp:positionV relativeFrom="paragraph">
              <wp:posOffset>167005</wp:posOffset>
            </wp:positionV>
            <wp:extent cx="8255" cy="1057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255" cy="10572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200025</wp:posOffset>
            </wp:positionV>
            <wp:extent cx="324485" cy="3244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4485" cy="324485"/>
                    </a:xfrm>
                    <a:prstGeom prst="rect">
                      <a:avLst/>
                    </a:prstGeom>
                    <a:noFill/>
                  </pic:spPr>
                </pic:pic>
              </a:graphicData>
            </a:graphic>
          </wp:anchor>
        </w:drawing>
        <w:drawing>
          <wp:anchor simplePos="0" relativeHeight="251657728" behindDoc="1" locked="0" layoutInCell="0" allowOverlap="1">
            <wp:simplePos x="0" y="0"/>
            <wp:positionH relativeFrom="column">
              <wp:posOffset>1461135</wp:posOffset>
            </wp:positionH>
            <wp:positionV relativeFrom="paragraph">
              <wp:posOffset>200025</wp:posOffset>
            </wp:positionV>
            <wp:extent cx="324485" cy="3244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4485" cy="32448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200025</wp:posOffset>
            </wp:positionV>
            <wp:extent cx="324485" cy="3244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448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200" w:type="dxa"/>
            <w:vAlign w:val="bottom"/>
          </w:tcPr>
          <w:p>
            <w:pPr>
              <w:spacing w:after="0"/>
              <w:rPr>
                <w:sz w:val="20"/>
                <w:szCs w:val="20"/>
                <w:color w:val="auto"/>
              </w:rPr>
            </w:pPr>
            <w:r>
              <w:rPr>
                <w:rFonts w:ascii="Arial" w:cs="Arial" w:eastAsia="Arial" w:hAnsi="Arial"/>
                <w:sz w:val="16"/>
                <w:szCs w:val="16"/>
                <w:color w:val="auto"/>
              </w:rPr>
              <w:t xml:space="preserve">  </w:t>
            </w:r>
          </w:p>
        </w:tc>
        <w:tc>
          <w:tcPr>
            <w:tcW w:w="2500" w:type="dxa"/>
            <w:vAlign w:val="bottom"/>
          </w:tcPr>
          <w:p>
            <w:pPr>
              <w:ind w:left="1100"/>
              <w:spacing w:after="0"/>
              <w:rPr>
                <w:sz w:val="20"/>
                <w:szCs w:val="20"/>
                <w:color w:val="auto"/>
              </w:rPr>
            </w:pPr>
            <w:r>
              <w:rPr>
                <w:rFonts w:ascii="Arial" w:cs="Arial" w:eastAsia="Arial" w:hAnsi="Arial"/>
                <w:sz w:val="16"/>
                <w:szCs w:val="16"/>
                <w:color w:val="auto"/>
              </w:rPr>
              <w:t xml:space="preserve">  </w:t>
            </w:r>
          </w:p>
        </w:tc>
        <w:tc>
          <w:tcPr>
            <w:tcW w:w="1400" w:type="dxa"/>
            <w:vAlign w:val="bottom"/>
          </w:tcPr>
          <w:p>
            <w:pPr>
              <w:ind w:left="1320"/>
              <w:spacing w:after="0"/>
              <w:rPr>
                <w:sz w:val="20"/>
                <w:szCs w:val="20"/>
                <w:color w:val="auto"/>
              </w:rPr>
            </w:pPr>
            <w:r>
              <w:rPr>
                <w:rFonts w:ascii="Arial" w:cs="Arial" w:eastAsia="Arial" w:hAnsi="Arial"/>
                <w:sz w:val="16"/>
                <w:szCs w:val="16"/>
                <w:color w:val="auto"/>
              </w:rPr>
              <w:t xml:space="preserve">  </w:t>
            </w:r>
          </w:p>
        </w:tc>
      </w:tr>
    </w:tbl>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312"/>
        </w:trPr>
        <w:tc>
          <w:tcPr>
            <w:tcW w:w="1640" w:type="dxa"/>
            <w:vAlign w:val="bottom"/>
          </w:tcPr>
          <w:p>
            <w:pPr>
              <w:spacing w:after="0"/>
              <w:rPr>
                <w:sz w:val="20"/>
                <w:szCs w:val="20"/>
                <w:color w:val="auto"/>
              </w:rPr>
            </w:pPr>
            <w:r>
              <w:rPr>
                <w:rFonts w:ascii="Arial" w:cs="Arial" w:eastAsia="Arial" w:hAnsi="Arial"/>
                <w:sz w:val="23"/>
                <w:szCs w:val="23"/>
                <w:b w:val="1"/>
                <w:bCs w:val="1"/>
                <w:color w:val="6D8CC3"/>
              </w:rPr>
              <w:t>DATE:</w:t>
            </w:r>
          </w:p>
        </w:tc>
        <w:tc>
          <w:tcPr>
            <w:tcW w:w="2480" w:type="dxa"/>
            <w:vAlign w:val="bottom"/>
          </w:tcPr>
          <w:p>
            <w:pPr>
              <w:ind w:left="660"/>
              <w:spacing w:after="0"/>
              <w:rPr>
                <w:sz w:val="20"/>
                <w:szCs w:val="20"/>
                <w:color w:val="auto"/>
              </w:rPr>
            </w:pPr>
            <w:r>
              <w:rPr>
                <w:rFonts w:ascii="Arial" w:cs="Arial" w:eastAsia="Arial" w:hAnsi="Arial"/>
                <w:sz w:val="23"/>
                <w:szCs w:val="23"/>
                <w:b w:val="1"/>
                <w:bCs w:val="1"/>
                <w:color w:val="6D8CC3"/>
              </w:rPr>
              <w:t>TIME:</w:t>
            </w:r>
          </w:p>
        </w:tc>
        <w:tc>
          <w:tcPr>
            <w:tcW w:w="4460" w:type="dxa"/>
            <w:vAlign w:val="bottom"/>
          </w:tcPr>
          <w:p>
            <w:pPr>
              <w:ind w:left="900"/>
              <w:spacing w:after="0"/>
              <w:rPr>
                <w:sz w:val="20"/>
                <w:szCs w:val="20"/>
                <w:color w:val="auto"/>
              </w:rPr>
            </w:pPr>
            <w:r>
              <w:rPr>
                <w:rFonts w:ascii="Arial" w:cs="Arial" w:eastAsia="Arial" w:hAnsi="Arial"/>
                <w:sz w:val="23"/>
                <w:szCs w:val="23"/>
                <w:b w:val="1"/>
                <w:bCs w:val="1"/>
                <w:color w:val="6D8CC3"/>
              </w:rPr>
              <w:t>PLACE:</w:t>
            </w:r>
          </w:p>
        </w:tc>
      </w:tr>
      <w:tr>
        <w:trPr>
          <w:trHeight w:val="243"/>
        </w:trPr>
        <w:tc>
          <w:tcPr>
            <w:tcW w:w="1640" w:type="dxa"/>
            <w:vAlign w:val="bottom"/>
          </w:tcPr>
          <w:p>
            <w:pPr>
              <w:spacing w:after="0"/>
              <w:rPr>
                <w:sz w:val="20"/>
                <w:szCs w:val="20"/>
                <w:color w:val="auto"/>
              </w:rPr>
            </w:pPr>
            <w:r>
              <w:rPr>
                <w:rFonts w:ascii="Arial" w:cs="Arial" w:eastAsia="Arial" w:hAnsi="Arial"/>
                <w:sz w:val="16"/>
                <w:szCs w:val="16"/>
                <w:color w:val="auto"/>
              </w:rPr>
              <w:t>Thursday,</w:t>
            </w:r>
          </w:p>
        </w:tc>
        <w:tc>
          <w:tcPr>
            <w:tcW w:w="2480" w:type="dxa"/>
            <w:vAlign w:val="bottom"/>
          </w:tcPr>
          <w:p>
            <w:pPr>
              <w:ind w:left="660"/>
              <w:spacing w:after="0"/>
              <w:rPr>
                <w:sz w:val="20"/>
                <w:szCs w:val="20"/>
                <w:color w:val="auto"/>
              </w:rPr>
            </w:pPr>
            <w:r>
              <w:rPr>
                <w:rFonts w:ascii="Arial" w:cs="Arial" w:eastAsia="Arial" w:hAnsi="Arial"/>
                <w:sz w:val="16"/>
                <w:szCs w:val="16"/>
                <w:color w:val="auto"/>
              </w:rPr>
              <w:t>8:30 a.m.</w:t>
            </w:r>
          </w:p>
        </w:tc>
        <w:tc>
          <w:tcPr>
            <w:tcW w:w="4460" w:type="dxa"/>
            <w:vAlign w:val="bottom"/>
          </w:tcPr>
          <w:p>
            <w:pPr>
              <w:ind w:left="900"/>
              <w:spacing w:after="0"/>
              <w:rPr>
                <w:sz w:val="20"/>
                <w:szCs w:val="20"/>
                <w:color w:val="auto"/>
              </w:rPr>
            </w:pPr>
            <w:r>
              <w:rPr>
                <w:rFonts w:ascii="Arial" w:cs="Arial" w:eastAsia="Arial" w:hAnsi="Arial"/>
                <w:sz w:val="16"/>
                <w:szCs w:val="16"/>
                <w:color w:val="auto"/>
              </w:rPr>
              <w:t>Meeting will be held virtually at</w:t>
            </w:r>
          </w:p>
        </w:tc>
      </w:tr>
      <w:tr>
        <w:trPr>
          <w:trHeight w:val="216"/>
        </w:trPr>
        <w:tc>
          <w:tcPr>
            <w:tcW w:w="1640" w:type="dxa"/>
            <w:vAlign w:val="bottom"/>
          </w:tcPr>
          <w:p>
            <w:pPr>
              <w:spacing w:after="0"/>
              <w:rPr>
                <w:sz w:val="20"/>
                <w:szCs w:val="20"/>
                <w:color w:val="auto"/>
              </w:rPr>
            </w:pPr>
            <w:r>
              <w:rPr>
                <w:rFonts w:ascii="Arial" w:cs="Arial" w:eastAsia="Arial" w:hAnsi="Arial"/>
                <w:sz w:val="16"/>
                <w:szCs w:val="16"/>
                <w:color w:val="auto"/>
              </w:rPr>
              <w:t>June 11, 2026</w:t>
            </w:r>
          </w:p>
        </w:tc>
        <w:tc>
          <w:tcPr>
            <w:tcW w:w="2480" w:type="dxa"/>
            <w:vAlign w:val="bottom"/>
          </w:tcPr>
          <w:p>
            <w:pPr>
              <w:ind w:left="660"/>
              <w:spacing w:after="0"/>
              <w:rPr>
                <w:sz w:val="20"/>
                <w:szCs w:val="20"/>
                <w:color w:val="auto"/>
              </w:rPr>
            </w:pPr>
            <w:r>
              <w:rPr>
                <w:rFonts w:ascii="Arial" w:cs="Arial" w:eastAsia="Arial" w:hAnsi="Arial"/>
                <w:sz w:val="16"/>
                <w:szCs w:val="16"/>
                <w:color w:val="auto"/>
              </w:rPr>
              <w:t>Eastern Time</w:t>
            </w:r>
          </w:p>
        </w:tc>
        <w:tc>
          <w:tcPr>
            <w:tcW w:w="4460" w:type="dxa"/>
            <w:vAlign w:val="bottom"/>
          </w:tcPr>
          <w:p>
            <w:pPr>
              <w:ind w:left="900"/>
              <w:spacing w:after="0"/>
              <w:rPr>
                <w:sz w:val="20"/>
                <w:szCs w:val="20"/>
                <w:color w:val="auto"/>
              </w:rPr>
            </w:pPr>
            <w:r>
              <w:rPr>
                <w:rFonts w:ascii="Arial" w:cs="Arial" w:eastAsia="Arial" w:hAnsi="Arial"/>
                <w:sz w:val="16"/>
                <w:szCs w:val="16"/>
                <w:b w:val="1"/>
                <w:bCs w:val="1"/>
                <w:color w:val="292F72"/>
                <w:w w:val="97"/>
              </w:rPr>
              <w:t>www.virtualshareholdermeeting.com/BBWI2026</w:t>
            </w:r>
          </w:p>
        </w:tc>
      </w:tr>
    </w:tbl>
    <w:p>
      <w:pPr>
        <w:spacing w:after="0" w:line="173" w:lineRule="exact"/>
        <w:rPr>
          <w:sz w:val="20"/>
          <w:szCs w:val="20"/>
          <w:color w:val="auto"/>
        </w:rPr>
      </w:pPr>
    </w:p>
    <w:p>
      <w:pPr>
        <w:sectPr>
          <w:pgSz w:w="11900" w:h="16838" w:orient="portrait"/>
          <w:cols w:equalWidth="0" w:num="1">
            <w:col w:w="9040"/>
          </w:cols>
          <w:pgMar w:left="1420" w:top="116" w:right="1439" w:bottom="1440" w:gutter="0" w:footer="0" w:header="0"/>
        </w:sectPr>
      </w:pPr>
    </w:p>
    <w:p>
      <w:pPr>
        <w:spacing w:after="0"/>
        <w:rPr>
          <w:sz w:val="20"/>
          <w:szCs w:val="20"/>
          <w:color w:val="auto"/>
        </w:rPr>
      </w:pPr>
      <w:r>
        <w:rPr>
          <w:rFonts w:ascii="Arial" w:cs="Arial" w:eastAsia="Arial" w:hAnsi="Arial"/>
          <w:sz w:val="23"/>
          <w:szCs w:val="23"/>
          <w:b w:val="1"/>
          <w:bCs w:val="1"/>
          <w:color w:val="6D8CC3"/>
        </w:rPr>
        <w:t>ITEMS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101600</wp:posOffset>
            </wp:positionV>
            <wp:extent cx="37388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738880" cy="8255"/>
                    </a:xfrm>
                    <a:prstGeom prst="rect">
                      <a:avLst/>
                    </a:prstGeom>
                    <a:noFill/>
                  </pic:spPr>
                </pic:pic>
              </a:graphicData>
            </a:graphic>
          </wp:anchor>
        </w:drawing>
      </w:r>
    </w:p>
    <w:p>
      <w:pPr>
        <w:spacing w:after="0" w:line="332" w:lineRule="exact"/>
        <w:rPr>
          <w:sz w:val="20"/>
          <w:szCs w:val="20"/>
          <w:color w:val="auto"/>
        </w:rPr>
      </w:pPr>
    </w:p>
    <w:p>
      <w:pPr>
        <w:ind w:left="500" w:hanging="393"/>
        <w:spacing w:after="0"/>
        <w:tabs>
          <w:tab w:leader="none" w:pos="500" w:val="left"/>
        </w:tabs>
        <w:numPr>
          <w:ilvl w:val="0"/>
          <w:numId w:val="4"/>
        </w:numPr>
        <w:rPr>
          <w:rFonts w:ascii="Arial" w:cs="Arial" w:eastAsia="Arial" w:hAnsi="Arial"/>
          <w:sz w:val="23"/>
          <w:szCs w:val="23"/>
          <w:b w:val="1"/>
          <w:bCs w:val="1"/>
          <w:color w:val="6D8CC3"/>
        </w:rPr>
      </w:pPr>
      <w:r>
        <w:rPr>
          <w:rFonts w:ascii="Arial" w:cs="Arial" w:eastAsia="Arial" w:hAnsi="Arial"/>
          <w:sz w:val="16"/>
          <w:szCs w:val="16"/>
          <w:color w:val="auto"/>
        </w:rPr>
        <w:t>Elect the ten nominees proposed by the Board of Directors as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134620</wp:posOffset>
            </wp:positionV>
            <wp:extent cx="37388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738880" cy="8255"/>
                    </a:xfrm>
                    <a:prstGeom prst="rect">
                      <a:avLst/>
                    </a:prstGeom>
                    <a:noFill/>
                  </pic:spPr>
                </pic:pic>
              </a:graphicData>
            </a:graphic>
          </wp:anchor>
        </w:drawing>
      </w:r>
    </w:p>
    <w:p>
      <w:pPr>
        <w:spacing w:after="0" w:line="343" w:lineRule="exact"/>
        <w:rPr>
          <w:sz w:val="20"/>
          <w:szCs w:val="20"/>
          <w:color w:val="auto"/>
        </w:rPr>
      </w:pPr>
    </w:p>
    <w:p>
      <w:pPr>
        <w:ind w:left="500" w:hanging="393"/>
        <w:spacing w:after="0"/>
        <w:tabs>
          <w:tab w:leader="none" w:pos="500" w:val="left"/>
        </w:tabs>
        <w:numPr>
          <w:ilvl w:val="0"/>
          <w:numId w:val="5"/>
        </w:numPr>
        <w:rPr>
          <w:rFonts w:ascii="Arial" w:cs="Arial" w:eastAsia="Arial" w:hAnsi="Arial"/>
          <w:sz w:val="22"/>
          <w:szCs w:val="22"/>
          <w:b w:val="1"/>
          <w:bCs w:val="1"/>
          <w:color w:val="6D8CC3"/>
        </w:rPr>
      </w:pPr>
      <w:r>
        <w:rPr>
          <w:rFonts w:ascii="Arial" w:cs="Arial" w:eastAsia="Arial" w:hAnsi="Arial"/>
          <w:sz w:val="15"/>
          <w:szCs w:val="15"/>
          <w:color w:val="auto"/>
        </w:rPr>
        <w:t>Ratify the appointment of our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134620</wp:posOffset>
            </wp:positionV>
            <wp:extent cx="37388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738880" cy="8255"/>
                    </a:xfrm>
                    <a:prstGeom prst="rect">
                      <a:avLst/>
                    </a:prstGeom>
                    <a:noFill/>
                  </pic:spPr>
                </pic:pic>
              </a:graphicData>
            </a:graphic>
          </wp:anchor>
        </w:drawing>
      </w:r>
    </w:p>
    <w:p>
      <w:pPr>
        <w:spacing w:after="0" w:line="332" w:lineRule="exact"/>
        <w:rPr>
          <w:sz w:val="20"/>
          <w:szCs w:val="20"/>
          <w:color w:val="auto"/>
        </w:rPr>
      </w:pPr>
    </w:p>
    <w:p>
      <w:pPr>
        <w:ind w:left="500" w:hanging="393"/>
        <w:spacing w:after="0"/>
        <w:tabs>
          <w:tab w:leader="none" w:pos="500" w:val="left"/>
        </w:tabs>
        <w:numPr>
          <w:ilvl w:val="0"/>
          <w:numId w:val="6"/>
        </w:numPr>
        <w:rPr>
          <w:rFonts w:ascii="Arial" w:cs="Arial" w:eastAsia="Arial" w:hAnsi="Arial"/>
          <w:sz w:val="23"/>
          <w:szCs w:val="23"/>
          <w:b w:val="1"/>
          <w:bCs w:val="1"/>
          <w:color w:val="6D8CC3"/>
        </w:rPr>
      </w:pPr>
      <w:r>
        <w:rPr>
          <w:rFonts w:ascii="Arial" w:cs="Arial" w:eastAsia="Arial" w:hAnsi="Arial"/>
          <w:sz w:val="16"/>
          <w:szCs w:val="16"/>
          <w:color w:val="auto"/>
        </w:rPr>
        <w:t>Hold an advisory vote to approve 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134620</wp:posOffset>
            </wp:positionV>
            <wp:extent cx="37388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738880" cy="8255"/>
                    </a:xfrm>
                    <a:prstGeom prst="rect">
                      <a:avLst/>
                    </a:prstGeom>
                    <a:noFill/>
                  </pic:spPr>
                </pic:pic>
              </a:graphicData>
            </a:graphic>
          </wp:anchor>
        </w:drawing>
      </w:r>
    </w:p>
    <w:p>
      <w:pPr>
        <w:spacing w:after="0" w:line="332" w:lineRule="exact"/>
        <w:rPr>
          <w:sz w:val="20"/>
          <w:szCs w:val="20"/>
          <w:color w:val="auto"/>
        </w:rPr>
      </w:pPr>
    </w:p>
    <w:p>
      <w:pPr>
        <w:ind w:left="500" w:hanging="393"/>
        <w:spacing w:after="0"/>
        <w:tabs>
          <w:tab w:leader="none" w:pos="500" w:val="left"/>
        </w:tabs>
        <w:numPr>
          <w:ilvl w:val="0"/>
          <w:numId w:val="7"/>
        </w:numPr>
        <w:rPr>
          <w:rFonts w:ascii="Arial" w:cs="Arial" w:eastAsia="Arial" w:hAnsi="Arial"/>
          <w:sz w:val="23"/>
          <w:szCs w:val="23"/>
          <w:b w:val="1"/>
          <w:bCs w:val="1"/>
          <w:color w:val="6D8CC3"/>
        </w:rPr>
      </w:pPr>
      <w:r>
        <w:rPr>
          <w:rFonts w:ascii="Arial" w:cs="Arial" w:eastAsia="Arial" w:hAnsi="Arial"/>
          <w:sz w:val="16"/>
          <w:szCs w:val="16"/>
          <w:color w:val="auto"/>
        </w:rPr>
        <w:t>Transact such other business as may properly come before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109855</wp:posOffset>
            </wp:positionV>
            <wp:extent cx="37388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73888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right="40"/>
        <w:spacing w:after="0" w:line="260" w:lineRule="auto"/>
        <w:rPr>
          <w:sz w:val="20"/>
          <w:szCs w:val="20"/>
          <w:color w:val="auto"/>
        </w:rPr>
      </w:pPr>
      <w:r>
        <w:rPr>
          <w:rFonts w:ascii="Arial" w:cs="Arial" w:eastAsia="Arial" w:hAnsi="Arial"/>
          <w:sz w:val="15"/>
          <w:szCs w:val="15"/>
          <w:color w:val="auto"/>
        </w:rPr>
        <w:t xml:space="preserve">This proxy statement contains important information, including a description of the business that will be acted upon at the meeting. Shareholders will not be able to attend the meeting in person. Please see “Information About the Annual Meeting and Voting” on page </w:t>
      </w:r>
      <w:r>
        <w:rPr>
          <w:rFonts w:ascii="Arial" w:cs="Arial" w:eastAsia="Arial" w:hAnsi="Arial"/>
          <w:sz w:val="15"/>
          <w:szCs w:val="15"/>
          <w:u w:val="single" w:color="auto"/>
          <w:color w:val="0000EE"/>
        </w:rPr>
        <w:t>62</w:t>
      </w:r>
      <w:r>
        <w:rPr>
          <w:rFonts w:ascii="Arial" w:cs="Arial" w:eastAsia="Arial" w:hAnsi="Arial"/>
          <w:sz w:val="15"/>
          <w:szCs w:val="15"/>
          <w:color w:val="auto"/>
        </w:rPr>
        <w:t xml:space="preserve"> of this proxy statement for additional information regarding attendance at the meeting. Your vote is important. Shareholders of record can give proxies by calling a toll-free telephone number, by using the Internet or by mailing their signed proxy cards. Whether or not you plan to virtually attend the meeting, please vote by telephone or via the Internet, or sign, date and return the enclosed proxy card in the envelope provided. Instructions are included on your proxy card. You may change your vote by submitting a later dated proxy (including a proxy via telephone or the Internet) or by attending the meeting and voting virtually.</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173990</wp:posOffset>
            </wp:positionV>
            <wp:extent cx="791210" cy="3079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91210" cy="307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292F72"/>
        </w:rPr>
        <w:t>Daniel J. Heaf</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rPr>
          <w:sz w:val="20"/>
          <w:szCs w:val="20"/>
          <w:color w:val="auto"/>
        </w:rPr>
      </w:pPr>
      <w:r>
        <w:rPr>
          <w:rFonts w:ascii="Arial" w:cs="Arial" w:eastAsia="Arial" w:hAnsi="Arial"/>
          <w:sz w:val="16"/>
          <w:szCs w:val="16"/>
          <w:color w:val="auto"/>
        </w:rPr>
        <w:t>April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306705</wp:posOffset>
            </wp:positionV>
            <wp:extent cx="5753735" cy="1917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3735" cy="191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3"/>
          <w:szCs w:val="23"/>
          <w:b w:val="1"/>
          <w:bCs w:val="1"/>
          <w:color w:val="292F72"/>
        </w:rPr>
        <w:t>Who May Vote</w:t>
      </w:r>
    </w:p>
    <w:p>
      <w:pPr>
        <w:spacing w:after="0" w:line="121" w:lineRule="exact"/>
        <w:rPr>
          <w:sz w:val="20"/>
          <w:szCs w:val="20"/>
          <w:color w:val="auto"/>
        </w:rPr>
      </w:pPr>
    </w:p>
    <w:p>
      <w:pPr>
        <w:ind w:right="240"/>
        <w:spacing w:after="0" w:line="254" w:lineRule="auto"/>
        <w:rPr>
          <w:sz w:val="20"/>
          <w:szCs w:val="20"/>
          <w:color w:val="auto"/>
        </w:rPr>
      </w:pPr>
      <w:r>
        <w:rPr>
          <w:rFonts w:ascii="Arial" w:cs="Arial" w:eastAsia="Arial" w:hAnsi="Arial"/>
          <w:sz w:val="16"/>
          <w:szCs w:val="16"/>
          <w:color w:val="auto"/>
        </w:rPr>
        <w:t>Shareholders of record at the close of business on April 14, 2026, may vote at the meeting.</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3"/>
          <w:szCs w:val="23"/>
          <w:b w:val="1"/>
          <w:bCs w:val="1"/>
          <w:color w:val="292F72"/>
        </w:rPr>
        <w:t>Date of Mailing</w:t>
      </w:r>
    </w:p>
    <w:p>
      <w:pPr>
        <w:spacing w:after="0" w:line="95"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A Notice of Internet Availability of Proxy Materials or this proxy statement and the enclosed proxy card is first being sent to shareholders on or about April 28, 2026.</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3"/>
          <w:szCs w:val="23"/>
          <w:b w:val="1"/>
          <w:bCs w:val="1"/>
          <w:color w:val="292F72"/>
        </w:rPr>
        <w:t>Internet Availability</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accordance with Securities and Exchange Commission rules, we are using the Internet as our primary means of furnishing our proxy materials to most of our shareholders. Rather than sending those shareholders a paper copy of our proxy materials, we are sending them a Notice of Internet Availability of Proxy Materials with instructions for accessing the materials and voting via the Internet. We believe this method of distribution makes the proxy distribution process more efficient and less costly and limits our impact on the environment. This proxy statement and our Annual Report on Form 10-K for the fiscal year ended January 31, 2026, are available at </w:t>
      </w:r>
      <w:r>
        <w:rPr>
          <w:rFonts w:ascii="Arial" w:cs="Arial" w:eastAsia="Arial" w:hAnsi="Arial"/>
          <w:sz w:val="16"/>
          <w:szCs w:val="16"/>
          <w:b w:val="1"/>
          <w:bCs w:val="1"/>
          <w:color w:val="292F72"/>
        </w:rPr>
        <w:t xml:space="preserve">www.bbwinc.com </w:t>
      </w:r>
      <w:r>
        <w:rPr>
          <w:rFonts w:ascii="Arial" w:cs="Arial" w:eastAsia="Arial" w:hAnsi="Arial"/>
          <w:sz w:val="16"/>
          <w:szCs w:val="16"/>
          <w:color w:val="000000"/>
        </w:rPr>
        <w:t>(see the “Investors”</w:t>
      </w:r>
      <w:r>
        <w:rPr>
          <w:rFonts w:ascii="Arial" w:cs="Arial" w:eastAsia="Arial" w:hAnsi="Arial"/>
          <w:sz w:val="16"/>
          <w:szCs w:val="16"/>
          <w:b w:val="1"/>
          <w:bCs w:val="1"/>
          <w:color w:val="292F72"/>
        </w:rPr>
        <w:t xml:space="preserve"> </w:t>
      </w:r>
      <w:r>
        <w:rPr>
          <w:rFonts w:ascii="Arial" w:cs="Arial" w:eastAsia="Arial" w:hAnsi="Arial"/>
          <w:sz w:val="16"/>
          <w:szCs w:val="16"/>
          <w:color w:val="000000"/>
        </w:rPr>
        <w:t>link followed by the “Annual Reports/Proxy” link).</w:t>
      </w:r>
    </w:p>
    <w:p>
      <w:pPr>
        <w:spacing w:after="0" w:line="200" w:lineRule="exact"/>
        <w:rPr>
          <w:sz w:val="20"/>
          <w:szCs w:val="20"/>
          <w:color w:val="auto"/>
        </w:rPr>
      </w:pPr>
    </w:p>
    <w:p>
      <w:pPr>
        <w:sectPr>
          <w:pgSz w:w="11900" w:h="16838" w:orient="portrait"/>
          <w:cols w:equalWidth="0" w:num="2">
            <w:col w:w="5780" w:space="540"/>
            <w:col w:w="2720"/>
          </w:cols>
          <w:pgMar w:left="1420" w:top="116" w:right="1439" w:bottom="1440" w:gutter="0" w:footer="0" w:header="0"/>
          <w:type w:val="continuous"/>
        </w:sectPr>
      </w:pPr>
    </w:p>
    <w:p>
      <w:pPr>
        <w:spacing w:after="0" w:line="297" w:lineRule="exact"/>
        <w:rPr>
          <w:sz w:val="20"/>
          <w:szCs w:val="20"/>
          <w:color w:val="auto"/>
        </w:rPr>
      </w:pPr>
    </w:p>
    <w:p>
      <w:pPr>
        <w:spacing w:after="0"/>
        <w:rPr>
          <w:sz w:val="20"/>
          <w:szCs w:val="20"/>
          <w:color w:val="auto"/>
        </w:rPr>
      </w:pPr>
      <w:r>
        <w:rPr>
          <w:rFonts w:ascii="Arial" w:cs="Arial" w:eastAsia="Arial" w:hAnsi="Arial"/>
          <w:sz w:val="23"/>
          <w:szCs w:val="23"/>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127000</wp:posOffset>
            </wp:positionV>
            <wp:extent cx="6795135" cy="16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95135" cy="16510"/>
                    </a:xfrm>
                    <a:prstGeom prst="rect">
                      <a:avLst/>
                    </a:prstGeom>
                    <a:noFill/>
                  </pic:spPr>
                </pic:pic>
              </a:graphicData>
            </a:graphic>
          </wp:anchor>
        </w:drawing>
      </w:r>
    </w:p>
    <w:p>
      <w:pPr>
        <w:sectPr>
          <w:pgSz w:w="11900" w:h="16838" w:orient="portrait"/>
          <w:cols w:equalWidth="0" w:num="1">
            <w:col w:w="9040"/>
          </w:cols>
          <w:pgMar w:left="1420" w:top="116" w:right="14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8" w:lineRule="exact"/>
        <w:rPr>
          <w:sz w:val="20"/>
          <w:szCs w:val="20"/>
          <w:color w:val="auto"/>
        </w:rPr>
      </w:pPr>
    </w:p>
    <w:p>
      <w:pPr>
        <w:spacing w:after="0"/>
        <w:rPr>
          <w:sz w:val="20"/>
          <w:szCs w:val="20"/>
          <w:color w:val="auto"/>
        </w:rPr>
      </w:pPr>
      <w:r>
        <w:rPr>
          <w:rFonts w:ascii="Arial" w:cs="Arial" w:eastAsia="Arial" w:hAnsi="Arial"/>
          <w:sz w:val="38"/>
          <w:szCs w:val="38"/>
          <w:color w:val="292F72"/>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92710</wp:posOffset>
            </wp:positionV>
            <wp:extent cx="27978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797810" cy="8255"/>
                    </a:xfrm>
                    <a:prstGeom prst="rect">
                      <a:avLst/>
                    </a:prstGeom>
                    <a:noFill/>
                  </pic:spPr>
                </pic:pic>
              </a:graphicData>
            </a:graphic>
          </wp:anchor>
        </w:drawing>
      </w:r>
    </w:p>
    <w:p>
      <w:pPr>
        <w:spacing w:after="0" w:line="319" w:lineRule="exact"/>
        <w:rPr>
          <w:sz w:val="20"/>
          <w:szCs w:val="20"/>
          <w:color w:val="auto"/>
        </w:rPr>
      </w:pPr>
    </w:p>
    <w:p>
      <w:pPr>
        <w:ind w:left="300"/>
        <w:spacing w:after="0"/>
        <w:tabs>
          <w:tab w:leader="none" w:pos="520" w:val="left"/>
        </w:tabs>
        <w:rPr>
          <w:sz w:val="20"/>
          <w:szCs w:val="20"/>
          <w:color w:val="auto"/>
        </w:rPr>
      </w:pPr>
      <w:r>
        <w:rPr>
          <w:rFonts w:ascii="Arial" w:cs="Arial" w:eastAsia="Arial" w:hAnsi="Arial"/>
          <w:sz w:val="17"/>
          <w:szCs w:val="17"/>
          <w:u w:val="single" w:color="auto"/>
          <w:color w:val="0000EE"/>
        </w:rPr>
        <w:t>1</w:t>
        <w:tab/>
        <w:t>2026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61595</wp:posOffset>
            </wp:positionV>
            <wp:extent cx="27978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797810" cy="8255"/>
                    </a:xfrm>
                    <a:prstGeom prst="rect">
                      <a:avLst/>
                    </a:prstGeom>
                    <a:noFill/>
                  </pic:spPr>
                </pic:pic>
              </a:graphicData>
            </a:graphic>
          </wp:anchor>
        </w:drawing>
      </w:r>
    </w:p>
    <w:p>
      <w:pPr>
        <w:spacing w:after="0" w:line="191" w:lineRule="exact"/>
        <w:rPr>
          <w:sz w:val="20"/>
          <w:szCs w:val="20"/>
          <w:color w:val="auto"/>
        </w:rPr>
      </w:pPr>
    </w:p>
    <w:p>
      <w:pPr>
        <w:ind w:left="540" w:right="500" w:hanging="248"/>
        <w:spacing w:after="0" w:line="284" w:lineRule="auto"/>
        <w:tabs>
          <w:tab w:leader="none" w:pos="540" w:val="left"/>
        </w:tabs>
        <w:numPr>
          <w:ilvl w:val="0"/>
          <w:numId w:val="8"/>
        </w:numPr>
        <w:rPr>
          <w:rFonts w:ascii="Arial" w:cs="Arial" w:eastAsia="Arial" w:hAnsi="Arial"/>
          <w:sz w:val="17"/>
          <w:szCs w:val="17"/>
          <w:u w:val="single" w:color="auto"/>
          <w:color w:val="0000EE"/>
        </w:rPr>
      </w:pPr>
      <w:r>
        <w:rPr>
          <w:rFonts w:ascii="Arial" w:cs="Arial" w:eastAsia="Arial" w:hAnsi="Arial"/>
          <w:sz w:val="17"/>
          <w:szCs w:val="17"/>
          <w:u w:val="single" w:color="auto"/>
          <w:color w:val="0000EE"/>
        </w:rPr>
        <w:t>Safe Harbor Statement Under the Private Securities Litigation Reform Act of 1995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279781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797810" cy="8255"/>
                    </a:xfrm>
                    <a:prstGeom prst="rect">
                      <a:avLst/>
                    </a:prstGeom>
                    <a:noFill/>
                  </pic:spPr>
                </pic:pic>
              </a:graphicData>
            </a:graphic>
          </wp:anchor>
        </w:drawing>
      </w:r>
    </w:p>
    <w:p>
      <w:pPr>
        <w:spacing w:after="0" w:line="121" w:lineRule="exact"/>
        <w:rPr>
          <w:sz w:val="20"/>
          <w:szCs w:val="20"/>
          <w:color w:val="auto"/>
        </w:rPr>
      </w:pPr>
    </w:p>
    <w:p>
      <w:pPr>
        <w:ind w:left="300"/>
        <w:spacing w:after="0"/>
        <w:tabs>
          <w:tab w:leader="none" w:pos="520" w:val="left"/>
        </w:tabs>
        <w:rPr>
          <w:sz w:val="20"/>
          <w:szCs w:val="20"/>
          <w:color w:val="auto"/>
        </w:rPr>
      </w:pPr>
      <w:r>
        <w:rPr>
          <w:rFonts w:ascii="Arial" w:cs="Arial" w:eastAsia="Arial" w:hAnsi="Arial"/>
          <w:sz w:val="17"/>
          <w:szCs w:val="17"/>
          <w:u w:val="single" w:color="auto"/>
          <w:color w:val="0000EE"/>
        </w:rPr>
        <w:t>5​</w:t>
        <w:tab/>
        <w:t>Election of Directors</w:t>
      </w:r>
    </w:p>
    <w:p>
      <w:pPr>
        <w:spacing w:after="0" w:line="163" w:lineRule="exact"/>
        <w:rPr>
          <w:sz w:val="20"/>
          <w:szCs w:val="20"/>
          <w:color w:val="auto"/>
        </w:rPr>
      </w:pPr>
    </w:p>
    <w:p>
      <w:pPr>
        <w:ind w:left="1000" w:hanging="227"/>
        <w:spacing w:after="0"/>
        <w:tabs>
          <w:tab w:leader="none" w:pos="1000" w:val="left"/>
        </w:tabs>
        <w:numPr>
          <w:ilvl w:val="0"/>
          <w:numId w:val="9"/>
        </w:numPr>
        <w:rPr>
          <w:rFonts w:ascii="Arial" w:cs="Arial" w:eastAsia="Arial" w:hAnsi="Arial"/>
          <w:sz w:val="16"/>
          <w:szCs w:val="16"/>
          <w:u w:val="single" w:color="auto"/>
          <w:color w:val="0000EE"/>
        </w:rPr>
      </w:pPr>
      <w:r>
        <w:rPr>
          <w:rFonts w:ascii="Arial" w:cs="Arial" w:eastAsia="Arial" w:hAnsi="Arial"/>
          <w:sz w:val="16"/>
          <w:szCs w:val="16"/>
          <w:u w:val="single" w:color="auto"/>
          <w:color w:val="0000EE"/>
        </w:rPr>
        <w:t>The Board’s 2026 Director Nominees</w:t>
      </w:r>
    </w:p>
    <w:p>
      <w:pPr>
        <w:spacing w:after="0" w:line="156" w:lineRule="exact"/>
        <w:rPr>
          <w:rFonts w:ascii="Arial" w:cs="Arial" w:eastAsia="Arial" w:hAnsi="Arial"/>
          <w:sz w:val="16"/>
          <w:szCs w:val="16"/>
          <w:u w:val="single" w:color="auto"/>
          <w:color w:val="0000EE"/>
        </w:rPr>
      </w:pPr>
    </w:p>
    <w:p>
      <w:pPr>
        <w:ind w:left="780"/>
        <w:spacing w:after="0"/>
        <w:rPr>
          <w:rFonts w:ascii="Arial" w:cs="Arial" w:eastAsia="Arial" w:hAnsi="Arial"/>
          <w:sz w:val="16"/>
          <w:szCs w:val="16"/>
          <w:u w:val="single" w:color="auto"/>
          <w:color w:val="0000EE"/>
        </w:rPr>
      </w:pPr>
      <w:r>
        <w:rPr>
          <w:rFonts w:ascii="Arial" w:cs="Arial" w:eastAsia="Arial" w:hAnsi="Arial"/>
          <w:sz w:val="16"/>
          <w:szCs w:val="16"/>
          <w:u w:val="single" w:color="auto"/>
          <w:color w:val="0000EE"/>
        </w:rPr>
        <w:t>7  Qualifications and Skills</w:t>
      </w:r>
    </w:p>
    <w:p>
      <w:pPr>
        <w:spacing w:after="0" w:line="156" w:lineRule="exact"/>
        <w:rPr>
          <w:rFonts w:ascii="Arial" w:cs="Arial" w:eastAsia="Arial" w:hAnsi="Arial"/>
          <w:sz w:val="16"/>
          <w:szCs w:val="16"/>
          <w:u w:val="single" w:color="auto"/>
          <w:color w:val="0000EE"/>
        </w:rPr>
      </w:pPr>
    </w:p>
    <w:p>
      <w:pPr>
        <w:ind w:left="780"/>
        <w:spacing w:after="0"/>
        <w:rPr>
          <w:rFonts w:ascii="Arial" w:cs="Arial" w:eastAsia="Arial" w:hAnsi="Arial"/>
          <w:sz w:val="16"/>
          <w:szCs w:val="16"/>
          <w:u w:val="single" w:color="auto"/>
          <w:color w:val="0000EE"/>
        </w:rPr>
      </w:pPr>
      <w:r>
        <w:rPr>
          <w:rFonts w:ascii="Arial" w:cs="Arial" w:eastAsia="Arial" w:hAnsi="Arial"/>
          <w:sz w:val="16"/>
          <w:szCs w:val="16"/>
          <w:u w:val="single" w:color="auto"/>
          <w:color w:val="0000EE"/>
        </w:rPr>
        <w:t>7  A Broadly Representative Board</w:t>
      </w:r>
    </w:p>
    <w:p>
      <w:pPr>
        <w:spacing w:after="0" w:line="156" w:lineRule="exact"/>
        <w:rPr>
          <w:rFonts w:ascii="Arial" w:cs="Arial" w:eastAsia="Arial" w:hAnsi="Arial"/>
          <w:sz w:val="16"/>
          <w:szCs w:val="16"/>
          <w:u w:val="single" w:color="auto"/>
          <w:color w:val="0000EE"/>
        </w:rPr>
      </w:pPr>
    </w:p>
    <w:p>
      <w:pPr>
        <w:ind w:left="780"/>
        <w:spacing w:after="0"/>
        <w:rPr>
          <w:rFonts w:ascii="Arial" w:cs="Arial" w:eastAsia="Arial" w:hAnsi="Arial"/>
          <w:sz w:val="16"/>
          <w:szCs w:val="16"/>
          <w:u w:val="single" w:color="auto"/>
          <w:color w:val="0000EE"/>
        </w:rPr>
      </w:pPr>
      <w:r>
        <w:rPr>
          <w:rFonts w:ascii="Arial" w:cs="Arial" w:eastAsia="Arial" w:hAnsi="Arial"/>
          <w:sz w:val="16"/>
          <w:szCs w:val="16"/>
          <w:u w:val="single" w:color="auto"/>
          <w:color w:val="0000EE"/>
        </w:rPr>
        <w:t>8  Board Nominees</w:t>
      </w:r>
    </w:p>
    <w:p>
      <w:pPr>
        <w:spacing w:after="0" w:line="157" w:lineRule="exact"/>
        <w:rPr>
          <w:sz w:val="20"/>
          <w:szCs w:val="20"/>
          <w:color w:val="auto"/>
        </w:rPr>
      </w:pPr>
    </w:p>
    <w:p>
      <w:pPr>
        <w:ind w:left="680"/>
        <w:spacing w:after="0"/>
        <w:tabs>
          <w:tab w:leader="none" w:pos="980" w:val="left"/>
        </w:tabs>
        <w:rPr>
          <w:sz w:val="20"/>
          <w:szCs w:val="20"/>
          <w:color w:val="auto"/>
        </w:rPr>
      </w:pPr>
      <w:r>
        <w:rPr>
          <w:rFonts w:ascii="Arial" w:cs="Arial" w:eastAsia="Arial" w:hAnsi="Arial"/>
          <w:sz w:val="16"/>
          <w:szCs w:val="16"/>
          <w:u w:val="single" w:color="auto"/>
          <w:color w:val="0000EE"/>
        </w:rPr>
        <w:t>13</w:t>
      </w:r>
      <w:r>
        <w:rPr>
          <w:sz w:val="20"/>
          <w:szCs w:val="20"/>
          <w:color w:val="auto"/>
        </w:rPr>
        <w:tab/>
      </w:r>
      <w:r>
        <w:rPr>
          <w:rFonts w:ascii="Arial" w:cs="Arial" w:eastAsia="Arial" w:hAnsi="Arial"/>
          <w:sz w:val="15"/>
          <w:szCs w:val="15"/>
          <w:u w:val="single" w:color="auto"/>
          <w:color w:val="0000EE"/>
        </w:rPr>
        <w:t>Director Independence</w:t>
      </w:r>
    </w:p>
    <w:p>
      <w:pPr>
        <w:spacing w:after="0" w:line="157" w:lineRule="exact"/>
        <w:rPr>
          <w:sz w:val="20"/>
          <w:szCs w:val="20"/>
          <w:color w:val="auto"/>
        </w:rPr>
      </w:pPr>
    </w:p>
    <w:p>
      <w:pPr>
        <w:ind w:left="1000" w:right="720" w:hanging="314"/>
        <w:spacing w:after="0" w:line="268" w:lineRule="auto"/>
        <w:tabs>
          <w:tab w:leader="none" w:pos="1000" w:val="left"/>
        </w:tabs>
        <w:numPr>
          <w:ilvl w:val="0"/>
          <w:numId w:val="10"/>
        </w:numPr>
        <w:rPr>
          <w:rFonts w:ascii="Arial" w:cs="Arial" w:eastAsia="Arial" w:hAnsi="Arial"/>
          <w:sz w:val="16"/>
          <w:szCs w:val="16"/>
          <w:u w:val="single" w:color="auto"/>
          <w:color w:val="0000EE"/>
        </w:rPr>
      </w:pPr>
      <w:r>
        <w:rPr>
          <w:rFonts w:ascii="Arial" w:cs="Arial" w:eastAsia="Arial" w:hAnsi="Arial"/>
          <w:sz w:val="16"/>
          <w:szCs w:val="16"/>
          <w:u w:val="single" w:color="auto"/>
          <w:color w:val="0000EE"/>
        </w:rPr>
        <w:t>Board Refreshment and Selection of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29845</wp:posOffset>
            </wp:positionV>
            <wp:extent cx="279781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797810" cy="8255"/>
                    </a:xfrm>
                    <a:prstGeom prst="rect">
                      <a:avLst/>
                    </a:prstGeom>
                    <a:noFill/>
                  </pic:spPr>
                </pic:pic>
              </a:graphicData>
            </a:graphic>
          </wp:anchor>
        </w:drawing>
      </w:r>
    </w:p>
    <w:p>
      <w:pPr>
        <w:spacing w:after="0" w:line="141" w:lineRule="exact"/>
        <w:rPr>
          <w:sz w:val="20"/>
          <w:szCs w:val="20"/>
          <w:color w:val="auto"/>
        </w:rPr>
      </w:pPr>
    </w:p>
    <w:p>
      <w:pPr>
        <w:ind w:left="200"/>
        <w:spacing w:after="0"/>
        <w:tabs>
          <w:tab w:leader="none" w:pos="520" w:val="left"/>
        </w:tabs>
        <w:rPr>
          <w:sz w:val="20"/>
          <w:szCs w:val="20"/>
          <w:color w:val="auto"/>
        </w:rPr>
      </w:pPr>
      <w:r>
        <w:rPr>
          <w:rFonts w:ascii="Arial" w:cs="Arial" w:eastAsia="Arial" w:hAnsi="Arial"/>
          <w:sz w:val="17"/>
          <w:szCs w:val="17"/>
          <w:u w:val="single" w:color="auto"/>
          <w:color w:val="0000EE"/>
        </w:rPr>
        <w:t>15</w:t>
        <w:tab/>
        <w:t>Corporate Governance</w:t>
      </w:r>
    </w:p>
    <w:p>
      <w:pPr>
        <w:spacing w:after="0" w:line="163" w:lineRule="exact"/>
        <w:rPr>
          <w:sz w:val="20"/>
          <w:szCs w:val="20"/>
          <w:color w:val="auto"/>
        </w:rPr>
      </w:pPr>
    </w:p>
    <w:p>
      <w:pPr>
        <w:ind w:left="1000" w:hanging="314"/>
        <w:spacing w:after="0"/>
        <w:tabs>
          <w:tab w:leader="none" w:pos="1000" w:val="left"/>
        </w:tabs>
        <w:numPr>
          <w:ilvl w:val="0"/>
          <w:numId w:val="11"/>
        </w:numPr>
        <w:rPr>
          <w:rFonts w:ascii="Arial" w:cs="Arial" w:eastAsia="Arial" w:hAnsi="Arial"/>
          <w:sz w:val="16"/>
          <w:szCs w:val="16"/>
          <w:u w:val="single" w:color="auto"/>
          <w:color w:val="0000EE"/>
        </w:rPr>
      </w:pPr>
      <w:r>
        <w:rPr>
          <w:rFonts w:ascii="Arial" w:cs="Arial" w:eastAsia="Arial" w:hAnsi="Arial"/>
          <w:sz w:val="16"/>
          <w:szCs w:val="16"/>
          <w:u w:val="single" w:color="auto"/>
          <w:color w:val="0000EE"/>
        </w:rPr>
        <w:t>Corporate Governance Highlights</w:t>
      </w:r>
    </w:p>
    <w:p>
      <w:pPr>
        <w:spacing w:after="0" w:line="156" w:lineRule="exact"/>
        <w:rPr>
          <w:rFonts w:ascii="Arial" w:cs="Arial" w:eastAsia="Arial" w:hAnsi="Arial"/>
          <w:sz w:val="16"/>
          <w:szCs w:val="16"/>
          <w:u w:val="single" w:color="auto"/>
          <w:color w:val="0000EE"/>
        </w:rPr>
      </w:pPr>
    </w:p>
    <w:p>
      <w:pPr>
        <w:ind w:left="1000" w:hanging="314"/>
        <w:spacing w:after="0"/>
        <w:tabs>
          <w:tab w:leader="none" w:pos="1000" w:val="left"/>
        </w:tabs>
        <w:numPr>
          <w:ilvl w:val="0"/>
          <w:numId w:val="11"/>
        </w:numPr>
        <w:rPr>
          <w:rFonts w:ascii="Arial" w:cs="Arial" w:eastAsia="Arial" w:hAnsi="Arial"/>
          <w:sz w:val="16"/>
          <w:szCs w:val="16"/>
          <w:u w:val="single" w:color="auto"/>
          <w:color w:val="0000EE"/>
        </w:rPr>
      </w:pPr>
      <w:r>
        <w:rPr>
          <w:rFonts w:ascii="Arial" w:cs="Arial" w:eastAsia="Arial" w:hAnsi="Arial"/>
          <w:sz w:val="16"/>
          <w:szCs w:val="16"/>
          <w:u w:val="single" w:color="auto"/>
          <w:color w:val="0000EE"/>
        </w:rPr>
        <w:t>Board Leadership Structure</w:t>
      </w:r>
    </w:p>
    <w:p>
      <w:pPr>
        <w:spacing w:after="0" w:line="157" w:lineRule="exact"/>
        <w:rPr>
          <w:sz w:val="20"/>
          <w:szCs w:val="20"/>
          <w:color w:val="auto"/>
        </w:rPr>
      </w:pPr>
    </w:p>
    <w:p>
      <w:pPr>
        <w:ind w:left="680"/>
        <w:spacing w:after="0"/>
        <w:tabs>
          <w:tab w:leader="none" w:pos="980" w:val="left"/>
        </w:tabs>
        <w:rPr>
          <w:sz w:val="20"/>
          <w:szCs w:val="20"/>
          <w:color w:val="auto"/>
        </w:rPr>
      </w:pPr>
      <w:r>
        <w:rPr>
          <w:rFonts w:ascii="Arial" w:cs="Arial" w:eastAsia="Arial" w:hAnsi="Arial"/>
          <w:sz w:val="16"/>
          <w:szCs w:val="16"/>
          <w:u w:val="single" w:color="auto"/>
          <w:color w:val="0000EE"/>
        </w:rPr>
        <w:t>17</w:t>
      </w:r>
      <w:r>
        <w:rPr>
          <w:sz w:val="20"/>
          <w:szCs w:val="20"/>
          <w:color w:val="auto"/>
        </w:rPr>
        <w:tab/>
      </w:r>
      <w:r>
        <w:rPr>
          <w:rFonts w:ascii="Arial" w:cs="Arial" w:eastAsia="Arial" w:hAnsi="Arial"/>
          <w:sz w:val="15"/>
          <w:szCs w:val="15"/>
          <w:u w:val="single" w:color="auto"/>
          <w:color w:val="0000EE"/>
        </w:rPr>
        <w:t>Meeting Attendance</w:t>
      </w:r>
    </w:p>
    <w:p>
      <w:pPr>
        <w:spacing w:after="0" w:line="157" w:lineRule="exact"/>
        <w:rPr>
          <w:sz w:val="20"/>
          <w:szCs w:val="20"/>
          <w:color w:val="auto"/>
        </w:rPr>
      </w:pPr>
    </w:p>
    <w:p>
      <w:pPr>
        <w:ind w:left="680"/>
        <w:spacing w:after="0"/>
        <w:tabs>
          <w:tab w:leader="none" w:pos="980" w:val="left"/>
        </w:tabs>
        <w:rPr>
          <w:sz w:val="20"/>
          <w:szCs w:val="20"/>
          <w:color w:val="auto"/>
        </w:rPr>
      </w:pPr>
      <w:r>
        <w:rPr>
          <w:rFonts w:ascii="Arial" w:cs="Arial" w:eastAsia="Arial" w:hAnsi="Arial"/>
          <w:sz w:val="16"/>
          <w:szCs w:val="16"/>
          <w:u w:val="single" w:color="auto"/>
          <w:color w:val="0000EE"/>
        </w:rPr>
        <w:t>17</w:t>
      </w:r>
      <w:r>
        <w:rPr>
          <w:sz w:val="20"/>
          <w:szCs w:val="20"/>
          <w:color w:val="auto"/>
        </w:rPr>
        <w:tab/>
      </w:r>
      <w:r>
        <w:rPr>
          <w:rFonts w:ascii="Arial" w:cs="Arial" w:eastAsia="Arial" w:hAnsi="Arial"/>
          <w:sz w:val="15"/>
          <w:szCs w:val="15"/>
          <w:u w:val="single" w:color="auto"/>
          <w:color w:val="0000EE"/>
        </w:rPr>
        <w:t>Committees of the Board</w:t>
      </w:r>
    </w:p>
    <w:p>
      <w:pPr>
        <w:spacing w:after="0" w:line="157" w:lineRule="exact"/>
        <w:rPr>
          <w:sz w:val="20"/>
          <w:szCs w:val="20"/>
          <w:color w:val="auto"/>
        </w:rPr>
      </w:pPr>
    </w:p>
    <w:p>
      <w:pPr>
        <w:ind w:left="1000" w:hanging="314"/>
        <w:spacing w:after="0"/>
        <w:tabs>
          <w:tab w:leader="none" w:pos="1000" w:val="left"/>
        </w:tabs>
        <w:numPr>
          <w:ilvl w:val="0"/>
          <w:numId w:val="12"/>
        </w:numPr>
        <w:rPr>
          <w:rFonts w:ascii="Arial" w:cs="Arial" w:eastAsia="Arial" w:hAnsi="Arial"/>
          <w:sz w:val="16"/>
          <w:szCs w:val="16"/>
          <w:u w:val="single" w:color="auto"/>
          <w:color w:val="0000EE"/>
        </w:rPr>
      </w:pPr>
      <w:r>
        <w:rPr>
          <w:rFonts w:ascii="Arial" w:cs="Arial" w:eastAsia="Arial" w:hAnsi="Arial"/>
          <w:sz w:val="16"/>
          <w:szCs w:val="16"/>
          <w:u w:val="single" w:color="auto"/>
          <w:color w:val="0000EE"/>
        </w:rPr>
        <w:t>Board and Committee Evaluations</w:t>
      </w:r>
    </w:p>
    <w:p>
      <w:pPr>
        <w:spacing w:after="0" w:line="156" w:lineRule="exact"/>
        <w:rPr>
          <w:rFonts w:ascii="Arial" w:cs="Arial" w:eastAsia="Arial" w:hAnsi="Arial"/>
          <w:sz w:val="16"/>
          <w:szCs w:val="16"/>
          <w:u w:val="single" w:color="auto"/>
          <w:color w:val="0000EE"/>
        </w:rPr>
      </w:pPr>
    </w:p>
    <w:p>
      <w:pPr>
        <w:ind w:left="1000" w:hanging="314"/>
        <w:spacing w:after="0"/>
        <w:tabs>
          <w:tab w:leader="none" w:pos="1000" w:val="left"/>
        </w:tabs>
        <w:numPr>
          <w:ilvl w:val="0"/>
          <w:numId w:val="13"/>
        </w:numPr>
        <w:rPr>
          <w:rFonts w:ascii="Arial" w:cs="Arial" w:eastAsia="Arial" w:hAnsi="Arial"/>
          <w:sz w:val="16"/>
          <w:szCs w:val="16"/>
          <w:u w:val="single" w:color="auto"/>
          <w:color w:val="0000EE"/>
        </w:rPr>
      </w:pPr>
      <w:r>
        <w:rPr>
          <w:rFonts w:ascii="Arial" w:cs="Arial" w:eastAsia="Arial" w:hAnsi="Arial"/>
          <w:sz w:val="16"/>
          <w:szCs w:val="16"/>
          <w:u w:val="single" w:color="auto"/>
          <w:color w:val="0000EE"/>
        </w:rPr>
        <w:t>Meetings of Independent Directors</w:t>
      </w:r>
    </w:p>
    <w:p>
      <w:pPr>
        <w:spacing w:after="0" w:line="157" w:lineRule="exact"/>
        <w:rPr>
          <w:sz w:val="20"/>
          <w:szCs w:val="20"/>
          <w:color w:val="auto"/>
        </w:rPr>
      </w:pPr>
    </w:p>
    <w:p>
      <w:pPr>
        <w:ind w:left="1000" w:right="140" w:hanging="314"/>
        <w:spacing w:after="0" w:line="268" w:lineRule="auto"/>
        <w:tabs>
          <w:tab w:leader="none" w:pos="1000" w:val="left"/>
        </w:tabs>
        <w:numPr>
          <w:ilvl w:val="0"/>
          <w:numId w:val="14"/>
        </w:numPr>
        <w:rPr>
          <w:rFonts w:ascii="Arial" w:cs="Arial" w:eastAsia="Arial" w:hAnsi="Arial"/>
          <w:sz w:val="16"/>
          <w:szCs w:val="16"/>
          <w:u w:val="single" w:color="auto"/>
          <w:color w:val="0000EE"/>
        </w:rPr>
      </w:pPr>
      <w:r>
        <w:rPr>
          <w:rFonts w:ascii="Arial" w:cs="Arial" w:eastAsia="Arial" w:hAnsi="Arial"/>
          <w:sz w:val="16"/>
          <w:szCs w:val="16"/>
          <w:u w:val="single" w:color="auto"/>
          <w:color w:val="0000EE"/>
        </w:rPr>
        <w:t>Board Role in Strategic Planning and Capital Structure</w:t>
      </w:r>
    </w:p>
    <w:p>
      <w:pPr>
        <w:spacing w:after="0" w:line="113" w:lineRule="exact"/>
        <w:rPr>
          <w:rFonts w:ascii="Arial" w:cs="Arial" w:eastAsia="Arial" w:hAnsi="Arial"/>
          <w:sz w:val="16"/>
          <w:szCs w:val="16"/>
          <w:u w:val="single" w:color="auto"/>
          <w:color w:val="0000EE"/>
        </w:rPr>
      </w:pPr>
    </w:p>
    <w:p>
      <w:pPr>
        <w:ind w:left="1000" w:hanging="314"/>
        <w:spacing w:after="0"/>
        <w:tabs>
          <w:tab w:leader="none" w:pos="1000" w:val="left"/>
        </w:tabs>
        <w:numPr>
          <w:ilvl w:val="0"/>
          <w:numId w:val="14"/>
        </w:numPr>
        <w:rPr>
          <w:rFonts w:ascii="Arial" w:cs="Arial" w:eastAsia="Arial" w:hAnsi="Arial"/>
          <w:sz w:val="16"/>
          <w:szCs w:val="16"/>
          <w:u w:val="single" w:color="auto"/>
          <w:color w:val="0000EE"/>
        </w:rPr>
      </w:pPr>
      <w:r>
        <w:rPr>
          <w:rFonts w:ascii="Arial" w:cs="Arial" w:eastAsia="Arial" w:hAnsi="Arial"/>
          <w:sz w:val="16"/>
          <w:szCs w:val="16"/>
          <w:u w:val="single" w:color="auto"/>
          <w:color w:val="0000EE"/>
        </w:rPr>
        <w:t>Board Role in Risk Oversight</w:t>
      </w:r>
    </w:p>
    <w:p>
      <w:pPr>
        <w:spacing w:after="0" w:line="156" w:lineRule="exact"/>
        <w:rPr>
          <w:rFonts w:ascii="Arial" w:cs="Arial" w:eastAsia="Arial" w:hAnsi="Arial"/>
          <w:sz w:val="16"/>
          <w:szCs w:val="16"/>
          <w:u w:val="single" w:color="auto"/>
          <w:color w:val="0000EE"/>
        </w:rPr>
      </w:pPr>
    </w:p>
    <w:p>
      <w:pPr>
        <w:ind w:left="1000" w:hanging="314"/>
        <w:spacing w:after="0" w:line="302" w:lineRule="auto"/>
        <w:tabs>
          <w:tab w:leader="none" w:pos="1000" w:val="left"/>
        </w:tabs>
        <w:numPr>
          <w:ilvl w:val="0"/>
          <w:numId w:val="14"/>
        </w:numPr>
        <w:rPr>
          <w:rFonts w:ascii="Arial" w:cs="Arial" w:eastAsia="Arial" w:hAnsi="Arial"/>
          <w:sz w:val="15"/>
          <w:szCs w:val="15"/>
          <w:u w:val="single" w:color="auto"/>
          <w:color w:val="0000EE"/>
        </w:rPr>
      </w:pPr>
      <w:r>
        <w:rPr>
          <w:rFonts w:ascii="Arial" w:cs="Arial" w:eastAsia="Arial" w:hAnsi="Arial"/>
          <w:sz w:val="15"/>
          <w:szCs w:val="15"/>
          <w:u w:val="single" w:color="auto"/>
          <w:color w:val="0000EE"/>
        </w:rPr>
        <w:t>Code of Conduct, Insider Trading, Governance Documents and Related Person Transactions</w:t>
      </w:r>
    </w:p>
    <w:p>
      <w:pPr>
        <w:spacing w:after="0" w:line="90" w:lineRule="exact"/>
        <w:rPr>
          <w:sz w:val="20"/>
          <w:szCs w:val="20"/>
          <w:color w:val="auto"/>
        </w:rPr>
      </w:pPr>
    </w:p>
    <w:p>
      <w:pPr>
        <w:ind w:left="1000" w:right="200" w:hanging="314"/>
        <w:spacing w:after="0" w:line="268" w:lineRule="auto"/>
        <w:tabs>
          <w:tab w:leader="none" w:pos="1000" w:val="left"/>
        </w:tabs>
        <w:numPr>
          <w:ilvl w:val="0"/>
          <w:numId w:val="15"/>
        </w:numPr>
        <w:rPr>
          <w:rFonts w:ascii="Arial" w:cs="Arial" w:eastAsia="Arial" w:hAnsi="Arial"/>
          <w:sz w:val="16"/>
          <w:szCs w:val="16"/>
          <w:u w:val="single" w:color="auto"/>
          <w:color w:val="0000EE"/>
        </w:rPr>
      </w:pPr>
      <w:r>
        <w:rPr>
          <w:rFonts w:ascii="Arial" w:cs="Arial" w:eastAsia="Arial" w:hAnsi="Arial"/>
          <w:sz w:val="16"/>
          <w:szCs w:val="16"/>
          <w:u w:val="single" w:color="auto"/>
          <w:color w:val="0000EE"/>
        </w:rPr>
        <w:t>Human Capital &amp; Compensation Committee Participation and Interlocks</w:t>
      </w:r>
    </w:p>
    <w:p>
      <w:pPr>
        <w:spacing w:after="0" w:line="114" w:lineRule="exact"/>
        <w:rPr>
          <w:sz w:val="20"/>
          <w:szCs w:val="20"/>
          <w:color w:val="auto"/>
        </w:rPr>
      </w:pPr>
    </w:p>
    <w:p>
      <w:pPr>
        <w:ind w:left="1000" w:hanging="314"/>
        <w:spacing w:after="0"/>
        <w:tabs>
          <w:tab w:leader="none" w:pos="1000" w:val="left"/>
        </w:tabs>
        <w:numPr>
          <w:ilvl w:val="0"/>
          <w:numId w:val="16"/>
        </w:numPr>
        <w:rPr>
          <w:rFonts w:ascii="Arial" w:cs="Arial" w:eastAsia="Arial" w:hAnsi="Arial"/>
          <w:sz w:val="16"/>
          <w:szCs w:val="16"/>
          <w:u w:val="single" w:color="auto"/>
          <w:color w:val="0000EE"/>
        </w:rPr>
      </w:pPr>
      <w:r>
        <w:rPr>
          <w:rFonts w:ascii="Arial" w:cs="Arial" w:eastAsia="Arial" w:hAnsi="Arial"/>
          <w:sz w:val="16"/>
          <w:szCs w:val="16"/>
          <w:u w:val="single" w:color="auto"/>
          <w:color w:val="0000EE"/>
        </w:rPr>
        <w:t>Director Stock Ownership Guidelines</w:t>
      </w:r>
    </w:p>
    <w:p>
      <w:pPr>
        <w:spacing w:after="0" w:line="156" w:lineRule="exact"/>
        <w:rPr>
          <w:rFonts w:ascii="Arial" w:cs="Arial" w:eastAsia="Arial" w:hAnsi="Arial"/>
          <w:sz w:val="16"/>
          <w:szCs w:val="16"/>
          <w:u w:val="single" w:color="auto"/>
          <w:color w:val="0000EE"/>
        </w:rPr>
      </w:pPr>
    </w:p>
    <w:p>
      <w:pPr>
        <w:ind w:left="1000" w:hanging="314"/>
        <w:spacing w:after="0"/>
        <w:tabs>
          <w:tab w:leader="none" w:pos="1000" w:val="left"/>
        </w:tabs>
        <w:numPr>
          <w:ilvl w:val="0"/>
          <w:numId w:val="17"/>
        </w:numPr>
        <w:rPr>
          <w:rFonts w:ascii="Arial" w:cs="Arial" w:eastAsia="Arial" w:hAnsi="Arial"/>
          <w:sz w:val="16"/>
          <w:szCs w:val="16"/>
          <w:u w:val="single" w:color="auto"/>
          <w:color w:val="0000EE"/>
        </w:rPr>
      </w:pPr>
      <w:r>
        <w:rPr>
          <w:rFonts w:ascii="Arial" w:cs="Arial" w:eastAsia="Arial" w:hAnsi="Arial"/>
          <w:sz w:val="16"/>
          <w:szCs w:val="16"/>
          <w:u w:val="single" w:color="auto"/>
          <w:color w:val="0000EE"/>
        </w:rPr>
        <w:t>Contacting the Board</w:t>
      </w:r>
    </w:p>
    <w:p>
      <w:pPr>
        <w:spacing w:after="0" w:line="156" w:lineRule="exact"/>
        <w:rPr>
          <w:rFonts w:ascii="Arial" w:cs="Arial" w:eastAsia="Arial" w:hAnsi="Arial"/>
          <w:sz w:val="16"/>
          <w:szCs w:val="16"/>
          <w:u w:val="single" w:color="auto"/>
          <w:color w:val="0000EE"/>
        </w:rPr>
      </w:pPr>
    </w:p>
    <w:p>
      <w:pPr>
        <w:ind w:left="1000" w:hanging="314"/>
        <w:spacing w:after="0"/>
        <w:tabs>
          <w:tab w:leader="none" w:pos="1000" w:val="left"/>
        </w:tabs>
        <w:numPr>
          <w:ilvl w:val="0"/>
          <w:numId w:val="17"/>
        </w:numPr>
        <w:rPr>
          <w:rFonts w:ascii="Arial" w:cs="Arial" w:eastAsia="Arial" w:hAnsi="Arial"/>
          <w:sz w:val="16"/>
          <w:szCs w:val="16"/>
          <w:u w:val="single" w:color="auto"/>
          <w:color w:val="0000EE"/>
        </w:rPr>
      </w:pPr>
      <w:r>
        <w:rPr>
          <w:rFonts w:ascii="Arial" w:cs="Arial" w:eastAsia="Arial" w:hAnsi="Arial"/>
          <w:sz w:val="16"/>
          <w:szCs w:val="16"/>
          <w:u w:val="single" w:color="auto"/>
          <w:color w:val="0000EE"/>
        </w:rPr>
        <w:t>Fiscal 2025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279781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797810" cy="8255"/>
                    </a:xfrm>
                    <a:prstGeom prst="rect">
                      <a:avLst/>
                    </a:prstGeom>
                    <a:noFill/>
                  </pic:spPr>
                </pic:pic>
              </a:graphicData>
            </a:graphic>
          </wp:anchor>
        </w:drawing>
      </w:r>
    </w:p>
    <w:p>
      <w:pPr>
        <w:spacing w:after="0" w:line="185" w:lineRule="exact"/>
        <w:rPr>
          <w:sz w:val="20"/>
          <w:szCs w:val="20"/>
          <w:color w:val="auto"/>
        </w:rPr>
      </w:pPr>
    </w:p>
    <w:p>
      <w:pPr>
        <w:ind w:left="540" w:right="100" w:hanging="345"/>
        <w:spacing w:after="0" w:line="284" w:lineRule="auto"/>
        <w:tabs>
          <w:tab w:leader="none" w:pos="540" w:val="left"/>
        </w:tabs>
        <w:numPr>
          <w:ilvl w:val="0"/>
          <w:numId w:val="18"/>
        </w:numPr>
        <w:rPr>
          <w:rFonts w:ascii="Arial" w:cs="Arial" w:eastAsia="Arial" w:hAnsi="Arial"/>
          <w:sz w:val="17"/>
          <w:szCs w:val="17"/>
          <w:u w:val="single" w:color="auto"/>
          <w:color w:val="0000EE"/>
        </w:rPr>
      </w:pPr>
      <w:r>
        <w:rPr>
          <w:rFonts w:ascii="Arial" w:cs="Arial" w:eastAsia="Arial" w:hAnsi="Arial"/>
          <w:sz w:val="17"/>
          <w:szCs w:val="17"/>
          <w:u w:val="single" w:color="auto"/>
          <w:color w:val="0000EE"/>
        </w:rPr>
        <w:t>Ratification of the Appointment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279781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797810"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3"/>
          <w:szCs w:val="23"/>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40" w:hanging="361"/>
        <w:spacing w:after="0"/>
        <w:tabs>
          <w:tab w:leader="none" w:pos="440" w:val="left"/>
        </w:tabs>
        <w:numPr>
          <w:ilvl w:val="0"/>
          <w:numId w:val="19"/>
        </w:numPr>
        <w:rPr>
          <w:rFonts w:ascii="Arial" w:cs="Arial" w:eastAsia="Arial" w:hAnsi="Arial"/>
          <w:sz w:val="17"/>
          <w:szCs w:val="17"/>
          <w:u w:val="single" w:color="auto"/>
          <w:color w:val="0000EE"/>
        </w:rPr>
      </w:pPr>
      <w:r>
        <w:rPr>
          <w:rFonts w:ascii="Arial" w:cs="Arial" w:eastAsia="Arial" w:hAnsi="Arial"/>
          <w:sz w:val="17"/>
          <w:szCs w:val="17"/>
          <w:u w:val="single" w:color="auto"/>
          <w:color w:val="0000EE"/>
        </w:rPr>
        <w:t>Report of the Audit Committee</w:t>
      </w:r>
    </w:p>
    <w:p>
      <w:pPr>
        <w:spacing w:after="0" w:line="211" w:lineRule="exact"/>
        <w:rPr>
          <w:rFonts w:ascii="Arial" w:cs="Arial" w:eastAsia="Arial" w:hAnsi="Arial"/>
          <w:sz w:val="17"/>
          <w:szCs w:val="17"/>
          <w:u w:val="single" w:color="auto"/>
          <w:color w:val="0000EE"/>
        </w:rPr>
      </w:pPr>
    </w:p>
    <w:p>
      <w:pPr>
        <w:ind w:left="440" w:right="559" w:hanging="361"/>
        <w:spacing w:after="0" w:line="284" w:lineRule="auto"/>
        <w:tabs>
          <w:tab w:leader="none" w:pos="440" w:val="left"/>
        </w:tabs>
        <w:numPr>
          <w:ilvl w:val="0"/>
          <w:numId w:val="19"/>
        </w:numPr>
        <w:rPr>
          <w:rFonts w:ascii="Arial" w:cs="Arial" w:eastAsia="Arial" w:hAnsi="Arial"/>
          <w:sz w:val="17"/>
          <w:szCs w:val="17"/>
          <w:u w:val="single" w:color="auto"/>
          <w:color w:val="0000EE"/>
        </w:rPr>
      </w:pPr>
      <w:r>
        <w:rPr>
          <w:rFonts w:ascii="Arial" w:cs="Arial" w:eastAsia="Arial" w:hAnsi="Arial"/>
          <w:sz w:val="17"/>
          <w:szCs w:val="17"/>
          <w:u w:val="single" w:color="auto"/>
          <w:color w:val="0000EE"/>
        </w:rPr>
        <w:t>Independent Registered Public Accounting Firm’s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-673735</wp:posOffset>
            </wp:positionV>
            <wp:extent cx="279781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797810" cy="8255"/>
                    </a:xfrm>
                    <a:prstGeom prst="rect">
                      <a:avLst/>
                    </a:prstGeom>
                    <a:noFill/>
                  </pic:spPr>
                </pic:pic>
              </a:graphicData>
            </a:graphic>
          </wp:anchor>
        </w:drawing>
        <w:drawing>
          <wp:anchor simplePos="0" relativeHeight="251657728" behindDoc="1" locked="0" layoutInCell="0" allowOverlap="1">
            <wp:simplePos x="0" y="0"/>
            <wp:positionH relativeFrom="column">
              <wp:posOffset>-66040</wp:posOffset>
            </wp:positionH>
            <wp:positionV relativeFrom="paragraph">
              <wp:posOffset>-365760</wp:posOffset>
            </wp:positionV>
            <wp:extent cx="279781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797810" cy="8255"/>
                    </a:xfrm>
                    <a:prstGeom prst="rect">
                      <a:avLst/>
                    </a:prstGeom>
                    <a:noFill/>
                  </pic:spPr>
                </pic:pic>
              </a:graphicData>
            </a:graphic>
          </wp:anchor>
        </w:drawing>
      </w:r>
    </w:p>
    <w:p>
      <w:pPr>
        <w:spacing w:after="0" w:line="73" w:lineRule="exact"/>
        <w:rPr>
          <w:sz w:val="20"/>
          <w:szCs w:val="20"/>
          <w:color w:val="auto"/>
        </w:rPr>
      </w:pPr>
    </w:p>
    <w:p>
      <w:pPr>
        <w:ind w:left="580"/>
        <w:spacing w:after="0"/>
        <w:tabs>
          <w:tab w:leader="none" w:pos="860" w:val="left"/>
        </w:tabs>
        <w:rPr>
          <w:sz w:val="20"/>
          <w:szCs w:val="20"/>
          <w:color w:val="auto"/>
        </w:rPr>
      </w:pPr>
      <w:r>
        <w:rPr>
          <w:rFonts w:ascii="Arial" w:cs="Arial" w:eastAsia="Arial" w:hAnsi="Arial"/>
          <w:sz w:val="16"/>
          <w:szCs w:val="16"/>
          <w:u w:val="single" w:color="auto"/>
          <w:color w:val="0000EE"/>
        </w:rPr>
        <w:t>25</w:t>
      </w:r>
      <w:r>
        <w:rPr>
          <w:sz w:val="20"/>
          <w:szCs w:val="20"/>
          <w:color w:val="auto"/>
        </w:rPr>
        <w:tab/>
      </w:r>
      <w:r>
        <w:rPr>
          <w:rFonts w:ascii="Arial" w:cs="Arial" w:eastAsia="Arial" w:hAnsi="Arial"/>
          <w:sz w:val="15"/>
          <w:szCs w:val="15"/>
          <w:u w:val="single" w:color="auto"/>
          <w:color w:val="0000EE"/>
        </w:rPr>
        <w:t>Audit and Other Fees</w:t>
      </w:r>
    </w:p>
    <w:p>
      <w:pPr>
        <w:spacing w:after="0" w:line="157" w:lineRule="exact"/>
        <w:rPr>
          <w:sz w:val="20"/>
          <w:szCs w:val="20"/>
          <w:color w:val="auto"/>
        </w:rPr>
      </w:pPr>
    </w:p>
    <w:p>
      <w:pPr>
        <w:ind w:left="580"/>
        <w:spacing w:after="0"/>
        <w:tabs>
          <w:tab w:leader="none" w:pos="860" w:val="left"/>
        </w:tabs>
        <w:rPr>
          <w:sz w:val="20"/>
          <w:szCs w:val="20"/>
          <w:color w:val="auto"/>
        </w:rPr>
      </w:pPr>
      <w:r>
        <w:rPr>
          <w:rFonts w:ascii="Arial" w:cs="Arial" w:eastAsia="Arial" w:hAnsi="Arial"/>
          <w:sz w:val="16"/>
          <w:szCs w:val="16"/>
          <w:u w:val="single" w:color="auto"/>
          <w:color w:val="0000EE"/>
        </w:rPr>
        <w:t>25</w:t>
      </w:r>
      <w:r>
        <w:rPr>
          <w:sz w:val="20"/>
          <w:szCs w:val="20"/>
          <w:color w:val="auto"/>
        </w:rPr>
        <w:tab/>
      </w:r>
      <w:r>
        <w:rPr>
          <w:rFonts w:ascii="Arial" w:cs="Arial" w:eastAsia="Arial" w:hAnsi="Arial"/>
          <w:sz w:val="15"/>
          <w:szCs w:val="15"/>
          <w:u w:val="single" w:color="auto"/>
          <w:color w:val="0000EE"/>
        </w:rPr>
        <w:t>Pre-approval Policies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57150</wp:posOffset>
            </wp:positionV>
            <wp:extent cx="279781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797810" cy="8255"/>
                    </a:xfrm>
                    <a:prstGeom prst="rect">
                      <a:avLst/>
                    </a:prstGeom>
                    <a:noFill/>
                  </pic:spPr>
                </pic:pic>
              </a:graphicData>
            </a:graphic>
          </wp:anchor>
        </w:drawing>
      </w:r>
    </w:p>
    <w:p>
      <w:pPr>
        <w:spacing w:after="0" w:line="185" w:lineRule="exact"/>
        <w:rPr>
          <w:sz w:val="20"/>
          <w:szCs w:val="20"/>
          <w:color w:val="auto"/>
        </w:rPr>
      </w:pPr>
    </w:p>
    <w:p>
      <w:pPr>
        <w:ind w:left="440" w:hanging="361"/>
        <w:spacing w:after="0"/>
        <w:tabs>
          <w:tab w:leader="none" w:pos="440" w:val="left"/>
        </w:tabs>
        <w:numPr>
          <w:ilvl w:val="0"/>
          <w:numId w:val="20"/>
        </w:numPr>
        <w:rPr>
          <w:rFonts w:ascii="Arial" w:cs="Arial" w:eastAsia="Arial" w:hAnsi="Arial"/>
          <w:sz w:val="17"/>
          <w:szCs w:val="17"/>
          <w:u w:val="single" w:color="auto"/>
          <w:color w:val="0000EE"/>
        </w:rPr>
      </w:pPr>
      <w:r>
        <w:rPr>
          <w:rFonts w:ascii="Arial" w:cs="Arial" w:eastAsia="Arial" w:hAnsi="Arial"/>
          <w:sz w:val="17"/>
          <w:szCs w:val="17"/>
          <w:u w:val="single" w:color="auto"/>
          <w:color w:val="0000EE"/>
        </w:rPr>
        <w:t>Information About Our Executive Officers</w:t>
      </w:r>
    </w:p>
    <w:p>
      <w:pPr>
        <w:spacing w:after="0" w:line="211" w:lineRule="exact"/>
        <w:rPr>
          <w:rFonts w:ascii="Arial" w:cs="Arial" w:eastAsia="Arial" w:hAnsi="Arial"/>
          <w:sz w:val="17"/>
          <w:szCs w:val="17"/>
          <w:u w:val="single" w:color="auto"/>
          <w:color w:val="0000EE"/>
        </w:rPr>
      </w:pPr>
    </w:p>
    <w:p>
      <w:pPr>
        <w:ind w:left="440" w:right="479" w:hanging="361"/>
        <w:spacing w:after="0" w:line="284" w:lineRule="auto"/>
        <w:tabs>
          <w:tab w:leader="none" w:pos="440" w:val="left"/>
        </w:tabs>
        <w:numPr>
          <w:ilvl w:val="0"/>
          <w:numId w:val="20"/>
        </w:numPr>
        <w:rPr>
          <w:rFonts w:ascii="Arial" w:cs="Arial" w:eastAsia="Arial" w:hAnsi="Arial"/>
          <w:sz w:val="17"/>
          <w:szCs w:val="17"/>
          <w:u w:val="single" w:color="auto"/>
          <w:color w:val="0000EE"/>
        </w:rPr>
      </w:pPr>
      <w:r>
        <w:rPr>
          <w:rFonts w:ascii="Arial" w:cs="Arial" w:eastAsia="Arial" w:hAnsi="Arial"/>
          <w:sz w:val="17"/>
          <w:szCs w:val="17"/>
          <w:u w:val="single" w:color="auto"/>
          <w:color w:val="0000EE"/>
        </w:rPr>
        <w:t>Advisory Vote to Approve Named Executive Officer Compensation</w:t>
      </w:r>
    </w:p>
    <w:p>
      <w:pPr>
        <w:spacing w:after="0" w:line="140" w:lineRule="exact"/>
        <w:rPr>
          <w:rFonts w:ascii="Arial" w:cs="Arial" w:eastAsia="Arial" w:hAnsi="Arial"/>
          <w:sz w:val="17"/>
          <w:szCs w:val="17"/>
          <w:u w:val="single" w:color="auto"/>
          <w:color w:val="0000EE"/>
        </w:rPr>
      </w:pPr>
    </w:p>
    <w:p>
      <w:pPr>
        <w:ind w:left="440" w:hanging="361"/>
        <w:spacing w:after="0"/>
        <w:tabs>
          <w:tab w:leader="none" w:pos="440" w:val="left"/>
        </w:tabs>
        <w:numPr>
          <w:ilvl w:val="0"/>
          <w:numId w:val="20"/>
        </w:numPr>
        <w:rPr>
          <w:rFonts w:ascii="Arial" w:cs="Arial" w:eastAsia="Arial" w:hAnsi="Arial"/>
          <w:sz w:val="17"/>
          <w:szCs w:val="17"/>
          <w:u w:val="single" w:color="auto"/>
          <w:color w:val="0000EE"/>
        </w:rPr>
      </w:pPr>
      <w:r>
        <w:rPr>
          <w:rFonts w:ascii="Arial" w:cs="Arial" w:eastAsia="Arial" w:hAnsi="Arial"/>
          <w:sz w:val="17"/>
          <w:szCs w:val="17"/>
          <w:u w:val="single" w:color="auto"/>
          <w:color w:val="0000EE"/>
        </w:rPr>
        <w:t>Compensation-related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-579120</wp:posOffset>
            </wp:positionV>
            <wp:extent cx="279781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797810" cy="8255"/>
                    </a:xfrm>
                    <a:prstGeom prst="rect">
                      <a:avLst/>
                    </a:prstGeom>
                    <a:noFill/>
                  </pic:spPr>
                </pic:pic>
              </a:graphicData>
            </a:graphic>
          </wp:anchor>
        </w:drawing>
        <w:drawing>
          <wp:anchor simplePos="0" relativeHeight="251657728" behindDoc="1" locked="0" layoutInCell="0" allowOverlap="1">
            <wp:simplePos x="0" y="0"/>
            <wp:positionH relativeFrom="column">
              <wp:posOffset>-66040</wp:posOffset>
            </wp:positionH>
            <wp:positionV relativeFrom="paragraph">
              <wp:posOffset>-196215</wp:posOffset>
            </wp:positionV>
            <wp:extent cx="27978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797810" cy="8255"/>
                    </a:xfrm>
                    <a:prstGeom prst="rect">
                      <a:avLst/>
                    </a:prstGeom>
                    <a:noFill/>
                  </pic:spPr>
                </pic:pic>
              </a:graphicData>
            </a:graphic>
          </wp:anchor>
        </w:drawing>
      </w:r>
    </w:p>
    <w:p>
      <w:pPr>
        <w:spacing w:after="0" w:line="143" w:lineRule="exact"/>
        <w:rPr>
          <w:sz w:val="20"/>
          <w:szCs w:val="20"/>
          <w:color w:val="auto"/>
        </w:rPr>
      </w:pPr>
    </w:p>
    <w:p>
      <w:pPr>
        <w:ind w:left="880" w:hanging="310"/>
        <w:spacing w:after="0"/>
        <w:tabs>
          <w:tab w:leader="none" w:pos="880" w:val="left"/>
        </w:tabs>
        <w:numPr>
          <w:ilvl w:val="0"/>
          <w:numId w:val="21"/>
        </w:numPr>
        <w:rPr>
          <w:rFonts w:ascii="Arial" w:cs="Arial" w:eastAsia="Arial" w:hAnsi="Arial"/>
          <w:sz w:val="16"/>
          <w:szCs w:val="16"/>
          <w:u w:val="single" w:color="auto"/>
          <w:color w:val="0000EE"/>
        </w:rPr>
      </w:pPr>
      <w:r>
        <w:rPr>
          <w:rFonts w:ascii="Arial" w:cs="Arial" w:eastAsia="Arial" w:hAnsi="Arial"/>
          <w:sz w:val="16"/>
          <w:szCs w:val="16"/>
          <w:u w:val="single" w:color="auto"/>
          <w:color w:val="0000EE"/>
        </w:rPr>
        <w:t>Compensation Discussion and Analysis</w:t>
      </w:r>
    </w:p>
    <w:p>
      <w:pPr>
        <w:spacing w:after="0" w:line="156" w:lineRule="exact"/>
        <w:rPr>
          <w:rFonts w:ascii="Arial" w:cs="Arial" w:eastAsia="Arial" w:hAnsi="Arial"/>
          <w:sz w:val="16"/>
          <w:szCs w:val="16"/>
          <w:u w:val="single" w:color="auto"/>
          <w:color w:val="0000EE"/>
        </w:rPr>
      </w:pPr>
    </w:p>
    <w:p>
      <w:pPr>
        <w:ind w:left="880" w:hanging="310"/>
        <w:spacing w:after="0"/>
        <w:tabs>
          <w:tab w:leader="none" w:pos="880" w:val="left"/>
        </w:tabs>
        <w:numPr>
          <w:ilvl w:val="0"/>
          <w:numId w:val="22"/>
        </w:numPr>
        <w:rPr>
          <w:rFonts w:ascii="Arial" w:cs="Arial" w:eastAsia="Arial" w:hAnsi="Arial"/>
          <w:sz w:val="16"/>
          <w:szCs w:val="16"/>
          <w:u w:val="single" w:color="auto"/>
          <w:color w:val="0000EE"/>
        </w:rPr>
      </w:pPr>
      <w:r>
        <w:rPr>
          <w:rFonts w:ascii="Arial" w:cs="Arial" w:eastAsia="Arial" w:hAnsi="Arial"/>
          <w:sz w:val="16"/>
          <w:szCs w:val="16"/>
          <w:u w:val="single" w:color="auto"/>
          <w:color w:val="0000EE"/>
        </w:rPr>
        <w:t>2025 Summary Compensation Table</w:t>
      </w:r>
    </w:p>
    <w:p>
      <w:pPr>
        <w:spacing w:after="0" w:line="156" w:lineRule="exact"/>
        <w:rPr>
          <w:rFonts w:ascii="Arial" w:cs="Arial" w:eastAsia="Arial" w:hAnsi="Arial"/>
          <w:sz w:val="16"/>
          <w:szCs w:val="16"/>
          <w:u w:val="single" w:color="auto"/>
          <w:color w:val="0000EE"/>
        </w:rPr>
      </w:pPr>
    </w:p>
    <w:p>
      <w:pPr>
        <w:ind w:left="880" w:hanging="310"/>
        <w:spacing w:after="0"/>
        <w:tabs>
          <w:tab w:leader="none" w:pos="880" w:val="left"/>
        </w:tabs>
        <w:numPr>
          <w:ilvl w:val="0"/>
          <w:numId w:val="23"/>
        </w:numPr>
        <w:rPr>
          <w:rFonts w:ascii="Arial" w:cs="Arial" w:eastAsia="Arial" w:hAnsi="Arial"/>
          <w:sz w:val="16"/>
          <w:szCs w:val="16"/>
          <w:u w:val="single" w:color="auto"/>
          <w:color w:val="0000EE"/>
        </w:rPr>
      </w:pPr>
      <w:r>
        <w:rPr>
          <w:rFonts w:ascii="Arial" w:cs="Arial" w:eastAsia="Arial" w:hAnsi="Arial"/>
          <w:sz w:val="16"/>
          <w:szCs w:val="16"/>
          <w:u w:val="single" w:color="auto"/>
          <w:color w:val="0000EE"/>
        </w:rPr>
        <w:t>Grants of Plan-based Awards for Fiscal 2025</w:t>
      </w:r>
    </w:p>
    <w:p>
      <w:pPr>
        <w:spacing w:after="0" w:line="157" w:lineRule="exact"/>
        <w:rPr>
          <w:sz w:val="20"/>
          <w:szCs w:val="20"/>
          <w:color w:val="auto"/>
        </w:rPr>
      </w:pPr>
    </w:p>
    <w:p>
      <w:pPr>
        <w:ind w:left="880" w:right="219" w:hanging="310"/>
        <w:spacing w:after="0" w:line="268" w:lineRule="auto"/>
        <w:tabs>
          <w:tab w:leader="none" w:pos="880" w:val="left"/>
        </w:tabs>
        <w:numPr>
          <w:ilvl w:val="0"/>
          <w:numId w:val="24"/>
        </w:numPr>
        <w:rPr>
          <w:rFonts w:ascii="Arial" w:cs="Arial" w:eastAsia="Arial" w:hAnsi="Arial"/>
          <w:sz w:val="16"/>
          <w:szCs w:val="16"/>
          <w:u w:val="single" w:color="auto"/>
          <w:color w:val="0000EE"/>
        </w:rPr>
      </w:pPr>
      <w:r>
        <w:rPr>
          <w:rFonts w:ascii="Arial" w:cs="Arial" w:eastAsia="Arial" w:hAnsi="Arial"/>
          <w:sz w:val="16"/>
          <w:szCs w:val="16"/>
          <w:u w:val="single" w:color="auto"/>
          <w:color w:val="0000EE"/>
        </w:rPr>
        <w:t>Outstanding Equity Awards at Fiscal Year-end 2025</w:t>
      </w:r>
    </w:p>
    <w:p>
      <w:pPr>
        <w:spacing w:after="0" w:line="113" w:lineRule="exact"/>
        <w:rPr>
          <w:rFonts w:ascii="Arial" w:cs="Arial" w:eastAsia="Arial" w:hAnsi="Arial"/>
          <w:sz w:val="16"/>
          <w:szCs w:val="16"/>
          <w:u w:val="single" w:color="auto"/>
          <w:color w:val="0000EE"/>
        </w:rPr>
      </w:pPr>
    </w:p>
    <w:p>
      <w:pPr>
        <w:ind w:left="880" w:right="139" w:hanging="310"/>
        <w:spacing w:after="0" w:line="268" w:lineRule="auto"/>
        <w:tabs>
          <w:tab w:leader="none" w:pos="880" w:val="left"/>
        </w:tabs>
        <w:numPr>
          <w:ilvl w:val="0"/>
          <w:numId w:val="24"/>
        </w:numPr>
        <w:rPr>
          <w:rFonts w:ascii="Arial" w:cs="Arial" w:eastAsia="Arial" w:hAnsi="Arial"/>
          <w:sz w:val="16"/>
          <w:szCs w:val="16"/>
          <w:u w:val="single" w:color="auto"/>
          <w:color w:val="0000EE"/>
        </w:rPr>
      </w:pPr>
      <w:r>
        <w:rPr>
          <w:rFonts w:ascii="Arial" w:cs="Arial" w:eastAsia="Arial" w:hAnsi="Arial"/>
          <w:sz w:val="16"/>
          <w:szCs w:val="16"/>
          <w:u w:val="single" w:color="auto"/>
          <w:color w:val="0000EE"/>
        </w:rPr>
        <w:t>Option Exercises and Stock Vested Information for Fiscal 2025</w:t>
      </w:r>
    </w:p>
    <w:p>
      <w:pPr>
        <w:spacing w:after="0" w:line="113" w:lineRule="exact"/>
        <w:rPr>
          <w:rFonts w:ascii="Arial" w:cs="Arial" w:eastAsia="Arial" w:hAnsi="Arial"/>
          <w:sz w:val="16"/>
          <w:szCs w:val="16"/>
          <w:u w:val="single" w:color="auto"/>
          <w:color w:val="0000EE"/>
        </w:rPr>
      </w:pPr>
    </w:p>
    <w:p>
      <w:pPr>
        <w:ind w:left="880" w:right="599" w:hanging="310"/>
        <w:spacing w:after="0" w:line="268" w:lineRule="auto"/>
        <w:tabs>
          <w:tab w:leader="none" w:pos="880" w:val="left"/>
        </w:tabs>
        <w:numPr>
          <w:ilvl w:val="0"/>
          <w:numId w:val="24"/>
        </w:numPr>
        <w:rPr>
          <w:rFonts w:ascii="Arial" w:cs="Arial" w:eastAsia="Arial" w:hAnsi="Arial"/>
          <w:sz w:val="16"/>
          <w:szCs w:val="16"/>
          <w:u w:val="single" w:color="auto"/>
          <w:color w:val="0000EE"/>
        </w:rPr>
      </w:pPr>
      <w:r>
        <w:rPr>
          <w:rFonts w:ascii="Arial" w:cs="Arial" w:eastAsia="Arial" w:hAnsi="Arial"/>
          <w:sz w:val="16"/>
          <w:szCs w:val="16"/>
          <w:u w:val="single" w:color="auto"/>
          <w:color w:val="0000EE"/>
        </w:rPr>
        <w:t>Potential Payments Upon Termination or Change in Control</w:t>
      </w:r>
    </w:p>
    <w:p>
      <w:pPr>
        <w:spacing w:after="0" w:line="114" w:lineRule="exact"/>
        <w:rPr>
          <w:sz w:val="20"/>
          <w:szCs w:val="20"/>
          <w:color w:val="auto"/>
        </w:rPr>
      </w:pPr>
    </w:p>
    <w:p>
      <w:pPr>
        <w:ind w:left="880" w:hanging="310"/>
        <w:spacing w:after="0"/>
        <w:tabs>
          <w:tab w:leader="none" w:pos="880" w:val="left"/>
        </w:tabs>
        <w:numPr>
          <w:ilvl w:val="0"/>
          <w:numId w:val="25"/>
        </w:numPr>
        <w:rPr>
          <w:rFonts w:ascii="Arial" w:cs="Arial" w:eastAsia="Arial" w:hAnsi="Arial"/>
          <w:sz w:val="16"/>
          <w:szCs w:val="16"/>
          <w:u w:val="single" w:color="auto"/>
          <w:color w:val="0000EE"/>
        </w:rPr>
      </w:pPr>
      <w:r>
        <w:rPr>
          <w:rFonts w:ascii="Arial" w:cs="Arial" w:eastAsia="Arial" w:hAnsi="Arial"/>
          <w:sz w:val="16"/>
          <w:szCs w:val="16"/>
          <w:u w:val="single" w:color="auto"/>
          <w:color w:val="0000EE"/>
        </w:rPr>
        <w:t>2025 Pay Ratio Disclosure</w:t>
      </w:r>
    </w:p>
    <w:p>
      <w:pPr>
        <w:spacing w:after="0" w:line="156" w:lineRule="exact"/>
        <w:rPr>
          <w:rFonts w:ascii="Arial" w:cs="Arial" w:eastAsia="Arial" w:hAnsi="Arial"/>
          <w:sz w:val="16"/>
          <w:szCs w:val="16"/>
          <w:u w:val="single" w:color="auto"/>
          <w:color w:val="0000EE"/>
        </w:rPr>
      </w:pPr>
    </w:p>
    <w:p>
      <w:pPr>
        <w:ind w:left="880" w:hanging="310"/>
        <w:spacing w:after="0"/>
        <w:tabs>
          <w:tab w:leader="none" w:pos="880" w:val="left"/>
        </w:tabs>
        <w:numPr>
          <w:ilvl w:val="0"/>
          <w:numId w:val="25"/>
        </w:numPr>
        <w:rPr>
          <w:rFonts w:ascii="Arial" w:cs="Arial" w:eastAsia="Arial" w:hAnsi="Arial"/>
          <w:sz w:val="16"/>
          <w:szCs w:val="16"/>
          <w:u w:val="single" w:color="auto"/>
          <w:color w:val="0000EE"/>
        </w:rPr>
      </w:pPr>
      <w:r>
        <w:rPr>
          <w:rFonts w:ascii="Arial" w:cs="Arial" w:eastAsia="Arial" w:hAnsi="Arial"/>
          <w:sz w:val="16"/>
          <w:szCs w:val="16"/>
          <w:u w:val="single" w:color="auto"/>
          <w:color w:val="0000EE"/>
        </w:rPr>
        <w:t>2025 Pay Versus Performance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57150</wp:posOffset>
            </wp:positionV>
            <wp:extent cx="279781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797810" cy="8255"/>
                    </a:xfrm>
                    <a:prstGeom prst="rect">
                      <a:avLst/>
                    </a:prstGeom>
                    <a:noFill/>
                  </pic:spPr>
                </pic:pic>
              </a:graphicData>
            </a:graphic>
          </wp:anchor>
        </w:drawing>
      </w:r>
    </w:p>
    <w:p>
      <w:pPr>
        <w:spacing w:after="0" w:line="185" w:lineRule="exact"/>
        <w:rPr>
          <w:sz w:val="20"/>
          <w:szCs w:val="20"/>
          <w:color w:val="auto"/>
        </w:rPr>
      </w:pPr>
    </w:p>
    <w:p>
      <w:pPr>
        <w:ind w:left="80"/>
        <w:spacing w:after="0"/>
        <w:tabs>
          <w:tab w:leader="none" w:pos="420" w:val="left"/>
        </w:tabs>
        <w:rPr>
          <w:sz w:val="20"/>
          <w:szCs w:val="20"/>
          <w:color w:val="auto"/>
        </w:rPr>
      </w:pPr>
      <w:r>
        <w:rPr>
          <w:rFonts w:ascii="Arial" w:cs="Arial" w:eastAsia="Arial" w:hAnsi="Arial"/>
          <w:sz w:val="17"/>
          <w:szCs w:val="17"/>
          <w:u w:val="single" w:color="auto"/>
          <w:color w:val="0000EE"/>
        </w:rPr>
        <w:t>60</w:t>
        <w:tab/>
        <w:t>Beneficial Ownership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61595</wp:posOffset>
            </wp:positionV>
            <wp:extent cx="27978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797810" cy="8255"/>
                    </a:xfrm>
                    <a:prstGeom prst="rect">
                      <a:avLst/>
                    </a:prstGeom>
                    <a:noFill/>
                  </pic:spPr>
                </pic:pic>
              </a:graphicData>
            </a:graphic>
          </wp:anchor>
        </w:drawing>
      </w:r>
    </w:p>
    <w:p>
      <w:pPr>
        <w:spacing w:after="0" w:line="191" w:lineRule="exact"/>
        <w:rPr>
          <w:sz w:val="20"/>
          <w:szCs w:val="20"/>
          <w:color w:val="auto"/>
        </w:rPr>
      </w:pPr>
    </w:p>
    <w:p>
      <w:pPr>
        <w:ind w:left="440" w:right="939" w:hanging="361"/>
        <w:spacing w:after="0" w:line="284" w:lineRule="auto"/>
        <w:tabs>
          <w:tab w:leader="none" w:pos="440" w:val="left"/>
        </w:tabs>
        <w:numPr>
          <w:ilvl w:val="0"/>
          <w:numId w:val="26"/>
        </w:numPr>
        <w:rPr>
          <w:rFonts w:ascii="Arial" w:cs="Arial" w:eastAsia="Arial" w:hAnsi="Arial"/>
          <w:sz w:val="17"/>
          <w:szCs w:val="17"/>
          <w:u w:val="single" w:color="auto"/>
          <w:color w:val="0000EE"/>
        </w:rPr>
      </w:pPr>
      <w:r>
        <w:rPr>
          <w:rFonts w:ascii="Arial" w:cs="Arial" w:eastAsia="Arial" w:hAnsi="Arial"/>
          <w:sz w:val="17"/>
          <w:szCs w:val="17"/>
          <w:u w:val="single" w:color="auto"/>
          <w:color w:val="0000EE"/>
        </w:rPr>
        <w:t>Information About the Annual Meeting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16510</wp:posOffset>
            </wp:positionV>
            <wp:extent cx="279781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797810" cy="8255"/>
                    </a:xfrm>
                    <a:prstGeom prst="rect">
                      <a:avLst/>
                    </a:prstGeom>
                    <a:noFill/>
                  </pic:spPr>
                </pic:pic>
              </a:graphicData>
            </a:graphic>
          </wp:anchor>
        </w:drawing>
      </w:r>
    </w:p>
    <w:p>
      <w:pPr>
        <w:spacing w:after="0" w:line="121" w:lineRule="exact"/>
        <w:rPr>
          <w:sz w:val="20"/>
          <w:szCs w:val="20"/>
          <w:color w:val="auto"/>
        </w:rPr>
      </w:pPr>
    </w:p>
    <w:p>
      <w:pPr>
        <w:ind w:left="80"/>
        <w:spacing w:after="0"/>
        <w:tabs>
          <w:tab w:leader="none" w:pos="420" w:val="left"/>
        </w:tabs>
        <w:rPr>
          <w:sz w:val="20"/>
          <w:szCs w:val="20"/>
          <w:color w:val="auto"/>
        </w:rPr>
      </w:pPr>
      <w:r>
        <w:rPr>
          <w:rFonts w:ascii="Arial" w:cs="Arial" w:eastAsia="Arial" w:hAnsi="Arial"/>
          <w:sz w:val="17"/>
          <w:szCs w:val="17"/>
          <w:u w:val="single" w:color="auto"/>
          <w:color w:val="0000EE"/>
        </w:rPr>
        <w:t>65</w:t>
        <w:tab/>
        <w:t>General Matters</w:t>
      </w:r>
    </w:p>
    <w:p>
      <w:pPr>
        <w:spacing w:after="0" w:line="163" w:lineRule="exact"/>
        <w:rPr>
          <w:sz w:val="20"/>
          <w:szCs w:val="20"/>
          <w:color w:val="auto"/>
        </w:rPr>
      </w:pPr>
    </w:p>
    <w:p>
      <w:pPr>
        <w:jc w:val="center"/>
        <w:ind w:right="519"/>
        <w:spacing w:after="0"/>
        <w:tabs>
          <w:tab w:leader="none" w:pos="120" w:val="left"/>
        </w:tabs>
        <w:rPr>
          <w:sz w:val="20"/>
          <w:szCs w:val="20"/>
          <w:color w:val="auto"/>
        </w:rPr>
      </w:pPr>
      <w:r>
        <w:rPr>
          <w:rFonts w:ascii="Arial" w:cs="Arial" w:eastAsia="Arial" w:hAnsi="Arial"/>
          <w:sz w:val="16"/>
          <w:szCs w:val="16"/>
          <w:u w:val="single" w:color="auto"/>
          <w:color w:val="0000EE"/>
        </w:rPr>
        <w:t>65</w:t>
      </w:r>
      <w:r>
        <w:rPr>
          <w:sz w:val="20"/>
          <w:szCs w:val="20"/>
          <w:color w:val="auto"/>
        </w:rPr>
        <w:tab/>
      </w:r>
      <w:r>
        <w:rPr>
          <w:rFonts w:ascii="Arial" w:cs="Arial" w:eastAsia="Arial" w:hAnsi="Arial"/>
          <w:sz w:val="15"/>
          <w:szCs w:val="15"/>
          <w:u w:val="single" w:color="auto"/>
          <w:color w:val="0000EE"/>
        </w:rPr>
        <w:t>Delinquent Section 16(a) Reports</w:t>
      </w:r>
    </w:p>
    <w:p>
      <w:pPr>
        <w:spacing w:after="0" w:line="157" w:lineRule="exact"/>
        <w:rPr>
          <w:sz w:val="20"/>
          <w:szCs w:val="20"/>
          <w:color w:val="auto"/>
        </w:rPr>
      </w:pPr>
    </w:p>
    <w:p>
      <w:pPr>
        <w:ind w:left="880" w:right="119" w:hanging="310"/>
        <w:spacing w:after="0" w:line="268" w:lineRule="auto"/>
        <w:tabs>
          <w:tab w:leader="none" w:pos="880" w:val="left"/>
        </w:tabs>
        <w:numPr>
          <w:ilvl w:val="0"/>
          <w:numId w:val="27"/>
        </w:numPr>
        <w:rPr>
          <w:rFonts w:ascii="Arial" w:cs="Arial" w:eastAsia="Arial" w:hAnsi="Arial"/>
          <w:sz w:val="16"/>
          <w:szCs w:val="16"/>
          <w:u w:val="single" w:color="auto"/>
          <w:color w:val="0000EE"/>
        </w:rPr>
      </w:pPr>
      <w:r>
        <w:rPr>
          <w:rFonts w:ascii="Arial" w:cs="Arial" w:eastAsia="Arial" w:hAnsi="Arial"/>
          <w:sz w:val="16"/>
          <w:szCs w:val="16"/>
          <w:u w:val="single" w:color="auto"/>
          <w:color w:val="0000EE"/>
        </w:rPr>
        <w:t>Shareholder Proposals or Director Nominations for the 2027 Annual Meeting</w:t>
      </w:r>
    </w:p>
    <w:p>
      <w:pPr>
        <w:spacing w:after="0" w:line="114" w:lineRule="exact"/>
        <w:rPr>
          <w:sz w:val="20"/>
          <w:szCs w:val="20"/>
          <w:color w:val="auto"/>
        </w:rPr>
      </w:pPr>
    </w:p>
    <w:p>
      <w:pPr>
        <w:ind w:left="880" w:hanging="310"/>
        <w:spacing w:after="0"/>
        <w:tabs>
          <w:tab w:leader="none" w:pos="880" w:val="left"/>
        </w:tabs>
        <w:numPr>
          <w:ilvl w:val="0"/>
          <w:numId w:val="28"/>
        </w:numPr>
        <w:rPr>
          <w:rFonts w:ascii="Arial" w:cs="Arial" w:eastAsia="Arial" w:hAnsi="Arial"/>
          <w:sz w:val="16"/>
          <w:szCs w:val="16"/>
          <w:u w:val="single" w:color="auto"/>
          <w:color w:val="0000EE"/>
        </w:rPr>
      </w:pPr>
      <w:r>
        <w:rPr>
          <w:rFonts w:ascii="Arial" w:cs="Arial" w:eastAsia="Arial" w:hAnsi="Arial"/>
          <w:sz w:val="16"/>
          <w:szCs w:val="16"/>
          <w:u w:val="single" w:color="auto"/>
          <w:color w:val="0000EE"/>
        </w:rPr>
        <w:t>Other Proposed Actions</w:t>
      </w:r>
    </w:p>
    <w:p>
      <w:pPr>
        <w:spacing w:after="0" w:line="156" w:lineRule="exact"/>
        <w:rPr>
          <w:rFonts w:ascii="Arial" w:cs="Arial" w:eastAsia="Arial" w:hAnsi="Arial"/>
          <w:sz w:val="16"/>
          <w:szCs w:val="16"/>
          <w:u w:val="single" w:color="auto"/>
          <w:color w:val="0000EE"/>
        </w:rPr>
      </w:pPr>
    </w:p>
    <w:p>
      <w:pPr>
        <w:ind w:left="880" w:hanging="310"/>
        <w:spacing w:after="0"/>
        <w:tabs>
          <w:tab w:leader="none" w:pos="880" w:val="left"/>
        </w:tabs>
        <w:numPr>
          <w:ilvl w:val="0"/>
          <w:numId w:val="29"/>
        </w:numPr>
        <w:rPr>
          <w:rFonts w:ascii="Arial" w:cs="Arial" w:eastAsia="Arial" w:hAnsi="Arial"/>
          <w:sz w:val="16"/>
          <w:szCs w:val="16"/>
          <w:u w:val="single" w:color="auto"/>
          <w:color w:val="0000EE"/>
        </w:rPr>
      </w:pPr>
      <w:r>
        <w:rPr>
          <w:rFonts w:ascii="Arial" w:cs="Arial" w:eastAsia="Arial" w:hAnsi="Arial"/>
          <w:sz w:val="16"/>
          <w:szCs w:val="16"/>
          <w:u w:val="single" w:color="auto"/>
          <w:color w:val="0000EE"/>
        </w:rPr>
        <w:t>Solicitation of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57150</wp:posOffset>
            </wp:positionV>
            <wp:extent cx="27978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797810" cy="8255"/>
                    </a:xfrm>
                    <a:prstGeom prst="rect">
                      <a:avLst/>
                    </a:prstGeom>
                    <a:noFill/>
                  </pic:spPr>
                </pic:pic>
              </a:graphicData>
            </a:graphic>
          </wp:anchor>
        </w:drawing>
      </w:r>
    </w:p>
    <w:p>
      <w:pPr>
        <w:spacing w:after="0" w:line="185"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u w:val="single" w:color="auto"/>
          <w:color w:val="0000EE"/>
        </w:rPr>
        <w:t>A-1</w:t>
        <w:tab/>
        <w:t>Appendix A –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677545</wp:posOffset>
            </wp:positionV>
            <wp:extent cx="6795135" cy="16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95135" cy="16510"/>
                    </a:xfrm>
                    <a:prstGeom prst="rect">
                      <a:avLst/>
                    </a:prstGeom>
                    <a:noFill/>
                  </pic:spPr>
                </pic:pic>
              </a:graphicData>
            </a:graphic>
          </wp:anchor>
        </w:drawing>
        <w:drawing>
          <wp:anchor simplePos="0" relativeHeight="251657728" behindDoc="1" locked="0" layoutInCell="0" allowOverlap="1">
            <wp:simplePos x="0" y="0"/>
            <wp:positionH relativeFrom="column">
              <wp:posOffset>-66040</wp:posOffset>
            </wp:positionH>
            <wp:positionV relativeFrom="paragraph">
              <wp:posOffset>61595</wp:posOffset>
            </wp:positionV>
            <wp:extent cx="279781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79781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203200</wp:posOffset>
            </wp:positionV>
            <wp:extent cx="5753735" cy="1917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3735" cy="191770"/>
                    </a:xfrm>
                    <a:prstGeom prst="rect">
                      <a:avLst/>
                    </a:prstGeom>
                    <a:noFill/>
                  </pic:spPr>
                </pic:pic>
              </a:graphicData>
            </a:graphic>
          </wp:anchor>
        </w:drawing>
      </w:r>
    </w:p>
    <w:p>
      <w:pPr>
        <w:sectPr>
          <w:pgSz w:w="11900" w:h="16838" w:orient="portrait"/>
          <w:cols w:equalWidth="0" w:num="2">
            <w:col w:w="4240" w:space="500"/>
            <w:col w:w="4299"/>
          </w:cols>
          <w:pgMar w:left="1420" w:top="115"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8" w:lineRule="exact"/>
        <w:rPr>
          <w:sz w:val="20"/>
          <w:szCs w:val="20"/>
          <w:color w:val="auto"/>
        </w:rPr>
      </w:pPr>
    </w:p>
    <w:p>
      <w:pPr>
        <w:spacing w:after="0"/>
        <w:rPr>
          <w:sz w:val="20"/>
          <w:szCs w:val="20"/>
          <w:color w:val="auto"/>
        </w:rPr>
      </w:pPr>
      <w:r>
        <w:rPr>
          <w:rFonts w:ascii="Arial" w:cs="Arial" w:eastAsia="Arial" w:hAnsi="Arial"/>
          <w:sz w:val="38"/>
          <w:szCs w:val="38"/>
          <w:color w:val="292F72"/>
        </w:rPr>
        <w:t>2026 Proxy Statement Summary</w:t>
      </w:r>
    </w:p>
    <w:p>
      <w:pPr>
        <w:spacing w:after="0" w:line="186" w:lineRule="exact"/>
        <w:rPr>
          <w:sz w:val="20"/>
          <w:szCs w:val="20"/>
          <w:color w:val="auto"/>
        </w:rPr>
      </w:pPr>
    </w:p>
    <w:p>
      <w:pPr>
        <w:ind w:right="160"/>
        <w:spacing w:after="0" w:line="254" w:lineRule="auto"/>
        <w:rPr>
          <w:sz w:val="20"/>
          <w:szCs w:val="20"/>
          <w:color w:val="auto"/>
        </w:rPr>
      </w:pPr>
      <w:r>
        <w:rPr>
          <w:rFonts w:ascii="Arial" w:cs="Arial" w:eastAsia="Arial" w:hAnsi="Arial"/>
          <w:sz w:val="16"/>
          <w:szCs w:val="16"/>
          <w:color w:val="auto"/>
        </w:rPr>
        <w:t>This is a summary of information contained in this Proxy Statement about Bath &amp; Body Works, Inc. (referred to in this proxy statement as “we,” “us,” “our” and the “Company”) and our upcoming 2026 annual meeting of shareholders. This summary does not contain all the information you should consider. Please carefully read the entire proxy statement before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252730</wp:posOffset>
            </wp:positionV>
            <wp:extent cx="5737225" cy="1581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37225" cy="158115"/>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sz w:val="1"/>
          <w:szCs w:val="1"/>
          <w:color w:val="auto"/>
        </w:rPr>
        <w:drawing>
          <wp:inline distT="0" distB="0" distL="0" distR="0">
            <wp:extent cx="66675" cy="41656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6675" cy="416560"/>
                    </a:xfrm>
                    <a:prstGeom prst="rect">
                      <a:avLst/>
                    </a:prstGeom>
                    <a:noFill/>
                    <a:ln>
                      <a:noFill/>
                    </a:ln>
                  </pic:spPr>
                </pic:pic>
              </a:graphicData>
            </a:graphic>
          </wp:inline>
        </w:drawing>
      </w:r>
      <w:r>
        <w:rPr>
          <w:rFonts w:ascii="Arial" w:cs="Arial" w:eastAsia="Arial" w:hAnsi="Arial"/>
          <w:sz w:val="23"/>
          <w:szCs w:val="23"/>
          <w:b w:val="1"/>
          <w:bCs w:val="1"/>
          <w:color w:val="6D8CC3"/>
        </w:rPr>
        <w:t xml:space="preserve"> YOUR VOTE IS IMPORTANT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-257810</wp:posOffset>
            </wp:positionV>
            <wp:extent cx="5670550" cy="2584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70550" cy="258445"/>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Arial" w:cs="Arial" w:eastAsia="Arial" w:hAnsi="Arial"/>
          <w:sz w:val="23"/>
          <w:szCs w:val="23"/>
          <w:b w:val="1"/>
          <w:bCs w:val="1"/>
          <w:color w:val="292F72"/>
        </w:rPr>
        <w:t xml:space="preserve">How to Vote Your Shares </w:t>
      </w:r>
      <w:r>
        <w:rPr>
          <w:rFonts w:ascii="Arial" w:cs="Arial" w:eastAsia="Arial" w:hAnsi="Arial"/>
          <w:sz w:val="15"/>
          <w:szCs w:val="15"/>
          <w:b w:val="1"/>
          <w:bCs w:val="1"/>
          <w:color w:val="292F72"/>
        </w:rPr>
        <w:t>(See Page</w:t>
      </w:r>
      <w:r>
        <w:rPr>
          <w:rFonts w:ascii="Arial" w:cs="Arial" w:eastAsia="Arial" w:hAnsi="Arial"/>
          <w:sz w:val="23"/>
          <w:szCs w:val="23"/>
          <w:b w:val="1"/>
          <w:bCs w:val="1"/>
          <w:color w:val="292F72"/>
        </w:rPr>
        <w:t xml:space="preserve"> </w:t>
      </w:r>
      <w:r>
        <w:rPr>
          <w:rFonts w:ascii="Arial" w:cs="Arial" w:eastAsia="Arial" w:hAnsi="Arial"/>
          <w:sz w:val="15"/>
          <w:szCs w:val="15"/>
          <w:b w:val="1"/>
          <w:bCs w:val="1"/>
          <w:u w:val="single" w:color="auto"/>
          <w:color w:val="0000EE"/>
        </w:rPr>
        <w:t>62</w:t>
      </w:r>
      <w:r>
        <w:rPr>
          <w:rFonts w:ascii="Arial" w:cs="Arial" w:eastAsia="Arial" w:hAnsi="Arial"/>
          <w:sz w:val="15"/>
          <w:szCs w:val="15"/>
          <w:b w:val="1"/>
          <w:bCs w:val="1"/>
          <w:color w:val="292F72"/>
        </w:rPr>
        <w: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You may vote if you were a Company shareholder of record as of the close of business on April 14,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315595</wp:posOffset>
            </wp:positionV>
            <wp:extent cx="57372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37225" cy="8255"/>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3"/>
          <w:szCs w:val="23"/>
          <w:b w:val="1"/>
          <w:bCs w:val="1"/>
          <w:color w:val="292F72"/>
        </w:rPr>
        <w:t>Online before the meeting</w:t>
      </w:r>
    </w:p>
    <w:p>
      <w:pPr>
        <w:spacing w:after="0" w:line="95"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Go to the website designated on the enclosed proxy card or to the website indicated on the materials provided by your broker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203200</wp:posOffset>
            </wp:positionV>
            <wp:extent cx="27311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7311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3"/>
          <w:szCs w:val="23"/>
          <w:b w:val="1"/>
          <w:bCs w:val="1"/>
          <w:color w:val="292F72"/>
        </w:rPr>
        <w:t>By mail</w:t>
      </w:r>
    </w:p>
    <w:p>
      <w:pPr>
        <w:spacing w:after="0" w:line="95" w:lineRule="exact"/>
        <w:rPr>
          <w:sz w:val="20"/>
          <w:szCs w:val="20"/>
          <w:color w:val="auto"/>
        </w:rPr>
      </w:pPr>
    </w:p>
    <w:p>
      <w:pPr>
        <w:ind w:right="260"/>
        <w:spacing w:after="0" w:line="268" w:lineRule="auto"/>
        <w:rPr>
          <w:sz w:val="20"/>
          <w:szCs w:val="20"/>
          <w:color w:val="auto"/>
        </w:rPr>
      </w:pPr>
      <w:r>
        <w:rPr>
          <w:rFonts w:ascii="Arial" w:cs="Arial" w:eastAsia="Arial" w:hAnsi="Arial"/>
          <w:sz w:val="16"/>
          <w:szCs w:val="16"/>
          <w:color w:val="auto"/>
        </w:rPr>
        <w:t>Complete, sign and date the enclosed proxy card and return it promptly in the envelope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154940</wp:posOffset>
            </wp:positionV>
            <wp:extent cx="27311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7311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3"/>
          <w:szCs w:val="23"/>
          <w:b w:val="1"/>
          <w:bCs w:val="1"/>
          <w:color w:val="292F72"/>
        </w:rPr>
        <w:t>Roadmap for Voting Items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3"/>
          <w:szCs w:val="23"/>
          <w:b w:val="1"/>
          <w:bCs w:val="1"/>
          <w:color w:val="292F72"/>
        </w:rPr>
        <w:t>By phone</w:t>
      </w:r>
    </w:p>
    <w:p>
      <w:pPr>
        <w:spacing w:after="0" w:line="95" w:lineRule="exact"/>
        <w:rPr>
          <w:sz w:val="20"/>
          <w:szCs w:val="20"/>
          <w:color w:val="auto"/>
        </w:rPr>
      </w:pPr>
    </w:p>
    <w:p>
      <w:pPr>
        <w:ind w:right="760"/>
        <w:spacing w:after="0" w:line="302" w:lineRule="auto"/>
        <w:rPr>
          <w:sz w:val="20"/>
          <w:szCs w:val="20"/>
          <w:color w:val="auto"/>
        </w:rPr>
      </w:pPr>
      <w:r>
        <w:rPr>
          <w:rFonts w:ascii="Arial" w:cs="Arial" w:eastAsia="Arial" w:hAnsi="Arial"/>
          <w:sz w:val="15"/>
          <w:szCs w:val="15"/>
          <w:color w:val="auto"/>
        </w:rPr>
        <w:t>Call the phone number designated on the enclosed proxy card or the materials provided by your broker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298450</wp:posOffset>
            </wp:positionV>
            <wp:extent cx="27393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7393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2"/>
          <w:szCs w:val="22"/>
          <w:b w:val="1"/>
          <w:bCs w:val="1"/>
          <w:color w:val="292F72"/>
        </w:rPr>
        <w:t>Virtually during the annual meeting</w:t>
      </w:r>
    </w:p>
    <w:p>
      <w:pPr>
        <w:spacing w:after="0" w:line="107" w:lineRule="exact"/>
        <w:rPr>
          <w:sz w:val="20"/>
          <w:szCs w:val="20"/>
          <w:color w:val="auto"/>
        </w:rPr>
      </w:pPr>
    </w:p>
    <w:p>
      <w:pPr>
        <w:ind w:right="900"/>
        <w:spacing w:after="0" w:line="268" w:lineRule="auto"/>
        <w:rPr>
          <w:sz w:val="20"/>
          <w:szCs w:val="20"/>
          <w:color w:val="auto"/>
        </w:rPr>
      </w:pPr>
      <w:r>
        <w:rPr>
          <w:rFonts w:ascii="Arial" w:cs="Arial" w:eastAsia="Arial" w:hAnsi="Arial"/>
          <w:sz w:val="16"/>
          <w:szCs w:val="16"/>
          <w:color w:val="auto"/>
        </w:rPr>
        <w:t>Submit your vote online at the annual meeting on June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154940</wp:posOffset>
            </wp:positionV>
            <wp:extent cx="27393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739390" cy="8255"/>
                    </a:xfrm>
                    <a:prstGeom prst="rect">
                      <a:avLst/>
                    </a:prstGeom>
                    <a:noFill/>
                  </pic:spPr>
                </pic:pic>
              </a:graphicData>
            </a:graphic>
          </wp:anchor>
        </w:drawing>
        <w:drawing>
          <wp:anchor simplePos="0" relativeHeight="251657728" behindDoc="1" locked="0" layoutInCell="0" allowOverlap="1">
            <wp:simplePos x="0" y="0"/>
            <wp:positionH relativeFrom="column">
              <wp:posOffset>-2992755</wp:posOffset>
            </wp:positionH>
            <wp:positionV relativeFrom="paragraph">
              <wp:posOffset>862330</wp:posOffset>
            </wp:positionV>
            <wp:extent cx="5737225" cy="20148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37225" cy="2014855"/>
                    </a:xfrm>
                    <a:prstGeom prst="rect">
                      <a:avLst/>
                    </a:prstGeom>
                    <a:noFill/>
                  </pic:spPr>
                </pic:pic>
              </a:graphicData>
            </a:graphic>
          </wp:anchor>
        </w:drawing>
      </w:r>
    </w:p>
    <w:p>
      <w:pPr>
        <w:spacing w:after="0" w:line="1333" w:lineRule="exact"/>
        <w:rPr>
          <w:sz w:val="20"/>
          <w:szCs w:val="20"/>
          <w:color w:val="auto"/>
        </w:rPr>
      </w:pPr>
    </w:p>
    <w:p>
      <w:pPr>
        <w:sectPr>
          <w:pgSz w:w="11900" w:h="16838" w:orient="portrait"/>
          <w:cols w:equalWidth="0" w:num="2">
            <w:col w:w="4000" w:space="720"/>
            <w:col w:w="4320"/>
          </w:cols>
          <w:pgMar w:left="1420" w:top="115" w:right="1439" w:bottom="1440" w:gutter="0" w:footer="0" w:header="0"/>
          <w:type w:val="continuous"/>
        </w:sectPr>
      </w:pP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740" w:type="dxa"/>
            <w:vAlign w:val="bottom"/>
            <w:shd w:val="clear" w:color="auto" w:fill="F0F5FE"/>
          </w:tcPr>
          <w:p>
            <w:pPr>
              <w:spacing w:after="0"/>
              <w:rPr>
                <w:sz w:val="14"/>
                <w:szCs w:val="14"/>
                <w:color w:val="auto"/>
              </w:rPr>
            </w:pPr>
          </w:p>
        </w:tc>
      </w:tr>
      <w:tr>
        <w:trPr>
          <w:trHeight w:val="148"/>
        </w:trPr>
        <w:tc>
          <w:tcPr>
            <w:tcW w:w="2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740" w:type="dxa"/>
            <w:vAlign w:val="bottom"/>
          </w:tcPr>
          <w:p>
            <w:pPr>
              <w:jc w:val="center"/>
              <w:spacing w:after="0" w:line="148" w:lineRule="exact"/>
              <w:rPr>
                <w:sz w:val="20"/>
                <w:szCs w:val="20"/>
                <w:color w:val="auto"/>
              </w:rPr>
            </w:pPr>
            <w:r>
              <w:rPr>
                <w:rFonts w:ascii="Arial" w:cs="Arial" w:eastAsia="Arial" w:hAnsi="Arial"/>
                <w:sz w:val="14"/>
                <w:szCs w:val="14"/>
                <w:b w:val="1"/>
                <w:bCs w:val="1"/>
                <w:color w:val="292F72"/>
                <w:w w:val="98"/>
              </w:rPr>
              <w:t>BOARD VOTE</w:t>
            </w:r>
          </w:p>
        </w:tc>
      </w:tr>
      <w:tr>
        <w:trPr>
          <w:trHeight w:val="193"/>
        </w:trPr>
        <w:tc>
          <w:tcPr>
            <w:tcW w:w="2100" w:type="dxa"/>
            <w:vAlign w:val="bottom"/>
          </w:tcPr>
          <w:p>
            <w:pPr>
              <w:spacing w:after="0"/>
              <w:rPr>
                <w:sz w:val="20"/>
                <w:szCs w:val="20"/>
                <w:color w:val="auto"/>
              </w:rPr>
            </w:pPr>
            <w:r>
              <w:rPr>
                <w:rFonts w:ascii="Arial" w:cs="Arial" w:eastAsia="Arial" w:hAnsi="Arial"/>
                <w:sz w:val="14"/>
                <w:szCs w:val="14"/>
                <w:b w:val="1"/>
                <w:bCs w:val="1"/>
                <w:color w:val="292F72"/>
              </w:rPr>
              <w:t>ITEMS TO BE VOTED ON</w:t>
            </w:r>
          </w:p>
        </w:tc>
        <w:tc>
          <w:tcPr>
            <w:tcW w:w="2400" w:type="dxa"/>
            <w:vAlign w:val="bottom"/>
          </w:tcPr>
          <w:p>
            <w:pPr>
              <w:ind w:left="420"/>
              <w:spacing w:after="0"/>
              <w:rPr>
                <w:sz w:val="20"/>
                <w:szCs w:val="20"/>
                <w:color w:val="auto"/>
              </w:rPr>
            </w:pPr>
            <w:r>
              <w:rPr>
                <w:rFonts w:ascii="Arial" w:cs="Arial" w:eastAsia="Arial" w:hAnsi="Arial"/>
                <w:sz w:val="14"/>
                <w:szCs w:val="14"/>
                <w:b w:val="1"/>
                <w:bCs w:val="1"/>
                <w:color w:val="292F72"/>
              </w:rPr>
              <w:t>VOTE STANDARD</w:t>
            </w:r>
          </w:p>
        </w:tc>
        <w:tc>
          <w:tcPr>
            <w:tcW w:w="2740" w:type="dxa"/>
            <w:vAlign w:val="bottom"/>
          </w:tcPr>
          <w:p>
            <w:pPr>
              <w:jc w:val="center"/>
              <w:spacing w:after="0"/>
              <w:rPr>
                <w:sz w:val="20"/>
                <w:szCs w:val="20"/>
                <w:color w:val="auto"/>
              </w:rPr>
            </w:pPr>
            <w:r>
              <w:rPr>
                <w:rFonts w:ascii="Arial" w:cs="Arial" w:eastAsia="Arial" w:hAnsi="Arial"/>
                <w:sz w:val="14"/>
                <w:szCs w:val="14"/>
                <w:b w:val="1"/>
                <w:bCs w:val="1"/>
                <w:color w:val="292F72"/>
                <w:w w:val="99"/>
              </w:rPr>
              <w:t>RECOMMENDATION</w:t>
            </w:r>
          </w:p>
        </w:tc>
      </w:tr>
    </w:tbl>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240" w:type="dxa"/>
            <w:vAlign w:val="bottom"/>
          </w:tcPr>
          <w:p>
            <w:pPr>
              <w:spacing w:after="0"/>
              <w:rPr>
                <w:sz w:val="20"/>
                <w:szCs w:val="20"/>
                <w:color w:val="auto"/>
              </w:rPr>
            </w:pPr>
            <w:r>
              <w:rPr>
                <w:rFonts w:ascii="Arial" w:cs="Arial" w:eastAsia="Arial" w:hAnsi="Arial"/>
                <w:sz w:val="19"/>
                <w:szCs w:val="19"/>
                <w:b w:val="1"/>
                <w:bCs w:val="1"/>
                <w:color w:val="6D8CC3"/>
              </w:rPr>
              <w:t>Item 1.</w:t>
            </w:r>
          </w:p>
        </w:tc>
        <w:tc>
          <w:tcPr>
            <w:tcW w:w="2680" w:type="dxa"/>
            <w:vAlign w:val="bottom"/>
          </w:tcPr>
          <w:p>
            <w:pPr>
              <w:ind w:left="280"/>
              <w:spacing w:after="0"/>
              <w:rPr>
                <w:sz w:val="20"/>
                <w:szCs w:val="20"/>
                <w:color w:val="auto"/>
              </w:rPr>
            </w:pPr>
            <w:r>
              <w:rPr>
                <w:rFonts w:ascii="Arial" w:cs="Arial" w:eastAsia="Arial" w:hAnsi="Arial"/>
                <w:sz w:val="16"/>
                <w:szCs w:val="16"/>
                <w:color w:val="auto"/>
              </w:rPr>
              <w:t> </w:t>
            </w:r>
          </w:p>
        </w:tc>
        <w:tc>
          <w:tcPr>
            <w:tcW w:w="2280" w:type="dxa"/>
            <w:vAlign w:val="bottom"/>
          </w:tcPr>
          <w:p>
            <w:pPr>
              <w:ind w:left="640"/>
              <w:spacing w:after="0"/>
              <w:rPr>
                <w:sz w:val="20"/>
                <w:szCs w:val="20"/>
                <w:color w:val="auto"/>
              </w:rPr>
            </w:pPr>
            <w:r>
              <w:rPr>
                <w:rFonts w:ascii="Arial" w:cs="Arial" w:eastAsia="Arial" w:hAnsi="Arial"/>
                <w:sz w:val="19"/>
                <w:szCs w:val="19"/>
                <w:b w:val="1"/>
                <w:bCs w:val="1"/>
                <w:color w:val="6D8CC3"/>
              </w:rPr>
              <w:t>FOR</w:t>
            </w:r>
          </w:p>
        </w:tc>
        <w:tc>
          <w:tcPr>
            <w:tcW w:w="1840" w:type="dxa"/>
            <w:vAlign w:val="bottom"/>
            <w:gridSpan w:val="4"/>
            <w:vMerge w:val="restart"/>
          </w:tcPr>
          <w:p>
            <w:pPr>
              <w:ind w:left="420"/>
              <w:spacing w:after="0"/>
              <w:rPr>
                <w:sz w:val="20"/>
                <w:szCs w:val="20"/>
                <w:color w:val="auto"/>
              </w:rPr>
            </w:pPr>
            <w:r>
              <w:rPr>
                <w:rFonts w:ascii="Arial" w:cs="Arial" w:eastAsia="Arial" w:hAnsi="Arial"/>
                <w:sz w:val="16"/>
                <w:szCs w:val="16"/>
                <w:b w:val="1"/>
                <w:bCs w:val="1"/>
                <w:color w:val="292F72"/>
              </w:rPr>
              <w:t xml:space="preserve">See Page </w:t>
            </w:r>
            <w:r>
              <w:rPr>
                <w:rFonts w:ascii="Arial" w:cs="Arial" w:eastAsia="Arial" w:hAnsi="Arial"/>
                <w:sz w:val="16"/>
                <w:szCs w:val="16"/>
                <w:b w:val="1"/>
                <w:bCs w:val="1"/>
                <w:color w:val="0000EE"/>
              </w:rPr>
              <w:t>6</w:t>
            </w:r>
          </w:p>
        </w:tc>
        <w:tc>
          <w:tcPr>
            <w:tcW w:w="0" w:type="dxa"/>
            <w:vAlign w:val="bottom"/>
          </w:tcPr>
          <w:p>
            <w:pPr>
              <w:spacing w:after="0"/>
              <w:rPr>
                <w:sz w:val="1"/>
                <w:szCs w:val="1"/>
                <w:color w:val="auto"/>
              </w:rPr>
            </w:pPr>
          </w:p>
        </w:tc>
      </w:tr>
      <w:tr>
        <w:trPr>
          <w:trHeight w:val="91"/>
        </w:trPr>
        <w:tc>
          <w:tcPr>
            <w:tcW w:w="2240" w:type="dxa"/>
            <w:vAlign w:val="bottom"/>
            <w:vMerge w:val="restart"/>
          </w:tcPr>
          <w:p>
            <w:pPr>
              <w:spacing w:after="0"/>
              <w:rPr>
                <w:sz w:val="20"/>
                <w:szCs w:val="20"/>
                <w:color w:val="auto"/>
              </w:rPr>
            </w:pPr>
            <w:r>
              <w:rPr>
                <w:rFonts w:ascii="Arial" w:cs="Arial" w:eastAsia="Arial" w:hAnsi="Arial"/>
                <w:sz w:val="16"/>
                <w:szCs w:val="16"/>
                <w:color w:val="auto"/>
              </w:rPr>
              <w:t>Election of directors</w:t>
            </w:r>
          </w:p>
        </w:tc>
        <w:tc>
          <w:tcPr>
            <w:tcW w:w="2680" w:type="dxa"/>
            <w:vAlign w:val="bottom"/>
            <w:vMerge w:val="restart"/>
          </w:tcPr>
          <w:p>
            <w:pPr>
              <w:ind w:left="280"/>
              <w:spacing w:after="0"/>
              <w:rPr>
                <w:sz w:val="20"/>
                <w:szCs w:val="20"/>
                <w:color w:val="auto"/>
              </w:rPr>
            </w:pPr>
            <w:r>
              <w:rPr>
                <w:rFonts w:ascii="Arial" w:cs="Arial" w:eastAsia="Arial" w:hAnsi="Arial"/>
                <w:sz w:val="16"/>
                <w:szCs w:val="16"/>
                <w:color w:val="auto"/>
              </w:rPr>
              <w:t>Majority of votes cast</w:t>
            </w:r>
          </w:p>
        </w:tc>
        <w:tc>
          <w:tcPr>
            <w:tcW w:w="2280" w:type="dxa"/>
            <w:vAlign w:val="bottom"/>
            <w:vMerge w:val="restart"/>
          </w:tcPr>
          <w:p>
            <w:pPr>
              <w:ind w:left="640"/>
              <w:spacing w:after="0"/>
              <w:rPr>
                <w:sz w:val="20"/>
                <w:szCs w:val="20"/>
                <w:color w:val="auto"/>
              </w:rPr>
            </w:pPr>
            <w:r>
              <w:rPr>
                <w:rFonts w:ascii="Arial" w:cs="Arial" w:eastAsia="Arial" w:hAnsi="Arial"/>
                <w:sz w:val="16"/>
                <w:szCs w:val="16"/>
                <w:color w:val="auto"/>
              </w:rPr>
              <w:t>EACH NOMINEE</w:t>
            </w:r>
          </w:p>
        </w:tc>
        <w:tc>
          <w:tcPr>
            <w:tcW w:w="184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240" w:type="dxa"/>
            <w:vAlign w:val="bottom"/>
            <w:vMerge w:val="continue"/>
          </w:tcPr>
          <w:p>
            <w:pPr>
              <w:spacing w:after="0"/>
              <w:rPr>
                <w:sz w:val="10"/>
                <w:szCs w:val="10"/>
                <w:color w:val="auto"/>
              </w:rPr>
            </w:pPr>
          </w:p>
        </w:tc>
        <w:tc>
          <w:tcPr>
            <w:tcW w:w="2680" w:type="dxa"/>
            <w:vAlign w:val="bottom"/>
            <w:vMerge w:val="continue"/>
          </w:tcPr>
          <w:p>
            <w:pPr>
              <w:spacing w:after="0"/>
              <w:rPr>
                <w:sz w:val="10"/>
                <w:szCs w:val="10"/>
                <w:color w:val="auto"/>
              </w:rPr>
            </w:pPr>
          </w:p>
        </w:tc>
        <w:tc>
          <w:tcPr>
            <w:tcW w:w="228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240" w:type="dxa"/>
            <w:vAlign w:val="bottom"/>
            <w:tcBorders>
              <w:bottom w:val="single" w:sz="8" w:color="6D8CC3"/>
            </w:tcBorders>
          </w:tcPr>
          <w:p>
            <w:pPr>
              <w:spacing w:after="0"/>
              <w:rPr>
                <w:sz w:val="5"/>
                <w:szCs w:val="5"/>
                <w:color w:val="auto"/>
              </w:rPr>
            </w:pPr>
          </w:p>
        </w:tc>
        <w:tc>
          <w:tcPr>
            <w:tcW w:w="2680" w:type="dxa"/>
            <w:vAlign w:val="bottom"/>
            <w:tcBorders>
              <w:bottom w:val="single" w:sz="8" w:color="6D8CC3"/>
            </w:tcBorders>
          </w:tcPr>
          <w:p>
            <w:pPr>
              <w:spacing w:after="0"/>
              <w:rPr>
                <w:sz w:val="5"/>
                <w:szCs w:val="5"/>
                <w:color w:val="auto"/>
              </w:rPr>
            </w:pPr>
          </w:p>
        </w:tc>
        <w:tc>
          <w:tcPr>
            <w:tcW w:w="2280" w:type="dxa"/>
            <w:vAlign w:val="bottom"/>
            <w:tcBorders>
              <w:bottom w:val="single" w:sz="8" w:color="6D8CC3"/>
            </w:tcBorders>
          </w:tcPr>
          <w:p>
            <w:pPr>
              <w:spacing w:after="0"/>
              <w:rPr>
                <w:sz w:val="5"/>
                <w:szCs w:val="5"/>
                <w:color w:val="auto"/>
              </w:rPr>
            </w:pPr>
          </w:p>
        </w:tc>
        <w:tc>
          <w:tcPr>
            <w:tcW w:w="1180" w:type="dxa"/>
            <w:vAlign w:val="bottom"/>
            <w:tcBorders>
              <w:bottom w:val="single" w:sz="8" w:color="6D8CC3"/>
            </w:tcBorders>
          </w:tcPr>
          <w:p>
            <w:pPr>
              <w:spacing w:after="0"/>
              <w:rPr>
                <w:sz w:val="5"/>
                <w:szCs w:val="5"/>
                <w:color w:val="auto"/>
              </w:rPr>
            </w:pPr>
          </w:p>
        </w:tc>
        <w:tc>
          <w:tcPr>
            <w:tcW w:w="80" w:type="dxa"/>
            <w:vAlign w:val="bottom"/>
            <w:tcBorders>
              <w:bottom w:val="single" w:sz="8" w:color="6D8CC3"/>
            </w:tcBorders>
          </w:tcPr>
          <w:p>
            <w:pPr>
              <w:spacing w:after="0"/>
              <w:rPr>
                <w:sz w:val="5"/>
                <w:szCs w:val="5"/>
                <w:color w:val="auto"/>
              </w:rPr>
            </w:pPr>
          </w:p>
        </w:tc>
        <w:tc>
          <w:tcPr>
            <w:tcW w:w="80" w:type="dxa"/>
            <w:vAlign w:val="bottom"/>
            <w:tcBorders>
              <w:bottom w:val="single" w:sz="8" w:color="6D8CC3"/>
            </w:tcBorders>
          </w:tcPr>
          <w:p>
            <w:pPr>
              <w:spacing w:after="0"/>
              <w:rPr>
                <w:sz w:val="5"/>
                <w:szCs w:val="5"/>
                <w:color w:val="auto"/>
              </w:rPr>
            </w:pPr>
          </w:p>
        </w:tc>
        <w:tc>
          <w:tcPr>
            <w:tcW w:w="500" w:type="dxa"/>
            <w:vAlign w:val="bottom"/>
            <w:tcBorders>
              <w:bottom w:val="single" w:sz="8" w:color="6D8CC3"/>
            </w:tcBorders>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40" w:type="dxa"/>
            <w:vAlign w:val="bottom"/>
          </w:tcPr>
          <w:p>
            <w:pPr>
              <w:spacing w:after="0"/>
              <w:rPr>
                <w:sz w:val="20"/>
                <w:szCs w:val="20"/>
                <w:color w:val="auto"/>
              </w:rPr>
            </w:pPr>
            <w:r>
              <w:rPr>
                <w:rFonts w:ascii="Arial" w:cs="Arial" w:eastAsia="Arial" w:hAnsi="Arial"/>
                <w:sz w:val="19"/>
                <w:szCs w:val="19"/>
                <w:b w:val="1"/>
                <w:bCs w:val="1"/>
                <w:color w:val="6D8CC3"/>
              </w:rPr>
              <w:t>Item 2.</w:t>
            </w:r>
          </w:p>
        </w:tc>
        <w:tc>
          <w:tcPr>
            <w:tcW w:w="2680" w:type="dxa"/>
            <w:vAlign w:val="bottom"/>
          </w:tcPr>
          <w:p>
            <w:pPr>
              <w:ind w:left="280"/>
              <w:spacing w:after="0"/>
              <w:rPr>
                <w:sz w:val="20"/>
                <w:szCs w:val="20"/>
                <w:color w:val="auto"/>
              </w:rPr>
            </w:pPr>
            <w:r>
              <w:rPr>
                <w:rFonts w:ascii="Arial" w:cs="Arial" w:eastAsia="Arial" w:hAnsi="Arial"/>
                <w:sz w:val="16"/>
                <w:szCs w:val="16"/>
                <w:color w:val="auto"/>
              </w:rPr>
              <w:t> </w:t>
            </w:r>
          </w:p>
        </w:tc>
        <w:tc>
          <w:tcPr>
            <w:tcW w:w="2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2240" w:type="dxa"/>
            <w:vAlign w:val="bottom"/>
          </w:tcPr>
          <w:p>
            <w:pPr>
              <w:spacing w:after="0"/>
              <w:rPr>
                <w:sz w:val="20"/>
                <w:szCs w:val="20"/>
                <w:color w:val="auto"/>
              </w:rPr>
            </w:pPr>
            <w:r>
              <w:rPr>
                <w:rFonts w:ascii="Arial" w:cs="Arial" w:eastAsia="Arial" w:hAnsi="Arial"/>
                <w:sz w:val="16"/>
                <w:szCs w:val="16"/>
                <w:color w:val="auto"/>
              </w:rPr>
              <w:t>Ratification of the</w:t>
            </w:r>
          </w:p>
        </w:tc>
        <w:tc>
          <w:tcPr>
            <w:tcW w:w="2680" w:type="dxa"/>
            <w:vAlign w:val="bottom"/>
          </w:tcPr>
          <w:p>
            <w:pPr>
              <w:ind w:left="280"/>
              <w:spacing w:after="0"/>
              <w:rPr>
                <w:sz w:val="20"/>
                <w:szCs w:val="20"/>
                <w:color w:val="auto"/>
              </w:rPr>
            </w:pPr>
            <w:r>
              <w:rPr>
                <w:rFonts w:ascii="Arial" w:cs="Arial" w:eastAsia="Arial" w:hAnsi="Arial"/>
                <w:sz w:val="16"/>
                <w:szCs w:val="16"/>
                <w:color w:val="auto"/>
              </w:rPr>
              <w:t>Majority of votes present</w:t>
            </w:r>
          </w:p>
        </w:tc>
        <w:tc>
          <w:tcPr>
            <w:tcW w:w="2280" w:type="dxa"/>
            <w:vAlign w:val="bottom"/>
            <w:vMerge w:val="restart"/>
          </w:tcPr>
          <w:p>
            <w:pPr>
              <w:ind w:left="640"/>
              <w:spacing w:after="0"/>
              <w:rPr>
                <w:sz w:val="20"/>
                <w:szCs w:val="20"/>
                <w:color w:val="auto"/>
              </w:rPr>
            </w:pPr>
            <w:r>
              <w:rPr>
                <w:rFonts w:ascii="Arial" w:cs="Arial" w:eastAsia="Arial" w:hAnsi="Arial"/>
                <w:sz w:val="19"/>
                <w:szCs w:val="19"/>
                <w:b w:val="1"/>
                <w:bCs w:val="1"/>
                <w:color w:val="6D8CC3"/>
              </w:rPr>
              <w:t>FOR</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240" w:type="dxa"/>
            <w:vAlign w:val="bottom"/>
          </w:tcPr>
          <w:p>
            <w:pPr>
              <w:spacing w:after="0" w:line="163" w:lineRule="exact"/>
              <w:rPr>
                <w:sz w:val="20"/>
                <w:szCs w:val="20"/>
                <w:color w:val="auto"/>
              </w:rPr>
            </w:pPr>
            <w:r>
              <w:rPr>
                <w:rFonts w:ascii="Arial" w:cs="Arial" w:eastAsia="Arial" w:hAnsi="Arial"/>
                <w:sz w:val="16"/>
                <w:szCs w:val="16"/>
                <w:color w:val="auto"/>
              </w:rPr>
              <w:t>appointment of independent</w:t>
            </w:r>
          </w:p>
        </w:tc>
        <w:tc>
          <w:tcPr>
            <w:tcW w:w="2680" w:type="dxa"/>
            <w:vAlign w:val="bottom"/>
          </w:tcPr>
          <w:p>
            <w:pPr>
              <w:ind w:left="280"/>
              <w:spacing w:after="0" w:line="163" w:lineRule="exact"/>
              <w:rPr>
                <w:sz w:val="20"/>
                <w:szCs w:val="20"/>
                <w:color w:val="auto"/>
              </w:rPr>
            </w:pPr>
            <w:r>
              <w:rPr>
                <w:rFonts w:ascii="Arial" w:cs="Arial" w:eastAsia="Arial" w:hAnsi="Arial"/>
                <w:sz w:val="16"/>
                <w:szCs w:val="16"/>
                <w:color w:val="auto"/>
              </w:rPr>
              <w:t>at the meeting or by</w:t>
            </w:r>
          </w:p>
        </w:tc>
        <w:tc>
          <w:tcPr>
            <w:tcW w:w="2280" w:type="dxa"/>
            <w:vAlign w:val="bottom"/>
            <w:vMerge w:val="continue"/>
          </w:tcPr>
          <w:p>
            <w:pPr>
              <w:spacing w:after="0"/>
              <w:rPr>
                <w:sz w:val="15"/>
                <w:szCs w:val="15"/>
                <w:color w:val="auto"/>
              </w:rPr>
            </w:pPr>
          </w:p>
        </w:tc>
        <w:tc>
          <w:tcPr>
            <w:tcW w:w="1840" w:type="dxa"/>
            <w:vAlign w:val="bottom"/>
            <w:gridSpan w:val="4"/>
          </w:tcPr>
          <w:p>
            <w:pPr>
              <w:ind w:left="420"/>
              <w:spacing w:after="0" w:line="163" w:lineRule="exact"/>
              <w:rPr>
                <w:sz w:val="20"/>
                <w:szCs w:val="20"/>
                <w:color w:val="auto"/>
              </w:rPr>
            </w:pPr>
            <w:r>
              <w:rPr>
                <w:rFonts w:ascii="Arial" w:cs="Arial" w:eastAsia="Arial" w:hAnsi="Arial"/>
                <w:sz w:val="16"/>
                <w:szCs w:val="16"/>
                <w:b w:val="1"/>
                <w:bCs w:val="1"/>
                <w:color w:val="292F72"/>
              </w:rPr>
              <w:t xml:space="preserve">See Page </w:t>
            </w:r>
            <w:r>
              <w:rPr>
                <w:rFonts w:ascii="Arial" w:cs="Arial" w:eastAsia="Arial" w:hAnsi="Arial"/>
                <w:sz w:val="16"/>
                <w:szCs w:val="16"/>
                <w:b w:val="1"/>
                <w:bCs w:val="1"/>
                <w:color w:val="0000EE"/>
              </w:rPr>
              <w:t>23</w:t>
            </w:r>
          </w:p>
        </w:tc>
        <w:tc>
          <w:tcPr>
            <w:tcW w:w="0" w:type="dxa"/>
            <w:vAlign w:val="bottom"/>
          </w:tcPr>
          <w:p>
            <w:pPr>
              <w:spacing w:after="0"/>
              <w:rPr>
                <w:sz w:val="1"/>
                <w:szCs w:val="1"/>
                <w:color w:val="auto"/>
              </w:rPr>
            </w:pPr>
          </w:p>
        </w:tc>
      </w:tr>
      <w:tr>
        <w:trPr>
          <w:trHeight w:val="205"/>
        </w:trPr>
        <w:tc>
          <w:tcPr>
            <w:tcW w:w="2240" w:type="dxa"/>
            <w:vAlign w:val="bottom"/>
          </w:tcPr>
          <w:p>
            <w:pPr>
              <w:spacing w:after="0"/>
              <w:rPr>
                <w:sz w:val="20"/>
                <w:szCs w:val="20"/>
                <w:color w:val="auto"/>
              </w:rPr>
            </w:pPr>
            <w:r>
              <w:rPr>
                <w:rFonts w:ascii="Arial" w:cs="Arial" w:eastAsia="Arial" w:hAnsi="Arial"/>
                <w:sz w:val="16"/>
                <w:szCs w:val="16"/>
                <w:color w:val="auto"/>
              </w:rPr>
              <w:t>registered public accounting</w:t>
            </w:r>
          </w:p>
        </w:tc>
        <w:tc>
          <w:tcPr>
            <w:tcW w:w="2680" w:type="dxa"/>
            <w:vAlign w:val="bottom"/>
          </w:tcPr>
          <w:p>
            <w:pPr>
              <w:ind w:left="280"/>
              <w:spacing w:after="0"/>
              <w:rPr>
                <w:sz w:val="20"/>
                <w:szCs w:val="20"/>
                <w:color w:val="auto"/>
              </w:rPr>
            </w:pPr>
            <w:r>
              <w:rPr>
                <w:rFonts w:ascii="Arial" w:cs="Arial" w:eastAsia="Arial" w:hAnsi="Arial"/>
                <w:sz w:val="16"/>
                <w:szCs w:val="16"/>
                <w:color w:val="auto"/>
              </w:rPr>
              <w:t>proxy and voting thereon</w:t>
            </w:r>
          </w:p>
        </w:tc>
        <w:tc>
          <w:tcPr>
            <w:tcW w:w="2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6"/>
          <w:szCs w:val="16"/>
          <w:color w:val="auto"/>
        </w:rPr>
        <w:t>firm</w:t>
      </w:r>
    </w:p>
    <w:p>
      <w:pPr>
        <w:sectPr>
          <w:pgSz w:w="11900" w:h="16838" w:orient="portrait"/>
          <w:cols w:equalWidth="0" w:num="1">
            <w:col w:w="9040"/>
          </w:cols>
          <w:pgMar w:left="1420" w:top="115" w:right="1439" w:bottom="1440" w:gutter="0" w:footer="0" w:header="0"/>
          <w:type w:val="continuous"/>
        </w:sectPr>
      </w:pPr>
    </w:p>
    <w:p>
      <w:pPr>
        <w:spacing w:after="0" w:line="145" w:lineRule="exact"/>
        <w:rPr>
          <w:sz w:val="20"/>
          <w:szCs w:val="20"/>
          <w:color w:val="auto"/>
        </w:rPr>
      </w:pPr>
    </w:p>
    <w:p>
      <w:pPr>
        <w:spacing w:after="0"/>
        <w:rPr>
          <w:sz w:val="20"/>
          <w:szCs w:val="20"/>
          <w:color w:val="auto"/>
        </w:rPr>
      </w:pPr>
      <w:r>
        <w:rPr>
          <w:rFonts w:ascii="Arial" w:cs="Arial" w:eastAsia="Arial" w:hAnsi="Arial"/>
          <w:sz w:val="19"/>
          <w:szCs w:val="19"/>
          <w:b w:val="1"/>
          <w:bCs w:val="1"/>
          <w:color w:val="6D8CC3"/>
        </w:rPr>
        <w:t>Item 3.</w:t>
      </w:r>
    </w:p>
    <w:p>
      <w:pPr>
        <w:spacing w:after="0" w:line="17" w:lineRule="exact"/>
        <w:rPr>
          <w:sz w:val="20"/>
          <w:szCs w:val="20"/>
          <w:color w:val="auto"/>
        </w:rPr>
      </w:pPr>
    </w:p>
    <w:p>
      <w:pPr>
        <w:jc w:val="both"/>
        <w:ind w:right="60"/>
        <w:spacing w:after="0" w:line="269" w:lineRule="auto"/>
        <w:rPr>
          <w:sz w:val="20"/>
          <w:szCs w:val="20"/>
          <w:color w:val="auto"/>
        </w:rPr>
      </w:pPr>
      <w:r>
        <w:rPr>
          <w:rFonts w:ascii="Arial" w:cs="Arial" w:eastAsia="Arial" w:hAnsi="Arial"/>
          <w:sz w:val="15"/>
          <w:szCs w:val="15"/>
          <w:color w:val="auto"/>
        </w:rPr>
        <w:t>Advisory vote to approve named executive officer compensation</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90" w:lineRule="auto"/>
        <w:rPr>
          <w:sz w:val="20"/>
          <w:szCs w:val="20"/>
          <w:color w:val="auto"/>
        </w:rPr>
      </w:pPr>
      <w:r>
        <w:rPr>
          <w:rFonts w:ascii="Arial" w:cs="Arial" w:eastAsia="Arial" w:hAnsi="Arial"/>
          <w:sz w:val="13"/>
          <w:szCs w:val="13"/>
          <w:color w:val="auto"/>
        </w:rPr>
        <w:t>Majority of votes present</w:t>
      </w:r>
    </w:p>
    <w:p>
      <w:pPr>
        <w:ind w:right="500"/>
        <w:spacing w:after="0"/>
        <w:rPr>
          <w:sz w:val="20"/>
          <w:szCs w:val="20"/>
          <w:color w:val="auto"/>
        </w:rPr>
      </w:pPr>
      <w:r>
        <w:rPr>
          <w:rFonts w:ascii="Arial" w:cs="Arial" w:eastAsia="Arial" w:hAnsi="Arial"/>
          <w:sz w:val="16"/>
          <w:szCs w:val="16"/>
          <w:color w:val="auto"/>
        </w:rPr>
        <w:t xml:space="preserve">at the meeting or by </w:t>
      </w:r>
      <w:r>
        <w:rPr>
          <w:rFonts w:ascii="Arial" w:cs="Arial" w:eastAsia="Arial" w:hAnsi="Arial"/>
          <w:sz w:val="38"/>
          <w:szCs w:val="38"/>
          <w:b w:val="1"/>
          <w:bCs w:val="1"/>
          <w:color w:val="6D8CC3"/>
          <w:vertAlign w:val="superscript"/>
        </w:rPr>
        <w:t>FOR</w:t>
      </w:r>
      <w:r>
        <w:rPr>
          <w:rFonts w:ascii="Arial" w:cs="Arial" w:eastAsia="Arial" w:hAnsi="Arial"/>
          <w:sz w:val="16"/>
          <w:szCs w:val="16"/>
          <w:color w:val="auto"/>
        </w:rPr>
        <w:t xml:space="preserve"> </w:t>
      </w:r>
      <w:r>
        <w:rPr>
          <w:rFonts w:ascii="Arial" w:cs="Arial" w:eastAsia="Arial" w:hAnsi="Arial"/>
          <w:sz w:val="31"/>
          <w:szCs w:val="31"/>
          <w:b w:val="1"/>
          <w:bCs w:val="1"/>
          <w:color w:val="292F72"/>
          <w:vertAlign w:val="superscript"/>
        </w:rPr>
        <w:t>See Page</w:t>
      </w:r>
      <w:r>
        <w:rPr>
          <w:rFonts w:ascii="Arial" w:cs="Arial" w:eastAsia="Arial" w:hAnsi="Arial"/>
          <w:sz w:val="16"/>
          <w:szCs w:val="16"/>
          <w:color w:val="auto"/>
        </w:rPr>
        <w:t xml:space="preserve"> </w:t>
      </w:r>
      <w:r>
        <w:rPr>
          <w:rFonts w:ascii="Arial" w:cs="Arial" w:eastAsia="Arial" w:hAnsi="Arial"/>
          <w:sz w:val="31"/>
          <w:szCs w:val="31"/>
          <w:b w:val="1"/>
          <w:bCs w:val="1"/>
          <w:u w:val="single" w:color="auto"/>
          <w:color w:val="0000EE"/>
          <w:vertAlign w:val="superscript"/>
        </w:rPr>
        <w:t>27</w:t>
      </w:r>
      <w:r>
        <w:rPr>
          <w:rFonts w:ascii="Arial" w:cs="Arial" w:eastAsia="Arial" w:hAnsi="Arial"/>
          <w:sz w:val="16"/>
          <w:szCs w:val="16"/>
          <w:color w:val="auto"/>
        </w:rPr>
        <w:t xml:space="preserve"> proxy and voting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-1595755</wp:posOffset>
            </wp:positionH>
            <wp:positionV relativeFrom="paragraph">
              <wp:posOffset>62865</wp:posOffset>
            </wp:positionV>
            <wp:extent cx="57372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37225" cy="8255"/>
                    </a:xfrm>
                    <a:prstGeom prst="rect">
                      <a:avLst/>
                    </a:prstGeom>
                    <a:noFill/>
                  </pic:spPr>
                </pic:pic>
              </a:graphicData>
            </a:graphic>
          </wp:anchor>
        </w:drawing>
        <w:drawing>
          <wp:anchor simplePos="0" relativeHeight="251657728" behindDoc="1" locked="0" layoutInCell="0" allowOverlap="1">
            <wp:simplePos x="0" y="0"/>
            <wp:positionH relativeFrom="column">
              <wp:posOffset>-1595755</wp:posOffset>
            </wp:positionH>
            <wp:positionV relativeFrom="paragraph">
              <wp:posOffset>204470</wp:posOffset>
            </wp:positionV>
            <wp:extent cx="57372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37225" cy="8255"/>
                    </a:xfrm>
                    <a:prstGeom prst="rect">
                      <a:avLst/>
                    </a:prstGeom>
                    <a:noFill/>
                  </pic:spPr>
                </pic:pic>
              </a:graphicData>
            </a:graphic>
          </wp:anchor>
        </w:drawing>
      </w:r>
    </w:p>
    <w:p>
      <w:pPr>
        <w:spacing w:after="0" w:line="264" w:lineRule="exact"/>
        <w:rPr>
          <w:sz w:val="20"/>
          <w:szCs w:val="20"/>
          <w:color w:val="auto"/>
        </w:rPr>
      </w:pPr>
    </w:p>
    <w:p>
      <w:pPr>
        <w:sectPr>
          <w:pgSz w:w="11900" w:h="16838" w:orient="portrait"/>
          <w:cols w:equalWidth="0" w:num="2">
            <w:col w:w="1800" w:space="720"/>
            <w:col w:w="6520"/>
          </w:cols>
          <w:pgMar w:left="1420" w:top="115" w:right="1439" w:bottom="1440" w:gutter="0" w:footer="0" w:header="0"/>
          <w:type w:val="continuous"/>
        </w:sectPr>
      </w:pPr>
    </w:p>
    <w:p>
      <w:pPr>
        <w:spacing w:after="0" w:line="153" w:lineRule="exact"/>
        <w:rPr>
          <w:sz w:val="20"/>
          <w:szCs w:val="20"/>
          <w:color w:val="auto"/>
        </w:rPr>
      </w:pPr>
    </w:p>
    <w:p>
      <w:pPr>
        <w:ind w:left="5540"/>
        <w:spacing w:after="0"/>
        <w:rPr>
          <w:sz w:val="20"/>
          <w:szCs w:val="20"/>
          <w:color w:val="auto"/>
        </w:rPr>
      </w:pPr>
      <w:r>
        <w:rPr>
          <w:rFonts w:ascii="Arial" w:cs="Arial" w:eastAsia="Arial" w:hAnsi="Arial"/>
          <w:sz w:val="13"/>
          <w:szCs w:val="13"/>
          <w:color w:val="292F72"/>
        </w:rPr>
        <w:t>Bath &amp; Body Works, Inc.</w:t>
      </w:r>
      <w:r>
        <w:rPr>
          <w:rFonts w:ascii="Arial" w:cs="Arial" w:eastAsia="Arial" w:hAnsi="Arial"/>
          <w:sz w:val="13"/>
          <w:szCs w:val="13"/>
          <w:color w:val="6D8CC3"/>
        </w:rPr>
        <w:t xml:space="preserve">   | </w:t>
      </w:r>
      <w:r>
        <w:rPr>
          <w:rFonts w:ascii="Arial" w:cs="Arial" w:eastAsia="Arial" w:hAnsi="Arial"/>
          <w:sz w:val="13"/>
          <w:szCs w:val="13"/>
          <w:color w:val="292F72"/>
        </w:rPr>
        <w:t xml:space="preserve">  2026 Proxy Statement     </w:t>
      </w:r>
      <w:r>
        <w:rPr>
          <w:rFonts w:ascii="Arial" w:cs="Arial" w:eastAsia="Arial" w:hAnsi="Arial"/>
          <w:sz w:val="13"/>
          <w:szCs w:val="13"/>
          <w:b w:val="1"/>
          <w:bCs w:val="1"/>
          <w:color w:val="292F72"/>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152400</wp:posOffset>
            </wp:positionV>
            <wp:extent cx="6795135" cy="165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95135" cy="16510"/>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type w:val="continuous"/>
        </w:sectPr>
      </w:pPr>
    </w:p>
    <w:bookmarkStart w:id="7" w:name="page8"/>
    <w:bookmarkEnd w:id="7"/>
    <w:p>
      <w:pPr>
        <w:ind w:left="8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2" w:lineRule="exact"/>
        <w:rPr>
          <w:sz w:val="20"/>
          <w:szCs w:val="20"/>
          <w:color w:val="auto"/>
        </w:rPr>
      </w:pPr>
    </w:p>
    <w:p>
      <w:pPr>
        <w:ind w:left="840"/>
        <w:spacing w:after="0"/>
        <w:rPr>
          <w:sz w:val="20"/>
          <w:szCs w:val="20"/>
          <w:color w:val="auto"/>
        </w:rPr>
      </w:pPr>
      <w:r>
        <w:rPr>
          <w:rFonts w:ascii="Arial" w:cs="Arial" w:eastAsia="Arial" w:hAnsi="Arial"/>
          <w:sz w:val="16"/>
          <w:szCs w:val="16"/>
          <w:color w:val="292F72"/>
        </w:rPr>
        <w:t>2026 Proxy Statement</w:t>
      </w:r>
    </w:p>
    <w:p>
      <w:pPr>
        <w:spacing w:after="0" w:line="14" w:lineRule="exact"/>
        <w:rPr>
          <w:sz w:val="20"/>
          <w:szCs w:val="20"/>
          <w:color w:val="auto"/>
        </w:rPr>
      </w:pPr>
    </w:p>
    <w:p>
      <w:pPr>
        <w:ind w:left="840"/>
        <w:spacing w:after="0"/>
        <w:rPr>
          <w:sz w:val="20"/>
          <w:szCs w:val="20"/>
          <w:color w:val="auto"/>
        </w:rPr>
      </w:pPr>
      <w:r>
        <w:rPr>
          <w:rFonts w:ascii="Arial" w:cs="Arial" w:eastAsia="Arial" w:hAnsi="Arial"/>
          <w:sz w:val="16"/>
          <w:szCs w:val="16"/>
          <w:color w:val="292F72"/>
        </w:rPr>
        <w:t>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31750</wp:posOffset>
            </wp:positionV>
            <wp:extent cx="1457325" cy="330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57325" cy="33020"/>
                    </a:xfrm>
                    <a:prstGeom prst="rect">
                      <a:avLst/>
                    </a:prstGeom>
                    <a:noFill/>
                  </pic:spPr>
                </pic:pic>
              </a:graphicData>
            </a:graphic>
          </wp:anchor>
        </w:drawing>
      </w:r>
    </w:p>
    <w:p>
      <w:pPr>
        <w:spacing w:after="0" w:line="209"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292F72"/>
        </w:rPr>
        <w:t xml:space="preserve">Our Director Nominees </w:t>
      </w:r>
      <w:r>
        <w:rPr>
          <w:rFonts w:ascii="Arial" w:cs="Arial" w:eastAsia="Arial" w:hAnsi="Arial"/>
          <w:sz w:val="15"/>
          <w:szCs w:val="15"/>
          <w:b w:val="1"/>
          <w:bCs w:val="1"/>
          <w:color w:val="292F72"/>
        </w:rPr>
        <w:t>(See Page</w:t>
      </w:r>
      <w:r>
        <w:rPr>
          <w:rFonts w:ascii="Arial" w:cs="Arial" w:eastAsia="Arial" w:hAnsi="Arial"/>
          <w:sz w:val="23"/>
          <w:szCs w:val="23"/>
          <w:b w:val="1"/>
          <w:bCs w:val="1"/>
          <w:color w:val="292F72"/>
        </w:rPr>
        <w:t xml:space="preserve"> </w:t>
      </w:r>
      <w:r>
        <w:rPr>
          <w:rFonts w:ascii="Arial" w:cs="Arial" w:eastAsia="Arial" w:hAnsi="Arial"/>
          <w:sz w:val="15"/>
          <w:szCs w:val="15"/>
          <w:b w:val="1"/>
          <w:bCs w:val="1"/>
          <w:u w:val="single" w:color="auto"/>
          <w:color w:val="0000EE"/>
        </w:rPr>
        <w:t>6</w:t>
      </w:r>
      <w:r>
        <w:rPr>
          <w:rFonts w:ascii="Arial" w:cs="Arial" w:eastAsia="Arial" w:hAnsi="Arial"/>
          <w:sz w:val="15"/>
          <w:szCs w:val="15"/>
          <w:b w:val="1"/>
          <w:bCs w:val="1"/>
          <w:color w:val="292F72"/>
        </w:rPr>
        <w:t>)</w:t>
      </w:r>
    </w:p>
    <w:p>
      <w:pPr>
        <w:spacing w:after="0" w:line="148" w:lineRule="exact"/>
        <w:rPr>
          <w:sz w:val="20"/>
          <w:szCs w:val="20"/>
          <w:color w:val="auto"/>
        </w:rPr>
      </w:pPr>
    </w:p>
    <w:p>
      <w:pPr>
        <w:ind w:left="820" w:right="880"/>
        <w:spacing w:after="0" w:line="254" w:lineRule="auto"/>
        <w:rPr>
          <w:sz w:val="20"/>
          <w:szCs w:val="20"/>
          <w:color w:val="auto"/>
        </w:rPr>
      </w:pPr>
      <w:r>
        <w:rPr>
          <w:rFonts w:ascii="Arial" w:cs="Arial" w:eastAsia="Arial" w:hAnsi="Arial"/>
          <w:sz w:val="16"/>
          <w:szCs w:val="16"/>
          <w:color w:val="auto"/>
        </w:rPr>
        <w:t xml:space="preserve">The following table provides summary information about the ten director nominees the Board of Directors (the “Board”) has nominated for election at our 2026 annual meeting of shareholders. Additional information about each nominee’s background and experience can be found beginning on page </w:t>
      </w:r>
      <w:r>
        <w:rPr>
          <w:rFonts w:ascii="Arial" w:cs="Arial" w:eastAsia="Arial" w:hAnsi="Arial"/>
          <w:sz w:val="16"/>
          <w:szCs w:val="16"/>
          <w:u w:val="single" w:color="auto"/>
          <w:color w:val="0000EE"/>
        </w:rPr>
        <w:t>8</w:t>
      </w:r>
      <w:r>
        <w:rPr>
          <w:rFonts w:ascii="Arial" w:cs="Arial" w:eastAsia="Arial" w:hAnsi="Arial"/>
          <w:sz w:val="16"/>
          <w:szCs w:val="16"/>
          <w:color w:val="auto"/>
        </w:rPr>
        <w:t xml:space="preserve">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3971925</wp:posOffset>
            </wp:positionH>
            <wp:positionV relativeFrom="paragraph">
              <wp:posOffset>69850</wp:posOffset>
            </wp:positionV>
            <wp:extent cx="2289810" cy="46799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289810" cy="4679950"/>
                    </a:xfrm>
                    <a:prstGeom prst="rect">
                      <a:avLst/>
                    </a:prstGeom>
                    <a:noFill/>
                  </pic:spPr>
                </pic:pic>
              </a:graphicData>
            </a:graphic>
          </wp:anchor>
        </w:drawing>
      </w:r>
    </w:p>
    <w:p>
      <w:pPr>
        <w:spacing w:after="0" w:line="90" w:lineRule="exact"/>
        <w:rPr>
          <w:sz w:val="20"/>
          <w:szCs w:val="20"/>
          <w:color w:val="auto"/>
        </w:rPr>
      </w:pPr>
    </w:p>
    <w:tbl>
      <w:tblPr>
        <w:tblLayout w:type="fixed"/>
        <w:tblInd w:w="820" w:type="dxa"/>
        <w:tblCellMar>
          <w:top w:w="0" w:type="dxa"/>
          <w:left w:w="0" w:type="dxa"/>
          <w:bottom w:w="0" w:type="dxa"/>
          <w:right w:w="0" w:type="dxa"/>
        </w:tblCellMar>
      </w:tblPr>
      <w:tr>
        <w:trPr>
          <w:trHeight w:val="144"/>
        </w:trPr>
        <w:tc>
          <w:tcPr>
            <w:tcW w:w="2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20" w:type="dxa"/>
            <w:vAlign w:val="bottom"/>
            <w:shd w:val="clear" w:color="auto" w:fill="F0F5FE"/>
          </w:tcPr>
          <w:p>
            <w:pPr>
              <w:spacing w:after="0"/>
              <w:rPr>
                <w:sz w:val="12"/>
                <w:szCs w:val="12"/>
                <w:color w:val="auto"/>
              </w:rPr>
            </w:pPr>
          </w:p>
        </w:tc>
        <w:tc>
          <w:tcPr>
            <w:tcW w:w="3480" w:type="dxa"/>
            <w:vAlign w:val="bottom"/>
            <w:gridSpan w:val="2"/>
            <w:vMerge w:val="restart"/>
            <w:shd w:val="clear" w:color="auto" w:fill="F0F5FE"/>
          </w:tcPr>
          <w:p>
            <w:pPr>
              <w:ind w:left="780"/>
              <w:spacing w:after="0"/>
              <w:rPr>
                <w:sz w:val="20"/>
                <w:szCs w:val="20"/>
                <w:color w:val="auto"/>
              </w:rPr>
            </w:pPr>
            <w:r>
              <w:rPr>
                <w:rFonts w:ascii="Arial" w:cs="Arial" w:eastAsia="Arial" w:hAnsi="Arial"/>
                <w:sz w:val="14"/>
                <w:szCs w:val="14"/>
                <w:b w:val="1"/>
                <w:bCs w:val="1"/>
                <w:color w:val="292F72"/>
              </w:rPr>
              <w:t>COMMITTEE MEMBERSHIP</w:t>
            </w:r>
          </w:p>
        </w:tc>
        <w:tc>
          <w:tcPr>
            <w:tcW w:w="0" w:type="dxa"/>
            <w:vAlign w:val="bottom"/>
          </w:tcPr>
          <w:p>
            <w:pPr>
              <w:spacing w:after="0"/>
              <w:rPr>
                <w:sz w:val="1"/>
                <w:szCs w:val="1"/>
                <w:color w:val="auto"/>
              </w:rPr>
            </w:pPr>
          </w:p>
        </w:tc>
      </w:tr>
      <w:tr>
        <w:trPr>
          <w:trHeight w:val="183"/>
        </w:trPr>
        <w:tc>
          <w:tcPr>
            <w:tcW w:w="2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80" w:type="dxa"/>
            <w:vAlign w:val="bottom"/>
            <w:gridSpan w:val="2"/>
            <w:vMerge w:val="continue"/>
            <w:shd w:val="clear" w:color="auto" w:fill="F0F5FE"/>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27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120" w:type="dxa"/>
            <w:vAlign w:val="bottom"/>
          </w:tcPr>
          <w:p>
            <w:pPr>
              <w:spacing w:after="0"/>
              <w:rPr>
                <w:sz w:val="5"/>
                <w:szCs w:val="5"/>
                <w:color w:val="auto"/>
              </w:rPr>
            </w:pPr>
          </w:p>
        </w:tc>
        <w:tc>
          <w:tcPr>
            <w:tcW w:w="120" w:type="dxa"/>
            <w:vAlign w:val="bottom"/>
            <w:tcBorders>
              <w:bottom w:val="single" w:sz="8" w:color="292F72"/>
            </w:tcBorders>
          </w:tcPr>
          <w:p>
            <w:pPr>
              <w:spacing w:after="0"/>
              <w:rPr>
                <w:sz w:val="5"/>
                <w:szCs w:val="5"/>
                <w:color w:val="auto"/>
              </w:rPr>
            </w:pPr>
          </w:p>
        </w:tc>
        <w:tc>
          <w:tcPr>
            <w:tcW w:w="2140" w:type="dxa"/>
            <w:vAlign w:val="bottom"/>
            <w:tcBorders>
              <w:bottom w:val="single" w:sz="8" w:color="292F72"/>
            </w:tcBorders>
            <w:shd w:val="clear" w:color="auto" w:fill="F0F5FE"/>
          </w:tcPr>
          <w:p>
            <w:pPr>
              <w:spacing w:after="0"/>
              <w:rPr>
                <w:sz w:val="5"/>
                <w:szCs w:val="5"/>
                <w:color w:val="auto"/>
              </w:rPr>
            </w:pPr>
          </w:p>
        </w:tc>
        <w:tc>
          <w:tcPr>
            <w:tcW w:w="1340" w:type="dxa"/>
            <w:vAlign w:val="bottom"/>
            <w:tcBorders>
              <w:bottom w:val="single" w:sz="8" w:color="292F72"/>
            </w:tcBorders>
            <w:shd w:val="clear" w:color="auto" w:fill="F0F5FE"/>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2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40" w:type="dxa"/>
            <w:vAlign w:val="bottom"/>
            <w:shd w:val="clear" w:color="auto" w:fill="F0F5FE"/>
          </w:tcPr>
          <w:p>
            <w:pPr>
              <w:jc w:val="center"/>
              <w:ind w:left="480"/>
              <w:spacing w:after="0"/>
              <w:rPr>
                <w:sz w:val="20"/>
                <w:szCs w:val="20"/>
                <w:color w:val="auto"/>
              </w:rPr>
            </w:pPr>
            <w:r>
              <w:rPr>
                <w:rFonts w:ascii="Arial" w:cs="Arial" w:eastAsia="Arial" w:hAnsi="Arial"/>
                <w:sz w:val="14"/>
                <w:szCs w:val="14"/>
                <w:b w:val="1"/>
                <w:bCs w:val="1"/>
                <w:color w:val="292F72"/>
                <w:w w:val="99"/>
              </w:rPr>
              <w:t>HUMAN CAPITAL &amp;</w:t>
            </w:r>
          </w:p>
        </w:tc>
        <w:tc>
          <w:tcPr>
            <w:tcW w:w="1340" w:type="dxa"/>
            <w:vAlign w:val="bottom"/>
            <w:shd w:val="clear" w:color="auto" w:fill="F0F5FE"/>
          </w:tcPr>
          <w:p>
            <w:pPr>
              <w:jc w:val="center"/>
              <w:spacing w:after="0"/>
              <w:rPr>
                <w:sz w:val="20"/>
                <w:szCs w:val="20"/>
                <w:color w:val="auto"/>
              </w:rPr>
            </w:pPr>
            <w:r>
              <w:rPr>
                <w:rFonts w:ascii="Arial" w:cs="Arial" w:eastAsia="Arial" w:hAnsi="Arial"/>
                <w:sz w:val="14"/>
                <w:szCs w:val="14"/>
                <w:b w:val="1"/>
                <w:bCs w:val="1"/>
                <w:color w:val="292F72"/>
                <w:w w:val="99"/>
              </w:rPr>
              <w:t>NOMINATING &amp;</w:t>
            </w:r>
          </w:p>
        </w:tc>
        <w:tc>
          <w:tcPr>
            <w:tcW w:w="0" w:type="dxa"/>
            <w:vAlign w:val="bottom"/>
          </w:tcPr>
          <w:p>
            <w:pPr>
              <w:spacing w:after="0"/>
              <w:rPr>
                <w:sz w:val="1"/>
                <w:szCs w:val="1"/>
                <w:color w:val="auto"/>
              </w:rPr>
            </w:pPr>
          </w:p>
        </w:tc>
      </w:tr>
      <w:tr>
        <w:trPr>
          <w:trHeight w:val="193"/>
        </w:trPr>
        <w:tc>
          <w:tcPr>
            <w:tcW w:w="2720" w:type="dxa"/>
            <w:vAlign w:val="bottom"/>
          </w:tcPr>
          <w:p>
            <w:pPr>
              <w:spacing w:after="0"/>
              <w:rPr>
                <w:sz w:val="20"/>
                <w:szCs w:val="20"/>
                <w:color w:val="auto"/>
              </w:rPr>
            </w:pPr>
            <w:r>
              <w:rPr>
                <w:rFonts w:ascii="Arial" w:cs="Arial" w:eastAsia="Arial" w:hAnsi="Arial"/>
                <w:sz w:val="14"/>
                <w:szCs w:val="14"/>
                <w:b w:val="1"/>
                <w:bCs w:val="1"/>
                <w:color w:val="292F72"/>
              </w:rPr>
              <w:t>NAME AND PRINCIPAL OCCUPATION</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292F72"/>
                <w:w w:val="98"/>
              </w:rPr>
              <w:t>AGE</w:t>
            </w:r>
          </w:p>
        </w:tc>
        <w:tc>
          <w:tcPr>
            <w:tcW w:w="2120" w:type="dxa"/>
            <w:vAlign w:val="bottom"/>
          </w:tcPr>
          <w:p>
            <w:pPr>
              <w:ind w:left="140"/>
              <w:spacing w:after="0"/>
              <w:rPr>
                <w:sz w:val="20"/>
                <w:szCs w:val="20"/>
                <w:color w:val="auto"/>
              </w:rPr>
            </w:pPr>
            <w:r>
              <w:rPr>
                <w:rFonts w:ascii="Arial" w:cs="Arial" w:eastAsia="Arial" w:hAnsi="Arial"/>
                <w:sz w:val="14"/>
                <w:szCs w:val="14"/>
                <w:b w:val="1"/>
                <w:bCs w:val="1"/>
                <w:color w:val="292F72"/>
              </w:rPr>
              <w:t>TENURE    INDEPENDENT</w:t>
            </w:r>
          </w:p>
        </w:tc>
        <w:tc>
          <w:tcPr>
            <w:tcW w:w="120" w:type="dxa"/>
            <w:vAlign w:val="bottom"/>
          </w:tcPr>
          <w:p>
            <w:pPr>
              <w:spacing w:after="0"/>
              <w:rPr>
                <w:sz w:val="16"/>
                <w:szCs w:val="16"/>
                <w:color w:val="auto"/>
              </w:rPr>
            </w:pPr>
          </w:p>
        </w:tc>
        <w:tc>
          <w:tcPr>
            <w:tcW w:w="2140" w:type="dxa"/>
            <w:vAlign w:val="bottom"/>
            <w:shd w:val="clear" w:color="auto" w:fill="F0F5FE"/>
          </w:tcPr>
          <w:p>
            <w:pPr>
              <w:spacing w:after="0"/>
              <w:rPr>
                <w:sz w:val="20"/>
                <w:szCs w:val="20"/>
                <w:color w:val="auto"/>
              </w:rPr>
            </w:pPr>
            <w:r>
              <w:rPr>
                <w:rFonts w:ascii="Arial" w:cs="Arial" w:eastAsia="Arial" w:hAnsi="Arial"/>
                <w:sz w:val="14"/>
                <w:szCs w:val="14"/>
                <w:b w:val="1"/>
                <w:bCs w:val="1"/>
                <w:color w:val="292F72"/>
              </w:rPr>
              <w:t>AUDIT    COMPENSATION</w:t>
            </w:r>
          </w:p>
        </w:tc>
        <w:tc>
          <w:tcPr>
            <w:tcW w:w="1340" w:type="dxa"/>
            <w:vAlign w:val="bottom"/>
            <w:shd w:val="clear" w:color="auto" w:fill="F0F5FE"/>
          </w:tcPr>
          <w:p>
            <w:pPr>
              <w:jc w:val="center"/>
              <w:spacing w:after="0"/>
              <w:rPr>
                <w:sz w:val="20"/>
                <w:szCs w:val="20"/>
                <w:color w:val="auto"/>
              </w:rPr>
            </w:pPr>
            <w:r>
              <w:rPr>
                <w:rFonts w:ascii="Arial" w:cs="Arial" w:eastAsia="Arial" w:hAnsi="Arial"/>
                <w:sz w:val="14"/>
                <w:szCs w:val="14"/>
                <w:b w:val="1"/>
                <w:bCs w:val="1"/>
                <w:color w:val="292F72"/>
                <w:w w:val="99"/>
              </w:rPr>
              <w:t>GOVERNANCE</w:t>
            </w:r>
          </w:p>
        </w:tc>
        <w:tc>
          <w:tcPr>
            <w:tcW w:w="0" w:type="dxa"/>
            <w:vAlign w:val="bottom"/>
          </w:tcPr>
          <w:p>
            <w:pPr>
              <w:spacing w:after="0"/>
              <w:rPr>
                <w:sz w:val="1"/>
                <w:szCs w:val="1"/>
                <w:color w:val="auto"/>
              </w:rPr>
            </w:pPr>
          </w:p>
        </w:tc>
      </w:tr>
      <w:tr>
        <w:trPr>
          <w:trHeight w:val="66"/>
        </w:trPr>
        <w:tc>
          <w:tcPr>
            <w:tcW w:w="2720" w:type="dxa"/>
            <w:vAlign w:val="bottom"/>
            <w:tcBorders>
              <w:bottom w:val="single" w:sz="8" w:color="292F72"/>
            </w:tcBorders>
          </w:tcPr>
          <w:p>
            <w:pPr>
              <w:spacing w:after="0"/>
              <w:rPr>
                <w:sz w:val="5"/>
                <w:szCs w:val="5"/>
                <w:color w:val="auto"/>
              </w:rPr>
            </w:pPr>
          </w:p>
        </w:tc>
        <w:tc>
          <w:tcPr>
            <w:tcW w:w="600" w:type="dxa"/>
            <w:vAlign w:val="bottom"/>
            <w:tcBorders>
              <w:bottom w:val="single" w:sz="8" w:color="292F72"/>
            </w:tcBorders>
          </w:tcPr>
          <w:p>
            <w:pPr>
              <w:spacing w:after="0"/>
              <w:rPr>
                <w:sz w:val="5"/>
                <w:szCs w:val="5"/>
                <w:color w:val="auto"/>
              </w:rPr>
            </w:pPr>
          </w:p>
        </w:tc>
        <w:tc>
          <w:tcPr>
            <w:tcW w:w="2120" w:type="dxa"/>
            <w:vAlign w:val="bottom"/>
            <w:tcBorders>
              <w:bottom w:val="single" w:sz="8" w:color="292F72"/>
            </w:tcBorders>
          </w:tcPr>
          <w:p>
            <w:pPr>
              <w:spacing w:after="0"/>
              <w:rPr>
                <w:sz w:val="5"/>
                <w:szCs w:val="5"/>
                <w:color w:val="auto"/>
              </w:rPr>
            </w:pPr>
          </w:p>
        </w:tc>
        <w:tc>
          <w:tcPr>
            <w:tcW w:w="120" w:type="dxa"/>
            <w:vAlign w:val="bottom"/>
            <w:tcBorders>
              <w:bottom w:val="single" w:sz="8" w:color="292F72"/>
            </w:tcBorders>
          </w:tcPr>
          <w:p>
            <w:pPr>
              <w:spacing w:after="0"/>
              <w:rPr>
                <w:sz w:val="5"/>
                <w:szCs w:val="5"/>
                <w:color w:val="auto"/>
              </w:rPr>
            </w:pPr>
          </w:p>
        </w:tc>
        <w:tc>
          <w:tcPr>
            <w:tcW w:w="2140" w:type="dxa"/>
            <w:vAlign w:val="bottom"/>
            <w:tcBorders>
              <w:bottom w:val="single" w:sz="8" w:color="292F72"/>
            </w:tcBorders>
            <w:shd w:val="clear" w:color="auto" w:fill="F0F5FE"/>
          </w:tcPr>
          <w:p>
            <w:pPr>
              <w:spacing w:after="0"/>
              <w:rPr>
                <w:sz w:val="5"/>
                <w:szCs w:val="5"/>
                <w:color w:val="auto"/>
              </w:rPr>
            </w:pPr>
          </w:p>
        </w:tc>
        <w:tc>
          <w:tcPr>
            <w:tcW w:w="1340" w:type="dxa"/>
            <w:vAlign w:val="bottom"/>
            <w:tcBorders>
              <w:bottom w:val="single" w:sz="8" w:color="292F72"/>
            </w:tcBorders>
            <w:shd w:val="clear" w:color="auto" w:fill="F0F5FE"/>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2720" w:type="dxa"/>
            <w:vAlign w:val="bottom"/>
          </w:tcPr>
          <w:p>
            <w:pPr>
              <w:spacing w:after="0"/>
              <w:rPr>
                <w:sz w:val="20"/>
                <w:szCs w:val="20"/>
                <w:color w:val="auto"/>
              </w:rPr>
            </w:pPr>
            <w:r>
              <w:rPr>
                <w:rFonts w:ascii="Arial" w:cs="Arial" w:eastAsia="Arial" w:hAnsi="Arial"/>
                <w:sz w:val="19"/>
                <w:szCs w:val="19"/>
                <w:b w:val="1"/>
                <w:bCs w:val="1"/>
                <w:color w:val="6D8CC3"/>
              </w:rPr>
              <w:t>Alessandro Bogliolo</w:t>
            </w:r>
          </w:p>
        </w:tc>
        <w:tc>
          <w:tcPr>
            <w:tcW w:w="600" w:type="dxa"/>
            <w:vAlign w:val="bottom"/>
            <w:vMerge w:val="restart"/>
          </w:tcPr>
          <w:p>
            <w:pPr>
              <w:jc w:val="center"/>
              <w:spacing w:after="0"/>
              <w:rPr>
                <w:sz w:val="20"/>
                <w:szCs w:val="20"/>
                <w:color w:val="auto"/>
              </w:rPr>
            </w:pPr>
            <w:r>
              <w:rPr>
                <w:rFonts w:ascii="Arial" w:cs="Arial" w:eastAsia="Arial" w:hAnsi="Arial"/>
                <w:sz w:val="14"/>
                <w:szCs w:val="14"/>
                <w:color w:val="auto"/>
                <w:w w:val="89"/>
              </w:rPr>
              <w:t>61</w:t>
            </w:r>
          </w:p>
        </w:tc>
        <w:tc>
          <w:tcPr>
            <w:tcW w:w="2120" w:type="dxa"/>
            <w:vAlign w:val="bottom"/>
            <w:vMerge w:val="restart"/>
          </w:tcPr>
          <w:p>
            <w:pPr>
              <w:jc w:val="center"/>
              <w:ind w:right="1210"/>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23"/>
                <w:szCs w:val="23"/>
                <w:color w:val="auto"/>
              </w:rPr>
            </w:pPr>
          </w:p>
        </w:tc>
        <w:tc>
          <w:tcPr>
            <w:tcW w:w="2140" w:type="dxa"/>
            <w:vAlign w:val="bottom"/>
            <w:shd w:val="clear" w:color="auto" w:fill="F0F5FE"/>
          </w:tcPr>
          <w:p>
            <w:pPr>
              <w:spacing w:after="0"/>
              <w:rPr>
                <w:sz w:val="23"/>
                <w:szCs w:val="23"/>
                <w:color w:val="auto"/>
              </w:rPr>
            </w:pPr>
          </w:p>
        </w:tc>
        <w:tc>
          <w:tcPr>
            <w:tcW w:w="1340" w:type="dxa"/>
            <w:vAlign w:val="bottom"/>
            <w:vMerge w:val="restart"/>
            <w:shd w:val="clear" w:color="auto" w:fill="F0F5FE"/>
          </w:tcPr>
          <w:p>
            <w:pPr>
              <w:jc w:val="center"/>
              <w:spacing w:after="0"/>
              <w:rPr>
                <w:sz w:val="20"/>
                <w:szCs w:val="20"/>
                <w:color w:val="auto"/>
              </w:rPr>
            </w:pPr>
            <w:r>
              <w:rPr>
                <w:rFonts w:ascii="Arial" w:cs="Arial" w:eastAsia="Arial" w:hAnsi="Arial"/>
                <w:sz w:val="19"/>
                <w:szCs w:val="19"/>
                <w:b w:val="1"/>
                <w:bCs w:val="1"/>
                <w:color w:val="6D8CC3"/>
              </w:rPr>
              <w:t>C</w:t>
            </w:r>
          </w:p>
        </w:tc>
        <w:tc>
          <w:tcPr>
            <w:tcW w:w="0" w:type="dxa"/>
            <w:vAlign w:val="bottom"/>
          </w:tcPr>
          <w:p>
            <w:pPr>
              <w:spacing w:after="0"/>
              <w:rPr>
                <w:sz w:val="1"/>
                <w:szCs w:val="1"/>
                <w:color w:val="auto"/>
              </w:rPr>
            </w:pPr>
          </w:p>
        </w:tc>
      </w:tr>
      <w:tr>
        <w:trPr>
          <w:trHeight w:val="121"/>
        </w:trPr>
        <w:tc>
          <w:tcPr>
            <w:tcW w:w="2720" w:type="dxa"/>
            <w:vAlign w:val="bottom"/>
            <w:vMerge w:val="restart"/>
          </w:tcPr>
          <w:p>
            <w:pPr>
              <w:spacing w:after="0"/>
              <w:rPr>
                <w:sz w:val="20"/>
                <w:szCs w:val="20"/>
                <w:color w:val="auto"/>
              </w:rPr>
            </w:pPr>
            <w:r>
              <w:rPr>
                <w:rFonts w:ascii="Arial" w:cs="Arial" w:eastAsia="Arial" w:hAnsi="Arial"/>
                <w:sz w:val="14"/>
                <w:szCs w:val="14"/>
                <w:color w:val="auto"/>
              </w:rPr>
              <w:t>Former CEO, Tiffany &amp; Co.</w:t>
            </w:r>
          </w:p>
        </w:tc>
        <w:tc>
          <w:tcPr>
            <w:tcW w:w="600" w:type="dxa"/>
            <w:vAlign w:val="bottom"/>
            <w:vMerge w:val="continue"/>
          </w:tcPr>
          <w:p>
            <w:pPr>
              <w:spacing w:after="0"/>
              <w:rPr>
                <w:sz w:val="10"/>
                <w:szCs w:val="10"/>
                <w:color w:val="auto"/>
              </w:rPr>
            </w:pPr>
          </w:p>
        </w:tc>
        <w:tc>
          <w:tcPr>
            <w:tcW w:w="21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140" w:type="dxa"/>
            <w:vAlign w:val="bottom"/>
            <w:shd w:val="clear" w:color="auto" w:fill="F0F5FE"/>
          </w:tcPr>
          <w:p>
            <w:pPr>
              <w:spacing w:after="0"/>
              <w:rPr>
                <w:sz w:val="10"/>
                <w:szCs w:val="10"/>
                <w:color w:val="auto"/>
              </w:rPr>
            </w:pPr>
          </w:p>
        </w:tc>
        <w:tc>
          <w:tcPr>
            <w:tcW w:w="1340" w:type="dxa"/>
            <w:vAlign w:val="bottom"/>
            <w:vMerge w:val="continue"/>
            <w:shd w:val="clear" w:color="auto" w:fill="F0F5FE"/>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27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40" w:type="dxa"/>
            <w:vAlign w:val="bottom"/>
            <w:shd w:val="clear" w:color="auto" w:fill="F0F5FE"/>
          </w:tcPr>
          <w:p>
            <w:pPr>
              <w:spacing w:after="0"/>
              <w:rPr>
                <w:sz w:val="5"/>
                <w:szCs w:val="5"/>
                <w:color w:val="auto"/>
              </w:rPr>
            </w:pPr>
          </w:p>
        </w:tc>
        <w:tc>
          <w:tcPr>
            <w:tcW w:w="1340" w:type="dxa"/>
            <w:vAlign w:val="bottom"/>
            <w:shd w:val="clear" w:color="auto" w:fill="F0F5FE"/>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720" w:type="dxa"/>
            <w:vAlign w:val="bottom"/>
            <w:tcBorders>
              <w:bottom w:val="single" w:sz="8" w:color="6D8CC3"/>
            </w:tcBorders>
          </w:tcPr>
          <w:p>
            <w:pPr>
              <w:spacing w:after="0"/>
              <w:rPr>
                <w:sz w:val="5"/>
                <w:szCs w:val="5"/>
                <w:color w:val="auto"/>
              </w:rPr>
            </w:pPr>
          </w:p>
        </w:tc>
        <w:tc>
          <w:tcPr>
            <w:tcW w:w="600" w:type="dxa"/>
            <w:vAlign w:val="bottom"/>
            <w:tcBorders>
              <w:bottom w:val="single" w:sz="8" w:color="6D8CC3"/>
            </w:tcBorders>
          </w:tcPr>
          <w:p>
            <w:pPr>
              <w:spacing w:after="0"/>
              <w:rPr>
                <w:sz w:val="5"/>
                <w:szCs w:val="5"/>
                <w:color w:val="auto"/>
              </w:rPr>
            </w:pPr>
          </w:p>
        </w:tc>
        <w:tc>
          <w:tcPr>
            <w:tcW w:w="2120" w:type="dxa"/>
            <w:vAlign w:val="bottom"/>
            <w:tcBorders>
              <w:bottom w:val="single" w:sz="8" w:color="6D8CC3"/>
            </w:tcBorders>
          </w:tcPr>
          <w:p>
            <w:pPr>
              <w:spacing w:after="0"/>
              <w:rPr>
                <w:sz w:val="5"/>
                <w:szCs w:val="5"/>
                <w:color w:val="auto"/>
              </w:rPr>
            </w:pPr>
          </w:p>
        </w:tc>
        <w:tc>
          <w:tcPr>
            <w:tcW w:w="120" w:type="dxa"/>
            <w:vAlign w:val="bottom"/>
            <w:tcBorders>
              <w:bottom w:val="single" w:sz="8" w:color="6D8CC3"/>
            </w:tcBorders>
          </w:tcPr>
          <w:p>
            <w:pPr>
              <w:spacing w:after="0"/>
              <w:rPr>
                <w:sz w:val="5"/>
                <w:szCs w:val="5"/>
                <w:color w:val="auto"/>
              </w:rPr>
            </w:pPr>
          </w:p>
        </w:tc>
        <w:tc>
          <w:tcPr>
            <w:tcW w:w="2140" w:type="dxa"/>
            <w:vAlign w:val="bottom"/>
            <w:tcBorders>
              <w:bottom w:val="single" w:sz="8" w:color="6D8CC3"/>
            </w:tcBorders>
            <w:shd w:val="clear" w:color="auto" w:fill="F0F5FE"/>
          </w:tcPr>
          <w:p>
            <w:pPr>
              <w:spacing w:after="0"/>
              <w:rPr>
                <w:sz w:val="5"/>
                <w:szCs w:val="5"/>
                <w:color w:val="auto"/>
              </w:rPr>
            </w:pPr>
          </w:p>
        </w:tc>
        <w:tc>
          <w:tcPr>
            <w:tcW w:w="1340" w:type="dxa"/>
            <w:vAlign w:val="bottom"/>
            <w:tcBorders>
              <w:bottom w:val="single" w:sz="8" w:color="6D8CC3"/>
            </w:tcBorders>
            <w:shd w:val="clear" w:color="auto" w:fill="F0F5FE"/>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2720" w:type="dxa"/>
            <w:vAlign w:val="bottom"/>
          </w:tcPr>
          <w:p>
            <w:pPr>
              <w:spacing w:after="0"/>
              <w:rPr>
                <w:sz w:val="20"/>
                <w:szCs w:val="20"/>
                <w:color w:val="auto"/>
              </w:rPr>
            </w:pPr>
            <w:r>
              <w:rPr>
                <w:rFonts w:ascii="Arial" w:cs="Arial" w:eastAsia="Arial" w:hAnsi="Arial"/>
                <w:sz w:val="19"/>
                <w:szCs w:val="19"/>
                <w:b w:val="1"/>
                <w:bCs w:val="1"/>
                <w:color w:val="6D8CC3"/>
              </w:rPr>
              <w:t>Lucy Brady</w:t>
            </w:r>
          </w:p>
        </w:tc>
        <w:tc>
          <w:tcPr>
            <w:tcW w:w="600" w:type="dxa"/>
            <w:vAlign w:val="bottom"/>
            <w:vMerge w:val="restart"/>
          </w:tcPr>
          <w:p>
            <w:pPr>
              <w:jc w:val="center"/>
              <w:spacing w:after="0"/>
              <w:rPr>
                <w:sz w:val="20"/>
                <w:szCs w:val="20"/>
                <w:color w:val="auto"/>
              </w:rPr>
            </w:pPr>
            <w:r>
              <w:rPr>
                <w:rFonts w:ascii="Arial" w:cs="Arial" w:eastAsia="Arial" w:hAnsi="Arial"/>
                <w:sz w:val="14"/>
                <w:szCs w:val="14"/>
                <w:color w:val="auto"/>
                <w:w w:val="89"/>
              </w:rPr>
              <w:t>56</w:t>
            </w:r>
          </w:p>
        </w:tc>
        <w:tc>
          <w:tcPr>
            <w:tcW w:w="2120" w:type="dxa"/>
            <w:vAlign w:val="bottom"/>
            <w:vMerge w:val="restart"/>
          </w:tcPr>
          <w:p>
            <w:pPr>
              <w:jc w:val="center"/>
              <w:ind w:right="1210"/>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3"/>
                <w:szCs w:val="23"/>
                <w:color w:val="auto"/>
              </w:rPr>
            </w:pPr>
          </w:p>
        </w:tc>
        <w:tc>
          <w:tcPr>
            <w:tcW w:w="2140" w:type="dxa"/>
            <w:vAlign w:val="bottom"/>
            <w:shd w:val="clear" w:color="auto" w:fill="F0F5FE"/>
          </w:tcPr>
          <w:p>
            <w:pPr>
              <w:spacing w:after="0"/>
              <w:rPr>
                <w:sz w:val="23"/>
                <w:szCs w:val="23"/>
                <w:color w:val="auto"/>
              </w:rPr>
            </w:pPr>
          </w:p>
        </w:tc>
        <w:tc>
          <w:tcPr>
            <w:tcW w:w="1340" w:type="dxa"/>
            <w:vAlign w:val="bottom"/>
            <w:shd w:val="clear" w:color="auto" w:fill="F0F5FE"/>
          </w:tcPr>
          <w:p>
            <w:pPr>
              <w:spacing w:after="0"/>
              <w:rPr>
                <w:sz w:val="23"/>
                <w:szCs w:val="23"/>
                <w:color w:val="auto"/>
              </w:rPr>
            </w:pPr>
          </w:p>
        </w:tc>
        <w:tc>
          <w:tcPr>
            <w:tcW w:w="0" w:type="dxa"/>
            <w:vAlign w:val="bottom"/>
          </w:tcPr>
          <w:p>
            <w:pPr>
              <w:spacing w:after="0"/>
              <w:rPr>
                <w:sz w:val="1"/>
                <w:szCs w:val="1"/>
                <w:color w:val="auto"/>
              </w:rPr>
            </w:pPr>
          </w:p>
        </w:tc>
      </w:tr>
      <w:tr>
        <w:trPr>
          <w:trHeight w:val="157"/>
        </w:trPr>
        <w:tc>
          <w:tcPr>
            <w:tcW w:w="2720" w:type="dxa"/>
            <w:vAlign w:val="bottom"/>
          </w:tcPr>
          <w:p>
            <w:pPr>
              <w:spacing w:after="0" w:line="157" w:lineRule="exact"/>
              <w:rPr>
                <w:sz w:val="20"/>
                <w:szCs w:val="20"/>
                <w:color w:val="auto"/>
              </w:rPr>
            </w:pPr>
            <w:r>
              <w:rPr>
                <w:rFonts w:ascii="Arial" w:cs="Arial" w:eastAsia="Arial" w:hAnsi="Arial"/>
                <w:sz w:val="14"/>
                <w:szCs w:val="14"/>
                <w:color w:val="auto"/>
              </w:rPr>
              <w:t>Former President, Snacks &amp; Grocery,</w:t>
            </w:r>
          </w:p>
        </w:tc>
        <w:tc>
          <w:tcPr>
            <w:tcW w:w="600" w:type="dxa"/>
            <w:vAlign w:val="bottom"/>
            <w:vMerge w:val="continue"/>
          </w:tcPr>
          <w:p>
            <w:pPr>
              <w:spacing w:after="0"/>
              <w:rPr>
                <w:sz w:val="13"/>
                <w:szCs w:val="13"/>
                <w:color w:val="auto"/>
              </w:rPr>
            </w:pPr>
          </w:p>
        </w:tc>
        <w:tc>
          <w:tcPr>
            <w:tcW w:w="21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shd w:val="clear" w:color="auto" w:fill="F0F5FE"/>
          </w:tcPr>
          <w:p>
            <w:pPr>
              <w:spacing w:after="0"/>
              <w:rPr>
                <w:sz w:val="13"/>
                <w:szCs w:val="13"/>
                <w:color w:val="auto"/>
              </w:rPr>
            </w:pPr>
          </w:p>
        </w:tc>
        <w:tc>
          <w:tcPr>
            <w:tcW w:w="1340" w:type="dxa"/>
            <w:vAlign w:val="bottom"/>
            <w:shd w:val="clear" w:color="auto" w:fill="F0F5FE"/>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720" w:type="dxa"/>
            <w:vAlign w:val="bottom"/>
          </w:tcPr>
          <w:p>
            <w:pPr>
              <w:spacing w:after="0"/>
              <w:rPr>
                <w:sz w:val="20"/>
                <w:szCs w:val="20"/>
                <w:color w:val="auto"/>
              </w:rPr>
            </w:pPr>
            <w:r>
              <w:rPr>
                <w:rFonts w:ascii="Arial" w:cs="Arial" w:eastAsia="Arial" w:hAnsi="Arial"/>
                <w:sz w:val="14"/>
                <w:szCs w:val="14"/>
                <w:color w:val="auto"/>
              </w:rPr>
              <w:t>Conagra Brands, Inc.</w:t>
            </w:r>
          </w:p>
        </w:tc>
        <w:tc>
          <w:tcPr>
            <w:tcW w:w="6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shd w:val="clear" w:color="auto" w:fill="F0F5FE"/>
          </w:tcPr>
          <w:p>
            <w:pPr>
              <w:spacing w:after="0"/>
              <w:rPr>
                <w:sz w:val="16"/>
                <w:szCs w:val="16"/>
                <w:color w:val="auto"/>
              </w:rPr>
            </w:pPr>
          </w:p>
        </w:tc>
        <w:tc>
          <w:tcPr>
            <w:tcW w:w="1340" w:type="dxa"/>
            <w:vAlign w:val="bottom"/>
            <w:shd w:val="clear" w:color="auto" w:fill="F0F5FE"/>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2720" w:type="dxa"/>
            <w:vAlign w:val="bottom"/>
            <w:tcBorders>
              <w:bottom w:val="single" w:sz="8" w:color="6D8CC3"/>
            </w:tcBorders>
          </w:tcPr>
          <w:p>
            <w:pPr>
              <w:spacing w:after="0"/>
              <w:rPr>
                <w:sz w:val="5"/>
                <w:szCs w:val="5"/>
                <w:color w:val="auto"/>
              </w:rPr>
            </w:pPr>
          </w:p>
        </w:tc>
        <w:tc>
          <w:tcPr>
            <w:tcW w:w="600" w:type="dxa"/>
            <w:vAlign w:val="bottom"/>
            <w:tcBorders>
              <w:bottom w:val="single" w:sz="8" w:color="6D8CC3"/>
            </w:tcBorders>
          </w:tcPr>
          <w:p>
            <w:pPr>
              <w:spacing w:after="0"/>
              <w:rPr>
                <w:sz w:val="5"/>
                <w:szCs w:val="5"/>
                <w:color w:val="auto"/>
              </w:rPr>
            </w:pPr>
          </w:p>
        </w:tc>
        <w:tc>
          <w:tcPr>
            <w:tcW w:w="2120" w:type="dxa"/>
            <w:vAlign w:val="bottom"/>
            <w:tcBorders>
              <w:bottom w:val="single" w:sz="8" w:color="6D8CC3"/>
            </w:tcBorders>
          </w:tcPr>
          <w:p>
            <w:pPr>
              <w:spacing w:after="0"/>
              <w:rPr>
                <w:sz w:val="5"/>
                <w:szCs w:val="5"/>
                <w:color w:val="auto"/>
              </w:rPr>
            </w:pPr>
          </w:p>
        </w:tc>
        <w:tc>
          <w:tcPr>
            <w:tcW w:w="120" w:type="dxa"/>
            <w:vAlign w:val="bottom"/>
            <w:tcBorders>
              <w:bottom w:val="single" w:sz="8" w:color="6D8CC3"/>
            </w:tcBorders>
          </w:tcPr>
          <w:p>
            <w:pPr>
              <w:spacing w:after="0"/>
              <w:rPr>
                <w:sz w:val="5"/>
                <w:szCs w:val="5"/>
                <w:color w:val="auto"/>
              </w:rPr>
            </w:pPr>
          </w:p>
        </w:tc>
        <w:tc>
          <w:tcPr>
            <w:tcW w:w="2140" w:type="dxa"/>
            <w:vAlign w:val="bottom"/>
            <w:tcBorders>
              <w:bottom w:val="single" w:sz="8" w:color="6D8CC3"/>
            </w:tcBorders>
            <w:shd w:val="clear" w:color="auto" w:fill="F0F5FE"/>
          </w:tcPr>
          <w:p>
            <w:pPr>
              <w:spacing w:after="0"/>
              <w:rPr>
                <w:sz w:val="5"/>
                <w:szCs w:val="5"/>
                <w:color w:val="auto"/>
              </w:rPr>
            </w:pPr>
          </w:p>
        </w:tc>
        <w:tc>
          <w:tcPr>
            <w:tcW w:w="1340" w:type="dxa"/>
            <w:vAlign w:val="bottom"/>
            <w:tcBorders>
              <w:bottom w:val="single" w:sz="8" w:color="6D8CC3"/>
            </w:tcBorders>
            <w:shd w:val="clear" w:color="auto" w:fill="F0F5FE"/>
          </w:tcPr>
          <w:p>
            <w:pPr>
              <w:spacing w:after="0"/>
              <w:rPr>
                <w:sz w:val="5"/>
                <w:szCs w:val="5"/>
                <w:color w:val="auto"/>
              </w:rPr>
            </w:pPr>
          </w:p>
        </w:tc>
        <w:tc>
          <w:tcPr>
            <w:tcW w:w="0" w:type="dxa"/>
            <w:vAlign w:val="bottom"/>
          </w:tcPr>
          <w:p>
            <w:pPr>
              <w:spacing w:after="0"/>
              <w:rPr>
                <w:sz w:val="1"/>
                <w:szCs w:val="1"/>
                <w:color w:val="auto"/>
              </w:rPr>
            </w:pPr>
          </w:p>
        </w:tc>
      </w:tr>
      <w:tr>
        <w:trPr>
          <w:trHeight w:val="286"/>
        </w:trPr>
        <w:tc>
          <w:tcPr>
            <w:tcW w:w="2720" w:type="dxa"/>
            <w:vAlign w:val="bottom"/>
          </w:tcPr>
          <w:p>
            <w:pPr>
              <w:spacing w:after="0"/>
              <w:rPr>
                <w:sz w:val="20"/>
                <w:szCs w:val="20"/>
                <w:color w:val="auto"/>
              </w:rPr>
            </w:pPr>
            <w:r>
              <w:rPr>
                <w:rFonts w:ascii="Arial" w:cs="Arial" w:eastAsia="Arial" w:hAnsi="Arial"/>
                <w:sz w:val="19"/>
                <w:szCs w:val="19"/>
                <w:b w:val="1"/>
                <w:bCs w:val="1"/>
                <w:color w:val="6D8CC3"/>
              </w:rPr>
              <w:t>Daniel Heaf</w:t>
            </w:r>
          </w:p>
        </w:tc>
        <w:tc>
          <w:tcPr>
            <w:tcW w:w="600" w:type="dxa"/>
            <w:vAlign w:val="bottom"/>
          </w:tcPr>
          <w:p>
            <w:pPr>
              <w:jc w:val="center"/>
              <w:spacing w:after="0"/>
              <w:rPr>
                <w:sz w:val="20"/>
                <w:szCs w:val="20"/>
                <w:color w:val="auto"/>
              </w:rPr>
            </w:pPr>
            <w:r>
              <w:rPr>
                <w:rFonts w:ascii="Arial" w:cs="Arial" w:eastAsia="Arial" w:hAnsi="Arial"/>
                <w:sz w:val="14"/>
                <w:szCs w:val="14"/>
                <w:color w:val="auto"/>
                <w:w w:val="89"/>
              </w:rPr>
              <w:t>48</w:t>
            </w:r>
          </w:p>
        </w:tc>
        <w:tc>
          <w:tcPr>
            <w:tcW w:w="2120" w:type="dxa"/>
            <w:vAlign w:val="bottom"/>
          </w:tcPr>
          <w:p>
            <w:pPr>
              <w:jc w:val="center"/>
              <w:ind w:right="1210"/>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24"/>
                <w:szCs w:val="24"/>
                <w:color w:val="auto"/>
              </w:rPr>
            </w:pPr>
          </w:p>
        </w:tc>
        <w:tc>
          <w:tcPr>
            <w:tcW w:w="2140" w:type="dxa"/>
            <w:vAlign w:val="bottom"/>
            <w:shd w:val="clear" w:color="auto" w:fill="F0F5FE"/>
          </w:tcPr>
          <w:p>
            <w:pPr>
              <w:spacing w:after="0"/>
              <w:rPr>
                <w:sz w:val="24"/>
                <w:szCs w:val="24"/>
                <w:color w:val="auto"/>
              </w:rPr>
            </w:pPr>
          </w:p>
        </w:tc>
        <w:tc>
          <w:tcPr>
            <w:tcW w:w="1340" w:type="dxa"/>
            <w:vAlign w:val="bottom"/>
            <w:shd w:val="clear" w:color="auto" w:fill="F0F5FE"/>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720" w:type="dxa"/>
            <w:vAlign w:val="bottom"/>
          </w:tcPr>
          <w:p>
            <w:pPr>
              <w:spacing w:after="0"/>
              <w:rPr>
                <w:sz w:val="20"/>
                <w:szCs w:val="20"/>
                <w:color w:val="auto"/>
              </w:rPr>
            </w:pPr>
            <w:r>
              <w:rPr>
                <w:rFonts w:ascii="Arial" w:cs="Arial" w:eastAsia="Arial" w:hAnsi="Arial"/>
                <w:sz w:val="14"/>
                <w:szCs w:val="14"/>
                <w:color w:val="auto"/>
              </w:rPr>
              <w:t>CEO, Bath &amp; Body Works, Inc.</w:t>
            </w:r>
          </w:p>
        </w:tc>
        <w:tc>
          <w:tcPr>
            <w:tcW w:w="6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tcBorders>
              <w:bottom w:val="single" w:sz="8" w:color="F0F5FE"/>
            </w:tcBorders>
            <w:shd w:val="clear" w:color="auto" w:fill="F0F5FE"/>
          </w:tcPr>
          <w:p>
            <w:pPr>
              <w:spacing w:after="0"/>
              <w:rPr>
                <w:sz w:val="20"/>
                <w:szCs w:val="20"/>
                <w:color w:val="auto"/>
              </w:rPr>
            </w:pPr>
          </w:p>
        </w:tc>
        <w:tc>
          <w:tcPr>
            <w:tcW w:w="1340" w:type="dxa"/>
            <w:vAlign w:val="bottom"/>
            <w:tcBorders>
              <w:bottom w:val="single" w:sz="8" w:color="F0F5FE"/>
            </w:tcBorders>
            <w:shd w:val="clear" w:color="auto" w:fill="F0F5FE"/>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2720" w:type="dxa"/>
            <w:vAlign w:val="bottom"/>
            <w:tcBorders>
              <w:top w:val="single" w:sz="8" w:color="6D8CC3"/>
            </w:tcBorders>
          </w:tcPr>
          <w:p>
            <w:pPr>
              <w:spacing w:after="0"/>
              <w:rPr>
                <w:sz w:val="20"/>
                <w:szCs w:val="20"/>
                <w:color w:val="auto"/>
              </w:rPr>
            </w:pPr>
            <w:r>
              <w:rPr>
                <w:rFonts w:ascii="Arial" w:cs="Arial" w:eastAsia="Arial" w:hAnsi="Arial"/>
                <w:sz w:val="19"/>
                <w:szCs w:val="19"/>
                <w:b w:val="1"/>
                <w:bCs w:val="1"/>
                <w:color w:val="6D8CC3"/>
              </w:rPr>
              <w:t>Francis Hondal</w:t>
            </w:r>
          </w:p>
        </w:tc>
        <w:tc>
          <w:tcPr>
            <w:tcW w:w="600" w:type="dxa"/>
            <w:vAlign w:val="bottom"/>
            <w:tcBorders>
              <w:top w:val="single" w:sz="8" w:color="6D8CC3"/>
            </w:tcBorders>
            <w:vMerge w:val="restart"/>
          </w:tcPr>
          <w:p>
            <w:pPr>
              <w:jc w:val="center"/>
              <w:spacing w:after="0"/>
              <w:rPr>
                <w:sz w:val="20"/>
                <w:szCs w:val="20"/>
                <w:color w:val="auto"/>
              </w:rPr>
            </w:pPr>
            <w:r>
              <w:rPr>
                <w:rFonts w:ascii="Arial" w:cs="Arial" w:eastAsia="Arial" w:hAnsi="Arial"/>
                <w:sz w:val="14"/>
                <w:szCs w:val="14"/>
                <w:color w:val="auto"/>
                <w:w w:val="89"/>
              </w:rPr>
              <w:t>61</w:t>
            </w:r>
          </w:p>
        </w:tc>
        <w:tc>
          <w:tcPr>
            <w:tcW w:w="2120" w:type="dxa"/>
            <w:vAlign w:val="bottom"/>
            <w:tcBorders>
              <w:top w:val="single" w:sz="8" w:color="6D8CC3"/>
            </w:tcBorders>
            <w:vMerge w:val="restart"/>
          </w:tcPr>
          <w:p>
            <w:pPr>
              <w:jc w:val="center"/>
              <w:ind w:right="1210"/>
              <w:spacing w:after="0"/>
              <w:rPr>
                <w:sz w:val="20"/>
                <w:szCs w:val="20"/>
                <w:color w:val="auto"/>
              </w:rPr>
            </w:pPr>
            <w:r>
              <w:rPr>
                <w:rFonts w:ascii="Arial" w:cs="Arial" w:eastAsia="Arial" w:hAnsi="Arial"/>
                <w:sz w:val="14"/>
                <w:szCs w:val="14"/>
                <w:color w:val="auto"/>
              </w:rPr>
              <w:t>5.1</w:t>
            </w:r>
          </w:p>
        </w:tc>
        <w:tc>
          <w:tcPr>
            <w:tcW w:w="120" w:type="dxa"/>
            <w:vAlign w:val="bottom"/>
            <w:tcBorders>
              <w:top w:val="single" w:sz="8" w:color="6D8CC3"/>
            </w:tcBorders>
          </w:tcPr>
          <w:p>
            <w:pPr>
              <w:spacing w:after="0"/>
              <w:rPr>
                <w:sz w:val="23"/>
                <w:szCs w:val="23"/>
                <w:color w:val="auto"/>
              </w:rPr>
            </w:pPr>
          </w:p>
        </w:tc>
        <w:tc>
          <w:tcPr>
            <w:tcW w:w="2140" w:type="dxa"/>
            <w:vAlign w:val="bottom"/>
            <w:tcBorders>
              <w:top w:val="single" w:sz="8" w:color="6D8CC3"/>
            </w:tcBorders>
            <w:vMerge w:val="restart"/>
            <w:shd w:val="clear" w:color="auto" w:fill="F0F5FE"/>
          </w:tcPr>
          <w:p>
            <w:pPr>
              <w:jc w:val="center"/>
              <w:ind w:left="520"/>
              <w:spacing w:after="0"/>
              <w:rPr>
                <w:sz w:val="20"/>
                <w:szCs w:val="20"/>
                <w:color w:val="auto"/>
              </w:rPr>
            </w:pPr>
            <w:r>
              <w:rPr>
                <w:rFonts w:ascii="Arial" w:cs="Arial" w:eastAsia="Arial" w:hAnsi="Arial"/>
                <w:sz w:val="19"/>
                <w:szCs w:val="19"/>
                <w:b w:val="1"/>
                <w:bCs w:val="1"/>
                <w:color w:val="6D8CC3"/>
              </w:rPr>
              <w:t>C</w:t>
            </w:r>
            <w:r>
              <w:rPr>
                <w:rFonts w:ascii="Arial" w:cs="Arial" w:eastAsia="Arial" w:hAnsi="Arial"/>
                <w:sz w:val="13"/>
                <w:szCs w:val="13"/>
                <w:color w:val="000000"/>
              </w:rPr>
              <w:t>​</w:t>
            </w:r>
          </w:p>
        </w:tc>
        <w:tc>
          <w:tcPr>
            <w:tcW w:w="1340" w:type="dxa"/>
            <w:vAlign w:val="bottom"/>
            <w:tcBorders>
              <w:top w:val="single" w:sz="8" w:color="6D8CC3"/>
            </w:tcBorders>
            <w:shd w:val="clear" w:color="auto" w:fill="F0F5FE"/>
          </w:tcPr>
          <w:p>
            <w:pPr>
              <w:spacing w:after="0"/>
              <w:rPr>
                <w:sz w:val="23"/>
                <w:szCs w:val="23"/>
                <w:color w:val="auto"/>
              </w:rPr>
            </w:pPr>
          </w:p>
        </w:tc>
        <w:tc>
          <w:tcPr>
            <w:tcW w:w="0" w:type="dxa"/>
            <w:vAlign w:val="bottom"/>
          </w:tcPr>
          <w:p>
            <w:pPr>
              <w:spacing w:after="0"/>
              <w:rPr>
                <w:sz w:val="1"/>
                <w:szCs w:val="1"/>
                <w:color w:val="auto"/>
              </w:rPr>
            </w:pPr>
          </w:p>
        </w:tc>
      </w:tr>
      <w:tr>
        <w:trPr>
          <w:trHeight w:val="157"/>
        </w:trPr>
        <w:tc>
          <w:tcPr>
            <w:tcW w:w="2720" w:type="dxa"/>
            <w:vAlign w:val="bottom"/>
          </w:tcPr>
          <w:p>
            <w:pPr>
              <w:spacing w:after="0" w:line="157" w:lineRule="exact"/>
              <w:rPr>
                <w:sz w:val="20"/>
                <w:szCs w:val="20"/>
                <w:color w:val="auto"/>
              </w:rPr>
            </w:pPr>
            <w:r>
              <w:rPr>
                <w:rFonts w:ascii="Arial" w:cs="Arial" w:eastAsia="Arial" w:hAnsi="Arial"/>
                <w:sz w:val="14"/>
                <w:szCs w:val="14"/>
                <w:color w:val="auto"/>
              </w:rPr>
              <w:t>Former President of Loyalty &amp;</w:t>
            </w:r>
          </w:p>
        </w:tc>
        <w:tc>
          <w:tcPr>
            <w:tcW w:w="600" w:type="dxa"/>
            <w:vAlign w:val="bottom"/>
            <w:vMerge w:val="continue"/>
          </w:tcPr>
          <w:p>
            <w:pPr>
              <w:spacing w:after="0"/>
              <w:rPr>
                <w:sz w:val="13"/>
                <w:szCs w:val="13"/>
                <w:color w:val="auto"/>
              </w:rPr>
            </w:pPr>
          </w:p>
        </w:tc>
        <w:tc>
          <w:tcPr>
            <w:tcW w:w="21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vMerge w:val="continue"/>
            <w:shd w:val="clear" w:color="auto" w:fill="F0F5FE"/>
          </w:tcPr>
          <w:p>
            <w:pPr>
              <w:spacing w:after="0"/>
              <w:rPr>
                <w:sz w:val="13"/>
                <w:szCs w:val="13"/>
                <w:color w:val="auto"/>
              </w:rPr>
            </w:pPr>
          </w:p>
        </w:tc>
        <w:tc>
          <w:tcPr>
            <w:tcW w:w="1340" w:type="dxa"/>
            <w:vAlign w:val="bottom"/>
            <w:shd w:val="clear" w:color="auto" w:fill="F0F5FE"/>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720" w:type="dxa"/>
            <w:vAlign w:val="bottom"/>
          </w:tcPr>
          <w:p>
            <w:pPr>
              <w:spacing w:after="0"/>
              <w:rPr>
                <w:sz w:val="20"/>
                <w:szCs w:val="20"/>
                <w:color w:val="auto"/>
              </w:rPr>
            </w:pPr>
            <w:r>
              <w:rPr>
                <w:rFonts w:ascii="Arial" w:cs="Arial" w:eastAsia="Arial" w:hAnsi="Arial"/>
                <w:sz w:val="14"/>
                <w:szCs w:val="14"/>
                <w:color w:val="auto"/>
              </w:rPr>
              <w:t>Engagement, Mastercard, Inc.</w:t>
            </w:r>
          </w:p>
        </w:tc>
        <w:tc>
          <w:tcPr>
            <w:tcW w:w="6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shd w:val="clear" w:color="auto" w:fill="F0F5FE"/>
          </w:tcPr>
          <w:p>
            <w:pPr>
              <w:spacing w:after="0"/>
              <w:rPr>
                <w:sz w:val="16"/>
                <w:szCs w:val="16"/>
                <w:color w:val="auto"/>
              </w:rPr>
            </w:pPr>
          </w:p>
        </w:tc>
        <w:tc>
          <w:tcPr>
            <w:tcW w:w="1340" w:type="dxa"/>
            <w:vAlign w:val="bottom"/>
            <w:shd w:val="clear" w:color="auto" w:fill="F0F5FE"/>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2720" w:type="dxa"/>
            <w:vAlign w:val="bottom"/>
            <w:tcBorders>
              <w:bottom w:val="single" w:sz="8" w:color="6D8CC3"/>
            </w:tcBorders>
          </w:tcPr>
          <w:p>
            <w:pPr>
              <w:spacing w:after="0"/>
              <w:rPr>
                <w:sz w:val="5"/>
                <w:szCs w:val="5"/>
                <w:color w:val="auto"/>
              </w:rPr>
            </w:pPr>
          </w:p>
        </w:tc>
        <w:tc>
          <w:tcPr>
            <w:tcW w:w="600" w:type="dxa"/>
            <w:vAlign w:val="bottom"/>
            <w:tcBorders>
              <w:bottom w:val="single" w:sz="8" w:color="6D8CC3"/>
            </w:tcBorders>
          </w:tcPr>
          <w:p>
            <w:pPr>
              <w:spacing w:after="0"/>
              <w:rPr>
                <w:sz w:val="5"/>
                <w:szCs w:val="5"/>
                <w:color w:val="auto"/>
              </w:rPr>
            </w:pPr>
          </w:p>
        </w:tc>
        <w:tc>
          <w:tcPr>
            <w:tcW w:w="2120" w:type="dxa"/>
            <w:vAlign w:val="bottom"/>
            <w:tcBorders>
              <w:bottom w:val="single" w:sz="8" w:color="6D8CC3"/>
            </w:tcBorders>
          </w:tcPr>
          <w:p>
            <w:pPr>
              <w:spacing w:after="0"/>
              <w:rPr>
                <w:sz w:val="5"/>
                <w:szCs w:val="5"/>
                <w:color w:val="auto"/>
              </w:rPr>
            </w:pPr>
          </w:p>
        </w:tc>
        <w:tc>
          <w:tcPr>
            <w:tcW w:w="120" w:type="dxa"/>
            <w:vAlign w:val="bottom"/>
            <w:tcBorders>
              <w:bottom w:val="single" w:sz="8" w:color="6D8CC3"/>
            </w:tcBorders>
          </w:tcPr>
          <w:p>
            <w:pPr>
              <w:spacing w:after="0"/>
              <w:rPr>
                <w:sz w:val="5"/>
                <w:szCs w:val="5"/>
                <w:color w:val="auto"/>
              </w:rPr>
            </w:pPr>
          </w:p>
        </w:tc>
        <w:tc>
          <w:tcPr>
            <w:tcW w:w="2140" w:type="dxa"/>
            <w:vAlign w:val="bottom"/>
            <w:tcBorders>
              <w:bottom w:val="single" w:sz="8" w:color="6D8CC3"/>
            </w:tcBorders>
            <w:shd w:val="clear" w:color="auto" w:fill="F0F5FE"/>
          </w:tcPr>
          <w:p>
            <w:pPr>
              <w:spacing w:after="0"/>
              <w:rPr>
                <w:sz w:val="5"/>
                <w:szCs w:val="5"/>
                <w:color w:val="auto"/>
              </w:rPr>
            </w:pPr>
          </w:p>
        </w:tc>
        <w:tc>
          <w:tcPr>
            <w:tcW w:w="1340" w:type="dxa"/>
            <w:vAlign w:val="bottom"/>
            <w:tcBorders>
              <w:bottom w:val="single" w:sz="8" w:color="6D8CC3"/>
            </w:tcBorders>
            <w:shd w:val="clear" w:color="auto" w:fill="F0F5FE"/>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2720" w:type="dxa"/>
            <w:vAlign w:val="bottom"/>
          </w:tcPr>
          <w:p>
            <w:pPr>
              <w:spacing w:after="0"/>
              <w:rPr>
                <w:sz w:val="20"/>
                <w:szCs w:val="20"/>
                <w:color w:val="auto"/>
              </w:rPr>
            </w:pPr>
            <w:r>
              <w:rPr>
                <w:rFonts w:ascii="Arial" w:cs="Arial" w:eastAsia="Arial" w:hAnsi="Arial"/>
                <w:sz w:val="19"/>
                <w:szCs w:val="19"/>
                <w:b w:val="1"/>
                <w:bCs w:val="1"/>
                <w:color w:val="6D8CC3"/>
              </w:rPr>
              <w:t>Danielle Lee</w:t>
            </w:r>
          </w:p>
        </w:tc>
        <w:tc>
          <w:tcPr>
            <w:tcW w:w="60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140" w:type="dxa"/>
            <w:vAlign w:val="bottom"/>
            <w:shd w:val="clear" w:color="auto" w:fill="F0F5FE"/>
          </w:tcPr>
          <w:p>
            <w:pPr>
              <w:spacing w:after="0"/>
              <w:rPr>
                <w:sz w:val="23"/>
                <w:szCs w:val="23"/>
                <w:color w:val="auto"/>
              </w:rPr>
            </w:pPr>
          </w:p>
        </w:tc>
        <w:tc>
          <w:tcPr>
            <w:tcW w:w="1340" w:type="dxa"/>
            <w:vAlign w:val="bottom"/>
            <w:shd w:val="clear" w:color="auto" w:fill="F0F5FE"/>
          </w:tcPr>
          <w:p>
            <w:pPr>
              <w:spacing w:after="0"/>
              <w:rPr>
                <w:sz w:val="23"/>
                <w:szCs w:val="23"/>
                <w:color w:val="auto"/>
              </w:rPr>
            </w:pPr>
          </w:p>
        </w:tc>
        <w:tc>
          <w:tcPr>
            <w:tcW w:w="0" w:type="dxa"/>
            <w:vAlign w:val="bottom"/>
          </w:tcPr>
          <w:p>
            <w:pPr>
              <w:spacing w:after="0"/>
              <w:rPr>
                <w:sz w:val="1"/>
                <w:szCs w:val="1"/>
                <w:color w:val="auto"/>
              </w:rPr>
            </w:pPr>
          </w:p>
        </w:tc>
      </w:tr>
      <w:tr>
        <w:trPr>
          <w:trHeight w:val="157"/>
        </w:trPr>
        <w:tc>
          <w:tcPr>
            <w:tcW w:w="2720" w:type="dxa"/>
            <w:vAlign w:val="bottom"/>
          </w:tcPr>
          <w:p>
            <w:pPr>
              <w:spacing w:after="0" w:line="157" w:lineRule="exact"/>
              <w:rPr>
                <w:sz w:val="20"/>
                <w:szCs w:val="20"/>
                <w:color w:val="auto"/>
              </w:rPr>
            </w:pPr>
            <w:r>
              <w:rPr>
                <w:rFonts w:ascii="Arial" w:cs="Arial" w:eastAsia="Arial" w:hAnsi="Arial"/>
                <w:sz w:val="14"/>
                <w:szCs w:val="14"/>
                <w:color w:val="auto"/>
              </w:rPr>
              <w:t>Former President, Warner Music Artist &amp;</w:t>
            </w:r>
          </w:p>
        </w:tc>
        <w:tc>
          <w:tcPr>
            <w:tcW w:w="600" w:type="dxa"/>
            <w:vAlign w:val="bottom"/>
            <w:vMerge w:val="restart"/>
          </w:tcPr>
          <w:p>
            <w:pPr>
              <w:jc w:val="center"/>
              <w:spacing w:after="0"/>
              <w:rPr>
                <w:sz w:val="20"/>
                <w:szCs w:val="20"/>
                <w:color w:val="auto"/>
              </w:rPr>
            </w:pPr>
            <w:r>
              <w:rPr>
                <w:rFonts w:ascii="Arial" w:cs="Arial" w:eastAsia="Arial" w:hAnsi="Arial"/>
                <w:sz w:val="14"/>
                <w:szCs w:val="14"/>
                <w:color w:val="auto"/>
                <w:w w:val="89"/>
              </w:rPr>
              <w:t>50</w:t>
            </w:r>
          </w:p>
        </w:tc>
        <w:tc>
          <w:tcPr>
            <w:tcW w:w="2120" w:type="dxa"/>
            <w:vAlign w:val="bottom"/>
            <w:vMerge w:val="restart"/>
          </w:tcPr>
          <w:p>
            <w:pPr>
              <w:jc w:val="center"/>
              <w:ind w:right="1210"/>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13"/>
                <w:szCs w:val="13"/>
                <w:color w:val="auto"/>
              </w:rPr>
            </w:pPr>
          </w:p>
        </w:tc>
        <w:tc>
          <w:tcPr>
            <w:tcW w:w="2140" w:type="dxa"/>
            <w:vAlign w:val="bottom"/>
            <w:shd w:val="clear" w:color="auto" w:fill="F0F5FE"/>
          </w:tcPr>
          <w:p>
            <w:pPr>
              <w:spacing w:after="0"/>
              <w:rPr>
                <w:sz w:val="13"/>
                <w:szCs w:val="13"/>
                <w:color w:val="auto"/>
              </w:rPr>
            </w:pPr>
          </w:p>
        </w:tc>
        <w:tc>
          <w:tcPr>
            <w:tcW w:w="1340" w:type="dxa"/>
            <w:vAlign w:val="bottom"/>
            <w:shd w:val="clear" w:color="auto" w:fill="F0F5F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2720" w:type="dxa"/>
            <w:vAlign w:val="bottom"/>
            <w:vMerge w:val="restart"/>
          </w:tcPr>
          <w:p>
            <w:pPr>
              <w:spacing w:after="0" w:line="157" w:lineRule="exact"/>
              <w:rPr>
                <w:sz w:val="20"/>
                <w:szCs w:val="20"/>
                <w:color w:val="auto"/>
              </w:rPr>
            </w:pPr>
            <w:r>
              <w:rPr>
                <w:rFonts w:ascii="Arial" w:cs="Arial" w:eastAsia="Arial" w:hAnsi="Arial"/>
                <w:sz w:val="14"/>
                <w:szCs w:val="14"/>
                <w:color w:val="auto"/>
              </w:rPr>
              <w:t>Fan Experiences, Warner Music Group</w:t>
            </w:r>
          </w:p>
        </w:tc>
        <w:tc>
          <w:tcPr>
            <w:tcW w:w="600" w:type="dxa"/>
            <w:vAlign w:val="bottom"/>
            <w:vMerge w:val="continue"/>
          </w:tcPr>
          <w:p>
            <w:pPr>
              <w:spacing w:after="0"/>
              <w:rPr>
                <w:sz w:val="6"/>
                <w:szCs w:val="6"/>
                <w:color w:val="auto"/>
              </w:rPr>
            </w:pPr>
          </w:p>
        </w:tc>
        <w:tc>
          <w:tcPr>
            <w:tcW w:w="2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140" w:type="dxa"/>
            <w:vAlign w:val="bottom"/>
            <w:shd w:val="clear" w:color="auto" w:fill="F0F5FE"/>
          </w:tcPr>
          <w:p>
            <w:pPr>
              <w:spacing w:after="0"/>
              <w:rPr>
                <w:sz w:val="6"/>
                <w:szCs w:val="6"/>
                <w:color w:val="auto"/>
              </w:rPr>
            </w:pPr>
          </w:p>
        </w:tc>
        <w:tc>
          <w:tcPr>
            <w:tcW w:w="1340" w:type="dxa"/>
            <w:vAlign w:val="bottom"/>
            <w:shd w:val="clear" w:color="auto" w:fill="F0F5FE"/>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72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140" w:type="dxa"/>
            <w:vAlign w:val="bottom"/>
            <w:shd w:val="clear" w:color="auto" w:fill="F0F5FE"/>
          </w:tcPr>
          <w:p>
            <w:pPr>
              <w:spacing w:after="0"/>
              <w:rPr>
                <w:sz w:val="6"/>
                <w:szCs w:val="6"/>
                <w:color w:val="auto"/>
              </w:rPr>
            </w:pPr>
          </w:p>
        </w:tc>
        <w:tc>
          <w:tcPr>
            <w:tcW w:w="1340" w:type="dxa"/>
            <w:vAlign w:val="bottom"/>
            <w:shd w:val="clear" w:color="auto" w:fill="F0F5FE"/>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720" w:type="dxa"/>
            <w:vAlign w:val="bottom"/>
          </w:tcPr>
          <w:p>
            <w:pPr>
              <w:spacing w:after="0"/>
              <w:rPr>
                <w:sz w:val="20"/>
                <w:szCs w:val="20"/>
                <w:color w:val="auto"/>
              </w:rPr>
            </w:pPr>
            <w:r>
              <w:rPr>
                <w:rFonts w:ascii="Arial" w:cs="Arial" w:eastAsia="Arial" w:hAnsi="Arial"/>
                <w:sz w:val="14"/>
                <w:szCs w:val="14"/>
                <w:color w:val="auto"/>
              </w:rPr>
              <w:t>Corp.</w:t>
            </w:r>
          </w:p>
        </w:tc>
        <w:tc>
          <w:tcPr>
            <w:tcW w:w="6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shd w:val="clear" w:color="auto" w:fill="F0F5FE"/>
          </w:tcPr>
          <w:p>
            <w:pPr>
              <w:spacing w:after="0"/>
              <w:rPr>
                <w:sz w:val="16"/>
                <w:szCs w:val="16"/>
                <w:color w:val="auto"/>
              </w:rPr>
            </w:pPr>
          </w:p>
        </w:tc>
        <w:tc>
          <w:tcPr>
            <w:tcW w:w="1340" w:type="dxa"/>
            <w:vAlign w:val="bottom"/>
            <w:shd w:val="clear" w:color="auto" w:fill="F0F5FE"/>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2720" w:type="dxa"/>
            <w:vAlign w:val="bottom"/>
            <w:tcBorders>
              <w:bottom w:val="single" w:sz="8" w:color="6D8CC3"/>
            </w:tcBorders>
          </w:tcPr>
          <w:p>
            <w:pPr>
              <w:spacing w:after="0"/>
              <w:rPr>
                <w:sz w:val="5"/>
                <w:szCs w:val="5"/>
                <w:color w:val="auto"/>
              </w:rPr>
            </w:pPr>
          </w:p>
        </w:tc>
        <w:tc>
          <w:tcPr>
            <w:tcW w:w="600" w:type="dxa"/>
            <w:vAlign w:val="bottom"/>
            <w:tcBorders>
              <w:bottom w:val="single" w:sz="8" w:color="6D8CC3"/>
            </w:tcBorders>
          </w:tcPr>
          <w:p>
            <w:pPr>
              <w:spacing w:after="0"/>
              <w:rPr>
                <w:sz w:val="5"/>
                <w:szCs w:val="5"/>
                <w:color w:val="auto"/>
              </w:rPr>
            </w:pPr>
          </w:p>
        </w:tc>
        <w:tc>
          <w:tcPr>
            <w:tcW w:w="2120" w:type="dxa"/>
            <w:vAlign w:val="bottom"/>
            <w:tcBorders>
              <w:bottom w:val="single" w:sz="8" w:color="6D8CC3"/>
            </w:tcBorders>
          </w:tcPr>
          <w:p>
            <w:pPr>
              <w:spacing w:after="0"/>
              <w:rPr>
                <w:sz w:val="5"/>
                <w:szCs w:val="5"/>
                <w:color w:val="auto"/>
              </w:rPr>
            </w:pPr>
          </w:p>
        </w:tc>
        <w:tc>
          <w:tcPr>
            <w:tcW w:w="120" w:type="dxa"/>
            <w:vAlign w:val="bottom"/>
            <w:tcBorders>
              <w:bottom w:val="single" w:sz="8" w:color="6D8CC3"/>
            </w:tcBorders>
          </w:tcPr>
          <w:p>
            <w:pPr>
              <w:spacing w:after="0"/>
              <w:rPr>
                <w:sz w:val="5"/>
                <w:szCs w:val="5"/>
                <w:color w:val="auto"/>
              </w:rPr>
            </w:pPr>
          </w:p>
        </w:tc>
        <w:tc>
          <w:tcPr>
            <w:tcW w:w="2140" w:type="dxa"/>
            <w:vAlign w:val="bottom"/>
            <w:tcBorders>
              <w:bottom w:val="single" w:sz="8" w:color="6D8CC3"/>
            </w:tcBorders>
            <w:shd w:val="clear" w:color="auto" w:fill="F0F5FE"/>
          </w:tcPr>
          <w:p>
            <w:pPr>
              <w:spacing w:after="0"/>
              <w:rPr>
                <w:sz w:val="5"/>
                <w:szCs w:val="5"/>
                <w:color w:val="auto"/>
              </w:rPr>
            </w:pPr>
          </w:p>
        </w:tc>
        <w:tc>
          <w:tcPr>
            <w:tcW w:w="1340" w:type="dxa"/>
            <w:vAlign w:val="bottom"/>
            <w:tcBorders>
              <w:bottom w:val="single" w:sz="8" w:color="6D8CC3"/>
            </w:tcBorders>
            <w:shd w:val="clear" w:color="auto" w:fill="F0F5FE"/>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2720" w:type="dxa"/>
            <w:vAlign w:val="bottom"/>
          </w:tcPr>
          <w:p>
            <w:pPr>
              <w:spacing w:after="0"/>
              <w:rPr>
                <w:sz w:val="20"/>
                <w:szCs w:val="20"/>
                <w:color w:val="auto"/>
              </w:rPr>
            </w:pPr>
            <w:r>
              <w:rPr>
                <w:rFonts w:ascii="Arial" w:cs="Arial" w:eastAsia="Arial" w:hAnsi="Arial"/>
                <w:sz w:val="19"/>
                <w:szCs w:val="19"/>
                <w:b w:val="1"/>
                <w:bCs w:val="1"/>
                <w:color w:val="6D8CC3"/>
              </w:rPr>
              <w:t>Sarah Nash</w:t>
            </w:r>
          </w:p>
        </w:tc>
        <w:tc>
          <w:tcPr>
            <w:tcW w:w="600" w:type="dxa"/>
            <w:vAlign w:val="bottom"/>
            <w:vMerge w:val="restart"/>
          </w:tcPr>
          <w:p>
            <w:pPr>
              <w:jc w:val="center"/>
              <w:spacing w:after="0"/>
              <w:rPr>
                <w:sz w:val="20"/>
                <w:szCs w:val="20"/>
                <w:color w:val="auto"/>
              </w:rPr>
            </w:pPr>
            <w:r>
              <w:rPr>
                <w:rFonts w:ascii="Arial" w:cs="Arial" w:eastAsia="Arial" w:hAnsi="Arial"/>
                <w:sz w:val="14"/>
                <w:szCs w:val="14"/>
                <w:color w:val="auto"/>
                <w:w w:val="89"/>
              </w:rPr>
              <w:t>72</w:t>
            </w:r>
          </w:p>
        </w:tc>
        <w:tc>
          <w:tcPr>
            <w:tcW w:w="2120" w:type="dxa"/>
            <w:vAlign w:val="bottom"/>
            <w:vMerge w:val="restart"/>
          </w:tcPr>
          <w:p>
            <w:pPr>
              <w:jc w:val="center"/>
              <w:ind w:right="1210"/>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23"/>
                <w:szCs w:val="23"/>
                <w:color w:val="auto"/>
              </w:rPr>
            </w:pPr>
          </w:p>
        </w:tc>
        <w:tc>
          <w:tcPr>
            <w:tcW w:w="2140" w:type="dxa"/>
            <w:vAlign w:val="bottom"/>
            <w:shd w:val="clear" w:color="auto" w:fill="F0F5FE"/>
          </w:tcPr>
          <w:p>
            <w:pPr>
              <w:spacing w:after="0"/>
              <w:rPr>
                <w:sz w:val="23"/>
                <w:szCs w:val="23"/>
                <w:color w:val="auto"/>
              </w:rPr>
            </w:pPr>
          </w:p>
        </w:tc>
        <w:tc>
          <w:tcPr>
            <w:tcW w:w="1340" w:type="dxa"/>
            <w:vAlign w:val="bottom"/>
            <w:shd w:val="clear" w:color="auto" w:fill="F0F5FE"/>
          </w:tcPr>
          <w:p>
            <w:pPr>
              <w:spacing w:after="0"/>
              <w:rPr>
                <w:sz w:val="23"/>
                <w:szCs w:val="23"/>
                <w:color w:val="auto"/>
              </w:rPr>
            </w:pPr>
          </w:p>
        </w:tc>
        <w:tc>
          <w:tcPr>
            <w:tcW w:w="0" w:type="dxa"/>
            <w:vAlign w:val="bottom"/>
          </w:tcPr>
          <w:p>
            <w:pPr>
              <w:spacing w:after="0"/>
              <w:rPr>
                <w:sz w:val="1"/>
                <w:szCs w:val="1"/>
                <w:color w:val="auto"/>
              </w:rPr>
            </w:pPr>
          </w:p>
        </w:tc>
      </w:tr>
      <w:tr>
        <w:trPr>
          <w:trHeight w:val="157"/>
        </w:trPr>
        <w:tc>
          <w:tcPr>
            <w:tcW w:w="2720" w:type="dxa"/>
            <w:vAlign w:val="bottom"/>
          </w:tcPr>
          <w:p>
            <w:pPr>
              <w:spacing w:after="0" w:line="157" w:lineRule="exact"/>
              <w:rPr>
                <w:sz w:val="20"/>
                <w:szCs w:val="20"/>
                <w:color w:val="auto"/>
              </w:rPr>
            </w:pPr>
            <w:r>
              <w:rPr>
                <w:rFonts w:ascii="Arial" w:cs="Arial" w:eastAsia="Arial" w:hAnsi="Arial"/>
                <w:sz w:val="14"/>
                <w:szCs w:val="14"/>
                <w:color w:val="auto"/>
              </w:rPr>
              <w:t>Chair of the Company’s Board; CEO &amp;</w:t>
            </w:r>
          </w:p>
        </w:tc>
        <w:tc>
          <w:tcPr>
            <w:tcW w:w="600" w:type="dxa"/>
            <w:vAlign w:val="bottom"/>
            <w:vMerge w:val="continue"/>
          </w:tcPr>
          <w:p>
            <w:pPr>
              <w:spacing w:after="0"/>
              <w:rPr>
                <w:sz w:val="13"/>
                <w:szCs w:val="13"/>
                <w:color w:val="auto"/>
              </w:rPr>
            </w:pPr>
          </w:p>
        </w:tc>
        <w:tc>
          <w:tcPr>
            <w:tcW w:w="21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shd w:val="clear" w:color="auto" w:fill="F0F5FE"/>
          </w:tcPr>
          <w:p>
            <w:pPr>
              <w:spacing w:after="0"/>
              <w:rPr>
                <w:sz w:val="13"/>
                <w:szCs w:val="13"/>
                <w:color w:val="auto"/>
              </w:rPr>
            </w:pPr>
          </w:p>
        </w:tc>
        <w:tc>
          <w:tcPr>
            <w:tcW w:w="1340" w:type="dxa"/>
            <w:vAlign w:val="bottom"/>
            <w:shd w:val="clear" w:color="auto" w:fill="F0F5FE"/>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720" w:type="dxa"/>
            <w:vAlign w:val="bottom"/>
          </w:tcPr>
          <w:p>
            <w:pPr>
              <w:spacing w:after="0"/>
              <w:rPr>
                <w:sz w:val="20"/>
                <w:szCs w:val="20"/>
                <w:color w:val="auto"/>
              </w:rPr>
            </w:pPr>
            <w:r>
              <w:rPr>
                <w:rFonts w:ascii="Arial" w:cs="Arial" w:eastAsia="Arial" w:hAnsi="Arial"/>
                <w:sz w:val="14"/>
                <w:szCs w:val="14"/>
                <w:color w:val="auto"/>
              </w:rPr>
              <w:t>Owner of Novagard Solutions</w:t>
            </w:r>
          </w:p>
        </w:tc>
        <w:tc>
          <w:tcPr>
            <w:tcW w:w="6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shd w:val="clear" w:color="auto" w:fill="F0F5FE"/>
          </w:tcPr>
          <w:p>
            <w:pPr>
              <w:spacing w:after="0"/>
              <w:rPr>
                <w:sz w:val="16"/>
                <w:szCs w:val="16"/>
                <w:color w:val="auto"/>
              </w:rPr>
            </w:pPr>
          </w:p>
        </w:tc>
        <w:tc>
          <w:tcPr>
            <w:tcW w:w="1340" w:type="dxa"/>
            <w:vAlign w:val="bottom"/>
            <w:shd w:val="clear" w:color="auto" w:fill="F0F5FE"/>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2720" w:type="dxa"/>
            <w:vAlign w:val="bottom"/>
            <w:tcBorders>
              <w:bottom w:val="single" w:sz="8" w:color="6D8CC3"/>
            </w:tcBorders>
          </w:tcPr>
          <w:p>
            <w:pPr>
              <w:spacing w:after="0"/>
              <w:rPr>
                <w:sz w:val="5"/>
                <w:szCs w:val="5"/>
                <w:color w:val="auto"/>
              </w:rPr>
            </w:pPr>
          </w:p>
        </w:tc>
        <w:tc>
          <w:tcPr>
            <w:tcW w:w="600" w:type="dxa"/>
            <w:vAlign w:val="bottom"/>
            <w:tcBorders>
              <w:bottom w:val="single" w:sz="8" w:color="6D8CC3"/>
            </w:tcBorders>
          </w:tcPr>
          <w:p>
            <w:pPr>
              <w:spacing w:after="0"/>
              <w:rPr>
                <w:sz w:val="5"/>
                <w:szCs w:val="5"/>
                <w:color w:val="auto"/>
              </w:rPr>
            </w:pPr>
          </w:p>
        </w:tc>
        <w:tc>
          <w:tcPr>
            <w:tcW w:w="2120" w:type="dxa"/>
            <w:vAlign w:val="bottom"/>
            <w:tcBorders>
              <w:bottom w:val="single" w:sz="8" w:color="6D8CC3"/>
            </w:tcBorders>
          </w:tcPr>
          <w:p>
            <w:pPr>
              <w:spacing w:after="0"/>
              <w:rPr>
                <w:sz w:val="5"/>
                <w:szCs w:val="5"/>
                <w:color w:val="auto"/>
              </w:rPr>
            </w:pPr>
          </w:p>
        </w:tc>
        <w:tc>
          <w:tcPr>
            <w:tcW w:w="120" w:type="dxa"/>
            <w:vAlign w:val="bottom"/>
            <w:tcBorders>
              <w:bottom w:val="single" w:sz="8" w:color="6D8CC3"/>
            </w:tcBorders>
          </w:tcPr>
          <w:p>
            <w:pPr>
              <w:spacing w:after="0"/>
              <w:rPr>
                <w:sz w:val="5"/>
                <w:szCs w:val="5"/>
                <w:color w:val="auto"/>
              </w:rPr>
            </w:pPr>
          </w:p>
        </w:tc>
        <w:tc>
          <w:tcPr>
            <w:tcW w:w="2140" w:type="dxa"/>
            <w:vAlign w:val="bottom"/>
            <w:tcBorders>
              <w:bottom w:val="single" w:sz="8" w:color="6D8CC3"/>
            </w:tcBorders>
            <w:shd w:val="clear" w:color="auto" w:fill="F0F5FE"/>
          </w:tcPr>
          <w:p>
            <w:pPr>
              <w:spacing w:after="0"/>
              <w:rPr>
                <w:sz w:val="5"/>
                <w:szCs w:val="5"/>
                <w:color w:val="auto"/>
              </w:rPr>
            </w:pPr>
          </w:p>
        </w:tc>
        <w:tc>
          <w:tcPr>
            <w:tcW w:w="1340" w:type="dxa"/>
            <w:vAlign w:val="bottom"/>
            <w:tcBorders>
              <w:bottom w:val="single" w:sz="8" w:color="6D8CC3"/>
            </w:tcBorders>
            <w:shd w:val="clear" w:color="auto" w:fill="F0F5FE"/>
          </w:tcPr>
          <w:p>
            <w:pPr>
              <w:spacing w:after="0"/>
              <w:rPr>
                <w:sz w:val="5"/>
                <w:szCs w:val="5"/>
                <w:color w:val="auto"/>
              </w:rPr>
            </w:pPr>
          </w:p>
        </w:tc>
        <w:tc>
          <w:tcPr>
            <w:tcW w:w="0" w:type="dxa"/>
            <w:vAlign w:val="bottom"/>
          </w:tcPr>
          <w:p>
            <w:pPr>
              <w:spacing w:after="0"/>
              <w:rPr>
                <w:sz w:val="1"/>
                <w:szCs w:val="1"/>
                <w:color w:val="auto"/>
              </w:rPr>
            </w:pPr>
          </w:p>
        </w:tc>
      </w:tr>
      <w:tr>
        <w:trPr>
          <w:trHeight w:val="286"/>
        </w:trPr>
        <w:tc>
          <w:tcPr>
            <w:tcW w:w="2720" w:type="dxa"/>
            <w:vAlign w:val="bottom"/>
          </w:tcPr>
          <w:p>
            <w:pPr>
              <w:spacing w:after="0"/>
              <w:rPr>
                <w:sz w:val="20"/>
                <w:szCs w:val="20"/>
                <w:color w:val="auto"/>
              </w:rPr>
            </w:pPr>
            <w:r>
              <w:rPr>
                <w:rFonts w:ascii="Arial" w:cs="Arial" w:eastAsia="Arial" w:hAnsi="Arial"/>
                <w:sz w:val="19"/>
                <w:szCs w:val="19"/>
                <w:b w:val="1"/>
                <w:bCs w:val="1"/>
                <w:color w:val="6D8CC3"/>
              </w:rPr>
              <w:t>Juan Rajlin</w:t>
            </w:r>
          </w:p>
        </w:tc>
        <w:tc>
          <w:tcPr>
            <w:tcW w:w="600" w:type="dxa"/>
            <w:vAlign w:val="bottom"/>
          </w:tcPr>
          <w:p>
            <w:pPr>
              <w:jc w:val="center"/>
              <w:spacing w:after="0"/>
              <w:rPr>
                <w:sz w:val="20"/>
                <w:szCs w:val="20"/>
                <w:color w:val="auto"/>
              </w:rPr>
            </w:pPr>
            <w:r>
              <w:rPr>
                <w:rFonts w:ascii="Arial" w:cs="Arial" w:eastAsia="Arial" w:hAnsi="Arial"/>
                <w:sz w:val="14"/>
                <w:szCs w:val="14"/>
                <w:color w:val="auto"/>
                <w:w w:val="89"/>
              </w:rPr>
              <w:t>51</w:t>
            </w:r>
          </w:p>
        </w:tc>
        <w:tc>
          <w:tcPr>
            <w:tcW w:w="2120" w:type="dxa"/>
            <w:vAlign w:val="bottom"/>
          </w:tcPr>
          <w:p>
            <w:pPr>
              <w:jc w:val="center"/>
              <w:ind w:right="1210"/>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24"/>
                <w:szCs w:val="24"/>
                <w:color w:val="auto"/>
              </w:rPr>
            </w:pPr>
          </w:p>
        </w:tc>
        <w:tc>
          <w:tcPr>
            <w:tcW w:w="2140" w:type="dxa"/>
            <w:vAlign w:val="bottom"/>
            <w:shd w:val="clear" w:color="auto" w:fill="F0F5FE"/>
          </w:tcPr>
          <w:p>
            <w:pPr>
              <w:spacing w:after="0"/>
              <w:rPr>
                <w:sz w:val="24"/>
                <w:szCs w:val="24"/>
                <w:color w:val="auto"/>
              </w:rPr>
            </w:pPr>
          </w:p>
        </w:tc>
        <w:tc>
          <w:tcPr>
            <w:tcW w:w="1340" w:type="dxa"/>
            <w:vAlign w:val="bottom"/>
            <w:shd w:val="clear" w:color="auto" w:fill="F0F5FE"/>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720" w:type="dxa"/>
            <w:vAlign w:val="bottom"/>
          </w:tcPr>
          <w:p>
            <w:pPr>
              <w:spacing w:after="0"/>
              <w:rPr>
                <w:sz w:val="20"/>
                <w:szCs w:val="20"/>
                <w:color w:val="auto"/>
              </w:rPr>
            </w:pPr>
            <w:r>
              <w:rPr>
                <w:rFonts w:ascii="Arial" w:cs="Arial" w:eastAsia="Arial" w:hAnsi="Arial"/>
                <w:sz w:val="14"/>
                <w:szCs w:val="14"/>
                <w:color w:val="auto"/>
              </w:rPr>
              <w:t>Vice President &amp; Treasurer, Alphabet Inc.</w:t>
            </w:r>
          </w:p>
        </w:tc>
        <w:tc>
          <w:tcPr>
            <w:tcW w:w="6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tcBorders>
              <w:bottom w:val="single" w:sz="8" w:color="F0F5FE"/>
            </w:tcBorders>
            <w:shd w:val="clear" w:color="auto" w:fill="F0F5FE"/>
          </w:tcPr>
          <w:p>
            <w:pPr>
              <w:spacing w:after="0"/>
              <w:rPr>
                <w:sz w:val="20"/>
                <w:szCs w:val="20"/>
                <w:color w:val="auto"/>
              </w:rPr>
            </w:pPr>
          </w:p>
        </w:tc>
        <w:tc>
          <w:tcPr>
            <w:tcW w:w="1340" w:type="dxa"/>
            <w:vAlign w:val="bottom"/>
            <w:tcBorders>
              <w:bottom w:val="single" w:sz="8" w:color="F0F5FE"/>
            </w:tcBorders>
            <w:shd w:val="clear" w:color="auto" w:fill="F0F5FE"/>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2720" w:type="dxa"/>
            <w:vAlign w:val="bottom"/>
            <w:tcBorders>
              <w:top w:val="single" w:sz="8" w:color="6D8CC3"/>
            </w:tcBorders>
          </w:tcPr>
          <w:p>
            <w:pPr>
              <w:spacing w:after="0"/>
              <w:rPr>
                <w:sz w:val="20"/>
                <w:szCs w:val="20"/>
                <w:color w:val="auto"/>
              </w:rPr>
            </w:pPr>
            <w:r>
              <w:rPr>
                <w:rFonts w:ascii="Arial" w:cs="Arial" w:eastAsia="Arial" w:hAnsi="Arial"/>
                <w:sz w:val="19"/>
                <w:szCs w:val="19"/>
                <w:b w:val="1"/>
                <w:bCs w:val="1"/>
                <w:color w:val="6D8CC3"/>
              </w:rPr>
              <w:t>Stephen Steinour</w:t>
            </w:r>
          </w:p>
        </w:tc>
        <w:tc>
          <w:tcPr>
            <w:tcW w:w="600" w:type="dxa"/>
            <w:vAlign w:val="bottom"/>
            <w:tcBorders>
              <w:top w:val="single" w:sz="8" w:color="6D8CC3"/>
            </w:tcBorders>
            <w:vMerge w:val="restart"/>
          </w:tcPr>
          <w:p>
            <w:pPr>
              <w:jc w:val="center"/>
              <w:spacing w:after="0"/>
              <w:rPr>
                <w:sz w:val="20"/>
                <w:szCs w:val="20"/>
                <w:color w:val="auto"/>
              </w:rPr>
            </w:pPr>
            <w:r>
              <w:rPr>
                <w:rFonts w:ascii="Arial" w:cs="Arial" w:eastAsia="Arial" w:hAnsi="Arial"/>
                <w:sz w:val="14"/>
                <w:szCs w:val="14"/>
                <w:color w:val="auto"/>
                <w:w w:val="89"/>
              </w:rPr>
              <w:t>67</w:t>
            </w:r>
          </w:p>
        </w:tc>
        <w:tc>
          <w:tcPr>
            <w:tcW w:w="2120" w:type="dxa"/>
            <w:vAlign w:val="bottom"/>
            <w:tcBorders>
              <w:top w:val="single" w:sz="8" w:color="6D8CC3"/>
            </w:tcBorders>
            <w:vMerge w:val="restart"/>
          </w:tcPr>
          <w:p>
            <w:pPr>
              <w:jc w:val="center"/>
              <w:ind w:right="1210"/>
              <w:spacing w:after="0"/>
              <w:rPr>
                <w:sz w:val="20"/>
                <w:szCs w:val="20"/>
                <w:color w:val="auto"/>
              </w:rPr>
            </w:pPr>
            <w:r>
              <w:rPr>
                <w:rFonts w:ascii="Arial" w:cs="Arial" w:eastAsia="Arial" w:hAnsi="Arial"/>
                <w:sz w:val="14"/>
                <w:szCs w:val="14"/>
                <w:color w:val="auto"/>
              </w:rPr>
              <w:t>12.2</w:t>
            </w:r>
          </w:p>
        </w:tc>
        <w:tc>
          <w:tcPr>
            <w:tcW w:w="120" w:type="dxa"/>
            <w:vAlign w:val="bottom"/>
            <w:tcBorders>
              <w:top w:val="single" w:sz="8" w:color="6D8CC3"/>
            </w:tcBorders>
          </w:tcPr>
          <w:p>
            <w:pPr>
              <w:spacing w:after="0"/>
              <w:rPr>
                <w:sz w:val="23"/>
                <w:szCs w:val="23"/>
                <w:color w:val="auto"/>
              </w:rPr>
            </w:pPr>
          </w:p>
        </w:tc>
        <w:tc>
          <w:tcPr>
            <w:tcW w:w="2140" w:type="dxa"/>
            <w:vAlign w:val="bottom"/>
            <w:tcBorders>
              <w:top w:val="single" w:sz="8" w:color="6D8CC3"/>
            </w:tcBorders>
            <w:shd w:val="clear" w:color="auto" w:fill="F0F5FE"/>
          </w:tcPr>
          <w:p>
            <w:pPr>
              <w:spacing w:after="0"/>
              <w:rPr>
                <w:sz w:val="23"/>
                <w:szCs w:val="23"/>
                <w:color w:val="auto"/>
              </w:rPr>
            </w:pPr>
          </w:p>
        </w:tc>
        <w:tc>
          <w:tcPr>
            <w:tcW w:w="1340" w:type="dxa"/>
            <w:vAlign w:val="bottom"/>
            <w:tcBorders>
              <w:top w:val="single" w:sz="8" w:color="6D8CC3"/>
            </w:tcBorders>
            <w:shd w:val="clear" w:color="auto" w:fill="F0F5FE"/>
          </w:tcPr>
          <w:p>
            <w:pPr>
              <w:spacing w:after="0"/>
              <w:rPr>
                <w:sz w:val="23"/>
                <w:szCs w:val="23"/>
                <w:color w:val="auto"/>
              </w:rPr>
            </w:pPr>
          </w:p>
        </w:tc>
        <w:tc>
          <w:tcPr>
            <w:tcW w:w="0" w:type="dxa"/>
            <w:vAlign w:val="bottom"/>
          </w:tcPr>
          <w:p>
            <w:pPr>
              <w:spacing w:after="0"/>
              <w:rPr>
                <w:sz w:val="1"/>
                <w:szCs w:val="1"/>
                <w:color w:val="auto"/>
              </w:rPr>
            </w:pPr>
          </w:p>
        </w:tc>
      </w:tr>
      <w:tr>
        <w:trPr>
          <w:trHeight w:val="157"/>
        </w:trPr>
        <w:tc>
          <w:tcPr>
            <w:tcW w:w="2720" w:type="dxa"/>
            <w:vAlign w:val="bottom"/>
          </w:tcPr>
          <w:p>
            <w:pPr>
              <w:spacing w:after="0" w:line="157" w:lineRule="exact"/>
              <w:rPr>
                <w:sz w:val="20"/>
                <w:szCs w:val="20"/>
                <w:color w:val="auto"/>
              </w:rPr>
            </w:pPr>
            <w:r>
              <w:rPr>
                <w:rFonts w:ascii="Arial" w:cs="Arial" w:eastAsia="Arial" w:hAnsi="Arial"/>
                <w:sz w:val="14"/>
                <w:szCs w:val="14"/>
                <w:color w:val="auto"/>
              </w:rPr>
              <w:t>Chairman, President &amp; CEO,</w:t>
            </w:r>
          </w:p>
        </w:tc>
        <w:tc>
          <w:tcPr>
            <w:tcW w:w="600" w:type="dxa"/>
            <w:vAlign w:val="bottom"/>
            <w:vMerge w:val="continue"/>
          </w:tcPr>
          <w:p>
            <w:pPr>
              <w:spacing w:after="0"/>
              <w:rPr>
                <w:sz w:val="13"/>
                <w:szCs w:val="13"/>
                <w:color w:val="auto"/>
              </w:rPr>
            </w:pPr>
          </w:p>
        </w:tc>
        <w:tc>
          <w:tcPr>
            <w:tcW w:w="21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shd w:val="clear" w:color="auto" w:fill="F0F5FE"/>
          </w:tcPr>
          <w:p>
            <w:pPr>
              <w:spacing w:after="0"/>
              <w:rPr>
                <w:sz w:val="13"/>
                <w:szCs w:val="13"/>
                <w:color w:val="auto"/>
              </w:rPr>
            </w:pPr>
          </w:p>
        </w:tc>
        <w:tc>
          <w:tcPr>
            <w:tcW w:w="1340" w:type="dxa"/>
            <w:vAlign w:val="bottom"/>
            <w:shd w:val="clear" w:color="auto" w:fill="F0F5FE"/>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720" w:type="dxa"/>
            <w:vAlign w:val="bottom"/>
          </w:tcPr>
          <w:p>
            <w:pPr>
              <w:spacing w:after="0"/>
              <w:rPr>
                <w:sz w:val="20"/>
                <w:szCs w:val="20"/>
                <w:color w:val="auto"/>
              </w:rPr>
            </w:pPr>
            <w:r>
              <w:rPr>
                <w:rFonts w:ascii="Arial" w:cs="Arial" w:eastAsia="Arial" w:hAnsi="Arial"/>
                <w:sz w:val="14"/>
                <w:szCs w:val="14"/>
                <w:color w:val="auto"/>
              </w:rPr>
              <w:t>Huntington Bancshares Incorporated</w:t>
            </w:r>
          </w:p>
        </w:tc>
        <w:tc>
          <w:tcPr>
            <w:tcW w:w="6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shd w:val="clear" w:color="auto" w:fill="F0F5FE"/>
          </w:tcPr>
          <w:p>
            <w:pPr>
              <w:spacing w:after="0"/>
              <w:rPr>
                <w:sz w:val="16"/>
                <w:szCs w:val="16"/>
                <w:color w:val="auto"/>
              </w:rPr>
            </w:pPr>
          </w:p>
        </w:tc>
        <w:tc>
          <w:tcPr>
            <w:tcW w:w="1340" w:type="dxa"/>
            <w:vAlign w:val="bottom"/>
            <w:shd w:val="clear" w:color="auto" w:fill="F0F5FE"/>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2720" w:type="dxa"/>
            <w:vAlign w:val="bottom"/>
            <w:tcBorders>
              <w:bottom w:val="single" w:sz="8" w:color="6D8CC3"/>
            </w:tcBorders>
          </w:tcPr>
          <w:p>
            <w:pPr>
              <w:spacing w:after="0"/>
              <w:rPr>
                <w:sz w:val="5"/>
                <w:szCs w:val="5"/>
                <w:color w:val="auto"/>
              </w:rPr>
            </w:pPr>
          </w:p>
        </w:tc>
        <w:tc>
          <w:tcPr>
            <w:tcW w:w="600" w:type="dxa"/>
            <w:vAlign w:val="bottom"/>
            <w:tcBorders>
              <w:bottom w:val="single" w:sz="8" w:color="6D8CC3"/>
            </w:tcBorders>
          </w:tcPr>
          <w:p>
            <w:pPr>
              <w:spacing w:after="0"/>
              <w:rPr>
                <w:sz w:val="5"/>
                <w:szCs w:val="5"/>
                <w:color w:val="auto"/>
              </w:rPr>
            </w:pPr>
          </w:p>
        </w:tc>
        <w:tc>
          <w:tcPr>
            <w:tcW w:w="2120" w:type="dxa"/>
            <w:vAlign w:val="bottom"/>
            <w:tcBorders>
              <w:bottom w:val="single" w:sz="8" w:color="6D8CC3"/>
            </w:tcBorders>
          </w:tcPr>
          <w:p>
            <w:pPr>
              <w:spacing w:after="0"/>
              <w:rPr>
                <w:sz w:val="5"/>
                <w:szCs w:val="5"/>
                <w:color w:val="auto"/>
              </w:rPr>
            </w:pPr>
          </w:p>
        </w:tc>
        <w:tc>
          <w:tcPr>
            <w:tcW w:w="120" w:type="dxa"/>
            <w:vAlign w:val="bottom"/>
            <w:tcBorders>
              <w:bottom w:val="single" w:sz="8" w:color="6D8CC3"/>
            </w:tcBorders>
          </w:tcPr>
          <w:p>
            <w:pPr>
              <w:spacing w:after="0"/>
              <w:rPr>
                <w:sz w:val="5"/>
                <w:szCs w:val="5"/>
                <w:color w:val="auto"/>
              </w:rPr>
            </w:pPr>
          </w:p>
        </w:tc>
        <w:tc>
          <w:tcPr>
            <w:tcW w:w="2140" w:type="dxa"/>
            <w:vAlign w:val="bottom"/>
            <w:tcBorders>
              <w:bottom w:val="single" w:sz="8" w:color="6D8CC3"/>
            </w:tcBorders>
            <w:shd w:val="clear" w:color="auto" w:fill="F0F5FE"/>
          </w:tcPr>
          <w:p>
            <w:pPr>
              <w:spacing w:after="0"/>
              <w:rPr>
                <w:sz w:val="5"/>
                <w:szCs w:val="5"/>
                <w:color w:val="auto"/>
              </w:rPr>
            </w:pPr>
          </w:p>
        </w:tc>
        <w:tc>
          <w:tcPr>
            <w:tcW w:w="1340" w:type="dxa"/>
            <w:vAlign w:val="bottom"/>
            <w:tcBorders>
              <w:bottom w:val="single" w:sz="8" w:color="6D8CC3"/>
            </w:tcBorders>
            <w:shd w:val="clear" w:color="auto" w:fill="F0F5FE"/>
          </w:tcPr>
          <w:p>
            <w:pPr>
              <w:spacing w:after="0"/>
              <w:rPr>
                <w:sz w:val="5"/>
                <w:szCs w:val="5"/>
                <w:color w:val="auto"/>
              </w:rPr>
            </w:pPr>
          </w:p>
        </w:tc>
        <w:tc>
          <w:tcPr>
            <w:tcW w:w="0" w:type="dxa"/>
            <w:vAlign w:val="bottom"/>
          </w:tcPr>
          <w:p>
            <w:pPr>
              <w:spacing w:after="0"/>
              <w:rPr>
                <w:sz w:val="1"/>
                <w:szCs w:val="1"/>
                <w:color w:val="auto"/>
              </w:rPr>
            </w:pPr>
          </w:p>
        </w:tc>
      </w:tr>
      <w:tr>
        <w:trPr>
          <w:trHeight w:val="286"/>
        </w:trPr>
        <w:tc>
          <w:tcPr>
            <w:tcW w:w="2720" w:type="dxa"/>
            <w:vAlign w:val="bottom"/>
          </w:tcPr>
          <w:p>
            <w:pPr>
              <w:spacing w:after="0"/>
              <w:rPr>
                <w:sz w:val="20"/>
                <w:szCs w:val="20"/>
                <w:color w:val="auto"/>
              </w:rPr>
            </w:pPr>
            <w:r>
              <w:rPr>
                <w:rFonts w:ascii="Arial" w:cs="Arial" w:eastAsia="Arial" w:hAnsi="Arial"/>
                <w:sz w:val="19"/>
                <w:szCs w:val="19"/>
                <w:b w:val="1"/>
                <w:bCs w:val="1"/>
                <w:color w:val="6D8CC3"/>
              </w:rPr>
              <w:t>J.K. Symancyk</w:t>
            </w:r>
          </w:p>
        </w:tc>
        <w:tc>
          <w:tcPr>
            <w:tcW w:w="600" w:type="dxa"/>
            <w:vAlign w:val="bottom"/>
          </w:tcPr>
          <w:p>
            <w:pPr>
              <w:jc w:val="center"/>
              <w:spacing w:after="0"/>
              <w:rPr>
                <w:sz w:val="20"/>
                <w:szCs w:val="20"/>
                <w:color w:val="auto"/>
              </w:rPr>
            </w:pPr>
            <w:r>
              <w:rPr>
                <w:rFonts w:ascii="Arial" w:cs="Arial" w:eastAsia="Arial" w:hAnsi="Arial"/>
                <w:sz w:val="14"/>
                <w:szCs w:val="14"/>
                <w:color w:val="auto"/>
                <w:w w:val="89"/>
              </w:rPr>
              <w:t>54</w:t>
            </w:r>
          </w:p>
        </w:tc>
        <w:tc>
          <w:tcPr>
            <w:tcW w:w="2120" w:type="dxa"/>
            <w:vAlign w:val="bottom"/>
          </w:tcPr>
          <w:p>
            <w:pPr>
              <w:jc w:val="center"/>
              <w:ind w:right="1210"/>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24"/>
                <w:szCs w:val="24"/>
                <w:color w:val="auto"/>
              </w:rPr>
            </w:pPr>
          </w:p>
        </w:tc>
        <w:tc>
          <w:tcPr>
            <w:tcW w:w="2140" w:type="dxa"/>
            <w:vAlign w:val="bottom"/>
            <w:shd w:val="clear" w:color="auto" w:fill="F0F5FE"/>
          </w:tcPr>
          <w:p>
            <w:pPr>
              <w:spacing w:after="0"/>
              <w:rPr>
                <w:sz w:val="24"/>
                <w:szCs w:val="24"/>
                <w:color w:val="auto"/>
              </w:rPr>
            </w:pPr>
          </w:p>
        </w:tc>
        <w:tc>
          <w:tcPr>
            <w:tcW w:w="1340" w:type="dxa"/>
            <w:vAlign w:val="bottom"/>
            <w:shd w:val="clear" w:color="auto" w:fill="F0F5FE"/>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720" w:type="dxa"/>
            <w:vAlign w:val="bottom"/>
          </w:tcPr>
          <w:p>
            <w:pPr>
              <w:spacing w:after="0"/>
              <w:rPr>
                <w:sz w:val="20"/>
                <w:szCs w:val="20"/>
                <w:color w:val="auto"/>
              </w:rPr>
            </w:pPr>
            <w:r>
              <w:rPr>
                <w:rFonts w:ascii="Arial" w:cs="Arial" w:eastAsia="Arial" w:hAnsi="Arial"/>
                <w:sz w:val="14"/>
                <w:szCs w:val="14"/>
                <w:color w:val="auto"/>
              </w:rPr>
              <w:t>CEO, Signet Jewelers Limited</w:t>
            </w:r>
          </w:p>
        </w:tc>
        <w:tc>
          <w:tcPr>
            <w:tcW w:w="6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tcBorders>
              <w:bottom w:val="single" w:sz="8" w:color="F0F5FE"/>
            </w:tcBorders>
            <w:shd w:val="clear" w:color="auto" w:fill="F0F5FE"/>
          </w:tcPr>
          <w:p>
            <w:pPr>
              <w:spacing w:after="0"/>
              <w:rPr>
                <w:sz w:val="20"/>
                <w:szCs w:val="20"/>
                <w:color w:val="auto"/>
              </w:rPr>
            </w:pPr>
          </w:p>
        </w:tc>
        <w:tc>
          <w:tcPr>
            <w:tcW w:w="1340" w:type="dxa"/>
            <w:vAlign w:val="bottom"/>
            <w:tcBorders>
              <w:bottom w:val="single" w:sz="8" w:color="F0F5FE"/>
            </w:tcBorders>
            <w:shd w:val="clear" w:color="auto" w:fill="F0F5FE"/>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2720" w:type="dxa"/>
            <w:vAlign w:val="bottom"/>
            <w:tcBorders>
              <w:top w:val="single" w:sz="8" w:color="6D8CC3"/>
            </w:tcBorders>
          </w:tcPr>
          <w:p>
            <w:pPr>
              <w:spacing w:after="0"/>
              <w:rPr>
                <w:sz w:val="20"/>
                <w:szCs w:val="20"/>
                <w:color w:val="auto"/>
              </w:rPr>
            </w:pPr>
            <w:r>
              <w:rPr>
                <w:rFonts w:ascii="Arial" w:cs="Arial" w:eastAsia="Arial" w:hAnsi="Arial"/>
                <w:sz w:val="19"/>
                <w:szCs w:val="19"/>
                <w:b w:val="1"/>
                <w:bCs w:val="1"/>
                <w:color w:val="6D8CC3"/>
              </w:rPr>
              <w:t>Steven Voskuil</w:t>
            </w:r>
          </w:p>
        </w:tc>
        <w:tc>
          <w:tcPr>
            <w:tcW w:w="600" w:type="dxa"/>
            <w:vAlign w:val="bottom"/>
            <w:tcBorders>
              <w:top w:val="single" w:sz="8" w:color="6D8CC3"/>
            </w:tcBorders>
            <w:vMerge w:val="restart"/>
          </w:tcPr>
          <w:p>
            <w:pPr>
              <w:jc w:val="center"/>
              <w:spacing w:after="0"/>
              <w:rPr>
                <w:sz w:val="20"/>
                <w:szCs w:val="20"/>
                <w:color w:val="auto"/>
              </w:rPr>
            </w:pPr>
            <w:r>
              <w:rPr>
                <w:rFonts w:ascii="Arial" w:cs="Arial" w:eastAsia="Arial" w:hAnsi="Arial"/>
                <w:sz w:val="14"/>
                <w:szCs w:val="14"/>
                <w:color w:val="auto"/>
                <w:w w:val="89"/>
              </w:rPr>
              <w:t>57</w:t>
            </w:r>
          </w:p>
        </w:tc>
        <w:tc>
          <w:tcPr>
            <w:tcW w:w="2120" w:type="dxa"/>
            <w:vAlign w:val="bottom"/>
            <w:tcBorders>
              <w:top w:val="single" w:sz="8" w:color="6D8CC3"/>
            </w:tcBorders>
            <w:vMerge w:val="restart"/>
          </w:tcPr>
          <w:p>
            <w:pPr>
              <w:jc w:val="center"/>
              <w:ind w:right="1210"/>
              <w:spacing w:after="0"/>
              <w:rPr>
                <w:sz w:val="20"/>
                <w:szCs w:val="20"/>
                <w:color w:val="auto"/>
              </w:rPr>
            </w:pPr>
            <w:r>
              <w:rPr>
                <w:rFonts w:ascii="Arial" w:cs="Arial" w:eastAsia="Arial" w:hAnsi="Arial"/>
                <w:sz w:val="14"/>
                <w:szCs w:val="14"/>
                <w:color w:val="auto"/>
              </w:rPr>
              <w:t>3.1</w:t>
            </w:r>
          </w:p>
        </w:tc>
        <w:tc>
          <w:tcPr>
            <w:tcW w:w="120" w:type="dxa"/>
            <w:vAlign w:val="bottom"/>
            <w:tcBorders>
              <w:top w:val="single" w:sz="8" w:color="6D8CC3"/>
            </w:tcBorders>
          </w:tcPr>
          <w:p>
            <w:pPr>
              <w:spacing w:after="0"/>
              <w:rPr>
                <w:sz w:val="23"/>
                <w:szCs w:val="23"/>
                <w:color w:val="auto"/>
              </w:rPr>
            </w:pPr>
          </w:p>
        </w:tc>
        <w:tc>
          <w:tcPr>
            <w:tcW w:w="2140" w:type="dxa"/>
            <w:vAlign w:val="bottom"/>
            <w:tcBorders>
              <w:top w:val="single" w:sz="8" w:color="6D8CC3"/>
            </w:tcBorders>
            <w:vMerge w:val="restart"/>
          </w:tcPr>
          <w:p>
            <w:pPr>
              <w:ind w:left="160"/>
              <w:spacing w:after="0"/>
              <w:rPr>
                <w:sz w:val="20"/>
                <w:szCs w:val="20"/>
                <w:color w:val="auto"/>
              </w:rPr>
            </w:pPr>
            <w:r>
              <w:rPr>
                <w:rFonts w:ascii="Arial" w:cs="Arial" w:eastAsia="Arial" w:hAnsi="Arial"/>
                <w:sz w:val="19"/>
                <w:szCs w:val="19"/>
                <w:b w:val="1"/>
                <w:bCs w:val="1"/>
                <w:color w:val="6D8CC3"/>
              </w:rPr>
              <w:t>C</w:t>
            </w:r>
            <w:r>
              <w:rPr>
                <w:rFonts w:ascii="Arial" w:cs="Arial" w:eastAsia="Arial" w:hAnsi="Arial"/>
                <w:sz w:val="13"/>
                <w:szCs w:val="13"/>
                <w:color w:val="000000"/>
              </w:rPr>
              <w:t>​</w:t>
            </w:r>
          </w:p>
        </w:tc>
        <w:tc>
          <w:tcPr>
            <w:tcW w:w="1340" w:type="dxa"/>
            <w:vAlign w:val="bottom"/>
            <w:tcBorders>
              <w:top w:val="single" w:sz="8" w:color="6D8CC3"/>
            </w:tcBorders>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2720" w:type="dxa"/>
            <w:vAlign w:val="bottom"/>
          </w:tcPr>
          <w:p>
            <w:pPr>
              <w:spacing w:after="0"/>
              <w:rPr>
                <w:sz w:val="20"/>
                <w:szCs w:val="20"/>
                <w:color w:val="auto"/>
              </w:rPr>
            </w:pPr>
            <w:r>
              <w:rPr>
                <w:rFonts w:ascii="Arial" w:cs="Arial" w:eastAsia="Arial" w:hAnsi="Arial"/>
                <w:sz w:val="14"/>
                <w:szCs w:val="14"/>
                <w:color w:val="auto"/>
              </w:rPr>
              <w:t>Senior Vice President &amp; CFO,</w:t>
            </w:r>
          </w:p>
        </w:tc>
        <w:tc>
          <w:tcPr>
            <w:tcW w:w="600" w:type="dxa"/>
            <w:vAlign w:val="bottom"/>
            <w:vMerge w:val="continue"/>
          </w:tcPr>
          <w:p>
            <w:pPr>
              <w:spacing w:after="0"/>
              <w:rPr>
                <w:sz w:val="14"/>
                <w:szCs w:val="14"/>
                <w:color w:val="auto"/>
              </w:rPr>
            </w:pPr>
          </w:p>
        </w:tc>
        <w:tc>
          <w:tcPr>
            <w:tcW w:w="21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vMerge w:val="continue"/>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3497580</wp:posOffset>
            </wp:positionH>
            <wp:positionV relativeFrom="paragraph">
              <wp:posOffset>-3849370</wp:posOffset>
            </wp:positionV>
            <wp:extent cx="133350" cy="1079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3350" cy="107950"/>
                    </a:xfrm>
                    <a:prstGeom prst="rect">
                      <a:avLst/>
                    </a:prstGeom>
                    <a:noFill/>
                  </pic:spPr>
                </pic:pic>
              </a:graphicData>
            </a:graphic>
          </wp:anchor>
        </w:drawing>
        <w:drawing>
          <wp:anchor simplePos="0" relativeHeight="251657728" behindDoc="1" locked="0" layoutInCell="0" allowOverlap="1">
            <wp:simplePos x="0" y="0"/>
            <wp:positionH relativeFrom="column">
              <wp:posOffset>3497580</wp:posOffset>
            </wp:positionH>
            <wp:positionV relativeFrom="paragraph">
              <wp:posOffset>-3458210</wp:posOffset>
            </wp:positionV>
            <wp:extent cx="133350" cy="1079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3350" cy="107950"/>
                    </a:xfrm>
                    <a:prstGeom prst="rect">
                      <a:avLst/>
                    </a:prstGeom>
                    <a:noFill/>
                  </pic:spPr>
                </pic:pic>
              </a:graphicData>
            </a:graphic>
          </wp:anchor>
        </w:drawing>
        <w:drawing>
          <wp:anchor simplePos="0" relativeHeight="251657728" behindDoc="1" locked="0" layoutInCell="0" allowOverlap="1">
            <wp:simplePos x="0" y="0"/>
            <wp:positionH relativeFrom="column">
              <wp:posOffset>3497580</wp:posOffset>
            </wp:positionH>
            <wp:positionV relativeFrom="paragraph">
              <wp:posOffset>-2675255</wp:posOffset>
            </wp:positionV>
            <wp:extent cx="133350" cy="1079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3350" cy="107950"/>
                    </a:xfrm>
                    <a:prstGeom prst="rect">
                      <a:avLst/>
                    </a:prstGeom>
                    <a:noFill/>
                  </pic:spPr>
                </pic:pic>
              </a:graphicData>
            </a:graphic>
          </wp:anchor>
        </w:drawing>
        <w:drawing>
          <wp:anchor simplePos="0" relativeHeight="251657728" behindDoc="1" locked="0" layoutInCell="0" allowOverlap="1">
            <wp:simplePos x="0" y="0"/>
            <wp:positionH relativeFrom="column">
              <wp:posOffset>3497580</wp:posOffset>
            </wp:positionH>
            <wp:positionV relativeFrom="paragraph">
              <wp:posOffset>-2183765</wp:posOffset>
            </wp:positionV>
            <wp:extent cx="133350" cy="1079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3350" cy="107950"/>
                    </a:xfrm>
                    <a:prstGeom prst="rect">
                      <a:avLst/>
                    </a:prstGeom>
                    <a:noFill/>
                  </pic:spPr>
                </pic:pic>
              </a:graphicData>
            </a:graphic>
          </wp:anchor>
        </w:drawing>
        <w:drawing>
          <wp:anchor simplePos="0" relativeHeight="251657728" behindDoc="1" locked="0" layoutInCell="0" allowOverlap="1">
            <wp:simplePos x="0" y="0"/>
            <wp:positionH relativeFrom="column">
              <wp:posOffset>3497580</wp:posOffset>
            </wp:positionH>
            <wp:positionV relativeFrom="paragraph">
              <wp:posOffset>-1692910</wp:posOffset>
            </wp:positionV>
            <wp:extent cx="133350" cy="1079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3350" cy="107950"/>
                    </a:xfrm>
                    <a:prstGeom prst="rect">
                      <a:avLst/>
                    </a:prstGeom>
                    <a:noFill/>
                  </pic:spPr>
                </pic:pic>
              </a:graphicData>
            </a:graphic>
          </wp:anchor>
        </w:drawing>
        <w:drawing>
          <wp:anchor simplePos="0" relativeHeight="251657728" behindDoc="1" locked="0" layoutInCell="0" allowOverlap="1">
            <wp:simplePos x="0" y="0"/>
            <wp:positionH relativeFrom="column">
              <wp:posOffset>3497580</wp:posOffset>
            </wp:positionH>
            <wp:positionV relativeFrom="paragraph">
              <wp:posOffset>-1301115</wp:posOffset>
            </wp:positionV>
            <wp:extent cx="133350" cy="1079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3350" cy="107950"/>
                    </a:xfrm>
                    <a:prstGeom prst="rect">
                      <a:avLst/>
                    </a:prstGeom>
                    <a:noFill/>
                  </pic:spPr>
                </pic:pic>
              </a:graphicData>
            </a:graphic>
          </wp:anchor>
        </w:drawing>
        <w:drawing>
          <wp:anchor simplePos="0" relativeHeight="251657728" behindDoc="1" locked="0" layoutInCell="0" allowOverlap="1">
            <wp:simplePos x="0" y="0"/>
            <wp:positionH relativeFrom="column">
              <wp:posOffset>3497580</wp:posOffset>
            </wp:positionH>
            <wp:positionV relativeFrom="paragraph">
              <wp:posOffset>-909955</wp:posOffset>
            </wp:positionV>
            <wp:extent cx="133350" cy="1079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3350" cy="107950"/>
                    </a:xfrm>
                    <a:prstGeom prst="rect">
                      <a:avLst/>
                    </a:prstGeom>
                    <a:noFill/>
                  </pic:spPr>
                </pic:pic>
              </a:graphicData>
            </a:graphic>
          </wp:anchor>
        </w:drawing>
        <w:drawing>
          <wp:anchor simplePos="0" relativeHeight="251657728" behindDoc="1" locked="0" layoutInCell="0" allowOverlap="1">
            <wp:simplePos x="0" y="0"/>
            <wp:positionH relativeFrom="column">
              <wp:posOffset>3497580</wp:posOffset>
            </wp:positionH>
            <wp:positionV relativeFrom="paragraph">
              <wp:posOffset>-518795</wp:posOffset>
            </wp:positionV>
            <wp:extent cx="133350" cy="1079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3350" cy="107950"/>
                    </a:xfrm>
                    <a:prstGeom prst="rect">
                      <a:avLst/>
                    </a:prstGeom>
                    <a:noFill/>
                  </pic:spPr>
                </pic:pic>
              </a:graphicData>
            </a:graphic>
          </wp:anchor>
        </w:drawing>
        <w:drawing>
          <wp:anchor simplePos="0" relativeHeight="251657728" behindDoc="1" locked="0" layoutInCell="0" allowOverlap="1">
            <wp:simplePos x="0" y="0"/>
            <wp:positionH relativeFrom="column">
              <wp:posOffset>3497580</wp:posOffset>
            </wp:positionH>
            <wp:positionV relativeFrom="paragraph">
              <wp:posOffset>-127000</wp:posOffset>
            </wp:positionV>
            <wp:extent cx="133350" cy="1079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3350" cy="107950"/>
                    </a:xfrm>
                    <a:prstGeom prst="rect">
                      <a:avLst/>
                    </a:prstGeom>
                    <a:noFill/>
                  </pic:spPr>
                </pic:pic>
              </a:graphicData>
            </a:graphic>
          </wp:anchor>
        </w:drawing>
      </w:r>
    </w:p>
    <w:p>
      <w:pPr>
        <w:ind w:left="820"/>
        <w:spacing w:after="0"/>
        <w:rPr>
          <w:sz w:val="20"/>
          <w:szCs w:val="20"/>
          <w:color w:val="auto"/>
        </w:rPr>
      </w:pPr>
      <w:r>
        <w:rPr>
          <w:rFonts w:ascii="Arial" w:cs="Arial" w:eastAsia="Arial" w:hAnsi="Arial"/>
          <w:sz w:val="14"/>
          <w:szCs w:val="14"/>
          <w:color w:val="auto"/>
        </w:rPr>
        <w:t>The Hershey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44450</wp:posOffset>
            </wp:positionV>
            <wp:extent cx="57372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37225" cy="8255"/>
                    </a:xfrm>
                    <a:prstGeom prst="rect">
                      <a:avLst/>
                    </a:prstGeom>
                    <a:noFill/>
                  </pic:spPr>
                </pic:pic>
              </a:graphicData>
            </a:graphic>
          </wp:anchor>
        </w:drawing>
        <w:drawing>
          <wp:anchor simplePos="0" relativeHeight="251657728" behindDoc="1" locked="0" layoutInCell="0" allowOverlap="1">
            <wp:simplePos x="0" y="0"/>
            <wp:positionH relativeFrom="column">
              <wp:posOffset>524510</wp:posOffset>
            </wp:positionH>
            <wp:positionV relativeFrom="paragraph">
              <wp:posOffset>169545</wp:posOffset>
            </wp:positionV>
            <wp:extent cx="79946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99465" cy="8255"/>
                    </a:xfrm>
                    <a:prstGeom prst="rect">
                      <a:avLst/>
                    </a:prstGeom>
                    <a:noFill/>
                  </pic:spPr>
                </pic:pic>
              </a:graphicData>
            </a:graphic>
          </wp:anchor>
        </w:drawing>
      </w:r>
    </w:p>
    <w:p>
      <w:pPr>
        <w:spacing w:after="0" w:line="330" w:lineRule="exact"/>
        <w:rPr>
          <w:sz w:val="20"/>
          <w:szCs w:val="20"/>
          <w:color w:val="auto"/>
        </w:rPr>
      </w:pPr>
    </w:p>
    <w:p>
      <w:pPr>
        <w:ind w:left="820"/>
        <w:spacing w:after="0"/>
        <w:rPr>
          <w:sz w:val="20"/>
          <w:szCs w:val="20"/>
          <w:color w:val="auto"/>
        </w:rPr>
      </w:pPr>
      <w:r>
        <w:rPr>
          <w:rFonts w:ascii="Arial" w:cs="Arial" w:eastAsia="Arial" w:hAnsi="Arial"/>
          <w:sz w:val="14"/>
          <w:szCs w:val="14"/>
          <w:b w:val="1"/>
          <w:bCs w:val="1"/>
          <w:color w:val="6D8CC3"/>
        </w:rPr>
        <w:t xml:space="preserve">C </w:t>
      </w:r>
      <w:r>
        <w:rPr>
          <w:rFonts w:ascii="Arial" w:cs="Arial" w:eastAsia="Arial" w:hAnsi="Arial"/>
          <w:sz w:val="14"/>
          <w:szCs w:val="14"/>
          <w:color w:val="000000"/>
        </w:rPr>
        <w:t>= committee chair</w:t>
      </w:r>
    </w:p>
    <w:p>
      <w:pPr>
        <w:spacing w:after="0" w:line="342"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292F72"/>
        </w:rPr>
        <w:t>Director Nominee Highlights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721"/>
        </w:trPr>
        <w:tc>
          <w:tcPr>
            <w:tcW w:w="2720" w:type="dxa"/>
            <w:vAlign w:val="bottom"/>
            <w:gridSpan w:val="2"/>
          </w:tcPr>
          <w:p>
            <w:pPr>
              <w:ind w:left="820"/>
              <w:spacing w:after="0"/>
              <w:rPr>
                <w:sz w:val="20"/>
                <w:szCs w:val="20"/>
                <w:color w:val="auto"/>
              </w:rPr>
            </w:pPr>
            <w:r>
              <w:rPr>
                <w:rFonts w:ascii="Arial" w:cs="Arial" w:eastAsia="Arial" w:hAnsi="Arial"/>
                <w:sz w:val="38"/>
                <w:szCs w:val="38"/>
                <w:color w:val="6D8CC3"/>
              </w:rPr>
              <w:t>90%</w:t>
            </w:r>
          </w:p>
        </w:tc>
        <w:tc>
          <w:tcPr>
            <w:tcW w:w="980" w:type="dxa"/>
            <w:vAlign w:val="bottom"/>
            <w:tcBorders>
              <w:right w:val="single" w:sz="8" w:color="6D8CC3"/>
            </w:tcBorders>
          </w:tcPr>
          <w:p>
            <w:pPr>
              <w:spacing w:after="0"/>
              <w:rPr>
                <w:sz w:val="24"/>
                <w:szCs w:val="24"/>
                <w:color w:val="auto"/>
              </w:rPr>
            </w:pPr>
          </w:p>
        </w:tc>
        <w:tc>
          <w:tcPr>
            <w:tcW w:w="3740" w:type="dxa"/>
            <w:vAlign w:val="bottom"/>
            <w:tcBorders>
              <w:right w:val="single" w:sz="8" w:color="6D8CC3"/>
            </w:tcBorders>
          </w:tcPr>
          <w:p>
            <w:pPr>
              <w:ind w:left="1180"/>
              <w:spacing w:after="0"/>
              <w:rPr>
                <w:sz w:val="20"/>
                <w:szCs w:val="20"/>
                <w:color w:val="auto"/>
              </w:rPr>
            </w:pPr>
            <w:r>
              <w:rPr>
                <w:rFonts w:ascii="Arial" w:cs="Arial" w:eastAsia="Arial" w:hAnsi="Arial"/>
                <w:sz w:val="38"/>
                <w:szCs w:val="38"/>
                <w:color w:val="6D8CC3"/>
              </w:rPr>
              <w:t xml:space="preserve">5.0 </w:t>
            </w:r>
            <w:r>
              <w:rPr>
                <w:rFonts w:ascii="Arial" w:cs="Arial" w:eastAsia="Arial" w:hAnsi="Arial"/>
                <w:sz w:val="19"/>
                <w:szCs w:val="19"/>
                <w:b w:val="1"/>
                <w:bCs w:val="1"/>
                <w:color w:val="6D8CC3"/>
              </w:rPr>
              <w:t>Years</w:t>
            </w:r>
          </w:p>
        </w:tc>
        <w:tc>
          <w:tcPr>
            <w:tcW w:w="2420" w:type="dxa"/>
            <w:vAlign w:val="bottom"/>
          </w:tcPr>
          <w:p>
            <w:pPr>
              <w:ind w:left="1180"/>
              <w:spacing w:after="0"/>
              <w:rPr>
                <w:sz w:val="20"/>
                <w:szCs w:val="20"/>
                <w:color w:val="auto"/>
              </w:rPr>
            </w:pPr>
            <w:r>
              <w:rPr>
                <w:rFonts w:ascii="Arial" w:cs="Arial" w:eastAsia="Arial" w:hAnsi="Arial"/>
                <w:sz w:val="38"/>
                <w:szCs w:val="38"/>
                <w:color w:val="6D8CC3"/>
              </w:rPr>
              <w:t>58</w:t>
            </w:r>
          </w:p>
        </w:tc>
        <w:tc>
          <w:tcPr>
            <w:tcW w:w="840" w:type="dxa"/>
            <w:vAlign w:val="bottom"/>
          </w:tcPr>
          <w:p>
            <w:pPr>
              <w:spacing w:after="0"/>
              <w:rPr>
                <w:sz w:val="24"/>
                <w:szCs w:val="24"/>
                <w:color w:val="auto"/>
              </w:rPr>
            </w:pPr>
          </w:p>
        </w:tc>
      </w:tr>
      <w:tr>
        <w:trPr>
          <w:trHeight w:val="186"/>
        </w:trPr>
        <w:tc>
          <w:tcPr>
            <w:tcW w:w="2720" w:type="dxa"/>
            <w:vAlign w:val="bottom"/>
            <w:gridSpan w:val="2"/>
          </w:tcPr>
          <w:p>
            <w:pPr>
              <w:ind w:left="820"/>
              <w:spacing w:after="0" w:line="186" w:lineRule="exact"/>
              <w:rPr>
                <w:sz w:val="20"/>
                <w:szCs w:val="20"/>
                <w:color w:val="auto"/>
              </w:rPr>
            </w:pPr>
            <w:r>
              <w:rPr>
                <w:rFonts w:ascii="Arial" w:cs="Arial" w:eastAsia="Arial" w:hAnsi="Arial"/>
                <w:sz w:val="19"/>
                <w:szCs w:val="19"/>
                <w:b w:val="1"/>
                <w:bCs w:val="1"/>
                <w:color w:val="6D8CC3"/>
              </w:rPr>
              <w:t>of the Nominees</w:t>
            </w:r>
          </w:p>
        </w:tc>
        <w:tc>
          <w:tcPr>
            <w:tcW w:w="980" w:type="dxa"/>
            <w:vAlign w:val="bottom"/>
            <w:tcBorders>
              <w:right w:val="single" w:sz="8" w:color="6D8CC3"/>
            </w:tcBorders>
          </w:tcPr>
          <w:p>
            <w:pPr>
              <w:spacing w:after="0"/>
              <w:rPr>
                <w:sz w:val="16"/>
                <w:szCs w:val="16"/>
                <w:color w:val="auto"/>
              </w:rPr>
            </w:pPr>
          </w:p>
        </w:tc>
        <w:tc>
          <w:tcPr>
            <w:tcW w:w="3740" w:type="dxa"/>
            <w:vAlign w:val="bottom"/>
            <w:tcBorders>
              <w:right w:val="single" w:sz="8" w:color="6D8CC3"/>
            </w:tcBorders>
          </w:tcPr>
          <w:p>
            <w:pPr>
              <w:spacing w:after="0"/>
              <w:rPr>
                <w:sz w:val="16"/>
                <w:szCs w:val="16"/>
                <w:color w:val="auto"/>
              </w:rPr>
            </w:pPr>
          </w:p>
        </w:tc>
        <w:tc>
          <w:tcPr>
            <w:tcW w:w="24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0"/>
        </w:trPr>
        <w:tc>
          <w:tcPr>
            <w:tcW w:w="2720" w:type="dxa"/>
            <w:vAlign w:val="bottom"/>
            <w:gridSpan w:val="2"/>
          </w:tcPr>
          <w:p>
            <w:pPr>
              <w:ind w:left="820"/>
              <w:spacing w:after="0" w:line="210" w:lineRule="exact"/>
              <w:rPr>
                <w:sz w:val="20"/>
                <w:szCs w:val="20"/>
                <w:color w:val="auto"/>
              </w:rPr>
            </w:pPr>
            <w:r>
              <w:rPr>
                <w:rFonts w:ascii="Arial" w:cs="Arial" w:eastAsia="Arial" w:hAnsi="Arial"/>
                <w:sz w:val="19"/>
                <w:szCs w:val="19"/>
                <w:b w:val="1"/>
                <w:bCs w:val="1"/>
                <w:color w:val="auto"/>
              </w:rPr>
              <w:t>Joined the Board</w:t>
            </w:r>
          </w:p>
        </w:tc>
        <w:tc>
          <w:tcPr>
            <w:tcW w:w="980" w:type="dxa"/>
            <w:vAlign w:val="bottom"/>
            <w:tcBorders>
              <w:right w:val="single" w:sz="8" w:color="6D8CC3"/>
            </w:tcBorders>
          </w:tcPr>
          <w:p>
            <w:pPr>
              <w:spacing w:after="0"/>
              <w:rPr>
                <w:sz w:val="18"/>
                <w:szCs w:val="18"/>
                <w:color w:val="auto"/>
              </w:rPr>
            </w:pPr>
          </w:p>
        </w:tc>
        <w:tc>
          <w:tcPr>
            <w:tcW w:w="3740" w:type="dxa"/>
            <w:vAlign w:val="bottom"/>
            <w:tcBorders>
              <w:right w:val="single" w:sz="8" w:color="6D8CC3"/>
            </w:tcBorders>
          </w:tcPr>
          <w:p>
            <w:pPr>
              <w:ind w:left="1180"/>
              <w:spacing w:after="0" w:line="210" w:lineRule="exact"/>
              <w:rPr>
                <w:sz w:val="20"/>
                <w:szCs w:val="20"/>
                <w:color w:val="auto"/>
              </w:rPr>
            </w:pPr>
            <w:r>
              <w:rPr>
                <w:rFonts w:ascii="Arial" w:cs="Arial" w:eastAsia="Arial" w:hAnsi="Arial"/>
                <w:sz w:val="19"/>
                <w:szCs w:val="19"/>
                <w:b w:val="1"/>
                <w:bCs w:val="1"/>
                <w:color w:val="auto"/>
              </w:rPr>
              <w:t>Average</w:t>
            </w:r>
          </w:p>
        </w:tc>
        <w:tc>
          <w:tcPr>
            <w:tcW w:w="3260" w:type="dxa"/>
            <w:vAlign w:val="bottom"/>
            <w:gridSpan w:val="2"/>
          </w:tcPr>
          <w:p>
            <w:pPr>
              <w:ind w:left="1180"/>
              <w:spacing w:after="0" w:line="210" w:lineRule="exact"/>
              <w:rPr>
                <w:sz w:val="20"/>
                <w:szCs w:val="20"/>
                <w:color w:val="auto"/>
              </w:rPr>
            </w:pPr>
            <w:r>
              <w:rPr>
                <w:rFonts w:ascii="Arial" w:cs="Arial" w:eastAsia="Arial" w:hAnsi="Arial"/>
                <w:sz w:val="19"/>
                <w:szCs w:val="19"/>
                <w:b w:val="1"/>
                <w:bCs w:val="1"/>
                <w:color w:val="auto"/>
              </w:rPr>
              <w:t>Average</w:t>
            </w:r>
          </w:p>
        </w:tc>
      </w:tr>
      <w:tr>
        <w:trPr>
          <w:trHeight w:val="273"/>
        </w:trPr>
        <w:tc>
          <w:tcPr>
            <w:tcW w:w="2720" w:type="dxa"/>
            <w:vAlign w:val="bottom"/>
            <w:gridSpan w:val="2"/>
          </w:tcPr>
          <w:p>
            <w:pPr>
              <w:ind w:left="820"/>
              <w:spacing w:after="0"/>
              <w:rPr>
                <w:sz w:val="20"/>
                <w:szCs w:val="20"/>
                <w:color w:val="auto"/>
              </w:rPr>
            </w:pPr>
            <w:r>
              <w:rPr>
                <w:rFonts w:ascii="Arial" w:cs="Arial" w:eastAsia="Arial" w:hAnsi="Arial"/>
                <w:sz w:val="19"/>
                <w:szCs w:val="19"/>
                <w:b w:val="1"/>
                <w:bCs w:val="1"/>
                <w:color w:val="auto"/>
              </w:rPr>
              <w:t>in 2019 or Later</w:t>
            </w:r>
          </w:p>
        </w:tc>
        <w:tc>
          <w:tcPr>
            <w:tcW w:w="980" w:type="dxa"/>
            <w:vAlign w:val="bottom"/>
            <w:tcBorders>
              <w:right w:val="single" w:sz="8" w:color="6D8CC3"/>
            </w:tcBorders>
          </w:tcPr>
          <w:p>
            <w:pPr>
              <w:spacing w:after="0"/>
              <w:rPr>
                <w:sz w:val="23"/>
                <w:szCs w:val="23"/>
                <w:color w:val="auto"/>
              </w:rPr>
            </w:pPr>
          </w:p>
        </w:tc>
        <w:tc>
          <w:tcPr>
            <w:tcW w:w="3740" w:type="dxa"/>
            <w:vAlign w:val="bottom"/>
            <w:tcBorders>
              <w:right w:val="single" w:sz="8" w:color="6D8CC3"/>
            </w:tcBorders>
          </w:tcPr>
          <w:p>
            <w:pPr>
              <w:ind w:left="1180"/>
              <w:spacing w:after="0"/>
              <w:rPr>
                <w:sz w:val="20"/>
                <w:szCs w:val="20"/>
                <w:color w:val="auto"/>
              </w:rPr>
            </w:pPr>
            <w:r>
              <w:rPr>
                <w:rFonts w:ascii="Arial" w:cs="Arial" w:eastAsia="Arial" w:hAnsi="Arial"/>
                <w:sz w:val="19"/>
                <w:szCs w:val="19"/>
                <w:b w:val="1"/>
                <w:bCs w:val="1"/>
                <w:color w:val="auto"/>
              </w:rPr>
              <w:t>Tenure</w:t>
            </w:r>
          </w:p>
        </w:tc>
        <w:tc>
          <w:tcPr>
            <w:tcW w:w="3260" w:type="dxa"/>
            <w:vAlign w:val="bottom"/>
            <w:gridSpan w:val="2"/>
          </w:tcPr>
          <w:p>
            <w:pPr>
              <w:ind w:left="1180"/>
              <w:spacing w:after="0"/>
              <w:rPr>
                <w:sz w:val="20"/>
                <w:szCs w:val="20"/>
                <w:color w:val="auto"/>
              </w:rPr>
            </w:pPr>
            <w:r>
              <w:rPr>
                <w:rFonts w:ascii="Arial" w:cs="Arial" w:eastAsia="Arial" w:hAnsi="Arial"/>
                <w:sz w:val="19"/>
                <w:szCs w:val="19"/>
                <w:b w:val="1"/>
                <w:bCs w:val="1"/>
                <w:color w:val="auto"/>
              </w:rPr>
              <w:t>Age</w:t>
            </w:r>
          </w:p>
        </w:tc>
      </w:tr>
      <w:tr>
        <w:trPr>
          <w:trHeight w:val="210"/>
        </w:trPr>
        <w:tc>
          <w:tcPr>
            <w:tcW w:w="820" w:type="dxa"/>
            <w:vAlign w:val="bottom"/>
          </w:tcPr>
          <w:p>
            <w:pPr>
              <w:spacing w:after="0"/>
              <w:rPr>
                <w:sz w:val="18"/>
                <w:szCs w:val="18"/>
                <w:color w:val="auto"/>
              </w:rPr>
            </w:pPr>
          </w:p>
        </w:tc>
        <w:tc>
          <w:tcPr>
            <w:tcW w:w="1900" w:type="dxa"/>
            <w:vAlign w:val="bottom"/>
            <w:tcBorders>
              <w:bottom w:val="single" w:sz="8" w:color="6D8CC3"/>
            </w:tcBorders>
          </w:tcPr>
          <w:p>
            <w:pPr>
              <w:spacing w:after="0"/>
              <w:rPr>
                <w:sz w:val="18"/>
                <w:szCs w:val="18"/>
                <w:color w:val="auto"/>
              </w:rPr>
            </w:pPr>
          </w:p>
        </w:tc>
        <w:tc>
          <w:tcPr>
            <w:tcW w:w="4720" w:type="dxa"/>
            <w:vAlign w:val="bottom"/>
            <w:tcBorders>
              <w:bottom w:val="single" w:sz="8" w:color="6D8CC3"/>
            </w:tcBorders>
            <w:gridSpan w:val="2"/>
          </w:tcPr>
          <w:p>
            <w:pPr>
              <w:spacing w:after="0"/>
              <w:rPr>
                <w:sz w:val="18"/>
                <w:szCs w:val="18"/>
                <w:color w:val="auto"/>
              </w:rPr>
            </w:pPr>
          </w:p>
        </w:tc>
        <w:tc>
          <w:tcPr>
            <w:tcW w:w="2420" w:type="dxa"/>
            <w:vAlign w:val="bottom"/>
            <w:tcBorders>
              <w:bottom w:val="single" w:sz="8" w:color="6D8CC3"/>
            </w:tcBorders>
          </w:tcPr>
          <w:p>
            <w:pPr>
              <w:spacing w:after="0"/>
              <w:rPr>
                <w:sz w:val="18"/>
                <w:szCs w:val="18"/>
                <w:color w:val="auto"/>
              </w:rPr>
            </w:pPr>
          </w:p>
        </w:tc>
        <w:tc>
          <w:tcPr>
            <w:tcW w:w="840" w:type="dxa"/>
            <w:vAlign w:val="bottom"/>
          </w:tcPr>
          <w:p>
            <w:pPr>
              <w:spacing w:after="0"/>
              <w:rPr>
                <w:sz w:val="18"/>
                <w:szCs w:val="18"/>
                <w:color w:val="auto"/>
              </w:rPr>
            </w:pPr>
          </w:p>
        </w:tc>
      </w:tr>
      <w:tr>
        <w:trPr>
          <w:trHeight w:val="268"/>
        </w:trPr>
        <w:tc>
          <w:tcPr>
            <w:tcW w:w="2720" w:type="dxa"/>
            <w:vAlign w:val="bottom"/>
            <w:gridSpan w:val="2"/>
          </w:tcPr>
          <w:p>
            <w:pPr>
              <w:ind w:left="820"/>
              <w:spacing w:after="0"/>
              <w:rPr>
                <w:sz w:val="20"/>
                <w:szCs w:val="20"/>
                <w:color w:val="auto"/>
              </w:rPr>
            </w:pPr>
            <w:r>
              <w:rPr>
                <w:rFonts w:ascii="Arial" w:cs="Arial" w:eastAsia="Arial" w:hAnsi="Arial"/>
                <w:sz w:val="14"/>
                <w:szCs w:val="14"/>
                <w:b w:val="1"/>
                <w:bCs w:val="1"/>
                <w:color w:val="292F72"/>
              </w:rPr>
              <w:t>2</w:t>
            </w:r>
            <w:r>
              <w:rPr>
                <w:rFonts w:ascii="Arial" w:cs="Arial" w:eastAsia="Arial" w:hAnsi="Arial"/>
                <w:sz w:val="14"/>
                <w:szCs w:val="14"/>
                <w:color w:val="292F72"/>
              </w:rPr>
              <w:t xml:space="preserve">     Bath &amp; Body Works, Inc.</w:t>
            </w:r>
            <w:r>
              <w:rPr>
                <w:rFonts w:ascii="Arial" w:cs="Arial" w:eastAsia="Arial" w:hAnsi="Arial"/>
                <w:sz w:val="14"/>
                <w:szCs w:val="14"/>
                <w:color w:val="6D8CC3"/>
              </w:rPr>
              <w:t xml:space="preserve"> </w:t>
            </w:r>
          </w:p>
        </w:tc>
        <w:tc>
          <w:tcPr>
            <w:tcW w:w="4720" w:type="dxa"/>
            <w:vAlign w:val="bottom"/>
            <w:gridSpan w:val="2"/>
          </w:tcPr>
          <w:p>
            <w:pPr>
              <w:ind w:left="40"/>
              <w:spacing w:after="0"/>
              <w:rPr>
                <w:sz w:val="20"/>
                <w:szCs w:val="20"/>
                <w:color w:val="auto"/>
              </w:rPr>
            </w:pPr>
            <w:r>
              <w:rPr>
                <w:rFonts w:ascii="Arial" w:cs="Arial" w:eastAsia="Arial" w:hAnsi="Arial"/>
                <w:sz w:val="14"/>
                <w:szCs w:val="14"/>
                <w:color w:val="6D8CC3"/>
              </w:rPr>
              <w:t xml:space="preserve">|   </w:t>
            </w:r>
            <w:r>
              <w:rPr>
                <w:rFonts w:ascii="Arial" w:cs="Arial" w:eastAsia="Arial" w:hAnsi="Arial"/>
                <w:sz w:val="14"/>
                <w:szCs w:val="14"/>
                <w:color w:val="292F72"/>
              </w:rPr>
              <w:t>2026 Proxy Statement</w:t>
            </w:r>
          </w:p>
        </w:tc>
        <w:tc>
          <w:tcPr>
            <w:tcW w:w="242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43"/>
        </w:trPr>
        <w:tc>
          <w:tcPr>
            <w:tcW w:w="82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374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r>
    </w:tbl>
    <w:p>
      <w:pPr>
        <w:sectPr>
          <w:pgSz w:w="11900" w:h="16838" w:orient="portrait"/>
          <w:cols w:equalWidth="0" w:num="1">
            <w:col w:w="10700"/>
          </w:cols>
          <w:pgMar w:left="600" w:top="115" w:right="5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2" w:lineRule="exact"/>
        <w:rPr>
          <w:sz w:val="20"/>
          <w:szCs w:val="20"/>
          <w:color w:val="auto"/>
        </w:rPr>
      </w:pPr>
    </w:p>
    <w:p>
      <w:pPr>
        <w:ind w:left="6760"/>
        <w:spacing w:after="0"/>
        <w:rPr>
          <w:sz w:val="20"/>
          <w:szCs w:val="20"/>
          <w:color w:val="auto"/>
        </w:rPr>
      </w:pPr>
      <w:r>
        <w:rPr>
          <w:rFonts w:ascii="Arial" w:cs="Arial" w:eastAsia="Arial" w:hAnsi="Arial"/>
          <w:sz w:val="16"/>
          <w:szCs w:val="16"/>
          <w:color w:val="292F72"/>
        </w:rPr>
        <w:t>2026 Proxy Statement</w:t>
      </w:r>
    </w:p>
    <w:p>
      <w:pPr>
        <w:spacing w:after="0" w:line="14" w:lineRule="exact"/>
        <w:rPr>
          <w:sz w:val="20"/>
          <w:szCs w:val="20"/>
          <w:color w:val="auto"/>
        </w:rPr>
      </w:pPr>
    </w:p>
    <w:p>
      <w:pPr>
        <w:ind w:left="6760"/>
        <w:spacing w:after="0"/>
        <w:rPr>
          <w:sz w:val="20"/>
          <w:szCs w:val="20"/>
          <w:color w:val="auto"/>
        </w:rPr>
      </w:pPr>
      <w:r>
        <w:rPr>
          <w:rFonts w:ascii="Arial" w:cs="Arial" w:eastAsia="Arial" w:hAnsi="Arial"/>
          <w:sz w:val="16"/>
          <w:szCs w:val="16"/>
          <w:color w:val="292F72"/>
        </w:rPr>
        <w:t>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1457325" cy="330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457325" cy="3302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23"/>
          <w:szCs w:val="23"/>
          <w:b w:val="1"/>
          <w:bCs w:val="1"/>
          <w:color w:val="292F72"/>
        </w:rPr>
        <w:t>Relevant Qualifications, Skills and Experience</w:t>
      </w:r>
    </w:p>
    <w:p>
      <w:pPr>
        <w:spacing w:after="0" w:line="174" w:lineRule="exact"/>
        <w:rPr>
          <w:sz w:val="20"/>
          <w:szCs w:val="20"/>
          <w:color w:val="auto"/>
        </w:rPr>
      </w:pPr>
    </w:p>
    <w:p>
      <w:pPr>
        <w:ind w:right="120"/>
        <w:spacing w:after="0" w:line="254" w:lineRule="auto"/>
        <w:rPr>
          <w:sz w:val="20"/>
          <w:szCs w:val="20"/>
          <w:color w:val="auto"/>
        </w:rPr>
      </w:pPr>
      <w:r>
        <w:rPr>
          <w:rFonts w:ascii="Arial" w:cs="Arial" w:eastAsia="Arial" w:hAnsi="Arial"/>
          <w:sz w:val="16"/>
          <w:szCs w:val="16"/>
          <w:color w:val="auto"/>
        </w:rPr>
        <w:t>We believe that our director nominees, as a whole, possess the optimal mix of qualifications, skills and experience that, taken together, provide us with the variety and depth of knowledge, judgment and vision necessary to provide effective oversight of the Company,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211455</wp:posOffset>
            </wp:positionV>
            <wp:extent cx="5654040" cy="23317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4040" cy="2331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74295</wp:posOffset>
            </wp:positionV>
            <wp:extent cx="57372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3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3"/>
          <w:szCs w:val="23"/>
          <w:b w:val="1"/>
          <w:bCs w:val="1"/>
          <w:color w:val="292F72"/>
        </w:rPr>
        <w:t xml:space="preserve">Governance Highlights </w:t>
      </w:r>
      <w:r>
        <w:rPr>
          <w:rFonts w:ascii="Arial" w:cs="Arial" w:eastAsia="Arial" w:hAnsi="Arial"/>
          <w:sz w:val="15"/>
          <w:szCs w:val="15"/>
          <w:b w:val="1"/>
          <w:bCs w:val="1"/>
          <w:color w:val="292F72"/>
        </w:rPr>
        <w:t>(See Page</w:t>
      </w:r>
      <w:r>
        <w:rPr>
          <w:rFonts w:ascii="Arial" w:cs="Arial" w:eastAsia="Arial" w:hAnsi="Arial"/>
          <w:sz w:val="23"/>
          <w:szCs w:val="23"/>
          <w:b w:val="1"/>
          <w:bCs w:val="1"/>
          <w:color w:val="292F72"/>
        </w:rPr>
        <w:t xml:space="preserve"> </w:t>
      </w:r>
      <w:r>
        <w:rPr>
          <w:rFonts w:ascii="Arial" w:cs="Arial" w:eastAsia="Arial" w:hAnsi="Arial"/>
          <w:sz w:val="15"/>
          <w:szCs w:val="15"/>
          <w:b w:val="1"/>
          <w:bCs w:val="1"/>
          <w:u w:val="single" w:color="auto"/>
          <w:color w:val="0000EE"/>
        </w:rPr>
        <w:t>16</w:t>
      </w:r>
      <w:r>
        <w:rPr>
          <w:rFonts w:ascii="Arial" w:cs="Arial" w:eastAsia="Arial" w:hAnsi="Arial"/>
          <w:sz w:val="15"/>
          <w:szCs w:val="15"/>
          <w:b w:val="1"/>
          <w:bCs w:val="1"/>
          <w:color w:val="292F72"/>
        </w:rPr>
        <w:t>)</w:t>
      </w:r>
    </w:p>
    <w:p>
      <w:pPr>
        <w:spacing w:after="0" w:line="226" w:lineRule="exact"/>
        <w:rPr>
          <w:sz w:val="20"/>
          <w:szCs w:val="20"/>
          <w:color w:val="auto"/>
        </w:rPr>
      </w:pPr>
    </w:p>
    <w:p>
      <w:pPr>
        <w:ind w:right="140"/>
        <w:spacing w:after="0" w:line="268" w:lineRule="auto"/>
        <w:rPr>
          <w:sz w:val="20"/>
          <w:szCs w:val="20"/>
          <w:color w:val="auto"/>
        </w:rPr>
      </w:pPr>
      <w:r>
        <w:rPr>
          <w:rFonts w:ascii="Arial" w:cs="Arial" w:eastAsia="Arial" w:hAnsi="Arial"/>
          <w:sz w:val="16"/>
          <w:szCs w:val="16"/>
          <w:color w:val="auto"/>
        </w:rPr>
        <w:t xml:space="preserve">The “Corporate Governance” section beginning on page </w:t>
      </w:r>
      <w:r>
        <w:rPr>
          <w:rFonts w:ascii="Arial" w:cs="Arial" w:eastAsia="Arial" w:hAnsi="Arial"/>
          <w:sz w:val="16"/>
          <w:szCs w:val="16"/>
          <w:u w:val="single" w:color="auto"/>
          <w:color w:val="0000EE"/>
        </w:rPr>
        <w:t>15</w:t>
      </w:r>
      <w:r>
        <w:rPr>
          <w:rFonts w:ascii="Arial" w:cs="Arial" w:eastAsia="Arial" w:hAnsi="Arial"/>
          <w:sz w:val="16"/>
          <w:szCs w:val="16"/>
          <w:color w:val="auto"/>
        </w:rPr>
        <w:t xml:space="preserve"> of this proxy statement describes our strong governance framework, which includes:</w:t>
      </w:r>
    </w:p>
    <w:p>
      <w:pPr>
        <w:sectPr>
          <w:pgSz w:w="11900" w:h="16838" w:orient="portrait"/>
          <w:cols w:equalWidth="0" w:num="1">
            <w:col w:w="9040"/>
          </w:cols>
          <w:pgMar w:left="1420" w:top="116" w:right="1439" w:bottom="1440" w:gutter="0" w:footer="0" w:header="0"/>
        </w:sectPr>
      </w:pPr>
    </w:p>
    <w:p>
      <w:pPr>
        <w:spacing w:after="0" w:line="16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Independent Board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279781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79781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-108585</wp:posOffset>
            </wp:positionV>
            <wp:extent cx="99695" cy="749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99695" cy="74930"/>
                    </a:xfrm>
                    <a:prstGeom prst="rect">
                      <a:avLst/>
                    </a:prstGeom>
                    <a:noFill/>
                  </pic:spPr>
                </pic:pic>
              </a:graphicData>
            </a:graphic>
          </wp:anchor>
        </w:drawing>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Nine of ten director nominees are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279781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79781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-108585</wp:posOffset>
            </wp:positionV>
            <wp:extent cx="99695" cy="749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99695" cy="74930"/>
                    </a:xfrm>
                    <a:prstGeom prst="rect">
                      <a:avLst/>
                    </a:prstGeom>
                    <a:noFill/>
                  </pic:spPr>
                </pic:pic>
              </a:graphicData>
            </a:graphic>
          </wp:anchor>
        </w:drawing>
      </w:r>
    </w:p>
    <w:p>
      <w:pPr>
        <w:spacing w:after="0" w:line="150" w:lineRule="exact"/>
        <w:rPr>
          <w:sz w:val="20"/>
          <w:szCs w:val="20"/>
          <w:color w:val="auto"/>
        </w:rPr>
      </w:pPr>
    </w:p>
    <w:p>
      <w:pPr>
        <w:ind w:left="320"/>
        <w:spacing w:after="0" w:line="254" w:lineRule="auto"/>
        <w:rPr>
          <w:sz w:val="20"/>
          <w:szCs w:val="20"/>
          <w:color w:val="auto"/>
        </w:rPr>
      </w:pPr>
      <w:r>
        <w:rPr>
          <w:rFonts w:ascii="Arial" w:cs="Arial" w:eastAsia="Arial" w:hAnsi="Arial"/>
          <w:sz w:val="16"/>
          <w:szCs w:val="16"/>
          <w:color w:val="auto"/>
        </w:rPr>
        <w:t>Board actively involved in overseeing the Company’s long-term business strategy, strategic priorities and material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36195</wp:posOffset>
            </wp:positionV>
            <wp:extent cx="279781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79781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-362585</wp:posOffset>
            </wp:positionV>
            <wp:extent cx="99695" cy="749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99695" cy="74930"/>
                    </a:xfrm>
                    <a:prstGeom prst="rect">
                      <a:avLst/>
                    </a:prstGeom>
                    <a:noFill/>
                  </pic:spPr>
                </pic:pic>
              </a:graphicData>
            </a:graphic>
          </wp:anchor>
        </w:drawing>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Shareholders have the right to call special meetings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64770</wp:posOffset>
            </wp:positionV>
            <wp:extent cx="279781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79781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-100965</wp:posOffset>
            </wp:positionV>
            <wp:extent cx="99695" cy="749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99695" cy="74930"/>
                    </a:xfrm>
                    <a:prstGeom prst="rect">
                      <a:avLst/>
                    </a:prstGeom>
                    <a:noFill/>
                  </pic:spPr>
                </pic:pic>
              </a:graphicData>
            </a:graphic>
          </wp:anchor>
        </w:drawing>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Regular management succession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279781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79781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-108585</wp:posOffset>
            </wp:positionV>
            <wp:extent cx="99695" cy="749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99695" cy="74930"/>
                    </a:xfrm>
                    <a:prstGeom prst="rect">
                      <a:avLst/>
                    </a:prstGeom>
                    <a:noFill/>
                  </pic:spPr>
                </pic:pic>
              </a:graphicData>
            </a:graphic>
          </wp:anchor>
        </w:drawing>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Proxy access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279781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79781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-108585</wp:posOffset>
            </wp:positionV>
            <wp:extent cx="99695" cy="749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99695" cy="74930"/>
                    </a:xfrm>
                    <a:prstGeom prst="rect">
                      <a:avLst/>
                    </a:prstGeom>
                    <a:noFill/>
                  </pic:spPr>
                </pic:pic>
              </a:graphicData>
            </a:graphic>
          </wp:anchor>
        </w:drawing>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No shareholders rights plan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-108585</wp:posOffset>
            </wp:positionV>
            <wp:extent cx="99695" cy="749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99695" cy="7493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365760</wp:posOffset>
            </wp:positionV>
            <wp:extent cx="57372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372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Separate CEO and Board Chair roles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57150</wp:posOffset>
            </wp:positionV>
            <wp:extent cx="279781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797810" cy="8255"/>
                    </a:xfrm>
                    <a:prstGeom prst="rect">
                      <a:avLst/>
                    </a:prstGeom>
                    <a:noFill/>
                  </pic:spPr>
                </pic:pic>
              </a:graphicData>
            </a:graphic>
          </wp:anchor>
        </w:drawing>
        <w:drawing>
          <wp:anchor simplePos="0" relativeHeight="251657728" behindDoc="1" locked="0" layoutInCell="0" allowOverlap="1">
            <wp:simplePos x="0" y="0"/>
            <wp:positionH relativeFrom="column">
              <wp:posOffset>-193040</wp:posOffset>
            </wp:positionH>
            <wp:positionV relativeFrom="paragraph">
              <wp:posOffset>-108585</wp:posOffset>
            </wp:positionV>
            <wp:extent cx="99695" cy="749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99695" cy="74930"/>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color w:val="auto"/>
        </w:rPr>
        <w:t>Independent directors meet without management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64770</wp:posOffset>
            </wp:positionV>
            <wp:extent cx="279781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797810" cy="8255"/>
                    </a:xfrm>
                    <a:prstGeom prst="rect">
                      <a:avLst/>
                    </a:prstGeom>
                    <a:noFill/>
                  </pic:spPr>
                </pic:pic>
              </a:graphicData>
            </a:graphic>
          </wp:anchor>
        </w:drawing>
        <w:drawing>
          <wp:anchor simplePos="0" relativeHeight="251657728" behindDoc="1" locked="0" layoutInCell="0" allowOverlap="1">
            <wp:simplePos x="0" y="0"/>
            <wp:positionH relativeFrom="column">
              <wp:posOffset>-193040</wp:posOffset>
            </wp:positionH>
            <wp:positionV relativeFrom="paragraph">
              <wp:posOffset>-100965</wp:posOffset>
            </wp:positionV>
            <wp:extent cx="99695" cy="749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99695" cy="74930"/>
                    </a:xfrm>
                    <a:prstGeom prst="rect">
                      <a:avLst/>
                    </a:prstGeom>
                    <a:noFill/>
                  </pic:spPr>
                </pic:pic>
              </a:graphicData>
            </a:graphic>
          </wp:anchor>
        </w:drawing>
      </w:r>
    </w:p>
    <w:p>
      <w:pPr>
        <w:spacing w:after="0" w:line="162" w:lineRule="exact"/>
        <w:rPr>
          <w:sz w:val="20"/>
          <w:szCs w:val="20"/>
          <w:color w:val="auto"/>
        </w:rPr>
      </w:pPr>
    </w:p>
    <w:p>
      <w:pPr>
        <w:ind w:right="240"/>
        <w:spacing w:after="0" w:line="268" w:lineRule="auto"/>
        <w:rPr>
          <w:sz w:val="20"/>
          <w:szCs w:val="20"/>
          <w:color w:val="auto"/>
        </w:rPr>
      </w:pPr>
      <w:r>
        <w:rPr>
          <w:rFonts w:ascii="Arial" w:cs="Arial" w:eastAsia="Arial" w:hAnsi="Arial"/>
          <w:sz w:val="16"/>
          <w:szCs w:val="16"/>
          <w:color w:val="auto"/>
        </w:rPr>
        <w:t>Each of our standing Board committees is composed of 100%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29845</wp:posOffset>
            </wp:positionV>
            <wp:extent cx="279781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797810" cy="8255"/>
                    </a:xfrm>
                    <a:prstGeom prst="rect">
                      <a:avLst/>
                    </a:prstGeom>
                    <a:noFill/>
                  </pic:spPr>
                </pic:pic>
              </a:graphicData>
            </a:graphic>
          </wp:anchor>
        </w:drawing>
        <w:drawing>
          <wp:anchor simplePos="0" relativeHeight="251657728" behindDoc="1" locked="0" layoutInCell="0" allowOverlap="1">
            <wp:simplePos x="0" y="0"/>
            <wp:positionH relativeFrom="column">
              <wp:posOffset>-193040</wp:posOffset>
            </wp:positionH>
            <wp:positionV relativeFrom="paragraph">
              <wp:posOffset>-252730</wp:posOffset>
            </wp:positionV>
            <wp:extent cx="99695" cy="749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99695" cy="74930"/>
                    </a:xfrm>
                    <a:prstGeom prst="rect">
                      <a:avLst/>
                    </a:prstGeom>
                    <a:noFill/>
                  </pic:spPr>
                </pic:pic>
              </a:graphicData>
            </a:graphic>
          </wp:anchor>
        </w:drawing>
      </w:r>
    </w:p>
    <w:p>
      <w:pPr>
        <w:spacing w:after="0" w:line="107" w:lineRule="exact"/>
        <w:rPr>
          <w:sz w:val="20"/>
          <w:szCs w:val="20"/>
          <w:color w:val="auto"/>
        </w:rPr>
      </w:pPr>
    </w:p>
    <w:p>
      <w:pPr>
        <w:ind w:right="680"/>
        <w:spacing w:after="0" w:line="461" w:lineRule="auto"/>
        <w:rPr>
          <w:sz w:val="20"/>
          <w:szCs w:val="20"/>
          <w:color w:val="auto"/>
        </w:rPr>
      </w:pPr>
      <w:r>
        <w:rPr>
          <w:rFonts w:ascii="Arial" w:cs="Arial" w:eastAsia="Arial" w:hAnsi="Arial"/>
          <w:sz w:val="16"/>
          <w:szCs w:val="16"/>
          <w:color w:val="auto"/>
        </w:rPr>
        <w:t>All directors are elected annually by majority vote No supermajority voting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-273685</wp:posOffset>
            </wp:positionV>
            <wp:extent cx="279781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797810" cy="8255"/>
                    </a:xfrm>
                    <a:prstGeom prst="rect">
                      <a:avLst/>
                    </a:prstGeom>
                    <a:noFill/>
                  </pic:spPr>
                </pic:pic>
              </a:graphicData>
            </a:graphic>
          </wp:anchor>
        </w:drawing>
        <w:drawing>
          <wp:anchor simplePos="0" relativeHeight="251657728" behindDoc="1" locked="0" layoutInCell="0" allowOverlap="1">
            <wp:simplePos x="0" y="0"/>
            <wp:positionH relativeFrom="column">
              <wp:posOffset>-193040</wp:posOffset>
            </wp:positionH>
            <wp:positionV relativeFrom="paragraph">
              <wp:posOffset>-48895</wp:posOffset>
            </wp:positionV>
            <wp:extent cx="279781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797810" cy="8255"/>
                    </a:xfrm>
                    <a:prstGeom prst="rect">
                      <a:avLst/>
                    </a:prstGeom>
                    <a:noFill/>
                  </pic:spPr>
                </pic:pic>
              </a:graphicData>
            </a:graphic>
          </wp:anchor>
        </w:drawing>
        <w:drawing>
          <wp:anchor simplePos="0" relativeHeight="251657728" behindDoc="1" locked="0" layoutInCell="0" allowOverlap="1">
            <wp:simplePos x="0" y="0"/>
            <wp:positionH relativeFrom="column">
              <wp:posOffset>-193040</wp:posOffset>
            </wp:positionH>
            <wp:positionV relativeFrom="paragraph">
              <wp:posOffset>-440690</wp:posOffset>
            </wp:positionV>
            <wp:extent cx="99695" cy="749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99695" cy="74930"/>
                    </a:xfrm>
                    <a:prstGeom prst="rect">
                      <a:avLst/>
                    </a:prstGeom>
                    <a:noFill/>
                  </pic:spPr>
                </pic:pic>
              </a:graphicData>
            </a:graphic>
          </wp:anchor>
        </w:drawing>
        <w:drawing>
          <wp:anchor simplePos="0" relativeHeight="251657728" behindDoc="1" locked="0" layoutInCell="0" allowOverlap="1">
            <wp:simplePos x="0" y="0"/>
            <wp:positionH relativeFrom="column">
              <wp:posOffset>-193040</wp:posOffset>
            </wp:positionH>
            <wp:positionV relativeFrom="paragraph">
              <wp:posOffset>-215900</wp:posOffset>
            </wp:positionV>
            <wp:extent cx="99695" cy="749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99695" cy="74930"/>
                    </a:xfrm>
                    <a:prstGeom prst="rect">
                      <a:avLst/>
                    </a:prstGeom>
                    <a:noFill/>
                  </pic:spPr>
                </pic:pic>
              </a:graphicData>
            </a:graphic>
          </wp:anchor>
        </w:drawing>
      </w:r>
    </w:p>
    <w:p>
      <w:pPr>
        <w:ind w:right="1140"/>
        <w:spacing w:after="0" w:line="268" w:lineRule="auto"/>
        <w:rPr>
          <w:sz w:val="20"/>
          <w:szCs w:val="20"/>
          <w:color w:val="auto"/>
        </w:rPr>
      </w:pPr>
      <w:r>
        <w:rPr>
          <w:rFonts w:ascii="Arial" w:cs="Arial" w:eastAsia="Arial" w:hAnsi="Arial"/>
          <w:sz w:val="16"/>
          <w:szCs w:val="16"/>
          <w:color w:val="auto"/>
        </w:rPr>
        <w:t>Robust executive officer and director 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29845</wp:posOffset>
            </wp:positionV>
            <wp:extent cx="279781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797810" cy="8255"/>
                    </a:xfrm>
                    <a:prstGeom prst="rect">
                      <a:avLst/>
                    </a:prstGeom>
                    <a:noFill/>
                  </pic:spPr>
                </pic:pic>
              </a:graphicData>
            </a:graphic>
          </wp:anchor>
        </w:drawing>
        <w:drawing>
          <wp:anchor simplePos="0" relativeHeight="251657728" behindDoc="1" locked="0" layoutInCell="0" allowOverlap="1">
            <wp:simplePos x="0" y="0"/>
            <wp:positionH relativeFrom="column">
              <wp:posOffset>-193040</wp:posOffset>
            </wp:positionH>
            <wp:positionV relativeFrom="paragraph">
              <wp:posOffset>-252730</wp:posOffset>
            </wp:positionV>
            <wp:extent cx="99695" cy="749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99695" cy="74930"/>
                    </a:xfrm>
                    <a:prstGeom prst="rect">
                      <a:avLst/>
                    </a:prstGeom>
                    <a:noFill/>
                  </pic:spPr>
                </pic:pic>
              </a:graphicData>
            </a:graphic>
          </wp:anchor>
        </w:drawing>
      </w:r>
    </w:p>
    <w:p>
      <w:pPr>
        <w:spacing w:after="0" w:line="107" w:lineRule="exact"/>
        <w:rPr>
          <w:sz w:val="20"/>
          <w:szCs w:val="20"/>
          <w:color w:val="auto"/>
        </w:rPr>
      </w:pPr>
    </w:p>
    <w:p>
      <w:pPr>
        <w:ind w:right="160"/>
        <w:spacing w:after="0" w:line="254" w:lineRule="auto"/>
        <w:rPr>
          <w:sz w:val="20"/>
          <w:szCs w:val="20"/>
          <w:color w:val="auto"/>
        </w:rPr>
      </w:pPr>
      <w:r>
        <w:rPr>
          <w:rFonts w:ascii="Arial" w:cs="Arial" w:eastAsia="Arial" w:hAnsi="Arial"/>
          <w:sz w:val="16"/>
          <w:szCs w:val="16"/>
          <w:color w:val="auto"/>
        </w:rPr>
        <w:t>Annual Board and committee self-evaluations and bi-annual individual meetings between the Board Chair and each committee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-362585</wp:posOffset>
            </wp:positionV>
            <wp:extent cx="99695" cy="749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99695" cy="749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80" w:space="560"/>
            <w:col w:w="4100"/>
          </w:cols>
          <w:pgMar w:left="1420" w:top="116" w:right="1439" w:bottom="1440" w:gutter="0" w:footer="0" w:header="0"/>
          <w:type w:val="continuous"/>
        </w:sect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3"/>
          <w:szCs w:val="23"/>
          <w:b w:val="1"/>
          <w:bCs w:val="1"/>
          <w:color w:val="292F72"/>
        </w:rPr>
        <w:t xml:space="preserve">Our Executive Compensation Program Aligns Pay-for-Performance </w:t>
      </w:r>
      <w:r>
        <w:rPr>
          <w:rFonts w:ascii="Arial" w:cs="Arial" w:eastAsia="Arial" w:hAnsi="Arial"/>
          <w:sz w:val="15"/>
          <w:szCs w:val="15"/>
          <w:b w:val="1"/>
          <w:bCs w:val="1"/>
          <w:color w:val="292F72"/>
        </w:rPr>
        <w:t>(See Page</w:t>
      </w:r>
      <w:r>
        <w:rPr>
          <w:rFonts w:ascii="Arial" w:cs="Arial" w:eastAsia="Arial" w:hAnsi="Arial"/>
          <w:sz w:val="23"/>
          <w:szCs w:val="23"/>
          <w:b w:val="1"/>
          <w:bCs w:val="1"/>
          <w:color w:val="292F72"/>
        </w:rPr>
        <w:t xml:space="preserve"> </w:t>
      </w:r>
      <w:r>
        <w:rPr>
          <w:rFonts w:ascii="Arial" w:cs="Arial" w:eastAsia="Arial" w:hAnsi="Arial"/>
          <w:sz w:val="15"/>
          <w:szCs w:val="15"/>
          <w:b w:val="1"/>
          <w:bCs w:val="1"/>
          <w:u w:val="single" w:color="auto"/>
          <w:color w:val="0000EE"/>
        </w:rPr>
        <w:t>29</w:t>
      </w:r>
      <w:r>
        <w:rPr>
          <w:rFonts w:ascii="Arial" w:cs="Arial" w:eastAsia="Arial" w:hAnsi="Arial"/>
          <w:sz w:val="15"/>
          <w:szCs w:val="15"/>
          <w:b w:val="1"/>
          <w:bCs w:val="1"/>
          <w:color w:val="292F72"/>
        </w:rPr>
        <w:t>)</w:t>
      </w:r>
    </w:p>
    <w:p>
      <w:pPr>
        <w:spacing w:after="0" w:line="135" w:lineRule="exact"/>
        <w:rPr>
          <w:sz w:val="20"/>
          <w:szCs w:val="20"/>
          <w:color w:val="auto"/>
        </w:rPr>
      </w:pPr>
    </w:p>
    <w:p>
      <w:pPr>
        <w:ind w:right="120"/>
        <w:spacing w:after="0" w:line="271" w:lineRule="auto"/>
        <w:rPr>
          <w:sz w:val="20"/>
          <w:szCs w:val="20"/>
          <w:color w:val="auto"/>
        </w:rPr>
      </w:pPr>
      <w:r>
        <w:rPr>
          <w:rFonts w:ascii="Arial" w:cs="Arial" w:eastAsia="Arial" w:hAnsi="Arial"/>
          <w:sz w:val="15"/>
          <w:szCs w:val="15"/>
          <w:color w:val="auto"/>
        </w:rPr>
        <w:t>Our executive compensation program is designed to emphasize pay-for-performance and to provide a meaningful and direct link between the interests of our named executive officers (“NEOs”) and those of our shareholders. We employ a pay mix philosophy that focuses on performance-based compensation, and we utilize rigorous performance metrics that align with our strategic direction, provide balance between top-line growth and profitability and are designed to drive total shareholder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112395</wp:posOffset>
            </wp:positionV>
            <wp:extent cx="57372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37225" cy="8255"/>
                    </a:xfrm>
                    <a:prstGeom prst="rect">
                      <a:avLst/>
                    </a:prstGeom>
                    <a:noFill/>
                  </pic:spPr>
                </pic:pic>
              </a:graphicData>
            </a:graphic>
          </wp:anchor>
        </w:drawing>
      </w:r>
    </w:p>
    <w:p>
      <w:pPr>
        <w:spacing w:after="0" w:line="253" w:lineRule="exact"/>
        <w:rPr>
          <w:sz w:val="20"/>
          <w:szCs w:val="20"/>
          <w:color w:val="auto"/>
        </w:rPr>
      </w:pPr>
    </w:p>
    <w:p>
      <w:pPr>
        <w:jc w:val="right"/>
        <w:spacing w:after="0"/>
        <w:rPr>
          <w:sz w:val="20"/>
          <w:szCs w:val="20"/>
          <w:color w:val="auto"/>
        </w:rPr>
      </w:pPr>
      <w:r>
        <w:rPr>
          <w:rFonts w:ascii="Arial" w:cs="Arial" w:eastAsia="Arial" w:hAnsi="Arial"/>
          <w:sz w:val="14"/>
          <w:szCs w:val="14"/>
          <w:color w:val="292F72"/>
        </w:rPr>
        <w:t>Bath &amp; Body Works, Inc.</w:t>
      </w:r>
      <w:r>
        <w:rPr>
          <w:rFonts w:ascii="Arial" w:cs="Arial" w:eastAsia="Arial" w:hAnsi="Arial"/>
          <w:sz w:val="14"/>
          <w:szCs w:val="14"/>
          <w:color w:val="6D8CC3"/>
        </w:rPr>
        <w:t xml:space="preserve">   | </w:t>
      </w:r>
      <w:r>
        <w:rPr>
          <w:rFonts w:ascii="Arial" w:cs="Arial" w:eastAsia="Arial" w:hAnsi="Arial"/>
          <w:sz w:val="14"/>
          <w:szCs w:val="14"/>
          <w:color w:val="292F72"/>
        </w:rPr>
        <w:t xml:space="preserve">  2026 Proxy Statement     </w:t>
      </w:r>
      <w:r>
        <w:rPr>
          <w:rFonts w:ascii="Arial" w:cs="Arial" w:eastAsia="Arial" w:hAnsi="Arial"/>
          <w:sz w:val="14"/>
          <w:szCs w:val="14"/>
          <w:b w:val="1"/>
          <w:bCs w:val="1"/>
          <w:color w:val="292F72"/>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153670</wp:posOffset>
            </wp:positionV>
            <wp:extent cx="6795135" cy="165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795135" cy="16510"/>
                    </a:xfrm>
                    <a:prstGeom prst="rect">
                      <a:avLst/>
                    </a:prstGeom>
                    <a:noFill/>
                  </pic:spPr>
                </pic:pic>
              </a:graphicData>
            </a:graphic>
          </wp:anchor>
        </w:drawing>
      </w:r>
    </w:p>
    <w:p>
      <w:pPr>
        <w:sectPr>
          <w:pgSz w:w="11900" w:h="16838" w:orient="portrait"/>
          <w:cols w:equalWidth="0" w:num="1">
            <w:col w:w="9040"/>
          </w:cols>
          <w:pgMar w:left="1420" w:top="116" w:right="14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8" w:lineRule="exact"/>
        <w:rPr>
          <w:sz w:val="20"/>
          <w:szCs w:val="20"/>
          <w:color w:val="auto"/>
        </w:rPr>
      </w:pPr>
    </w:p>
    <w:p>
      <w:pPr>
        <w:ind w:right="200"/>
        <w:spacing w:after="0" w:line="285" w:lineRule="auto"/>
        <w:rPr>
          <w:sz w:val="20"/>
          <w:szCs w:val="20"/>
          <w:color w:val="auto"/>
        </w:rPr>
      </w:pPr>
      <w:r>
        <w:rPr>
          <w:rFonts w:ascii="Arial" w:cs="Arial" w:eastAsia="Arial" w:hAnsi="Arial"/>
          <w:sz w:val="38"/>
          <w:szCs w:val="38"/>
          <w:color w:val="292F72"/>
        </w:rPr>
        <w:t>Safe Harbor Statement Under the Private Securities Litigation Reform Act of 1995</w:t>
      </w:r>
    </w:p>
    <w:p>
      <w:pPr>
        <w:spacing w:after="0" w:line="31"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We caution that any forward-looking statements (as such term is defined in the Private Securities Litigation Reform Act of 1995) contained in this proxy statement or made by our Company or our management involve risks and uncertainties and are subject to change based on various factors, many of which are beyond our control. Accordingly, our future performance and financial results may differ materially from those expressed or implied in any such forward-looking statements. Words such as “estimate,” “project,” “plan,” “believe,” “expect,” “anticipate,” “intend,” “potential,” “target,” “goal” and any similar expressions may identify forward-looking statements. The forward-looking statements contained in this proxy statement are subject to certain risks, uncertainties and other factors that could affect our financial performance and actual results and could cause actual results to differ materially from those expressed or implied in any forward-looking statements included in this proxy statement or otherwise made by our Company or our management. We are not under any obligation and do not intend to make publicly available any update or other revisions to any of the forward-looking statements contained in this proxy statement to reflect circumstances existing after the filing date of this proxy statement or to reflect the occurrence of future events even if experience or future events make it clear that any expected results expressed or implied by those forward-looking statements will not be realized. Additional information regarding these and other factors can be found in “Item 1A. Risk Factors” in the Company’s 2025 Annual Report on Form 10-K for the fiscal year ended January 31, 2026 (the “2025 10-K”), as filed with the Securities and Exchange Commission (the “Commission”), and our subsequent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57372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37225" cy="8255"/>
                    </a:xfrm>
                    <a:prstGeom prst="rect">
                      <a:avLst/>
                    </a:prstGeom>
                    <a:noFill/>
                  </pic:spPr>
                </pic:pic>
              </a:graphicData>
            </a:graphic>
          </wp:anchor>
        </w:drawing>
      </w: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b w:val="1"/>
          <w:bCs w:val="1"/>
          <w:color w:val="292F72"/>
        </w:rPr>
        <w:t>4</w:t>
      </w:r>
      <w:r>
        <w:rPr>
          <w:rFonts w:ascii="Arial" w:cs="Arial" w:eastAsia="Arial" w:hAnsi="Arial"/>
          <w:sz w:val="14"/>
          <w:szCs w:val="14"/>
          <w:color w:val="292F72"/>
        </w:rPr>
        <w:t xml:space="preserve">     Bath &amp; Body Works, Inc.</w:t>
      </w:r>
      <w:r>
        <w:rPr>
          <w:rFonts w:ascii="Arial" w:cs="Arial" w:eastAsia="Arial" w:hAnsi="Arial"/>
          <w:sz w:val="14"/>
          <w:szCs w:val="14"/>
          <w:color w:val="6D8CC3"/>
        </w:rPr>
        <w:t xml:space="preserve">   | </w:t>
      </w:r>
      <w:r>
        <w:rPr>
          <w:rFonts w:ascii="Arial" w:cs="Arial" w:eastAsia="Arial" w:hAnsi="Arial"/>
          <w:sz w:val="14"/>
          <w:szCs w:val="14"/>
          <w:b w:val="1"/>
          <w:bCs w:val="1"/>
          <w:color w:val="292F72"/>
        </w:rPr>
        <w:t xml:space="preserve">  </w:t>
      </w:r>
      <w:r>
        <w:rPr>
          <w:rFonts w:ascii="Arial" w:cs="Arial" w:eastAsia="Arial" w:hAnsi="Arial"/>
          <w:sz w:val="14"/>
          <w:szCs w:val="14"/>
          <w:color w:val="292F72"/>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170180</wp:posOffset>
            </wp:positionV>
            <wp:extent cx="6795135" cy="165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795135" cy="16510"/>
                    </a:xfrm>
                    <a:prstGeom prst="rect">
                      <a:avLst/>
                    </a:prstGeom>
                    <a:noFill/>
                  </pic:spPr>
                </pic:pic>
              </a:graphicData>
            </a:graphic>
          </wp:anchor>
        </w:drawing>
      </w:r>
    </w:p>
    <w:p>
      <w:pPr>
        <w:sectPr>
          <w:pgSz w:w="11900" w:h="16838" w:orient="portrait"/>
          <w:cols w:equalWidth="0" w:num="1">
            <w:col w:w="9040"/>
          </w:cols>
          <w:pgMar w:left="1420" w:top="116" w:right="1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113030</wp:posOffset>
            </wp:positionV>
            <wp:extent cx="6803390" cy="87934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03390" cy="8793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840"/>
        <w:spacing w:after="0"/>
        <w:rPr>
          <w:sz w:val="20"/>
          <w:szCs w:val="20"/>
          <w:color w:val="auto"/>
        </w:rPr>
      </w:pPr>
      <w:r>
        <w:rPr>
          <w:rFonts w:ascii="Arial" w:cs="Arial" w:eastAsia="Arial" w:hAnsi="Arial"/>
          <w:sz w:val="38"/>
          <w:szCs w:val="38"/>
          <w:color w:val="FFFFFF"/>
        </w:rPr>
        <w:t>Election of Directors</w:t>
      </w:r>
    </w:p>
    <w:p>
      <w:pPr>
        <w:spacing w:after="0" w:line="47" w:lineRule="exact"/>
        <w:rPr>
          <w:sz w:val="20"/>
          <w:szCs w:val="20"/>
          <w:color w:val="auto"/>
        </w:rPr>
      </w:pPr>
    </w:p>
    <w:p>
      <w:pPr>
        <w:ind w:left="840"/>
        <w:spacing w:after="0"/>
        <w:rPr>
          <w:sz w:val="20"/>
          <w:szCs w:val="20"/>
          <w:color w:val="auto"/>
        </w:rPr>
      </w:pPr>
      <w:r>
        <w:rPr>
          <w:rFonts w:ascii="Arial" w:cs="Arial" w:eastAsia="Arial" w:hAnsi="Arial"/>
          <w:sz w:val="30"/>
          <w:szCs w:val="30"/>
          <w:color w:val="FFFFFF"/>
        </w:rPr>
        <w:t>(Item 1 on the Proxy Card)</w:t>
      </w:r>
    </w:p>
    <w:p>
      <w:pPr>
        <w:spacing w:after="0" w:line="296" w:lineRule="exact"/>
        <w:rPr>
          <w:sz w:val="20"/>
          <w:szCs w:val="20"/>
          <w:color w:val="auto"/>
        </w:rPr>
      </w:pPr>
    </w:p>
    <w:p>
      <w:pPr>
        <w:ind w:left="840" w:right="3240"/>
        <w:spacing w:after="0" w:line="258" w:lineRule="auto"/>
        <w:rPr>
          <w:sz w:val="20"/>
          <w:szCs w:val="20"/>
          <w:color w:val="auto"/>
        </w:rPr>
      </w:pPr>
      <w:r>
        <w:rPr>
          <w:rFonts w:ascii="Arial" w:cs="Arial" w:eastAsia="Arial" w:hAnsi="Arial"/>
          <w:sz w:val="19"/>
          <w:szCs w:val="19"/>
          <w:color w:val="FFFFFF"/>
        </w:rPr>
        <w:t>Our Board is elected annually by our shareholders and currently has ten members. Each director is, and throughout his or her service during fiscal 2025 was, independent in accordance with applicable New York Stock Exchange (“NYSE”) standards other than Daniel Heaf, our Chief Executive Officer.</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840"/>
        <w:spacing w:after="0"/>
        <w:rPr>
          <w:sz w:val="20"/>
          <w:szCs w:val="20"/>
          <w:color w:val="auto"/>
        </w:rPr>
      </w:pPr>
      <w:r>
        <w:rPr>
          <w:rFonts w:ascii="Arial" w:cs="Arial" w:eastAsia="Arial" w:hAnsi="Arial"/>
          <w:sz w:val="28"/>
          <w:szCs w:val="28"/>
          <w:color w:val="FFFFFF"/>
        </w:rPr>
        <w:t>In this Section</w:t>
      </w:r>
    </w:p>
    <w:p>
      <w:pPr>
        <w:spacing w:after="0" w:line="344" w:lineRule="exact"/>
        <w:rPr>
          <w:sz w:val="20"/>
          <w:szCs w:val="20"/>
          <w:color w:val="auto"/>
        </w:rPr>
      </w:pPr>
    </w:p>
    <w:p>
      <w:pPr>
        <w:ind w:left="1200" w:hanging="243"/>
        <w:spacing w:after="0"/>
        <w:tabs>
          <w:tab w:leader="none" w:pos="1200" w:val="left"/>
        </w:tabs>
        <w:numPr>
          <w:ilvl w:val="0"/>
          <w:numId w:val="30"/>
        </w:numPr>
        <w:rPr>
          <w:rFonts w:ascii="Arial" w:cs="Arial" w:eastAsia="Arial" w:hAnsi="Arial"/>
          <w:sz w:val="19"/>
          <w:szCs w:val="19"/>
          <w:u w:val="single" w:color="auto"/>
          <w:color w:val="0000EE"/>
        </w:rPr>
      </w:pPr>
      <w:r>
        <w:rPr>
          <w:rFonts w:ascii="Arial" w:cs="Arial" w:eastAsia="Arial" w:hAnsi="Arial"/>
          <w:sz w:val="19"/>
          <w:szCs w:val="19"/>
          <w:u w:val="single" w:color="auto"/>
          <w:color w:val="0000EE"/>
        </w:rPr>
        <w:t>The Board’s 2026 Director Nominees</w:t>
      </w:r>
    </w:p>
    <w:p>
      <w:pPr>
        <w:spacing w:after="0" w:line="319" w:lineRule="exact"/>
        <w:rPr>
          <w:rFonts w:ascii="Arial" w:cs="Arial" w:eastAsia="Arial" w:hAnsi="Arial"/>
          <w:sz w:val="19"/>
          <w:szCs w:val="19"/>
          <w:u w:val="single" w:color="auto"/>
          <w:color w:val="0000EE"/>
        </w:rPr>
      </w:pPr>
    </w:p>
    <w:p>
      <w:pPr>
        <w:ind w:left="960"/>
        <w:spacing w:after="0"/>
        <w:rPr>
          <w:rFonts w:ascii="Arial" w:cs="Arial" w:eastAsia="Arial" w:hAnsi="Arial"/>
          <w:sz w:val="19"/>
          <w:szCs w:val="19"/>
          <w:u w:val="single" w:color="auto"/>
          <w:color w:val="0000EE"/>
        </w:rPr>
      </w:pPr>
      <w:r>
        <w:rPr>
          <w:rFonts w:ascii="Arial" w:cs="Arial" w:eastAsia="Arial" w:hAnsi="Arial"/>
          <w:sz w:val="19"/>
          <w:szCs w:val="19"/>
          <w:u w:val="single" w:color="auto"/>
          <w:color w:val="0000EE"/>
        </w:rPr>
        <w:t>7  Qualifications and Skills</w:t>
      </w:r>
    </w:p>
    <w:p>
      <w:pPr>
        <w:spacing w:after="0" w:line="319" w:lineRule="exact"/>
        <w:rPr>
          <w:rFonts w:ascii="Arial" w:cs="Arial" w:eastAsia="Arial" w:hAnsi="Arial"/>
          <w:sz w:val="19"/>
          <w:szCs w:val="19"/>
          <w:u w:val="single" w:color="auto"/>
          <w:color w:val="0000EE"/>
        </w:rPr>
      </w:pPr>
    </w:p>
    <w:p>
      <w:pPr>
        <w:ind w:left="960"/>
        <w:spacing w:after="0"/>
        <w:rPr>
          <w:rFonts w:ascii="Arial" w:cs="Arial" w:eastAsia="Arial" w:hAnsi="Arial"/>
          <w:sz w:val="19"/>
          <w:szCs w:val="19"/>
          <w:u w:val="single" w:color="auto"/>
          <w:color w:val="0000EE"/>
        </w:rPr>
      </w:pPr>
      <w:r>
        <w:rPr>
          <w:rFonts w:ascii="Arial" w:cs="Arial" w:eastAsia="Arial" w:hAnsi="Arial"/>
          <w:sz w:val="19"/>
          <w:szCs w:val="19"/>
          <w:u w:val="single" w:color="auto"/>
          <w:color w:val="0000EE"/>
        </w:rPr>
        <w:t>7  A Broadly Representative Board</w:t>
      </w:r>
    </w:p>
    <w:p>
      <w:pPr>
        <w:spacing w:after="0" w:line="319" w:lineRule="exact"/>
        <w:rPr>
          <w:rFonts w:ascii="Arial" w:cs="Arial" w:eastAsia="Arial" w:hAnsi="Arial"/>
          <w:sz w:val="19"/>
          <w:szCs w:val="19"/>
          <w:u w:val="single" w:color="auto"/>
          <w:color w:val="0000EE"/>
        </w:rPr>
      </w:pPr>
    </w:p>
    <w:p>
      <w:pPr>
        <w:ind w:left="960"/>
        <w:spacing w:after="0"/>
        <w:rPr>
          <w:rFonts w:ascii="Arial" w:cs="Arial" w:eastAsia="Arial" w:hAnsi="Arial"/>
          <w:sz w:val="19"/>
          <w:szCs w:val="19"/>
          <w:u w:val="single" w:color="auto"/>
          <w:color w:val="0000EE"/>
        </w:rPr>
      </w:pPr>
      <w:r>
        <w:rPr>
          <w:rFonts w:ascii="Arial" w:cs="Arial" w:eastAsia="Arial" w:hAnsi="Arial"/>
          <w:sz w:val="19"/>
          <w:szCs w:val="19"/>
          <w:u w:val="single" w:color="auto"/>
          <w:color w:val="0000EE"/>
        </w:rPr>
        <w:t>8  Board Nominees</w:t>
      </w:r>
    </w:p>
    <w:p>
      <w:pPr>
        <w:spacing w:after="0" w:line="319" w:lineRule="exact"/>
        <w:rPr>
          <w:sz w:val="20"/>
          <w:szCs w:val="20"/>
          <w:color w:val="auto"/>
        </w:rPr>
      </w:pPr>
    </w:p>
    <w:p>
      <w:pPr>
        <w:ind w:left="860"/>
        <w:spacing w:after="0"/>
        <w:rPr>
          <w:sz w:val="20"/>
          <w:szCs w:val="20"/>
          <w:color w:val="auto"/>
        </w:rPr>
      </w:pPr>
      <w:r>
        <w:rPr>
          <w:rFonts w:ascii="Arial" w:cs="Arial" w:eastAsia="Arial" w:hAnsi="Arial"/>
          <w:sz w:val="19"/>
          <w:szCs w:val="19"/>
          <w:u w:val="single" w:color="auto"/>
          <w:color w:val="0000EE"/>
        </w:rPr>
        <w:t>13  Director Independence</w:t>
      </w:r>
    </w:p>
    <w:p>
      <w:pPr>
        <w:spacing w:after="0" w:line="319" w:lineRule="exact"/>
        <w:rPr>
          <w:sz w:val="20"/>
          <w:szCs w:val="20"/>
          <w:color w:val="auto"/>
        </w:rPr>
      </w:pPr>
    </w:p>
    <w:p>
      <w:pPr>
        <w:ind w:left="1200" w:right="5580" w:hanging="350"/>
        <w:spacing w:after="0" w:line="269" w:lineRule="auto"/>
        <w:tabs>
          <w:tab w:leader="none" w:pos="1200" w:val="left"/>
        </w:tabs>
        <w:numPr>
          <w:ilvl w:val="0"/>
          <w:numId w:val="31"/>
        </w:numPr>
        <w:rPr>
          <w:rFonts w:ascii="Arial" w:cs="Arial" w:eastAsia="Arial" w:hAnsi="Arial"/>
          <w:sz w:val="19"/>
          <w:szCs w:val="19"/>
          <w:u w:val="single" w:color="auto"/>
          <w:color w:val="0000EE"/>
        </w:rPr>
      </w:pPr>
      <w:r>
        <w:rPr>
          <w:rFonts w:ascii="Arial" w:cs="Arial" w:eastAsia="Arial" w:hAnsi="Arial"/>
          <w:sz w:val="19"/>
          <w:szCs w:val="19"/>
          <w:u w:val="single" w:color="auto"/>
          <w:color w:val="0000EE"/>
        </w:rPr>
        <w:t>Board Refreshment and Selection of Director Nominees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right"/>
        <w:spacing w:after="0"/>
        <w:rPr>
          <w:sz w:val="20"/>
          <w:szCs w:val="20"/>
          <w:color w:val="auto"/>
        </w:rPr>
      </w:pPr>
      <w:r>
        <w:rPr>
          <w:rFonts w:ascii="Arial" w:cs="Arial" w:eastAsia="Arial" w:hAnsi="Arial"/>
          <w:sz w:val="14"/>
          <w:szCs w:val="14"/>
          <w:color w:val="FFFFFF"/>
        </w:rPr>
        <w:t xml:space="preserve">Bath &amp; Body Works, Inc.   |   2026 Proxy Statement     </w:t>
      </w:r>
      <w:r>
        <w:rPr>
          <w:rFonts w:ascii="Arial" w:cs="Arial" w:eastAsia="Arial" w:hAnsi="Arial"/>
          <w:sz w:val="14"/>
          <w:szCs w:val="14"/>
          <w:b w:val="1"/>
          <w:bCs w:val="1"/>
          <w:color w:val="FFFFFF"/>
        </w:rPr>
        <w:t>5</w:t>
      </w:r>
    </w:p>
    <w:p>
      <w:pPr>
        <w:sectPr>
          <w:pgSz w:w="11900" w:h="16838" w:orient="portrait"/>
          <w:cols w:equalWidth="0" w:num="1">
            <w:col w:w="9880"/>
          </w:cols>
          <w:pgMar w:left="580" w:top="116" w:right="1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6"/>
          <w:szCs w:val="16"/>
          <w:color w:val="292F72"/>
        </w:rPr>
        <w:t>Election of</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6"/>
          <w:szCs w:val="16"/>
          <w:color w:val="292F72"/>
        </w:rPr>
        <w:t>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907415" cy="330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907415" cy="3302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23"/>
          <w:szCs w:val="23"/>
          <w:b w:val="1"/>
          <w:bCs w:val="1"/>
          <w:color w:val="292F72"/>
        </w:rPr>
        <w:t>The Board’s 2026 Director Nominees</w:t>
      </w:r>
    </w:p>
    <w:p>
      <w:pPr>
        <w:spacing w:after="0" w:line="69" w:lineRule="exact"/>
        <w:rPr>
          <w:sz w:val="20"/>
          <w:szCs w:val="20"/>
          <w:color w:val="auto"/>
        </w:rPr>
      </w:pPr>
    </w:p>
    <w:p>
      <w:pPr>
        <w:ind w:right="279"/>
        <w:spacing w:after="0" w:line="249" w:lineRule="auto"/>
        <w:rPr>
          <w:sz w:val="20"/>
          <w:szCs w:val="20"/>
          <w:color w:val="auto"/>
        </w:rPr>
      </w:pPr>
      <w:r>
        <w:rPr>
          <w:rFonts w:ascii="Arial" w:cs="Arial" w:eastAsia="Arial" w:hAnsi="Arial"/>
          <w:sz w:val="16"/>
          <w:szCs w:val="16"/>
          <w:color w:val="auto"/>
        </w:rPr>
        <w:t>The Nominating &amp; Governance Committee is responsible for considering candidates for the Board and recommending director nominees for the Board. After evaluating the performance, qualifications, skills and experience of each of the current Board members and the composition of our full Board, based upon the recommendations of the Nominating &amp; Governance Committee, the Board has recommended the election of ten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39370</wp:posOffset>
            </wp:positionV>
            <wp:extent cx="5737225" cy="6743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737225" cy="674370"/>
                    </a:xfrm>
                    <a:prstGeom prst="rect">
                      <a:avLst/>
                    </a:prstGeom>
                    <a:noFill/>
                  </pic:spPr>
                </pic:pic>
              </a:graphicData>
            </a:graphic>
          </wp:anchor>
        </w:drawing>
      </w:r>
    </w:p>
    <w:p>
      <w:pPr>
        <w:spacing w:after="0" w:line="181" w:lineRule="exact"/>
        <w:rPr>
          <w:sz w:val="20"/>
          <w:szCs w:val="20"/>
          <w:color w:val="auto"/>
        </w:rPr>
      </w:pPr>
    </w:p>
    <w:p>
      <w:pPr>
        <w:ind w:left="840"/>
        <w:spacing w:after="0"/>
        <w:rPr>
          <w:sz w:val="20"/>
          <w:szCs w:val="20"/>
          <w:color w:val="auto"/>
        </w:rPr>
      </w:pPr>
      <w:r>
        <w:rPr>
          <w:rFonts w:ascii="Arial" w:cs="Arial" w:eastAsia="Arial" w:hAnsi="Arial"/>
          <w:sz w:val="23"/>
          <w:szCs w:val="23"/>
          <w:b w:val="1"/>
          <w:bCs w:val="1"/>
          <w:color w:val="292F72"/>
        </w:rPr>
        <w:t>THE BOARD UNANIMOUSLY RECOMMENDS THAT SHAREHOLDERS</w:t>
      </w:r>
    </w:p>
    <w:p>
      <w:pPr>
        <w:spacing w:after="0" w:line="33" w:lineRule="exact"/>
        <w:rPr>
          <w:sz w:val="20"/>
          <w:szCs w:val="20"/>
          <w:color w:val="auto"/>
        </w:rPr>
      </w:pPr>
    </w:p>
    <w:p>
      <w:pPr>
        <w:ind w:left="840" w:right="959" w:hanging="676"/>
        <w:spacing w:after="0" w:line="203" w:lineRule="auto"/>
        <w:tabs>
          <w:tab w:leader="none" w:pos="840" w:val="left"/>
        </w:tabs>
        <w:numPr>
          <w:ilvl w:val="0"/>
          <w:numId w:val="32"/>
        </w:numPr>
        <w:rPr>
          <w:rFonts w:ascii="Arial" w:cs="Arial" w:eastAsia="Arial" w:hAnsi="Arial"/>
          <w:sz w:val="35"/>
          <w:szCs w:val="35"/>
          <w:color w:val="auto"/>
          <w:vertAlign w:val="subscript"/>
        </w:rPr>
      </w:pPr>
      <w:r>
        <w:rPr>
          <w:rFonts w:ascii="Arial" w:cs="Arial" w:eastAsia="Arial" w:hAnsi="Arial"/>
          <w:sz w:val="23"/>
          <w:szCs w:val="23"/>
          <w:b w:val="1"/>
          <w:bCs w:val="1"/>
          <w:color w:val="292F72"/>
        </w:rPr>
        <w:t xml:space="preserve">VOTE </w:t>
      </w:r>
      <w:r>
        <w:rPr>
          <w:rFonts w:ascii="Arial" w:cs="Arial" w:eastAsia="Arial" w:hAnsi="Arial"/>
          <w:sz w:val="23"/>
          <w:szCs w:val="23"/>
          <w:b w:val="1"/>
          <w:bCs w:val="1"/>
          <w:color w:val="6D8CC3"/>
        </w:rPr>
        <w:t>“FOR”</w:t>
      </w:r>
      <w:r>
        <w:rPr>
          <w:rFonts w:ascii="Arial" w:cs="Arial" w:eastAsia="Arial" w:hAnsi="Arial"/>
          <w:sz w:val="23"/>
          <w:szCs w:val="23"/>
          <w:b w:val="1"/>
          <w:bCs w:val="1"/>
          <w:color w:val="292F72"/>
        </w:rPr>
        <w:t xml:space="preserve"> THE ELECTION OF EACH OF THE NOMINEES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238760</wp:posOffset>
            </wp:positionV>
            <wp:extent cx="824230" cy="9410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24230" cy="941070"/>
                    </a:xfrm>
                    <a:prstGeom prst="rect">
                      <a:avLst/>
                    </a:prstGeom>
                    <a:noFill/>
                  </pic:spPr>
                </pic:pic>
              </a:graphicData>
            </a:graphic>
          </wp:anchor>
        </w:drawing>
        <w:drawing>
          <wp:anchor simplePos="0" relativeHeight="251657728" behindDoc="1" locked="0" layoutInCell="0" allowOverlap="1">
            <wp:simplePos x="0" y="0"/>
            <wp:positionH relativeFrom="column">
              <wp:posOffset>3260090</wp:posOffset>
            </wp:positionH>
            <wp:positionV relativeFrom="paragraph">
              <wp:posOffset>238760</wp:posOffset>
            </wp:positionV>
            <wp:extent cx="824230" cy="9410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24230" cy="941070"/>
                    </a:xfrm>
                    <a:prstGeom prst="rect">
                      <a:avLst/>
                    </a:prstGeom>
                    <a:noFill/>
                  </pic:spPr>
                </pic:pic>
              </a:graphicData>
            </a:graphic>
          </wp:anchor>
        </w:drawing>
      </w:r>
    </w:p>
    <w:p>
      <w:pPr>
        <w:sectPr>
          <w:pgSz w:w="11900" w:h="16838" w:orient="portrait"/>
          <w:cols w:equalWidth="0" w:num="1">
            <w:col w:w="9039"/>
          </w:cols>
          <w:pgMar w:left="1420" w:top="116" w:right="1440" w:bottom="1440" w:gutter="0" w:footer="0" w:header="0"/>
        </w:sectPr>
      </w:pPr>
    </w:p>
    <w:p>
      <w:pPr>
        <w:spacing w:after="0" w:line="200" w:lineRule="exact"/>
        <w:rPr>
          <w:sz w:val="20"/>
          <w:szCs w:val="20"/>
          <w:color w:val="auto"/>
        </w:rPr>
      </w:pPr>
    </w:p>
    <w:p>
      <w:pPr>
        <w:spacing w:after="0" w:line="362" w:lineRule="exact"/>
        <w:rPr>
          <w:sz w:val="20"/>
          <w:szCs w:val="20"/>
          <w:color w:val="auto"/>
        </w:rPr>
      </w:pPr>
    </w:p>
    <w:p>
      <w:pPr>
        <w:ind w:left="1500"/>
        <w:spacing w:after="0"/>
        <w:rPr>
          <w:sz w:val="20"/>
          <w:szCs w:val="20"/>
          <w:color w:val="auto"/>
        </w:rPr>
      </w:pPr>
      <w:r>
        <w:rPr>
          <w:rFonts w:ascii="Arial" w:cs="Arial" w:eastAsia="Arial" w:hAnsi="Arial"/>
          <w:sz w:val="19"/>
          <w:szCs w:val="19"/>
          <w:b w:val="1"/>
          <w:bCs w:val="1"/>
          <w:color w:val="292F72"/>
        </w:rPr>
        <w:t>Sarah Nash</w:t>
      </w:r>
    </w:p>
    <w:p>
      <w:pPr>
        <w:spacing w:after="0" w:line="16"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CEO and Owner,</w:t>
      </w:r>
    </w:p>
    <w:p>
      <w:pPr>
        <w:ind w:left="1500"/>
        <w:spacing w:after="0"/>
        <w:rPr>
          <w:sz w:val="20"/>
          <w:szCs w:val="20"/>
          <w:color w:val="auto"/>
        </w:rPr>
      </w:pPr>
      <w:r>
        <w:rPr>
          <w:rFonts w:ascii="Arial" w:cs="Arial" w:eastAsia="Arial" w:hAnsi="Arial"/>
          <w:sz w:val="15"/>
          <w:szCs w:val="15"/>
          <w:color w:val="auto"/>
        </w:rPr>
        <w:t>Novagard Solutions, and</w:t>
      </w:r>
    </w:p>
    <w:p>
      <w:pPr>
        <w:spacing w:after="0" w:line="11"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Board Chair,</w:t>
      </w:r>
    </w:p>
    <w:p>
      <w:pPr>
        <w:ind w:left="1500"/>
        <w:spacing w:after="0"/>
        <w:rPr>
          <w:sz w:val="20"/>
          <w:szCs w:val="20"/>
          <w:color w:val="auto"/>
        </w:rPr>
      </w:pPr>
      <w:r>
        <w:rPr>
          <w:rFonts w:ascii="Arial" w:cs="Arial" w:eastAsia="Arial" w:hAnsi="Arial"/>
          <w:sz w:val="15"/>
          <w:szCs w:val="15"/>
          <w:color w:val="auto"/>
        </w:rPr>
        <w:t>Bath &amp; Body Works, Inc.</w:t>
      </w: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2456180" cy="10160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456180" cy="101600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1500"/>
        <w:spacing w:after="0"/>
        <w:rPr>
          <w:sz w:val="20"/>
          <w:szCs w:val="20"/>
          <w:color w:val="auto"/>
        </w:rPr>
      </w:pPr>
      <w:r>
        <w:rPr>
          <w:rFonts w:ascii="Arial" w:cs="Arial" w:eastAsia="Arial" w:hAnsi="Arial"/>
          <w:sz w:val="19"/>
          <w:szCs w:val="19"/>
          <w:b w:val="1"/>
          <w:bCs w:val="1"/>
          <w:color w:val="292F72"/>
        </w:rPr>
        <w:t>Lucy Brady</w:t>
      </w:r>
    </w:p>
    <w:p>
      <w:pPr>
        <w:spacing w:after="0" w:line="16"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Former President,</w:t>
      </w:r>
    </w:p>
    <w:p>
      <w:pPr>
        <w:ind w:left="1500"/>
        <w:spacing w:after="0"/>
        <w:rPr>
          <w:sz w:val="20"/>
          <w:szCs w:val="20"/>
          <w:color w:val="auto"/>
        </w:rPr>
      </w:pPr>
      <w:r>
        <w:rPr>
          <w:rFonts w:ascii="Arial" w:cs="Arial" w:eastAsia="Arial" w:hAnsi="Arial"/>
          <w:sz w:val="16"/>
          <w:szCs w:val="16"/>
          <w:color w:val="auto"/>
        </w:rPr>
        <w:t>Snacks &amp; Grocery,</w:t>
      </w:r>
    </w:p>
    <w:p>
      <w:pPr>
        <w:ind w:left="1500"/>
        <w:spacing w:after="0"/>
        <w:rPr>
          <w:sz w:val="20"/>
          <w:szCs w:val="20"/>
          <w:color w:val="auto"/>
        </w:rPr>
      </w:pPr>
      <w:r>
        <w:rPr>
          <w:rFonts w:ascii="Arial" w:cs="Arial" w:eastAsia="Arial" w:hAnsi="Arial"/>
          <w:sz w:val="16"/>
          <w:szCs w:val="16"/>
          <w:color w:val="auto"/>
        </w:rPr>
        <w:t>Conagra Brands, Inc.</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2456180" cy="10160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456180" cy="101600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1500"/>
        <w:spacing w:after="0"/>
        <w:rPr>
          <w:sz w:val="20"/>
          <w:szCs w:val="20"/>
          <w:color w:val="auto"/>
        </w:rPr>
      </w:pPr>
      <w:r>
        <w:rPr>
          <w:rFonts w:ascii="Arial" w:cs="Arial" w:eastAsia="Arial" w:hAnsi="Arial"/>
          <w:sz w:val="19"/>
          <w:szCs w:val="19"/>
          <w:b w:val="1"/>
          <w:bCs w:val="1"/>
          <w:color w:val="292F72"/>
        </w:rPr>
        <w:t>Francis Hondal</w:t>
      </w:r>
    </w:p>
    <w:p>
      <w:pPr>
        <w:spacing w:after="0" w:line="16"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Former President,</w:t>
      </w:r>
    </w:p>
    <w:p>
      <w:pPr>
        <w:ind w:left="1500"/>
        <w:spacing w:after="0"/>
        <w:rPr>
          <w:sz w:val="20"/>
          <w:szCs w:val="20"/>
          <w:color w:val="auto"/>
        </w:rPr>
      </w:pPr>
      <w:r>
        <w:rPr>
          <w:rFonts w:ascii="Arial" w:cs="Arial" w:eastAsia="Arial" w:hAnsi="Arial"/>
          <w:sz w:val="16"/>
          <w:szCs w:val="16"/>
          <w:color w:val="auto"/>
        </w:rPr>
        <w:t>Loyalty &amp; Engagement,</w:t>
      </w:r>
    </w:p>
    <w:p>
      <w:pPr>
        <w:ind w:left="1500"/>
        <w:spacing w:after="0"/>
        <w:rPr>
          <w:sz w:val="20"/>
          <w:szCs w:val="20"/>
          <w:color w:val="auto"/>
        </w:rPr>
      </w:pPr>
      <w:r>
        <w:rPr>
          <w:rFonts w:ascii="Arial" w:cs="Arial" w:eastAsia="Arial" w:hAnsi="Arial"/>
          <w:sz w:val="16"/>
          <w:szCs w:val="16"/>
          <w:color w:val="auto"/>
        </w:rPr>
        <w:t>Mastercard Inc.</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2456180" cy="10160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456180" cy="101600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1500"/>
        <w:spacing w:after="0"/>
        <w:rPr>
          <w:sz w:val="20"/>
          <w:szCs w:val="20"/>
          <w:color w:val="auto"/>
        </w:rPr>
      </w:pPr>
      <w:r>
        <w:rPr>
          <w:rFonts w:ascii="Arial" w:cs="Arial" w:eastAsia="Arial" w:hAnsi="Arial"/>
          <w:sz w:val="19"/>
          <w:szCs w:val="19"/>
          <w:b w:val="1"/>
          <w:bCs w:val="1"/>
          <w:color w:val="292F72"/>
        </w:rPr>
        <w:t>Juan Rajlin</w:t>
      </w:r>
    </w:p>
    <w:p>
      <w:pPr>
        <w:spacing w:after="0" w:line="16"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VP &amp; Treasurer,</w:t>
      </w:r>
    </w:p>
    <w:p>
      <w:pPr>
        <w:ind w:left="1500"/>
        <w:spacing w:after="0"/>
        <w:rPr>
          <w:sz w:val="20"/>
          <w:szCs w:val="20"/>
          <w:color w:val="auto"/>
        </w:rPr>
      </w:pPr>
      <w:r>
        <w:rPr>
          <w:rFonts w:ascii="Arial" w:cs="Arial" w:eastAsia="Arial" w:hAnsi="Arial"/>
          <w:sz w:val="16"/>
          <w:szCs w:val="16"/>
          <w:color w:val="auto"/>
        </w:rPr>
        <w:t>Alphabet Inc.</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2456180" cy="10160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456180" cy="101600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1500"/>
        <w:spacing w:after="0"/>
        <w:rPr>
          <w:sz w:val="20"/>
          <w:szCs w:val="20"/>
          <w:color w:val="auto"/>
        </w:rPr>
      </w:pPr>
      <w:r>
        <w:rPr>
          <w:rFonts w:ascii="Arial" w:cs="Arial" w:eastAsia="Arial" w:hAnsi="Arial"/>
          <w:sz w:val="19"/>
          <w:szCs w:val="19"/>
          <w:b w:val="1"/>
          <w:bCs w:val="1"/>
          <w:color w:val="292F72"/>
        </w:rPr>
        <w:t>J.K. Symancyk</w:t>
      </w:r>
    </w:p>
    <w:p>
      <w:pPr>
        <w:spacing w:after="0" w:line="16"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CEO and Director,</w:t>
      </w:r>
    </w:p>
    <w:p>
      <w:pPr>
        <w:ind w:left="1500"/>
        <w:spacing w:after="0"/>
        <w:rPr>
          <w:sz w:val="20"/>
          <w:szCs w:val="20"/>
          <w:color w:val="auto"/>
        </w:rPr>
      </w:pPr>
      <w:r>
        <w:rPr>
          <w:rFonts w:ascii="Arial" w:cs="Arial" w:eastAsia="Arial" w:hAnsi="Arial"/>
          <w:sz w:val="16"/>
          <w:szCs w:val="16"/>
          <w:color w:val="auto"/>
        </w:rPr>
        <w:t>Signet Jewelers Limited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2" w:lineRule="exact"/>
        <w:rPr>
          <w:sz w:val="20"/>
          <w:szCs w:val="20"/>
          <w:color w:val="auto"/>
        </w:rPr>
      </w:pPr>
    </w:p>
    <w:p>
      <w:pPr>
        <w:ind w:left="1520"/>
        <w:spacing w:after="0"/>
        <w:rPr>
          <w:sz w:val="20"/>
          <w:szCs w:val="20"/>
          <w:color w:val="auto"/>
        </w:rPr>
      </w:pPr>
      <w:r>
        <w:rPr>
          <w:rFonts w:ascii="Arial" w:cs="Arial" w:eastAsia="Arial" w:hAnsi="Arial"/>
          <w:sz w:val="19"/>
          <w:szCs w:val="19"/>
          <w:b w:val="1"/>
          <w:bCs w:val="1"/>
          <w:color w:val="292F72"/>
        </w:rPr>
        <w:t>Alessandro Bogliolo</w:t>
      </w:r>
    </w:p>
    <w:p>
      <w:pPr>
        <w:spacing w:after="0" w:line="16"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Former CEO,</w:t>
      </w:r>
    </w:p>
    <w:p>
      <w:pPr>
        <w:ind w:left="1520"/>
        <w:spacing w:after="0"/>
        <w:rPr>
          <w:sz w:val="20"/>
          <w:szCs w:val="20"/>
          <w:color w:val="auto"/>
        </w:rPr>
      </w:pPr>
      <w:r>
        <w:rPr>
          <w:rFonts w:ascii="Arial" w:cs="Arial" w:eastAsia="Arial" w:hAnsi="Arial"/>
          <w:sz w:val="16"/>
          <w:szCs w:val="16"/>
          <w:color w:val="auto"/>
        </w:rPr>
        <w:t>Tiffany &amp; Co.</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2481580" cy="10160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481580" cy="101600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1520"/>
        <w:spacing w:after="0"/>
        <w:rPr>
          <w:sz w:val="20"/>
          <w:szCs w:val="20"/>
          <w:color w:val="auto"/>
        </w:rPr>
      </w:pPr>
      <w:r>
        <w:rPr>
          <w:rFonts w:ascii="Arial" w:cs="Arial" w:eastAsia="Arial" w:hAnsi="Arial"/>
          <w:sz w:val="19"/>
          <w:szCs w:val="19"/>
          <w:b w:val="1"/>
          <w:bCs w:val="1"/>
          <w:color w:val="292F72"/>
        </w:rPr>
        <w:t>Daniel Heaf</w:t>
      </w:r>
    </w:p>
    <w:p>
      <w:pPr>
        <w:spacing w:after="0" w:line="16"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CEO,</w:t>
      </w:r>
    </w:p>
    <w:p>
      <w:pPr>
        <w:ind w:left="1520"/>
        <w:spacing w:after="0"/>
        <w:rPr>
          <w:sz w:val="20"/>
          <w:szCs w:val="20"/>
          <w:color w:val="auto"/>
        </w:rPr>
      </w:pPr>
      <w:r>
        <w:rPr>
          <w:rFonts w:ascii="Arial" w:cs="Arial" w:eastAsia="Arial" w:hAnsi="Arial"/>
          <w:sz w:val="16"/>
          <w:szCs w:val="16"/>
          <w:color w:val="auto"/>
        </w:rPr>
        <w:t>Bath &amp; Body Works, Inc.</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2481580" cy="10160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481580" cy="101600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1520"/>
        <w:spacing w:after="0"/>
        <w:rPr>
          <w:sz w:val="20"/>
          <w:szCs w:val="20"/>
          <w:color w:val="auto"/>
        </w:rPr>
      </w:pPr>
      <w:r>
        <w:rPr>
          <w:rFonts w:ascii="Arial" w:cs="Arial" w:eastAsia="Arial" w:hAnsi="Arial"/>
          <w:sz w:val="19"/>
          <w:szCs w:val="19"/>
          <w:b w:val="1"/>
          <w:bCs w:val="1"/>
          <w:color w:val="292F72"/>
        </w:rPr>
        <w:t>Danielle Lee</w:t>
      </w:r>
    </w:p>
    <w:p>
      <w:pPr>
        <w:spacing w:after="0" w:line="16"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Former President,</w:t>
      </w:r>
    </w:p>
    <w:p>
      <w:pPr>
        <w:ind w:left="1520"/>
        <w:spacing w:after="0"/>
        <w:rPr>
          <w:sz w:val="20"/>
          <w:szCs w:val="20"/>
          <w:color w:val="auto"/>
        </w:rPr>
      </w:pPr>
      <w:r>
        <w:rPr>
          <w:rFonts w:ascii="Arial" w:cs="Arial" w:eastAsia="Arial" w:hAnsi="Arial"/>
          <w:sz w:val="16"/>
          <w:szCs w:val="16"/>
          <w:color w:val="auto"/>
        </w:rPr>
        <w:t>Warner Music Artist &amp;</w:t>
      </w:r>
    </w:p>
    <w:p>
      <w:pPr>
        <w:ind w:left="1520"/>
        <w:spacing w:after="0"/>
        <w:rPr>
          <w:sz w:val="20"/>
          <w:szCs w:val="20"/>
          <w:color w:val="auto"/>
        </w:rPr>
      </w:pPr>
      <w:r>
        <w:rPr>
          <w:rFonts w:ascii="Arial" w:cs="Arial" w:eastAsia="Arial" w:hAnsi="Arial"/>
          <w:sz w:val="16"/>
          <w:szCs w:val="16"/>
          <w:color w:val="auto"/>
        </w:rPr>
        <w:t>Fan Experiences,</w:t>
      </w:r>
    </w:p>
    <w:p>
      <w:pPr>
        <w:ind w:left="1520"/>
        <w:spacing w:after="0"/>
        <w:rPr>
          <w:sz w:val="20"/>
          <w:szCs w:val="20"/>
          <w:color w:val="auto"/>
        </w:rPr>
      </w:pPr>
      <w:r>
        <w:rPr>
          <w:rFonts w:ascii="Arial" w:cs="Arial" w:eastAsia="Arial" w:hAnsi="Arial"/>
          <w:sz w:val="16"/>
          <w:szCs w:val="16"/>
          <w:color w:val="auto"/>
        </w:rPr>
        <w:t>Warner Music Group Corp.</w:t>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2481580" cy="10160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481580" cy="101600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1520"/>
        <w:spacing w:after="0"/>
        <w:rPr>
          <w:sz w:val="20"/>
          <w:szCs w:val="20"/>
          <w:color w:val="auto"/>
        </w:rPr>
      </w:pPr>
      <w:r>
        <w:rPr>
          <w:rFonts w:ascii="Arial" w:cs="Arial" w:eastAsia="Arial" w:hAnsi="Arial"/>
          <w:sz w:val="19"/>
          <w:szCs w:val="19"/>
          <w:b w:val="1"/>
          <w:bCs w:val="1"/>
          <w:color w:val="292F72"/>
        </w:rPr>
        <w:t>Stephen Steinour</w:t>
      </w:r>
    </w:p>
    <w:p>
      <w:pPr>
        <w:spacing w:after="0" w:line="17" w:lineRule="exact"/>
        <w:rPr>
          <w:sz w:val="20"/>
          <w:szCs w:val="20"/>
          <w:color w:val="auto"/>
        </w:rPr>
      </w:pPr>
    </w:p>
    <w:p>
      <w:pPr>
        <w:ind w:left="1520" w:right="379"/>
        <w:spacing w:after="0" w:line="244" w:lineRule="auto"/>
        <w:rPr>
          <w:sz w:val="20"/>
          <w:szCs w:val="20"/>
          <w:color w:val="auto"/>
        </w:rPr>
      </w:pPr>
      <w:r>
        <w:rPr>
          <w:rFonts w:ascii="Arial" w:cs="Arial" w:eastAsia="Arial" w:hAnsi="Arial"/>
          <w:sz w:val="16"/>
          <w:szCs w:val="16"/>
          <w:color w:val="auto"/>
        </w:rPr>
        <w:t>Chairman, President &amp; CEO, Huntington Bancshares Incorporated</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2481580" cy="10160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481580" cy="101600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1520"/>
        <w:spacing w:after="0"/>
        <w:rPr>
          <w:sz w:val="20"/>
          <w:szCs w:val="20"/>
          <w:color w:val="auto"/>
        </w:rPr>
      </w:pPr>
      <w:r>
        <w:rPr>
          <w:rFonts w:ascii="Arial" w:cs="Arial" w:eastAsia="Arial" w:hAnsi="Arial"/>
          <w:sz w:val="19"/>
          <w:szCs w:val="19"/>
          <w:b w:val="1"/>
          <w:bCs w:val="1"/>
          <w:color w:val="292F72"/>
        </w:rPr>
        <w:t>Steven Voskuil</w:t>
      </w:r>
    </w:p>
    <w:p>
      <w:pPr>
        <w:spacing w:after="0" w:line="16"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SVP &amp; CFO,</w:t>
      </w:r>
    </w:p>
    <w:p>
      <w:pPr>
        <w:ind w:left="1520"/>
        <w:spacing w:after="0"/>
        <w:rPr>
          <w:sz w:val="20"/>
          <w:szCs w:val="20"/>
          <w:color w:val="auto"/>
        </w:rPr>
      </w:pPr>
      <w:r>
        <w:rPr>
          <w:rFonts w:ascii="Arial" w:cs="Arial" w:eastAsia="Arial" w:hAnsi="Arial"/>
          <w:sz w:val="16"/>
          <w:szCs w:val="16"/>
          <w:color w:val="auto"/>
        </w:rPr>
        <w:t>The Hershey Company</w:t>
      </w:r>
    </w:p>
    <w:p>
      <w:pPr>
        <w:spacing w:after="0" w:line="200" w:lineRule="exact"/>
        <w:rPr>
          <w:sz w:val="20"/>
          <w:szCs w:val="20"/>
          <w:color w:val="auto"/>
        </w:rPr>
      </w:pPr>
    </w:p>
    <w:p>
      <w:pPr>
        <w:sectPr>
          <w:pgSz w:w="11900" w:h="16838" w:orient="portrait"/>
          <w:cols w:equalWidth="0" w:num="2">
            <w:col w:w="4420" w:space="720"/>
            <w:col w:w="3899"/>
          </w:cols>
          <w:pgMar w:left="1420" w:top="116" w:right="1440" w:bottom="144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spacing w:after="0"/>
        <w:tabs>
          <w:tab w:leader="none" w:pos="5120" w:val="left"/>
        </w:tabs>
        <w:rPr>
          <w:sz w:val="20"/>
          <w:szCs w:val="20"/>
          <w:color w:val="auto"/>
        </w:rPr>
      </w:pPr>
      <w:r>
        <w:rPr>
          <w:rFonts w:ascii="Arial" w:cs="Arial" w:eastAsia="Arial" w:hAnsi="Arial"/>
          <w:sz w:val="16"/>
          <w:szCs w:val="16"/>
          <w:color w:val="auto"/>
        </w:rPr>
        <w:t xml:space="preserve">  </w:t>
      </w:r>
      <w:r>
        <w:rPr>
          <w:sz w:val="20"/>
          <w:szCs w:val="20"/>
          <w:color w:val="auto"/>
        </w:rPr>
        <w:tab/>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wp:posOffset>
            </wp:positionV>
            <wp:extent cx="57372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73722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173990</wp:posOffset>
            </wp:positionV>
            <wp:extent cx="57372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737225" cy="8255"/>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Arial" w:cs="Arial" w:eastAsia="Arial" w:hAnsi="Arial"/>
          <w:sz w:val="14"/>
          <w:szCs w:val="14"/>
          <w:b w:val="1"/>
          <w:bCs w:val="1"/>
          <w:color w:val="292F72"/>
        </w:rPr>
        <w:t>6</w:t>
      </w:r>
      <w:r>
        <w:rPr>
          <w:rFonts w:ascii="Arial" w:cs="Arial" w:eastAsia="Arial" w:hAnsi="Arial"/>
          <w:sz w:val="14"/>
          <w:szCs w:val="14"/>
          <w:color w:val="292F72"/>
        </w:rPr>
        <w:t xml:space="preserve">     Bath &amp; Body Works, Inc.</w:t>
      </w:r>
      <w:r>
        <w:rPr>
          <w:rFonts w:ascii="Arial" w:cs="Arial" w:eastAsia="Arial" w:hAnsi="Arial"/>
          <w:sz w:val="14"/>
          <w:szCs w:val="14"/>
          <w:color w:val="6D8CC3"/>
        </w:rPr>
        <w:t xml:space="preserve">   | </w:t>
      </w:r>
      <w:r>
        <w:rPr>
          <w:rFonts w:ascii="Arial" w:cs="Arial" w:eastAsia="Arial" w:hAnsi="Arial"/>
          <w:sz w:val="14"/>
          <w:szCs w:val="14"/>
          <w:b w:val="1"/>
          <w:bCs w:val="1"/>
          <w:color w:val="292F72"/>
        </w:rPr>
        <w:t xml:space="preserve">  </w:t>
      </w:r>
      <w:r>
        <w:rPr>
          <w:rFonts w:ascii="Arial" w:cs="Arial" w:eastAsia="Arial" w:hAnsi="Arial"/>
          <w:sz w:val="14"/>
          <w:szCs w:val="14"/>
          <w:color w:val="292F72"/>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170180</wp:posOffset>
            </wp:positionV>
            <wp:extent cx="6795135" cy="165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795135" cy="16510"/>
                    </a:xfrm>
                    <a:prstGeom prst="rect">
                      <a:avLst/>
                    </a:prstGeom>
                    <a:noFill/>
                  </pic:spPr>
                </pic:pic>
              </a:graphicData>
            </a:graphic>
          </wp:anchor>
        </w:drawing>
      </w:r>
    </w:p>
    <w:p>
      <w:pPr>
        <w:sectPr>
          <w:pgSz w:w="11900" w:h="16838" w:orient="portrait"/>
          <w:cols w:equalWidth="0" w:num="1">
            <w:col w:w="9039"/>
          </w:cols>
          <w:pgMar w:left="1420" w:top="116" w:right="1440"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2" w:lineRule="exact"/>
        <w:rPr>
          <w:sz w:val="20"/>
          <w:szCs w:val="20"/>
          <w:color w:val="auto"/>
        </w:rPr>
      </w:pPr>
    </w:p>
    <w:p>
      <w:pPr>
        <w:ind w:left="7640"/>
        <w:spacing w:after="0"/>
        <w:rPr>
          <w:sz w:val="20"/>
          <w:szCs w:val="20"/>
          <w:color w:val="auto"/>
        </w:rPr>
      </w:pPr>
      <w:r>
        <w:rPr>
          <w:rFonts w:ascii="Arial" w:cs="Arial" w:eastAsia="Arial" w:hAnsi="Arial"/>
          <w:sz w:val="16"/>
          <w:szCs w:val="16"/>
          <w:color w:val="292F72"/>
        </w:rPr>
        <w:t>Election of</w:t>
      </w:r>
    </w:p>
    <w:p>
      <w:pPr>
        <w:spacing w:after="0" w:line="14" w:lineRule="exact"/>
        <w:rPr>
          <w:sz w:val="20"/>
          <w:szCs w:val="20"/>
          <w:color w:val="auto"/>
        </w:rPr>
      </w:pPr>
    </w:p>
    <w:p>
      <w:pPr>
        <w:ind w:left="7640"/>
        <w:spacing w:after="0"/>
        <w:rPr>
          <w:sz w:val="20"/>
          <w:szCs w:val="20"/>
          <w:color w:val="auto"/>
        </w:rPr>
      </w:pPr>
      <w:r>
        <w:rPr>
          <w:rFonts w:ascii="Arial" w:cs="Arial" w:eastAsia="Arial" w:hAnsi="Arial"/>
          <w:sz w:val="16"/>
          <w:szCs w:val="16"/>
          <w:color w:val="292F72"/>
        </w:rPr>
        <w:t>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4833620</wp:posOffset>
            </wp:positionH>
            <wp:positionV relativeFrom="paragraph">
              <wp:posOffset>31750</wp:posOffset>
            </wp:positionV>
            <wp:extent cx="907415" cy="330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907415" cy="33020"/>
                    </a:xfrm>
                    <a:prstGeom prst="rect">
                      <a:avLst/>
                    </a:prstGeom>
                    <a:noFill/>
                  </pic:spPr>
                </pic:pic>
              </a:graphicData>
            </a:graphic>
          </wp:anchor>
        </w:drawing>
      </w:r>
    </w:p>
    <w:p>
      <w:pPr>
        <w:spacing w:after="0" w:line="175" w:lineRule="exact"/>
        <w:rPr>
          <w:sz w:val="20"/>
          <w:szCs w:val="20"/>
          <w:color w:val="auto"/>
        </w:rPr>
      </w:pPr>
    </w:p>
    <w:p>
      <w:pPr>
        <w:ind w:right="120"/>
        <w:spacing w:after="0" w:line="254" w:lineRule="auto"/>
        <w:rPr>
          <w:sz w:val="20"/>
          <w:szCs w:val="20"/>
          <w:color w:val="auto"/>
        </w:rPr>
      </w:pPr>
      <w:r>
        <w:rPr>
          <w:rFonts w:ascii="Arial" w:cs="Arial" w:eastAsia="Arial" w:hAnsi="Arial"/>
          <w:sz w:val="16"/>
          <w:szCs w:val="16"/>
          <w:color w:val="auto"/>
        </w:rPr>
        <w:t>We believe that our director nominees, as a whole, possess the right mix of qualifications, skills and experience that, taken together, provide us with the variety and depth of knowledge, judgment and vision necessary to provide effective oversight of the Company. The tables below summarize the skills, qualifications and attributes of our director nominees.</w:t>
      </w:r>
    </w:p>
    <w:p>
      <w:pPr>
        <w:sectPr>
          <w:pgSz w:w="11900" w:h="16838" w:orient="portrait"/>
          <w:cols w:equalWidth="0" w:num="1">
            <w:col w:w="9040"/>
          </w:cols>
          <w:pgMar w:left="1420" w:top="115" w:right="1439" w:bottom="1440" w:gutter="0" w:footer="0" w:header="0"/>
        </w:sectPr>
      </w:pPr>
    </w:p>
    <w:p>
      <w:pPr>
        <w:spacing w:after="0" w:line="158" w:lineRule="exact"/>
        <w:rPr>
          <w:sz w:val="20"/>
          <w:szCs w:val="20"/>
          <w:color w:val="auto"/>
        </w:rPr>
      </w:pPr>
    </w:p>
    <w:p>
      <w:pPr>
        <w:spacing w:after="0"/>
        <w:rPr>
          <w:sz w:val="20"/>
          <w:szCs w:val="20"/>
          <w:color w:val="auto"/>
        </w:rPr>
      </w:pPr>
      <w:r>
        <w:rPr>
          <w:rFonts w:ascii="Arial" w:cs="Arial" w:eastAsia="Arial" w:hAnsi="Arial"/>
          <w:sz w:val="23"/>
          <w:szCs w:val="23"/>
          <w:b w:val="1"/>
          <w:bCs w:val="1"/>
          <w:color w:val="292F72"/>
        </w:rPr>
        <w:t>Qualifications and Skills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292F72"/>
        </w:rPr>
        <w:t>QUALIFICATIONS / SKILLS</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6D8CC3"/>
        </w:rPr>
        <w:t>Technology</w:t>
      </w:r>
    </w:p>
    <w:p>
      <w:pPr>
        <w:spacing w:after="0" w:line="25" w:lineRule="exact"/>
        <w:rPr>
          <w:sz w:val="20"/>
          <w:szCs w:val="20"/>
          <w:color w:val="auto"/>
        </w:rPr>
      </w:pPr>
    </w:p>
    <w:p>
      <w:pPr>
        <w:ind w:left="40"/>
        <w:spacing w:after="0" w:line="269" w:lineRule="auto"/>
        <w:rPr>
          <w:sz w:val="20"/>
          <w:szCs w:val="20"/>
          <w:color w:val="auto"/>
        </w:rPr>
      </w:pPr>
      <w:r>
        <w:rPr>
          <w:rFonts w:ascii="Arial" w:cs="Arial" w:eastAsia="Arial" w:hAnsi="Arial"/>
          <w:sz w:val="13"/>
          <w:szCs w:val="13"/>
          <w:color w:val="auto"/>
        </w:rPr>
        <w:t>Knowledge of or experience with technology, including digital solutions, information technology systems and architecture, artificial intelligence, and/or cybersecurity or data security</w:t>
      </w:r>
    </w:p>
    <w:p>
      <w:pPr>
        <w:spacing w:after="0" w:line="6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6D8CC3"/>
        </w:rPr>
        <w:t>Executive Business Experience</w:t>
      </w:r>
    </w:p>
    <w:p>
      <w:pPr>
        <w:spacing w:after="0" w:line="25" w:lineRule="exact"/>
        <w:rPr>
          <w:sz w:val="20"/>
          <w:szCs w:val="20"/>
          <w:color w:val="auto"/>
        </w:rPr>
      </w:pPr>
    </w:p>
    <w:p>
      <w:pPr>
        <w:ind w:left="40" w:right="120"/>
        <w:spacing w:after="0" w:line="260" w:lineRule="auto"/>
        <w:rPr>
          <w:sz w:val="20"/>
          <w:szCs w:val="20"/>
          <w:color w:val="auto"/>
        </w:rPr>
      </w:pPr>
      <w:r>
        <w:rPr>
          <w:rFonts w:ascii="Arial" w:cs="Arial" w:eastAsia="Arial" w:hAnsi="Arial"/>
          <w:sz w:val="14"/>
          <w:szCs w:val="14"/>
          <w:b w:val="1"/>
          <w:bCs w:val="1"/>
          <w:color w:val="auto"/>
        </w:rPr>
        <w:t>Experience serving in an executive capacity in a public company</w:t>
      </w:r>
    </w:p>
    <w:p>
      <w:pPr>
        <w:spacing w:after="0" w:line="6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6D8CC3"/>
        </w:rPr>
        <w:t>Financial Expertise</w:t>
      </w:r>
    </w:p>
    <w:p>
      <w:pPr>
        <w:spacing w:after="0" w:line="25" w:lineRule="exact"/>
        <w:rPr>
          <w:sz w:val="20"/>
          <w:szCs w:val="20"/>
          <w:color w:val="auto"/>
        </w:rPr>
      </w:pPr>
    </w:p>
    <w:p>
      <w:pPr>
        <w:ind w:left="40" w:right="160"/>
        <w:spacing w:after="0" w:line="299" w:lineRule="auto"/>
        <w:rPr>
          <w:sz w:val="20"/>
          <w:szCs w:val="20"/>
          <w:color w:val="auto"/>
        </w:rPr>
      </w:pPr>
      <w:r>
        <w:rPr>
          <w:rFonts w:ascii="Arial" w:cs="Arial" w:eastAsia="Arial" w:hAnsi="Arial"/>
          <w:sz w:val="13"/>
          <w:szCs w:val="13"/>
          <w:b w:val="1"/>
          <w:bCs w:val="1"/>
          <w:color w:val="auto"/>
        </w:rPr>
        <w:t>Knowledge of or experience in capital markets, capital allocation, corporate finance and/or accounting</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6D8CC3"/>
        </w:rPr>
        <w:t>Governance</w:t>
      </w:r>
    </w:p>
    <w:p>
      <w:pPr>
        <w:spacing w:after="0" w:line="25" w:lineRule="exact"/>
        <w:rPr>
          <w:sz w:val="20"/>
          <w:szCs w:val="20"/>
          <w:color w:val="auto"/>
        </w:rPr>
      </w:pPr>
    </w:p>
    <w:p>
      <w:pPr>
        <w:ind w:left="40" w:right="200"/>
        <w:spacing w:after="0" w:line="247" w:lineRule="auto"/>
        <w:rPr>
          <w:sz w:val="20"/>
          <w:szCs w:val="20"/>
          <w:color w:val="auto"/>
        </w:rPr>
      </w:pPr>
      <w:r>
        <w:rPr>
          <w:rFonts w:ascii="Arial" w:cs="Arial" w:eastAsia="Arial" w:hAnsi="Arial"/>
          <w:sz w:val="14"/>
          <w:szCs w:val="14"/>
          <w:b w:val="1"/>
          <w:bCs w:val="1"/>
          <w:color w:val="auto"/>
        </w:rPr>
        <w:t>Experience serving on a public company board or developing corporate governance policies or investor relations programs for public companies</w:t>
      </w:r>
    </w:p>
    <w:p>
      <w:pPr>
        <w:spacing w:after="0" w:line="7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6D8CC3"/>
        </w:rPr>
        <w:t>Marketing, Digital &amp; Consumer Insights</w:t>
      </w:r>
    </w:p>
    <w:p>
      <w:pPr>
        <w:spacing w:after="0" w:line="25" w:lineRule="exact"/>
        <w:rPr>
          <w:sz w:val="20"/>
          <w:szCs w:val="20"/>
          <w:color w:val="auto"/>
        </w:rPr>
      </w:pPr>
    </w:p>
    <w:p>
      <w:pPr>
        <w:ind w:left="40" w:right="400"/>
        <w:spacing w:after="0" w:line="247" w:lineRule="auto"/>
        <w:rPr>
          <w:sz w:val="20"/>
          <w:szCs w:val="20"/>
          <w:color w:val="auto"/>
        </w:rPr>
      </w:pPr>
      <w:r>
        <w:rPr>
          <w:rFonts w:ascii="Arial" w:cs="Arial" w:eastAsia="Arial" w:hAnsi="Arial"/>
          <w:sz w:val="14"/>
          <w:szCs w:val="14"/>
          <w:b w:val="1"/>
          <w:bCs w:val="1"/>
          <w:color w:val="auto"/>
        </w:rPr>
        <w:t>Experience in marketing, branding, digital and e-commerce, data analytics, customer loyalty and/or consumer insights</w:t>
      </w:r>
    </w:p>
    <w:p>
      <w:pPr>
        <w:spacing w:after="0" w:line="7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6D8CC3"/>
        </w:rPr>
        <w:t>Operations / Supply Chain</w:t>
      </w:r>
    </w:p>
    <w:p>
      <w:pPr>
        <w:spacing w:after="0" w:line="25" w:lineRule="exact"/>
        <w:rPr>
          <w:sz w:val="20"/>
          <w:szCs w:val="20"/>
          <w:color w:val="auto"/>
        </w:rPr>
      </w:pPr>
    </w:p>
    <w:p>
      <w:pPr>
        <w:ind w:left="40" w:right="300"/>
        <w:spacing w:after="0" w:line="299" w:lineRule="auto"/>
        <w:rPr>
          <w:sz w:val="20"/>
          <w:szCs w:val="20"/>
          <w:color w:val="auto"/>
        </w:rPr>
      </w:pPr>
      <w:r>
        <w:rPr>
          <w:rFonts w:ascii="Arial" w:cs="Arial" w:eastAsia="Arial" w:hAnsi="Arial"/>
          <w:sz w:val="13"/>
          <w:szCs w:val="13"/>
          <w:b w:val="1"/>
          <w:bCs w:val="1"/>
          <w:color w:val="auto"/>
        </w:rPr>
        <w:t>Experience with multi-site operational management, including logistics, distribution and/or fulfillment</w:t>
      </w:r>
    </w:p>
    <w:p>
      <w:pPr>
        <w:spacing w:after="0" w:line="37" w:lineRule="exact"/>
        <w:rPr>
          <w:sz w:val="20"/>
          <w:szCs w:val="20"/>
          <w:color w:val="auto"/>
        </w:rPr>
      </w:pPr>
    </w:p>
    <w:p>
      <w:pPr>
        <w:ind w:left="40" w:right="300"/>
        <w:spacing w:after="0" w:line="255" w:lineRule="auto"/>
        <w:rPr>
          <w:sz w:val="20"/>
          <w:szCs w:val="20"/>
          <w:color w:val="auto"/>
        </w:rPr>
      </w:pPr>
      <w:r>
        <w:rPr>
          <w:rFonts w:ascii="Arial" w:cs="Arial" w:eastAsia="Arial" w:hAnsi="Arial"/>
          <w:sz w:val="17"/>
          <w:szCs w:val="17"/>
          <w:b w:val="1"/>
          <w:bCs w:val="1"/>
          <w:color w:val="6D8CC3"/>
        </w:rPr>
        <w:t>Public Company CEO / Senior Leadership Experience</w:t>
      </w:r>
    </w:p>
    <w:p>
      <w:pPr>
        <w:spacing w:after="0" w:line="1" w:lineRule="exact"/>
        <w:rPr>
          <w:sz w:val="20"/>
          <w:szCs w:val="20"/>
          <w:color w:val="auto"/>
        </w:rPr>
      </w:pPr>
    </w:p>
    <w:p>
      <w:pPr>
        <w:ind w:left="40" w:right="200"/>
        <w:spacing w:after="0" w:line="260" w:lineRule="auto"/>
        <w:rPr>
          <w:sz w:val="20"/>
          <w:szCs w:val="20"/>
          <w:color w:val="auto"/>
        </w:rPr>
      </w:pPr>
      <w:r>
        <w:rPr>
          <w:rFonts w:ascii="Arial" w:cs="Arial" w:eastAsia="Arial" w:hAnsi="Arial"/>
          <w:sz w:val="14"/>
          <w:szCs w:val="14"/>
          <w:b w:val="1"/>
          <w:bCs w:val="1"/>
          <w:color w:val="auto"/>
        </w:rPr>
        <w:t>Experience serving as a chief executive officer or in a similar leadership position of a public company</w:t>
      </w:r>
    </w:p>
    <w:p>
      <w:pPr>
        <w:spacing w:after="0" w:line="6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6D8CC3"/>
        </w:rPr>
        <w:t>Omnichannel Retail</w:t>
      </w:r>
    </w:p>
    <w:p>
      <w:pPr>
        <w:spacing w:after="0" w:line="25" w:lineRule="exact"/>
        <w:rPr>
          <w:sz w:val="20"/>
          <w:szCs w:val="20"/>
          <w:color w:val="auto"/>
        </w:rPr>
      </w:pPr>
    </w:p>
    <w:p>
      <w:pPr>
        <w:ind w:left="40" w:right="140"/>
        <w:spacing w:after="0" w:line="243" w:lineRule="auto"/>
        <w:rPr>
          <w:sz w:val="20"/>
          <w:szCs w:val="20"/>
          <w:color w:val="auto"/>
        </w:rPr>
      </w:pPr>
      <w:r>
        <w:rPr>
          <w:rFonts w:ascii="Arial" w:cs="Arial" w:eastAsia="Arial" w:hAnsi="Arial"/>
          <w:sz w:val="14"/>
          <w:szCs w:val="14"/>
          <w:b w:val="1"/>
          <w:bCs w:val="1"/>
          <w:color w:val="auto"/>
        </w:rPr>
        <w:t>Retail or consumer products experience or experience connecting digital and physical commerce, including services and capabilities, organizational structure and related solutions</w:t>
      </w:r>
    </w:p>
    <w:p>
      <w:pPr>
        <w:spacing w:after="0" w:line="7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6D8CC3"/>
        </w:rPr>
        <w:t>Global / International</w:t>
      </w:r>
    </w:p>
    <w:p>
      <w:pPr>
        <w:spacing w:after="0" w:line="25" w:lineRule="exact"/>
        <w:rPr>
          <w:sz w:val="20"/>
          <w:szCs w:val="20"/>
          <w:color w:val="auto"/>
        </w:rPr>
      </w:pPr>
    </w:p>
    <w:p>
      <w:pPr>
        <w:ind w:left="40" w:right="500"/>
        <w:spacing w:after="0" w:line="299" w:lineRule="auto"/>
        <w:rPr>
          <w:sz w:val="20"/>
          <w:szCs w:val="20"/>
          <w:color w:val="auto"/>
        </w:rPr>
      </w:pPr>
      <w:r>
        <w:rPr>
          <w:rFonts w:ascii="Arial" w:cs="Arial" w:eastAsia="Arial" w:hAnsi="Arial"/>
          <w:sz w:val="13"/>
          <w:szCs w:val="13"/>
          <w:b w:val="1"/>
          <w:bCs w:val="1"/>
          <w:color w:val="auto"/>
        </w:rPr>
        <w:t>International experience or experience managing international operations or organizations</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6D8CC3"/>
        </w:rPr>
        <w:t>Sustainability</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Expertise in sustainability</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05"/>
        </w:trPr>
        <w:tc>
          <w:tcPr>
            <w:tcW w:w="100" w:type="dxa"/>
            <w:vAlign w:val="bottom"/>
            <w:shd w:val="clear" w:color="auto" w:fill="F0F5FE"/>
          </w:tcPr>
          <w:p>
            <w:pPr>
              <w:spacing w:after="0"/>
              <w:rPr>
                <w:sz w:val="9"/>
                <w:szCs w:val="9"/>
                <w:color w:val="auto"/>
              </w:rPr>
            </w:pPr>
          </w:p>
        </w:tc>
        <w:tc>
          <w:tcPr>
            <w:tcW w:w="380" w:type="dxa"/>
            <w:vAlign w:val="bottom"/>
            <w:vMerge w:val="restart"/>
            <w:textDirection w:val="btLr"/>
            <w:shd w:val="clear" w:color="auto" w:fill="F0F5FE"/>
          </w:tcPr>
          <w:p>
            <w:pPr>
              <w:ind w:left="88"/>
              <w:spacing w:after="0"/>
              <w:rPr>
                <w:sz w:val="20"/>
                <w:szCs w:val="20"/>
                <w:color w:val="auto"/>
              </w:rPr>
            </w:pPr>
            <w:r>
              <w:rPr>
                <w:rFonts w:ascii="Arial" w:cs="Arial" w:eastAsia="Arial" w:hAnsi="Arial"/>
                <w:sz w:val="14"/>
                <w:szCs w:val="14"/>
                <w:b w:val="1"/>
                <w:bCs w:val="1"/>
                <w:color w:val="292F72"/>
                <w:w w:val="99"/>
              </w:rPr>
              <w:t>BOGLIOLO</w:t>
            </w:r>
          </w:p>
        </w:tc>
        <w:tc>
          <w:tcPr>
            <w:tcW w:w="500" w:type="dxa"/>
            <w:vAlign w:val="bottom"/>
            <w:vMerge w:val="restart"/>
            <w:textDirection w:val="btLr"/>
          </w:tcPr>
          <w:p>
            <w:pPr>
              <w:ind w:left="194"/>
              <w:spacing w:after="0"/>
              <w:rPr>
                <w:sz w:val="20"/>
                <w:szCs w:val="20"/>
                <w:color w:val="auto"/>
              </w:rPr>
            </w:pPr>
            <w:r>
              <w:rPr>
                <w:rFonts w:ascii="Arial" w:cs="Arial" w:eastAsia="Arial" w:hAnsi="Arial"/>
                <w:sz w:val="14"/>
                <w:szCs w:val="14"/>
                <w:b w:val="1"/>
                <w:bCs w:val="1"/>
                <w:color w:val="292F72"/>
              </w:rPr>
              <w:t>BRADY</w:t>
            </w:r>
          </w:p>
        </w:tc>
        <w:tc>
          <w:tcPr>
            <w:tcW w:w="80" w:type="dxa"/>
            <w:vAlign w:val="bottom"/>
            <w:shd w:val="clear" w:color="auto" w:fill="F0F5FE"/>
          </w:tcPr>
          <w:p>
            <w:pPr>
              <w:spacing w:after="0"/>
              <w:rPr>
                <w:sz w:val="9"/>
                <w:szCs w:val="9"/>
                <w:color w:val="auto"/>
              </w:rPr>
            </w:pPr>
          </w:p>
        </w:tc>
        <w:tc>
          <w:tcPr>
            <w:tcW w:w="400" w:type="dxa"/>
            <w:vAlign w:val="bottom"/>
            <w:vMerge w:val="restart"/>
            <w:textDirection w:val="btLr"/>
            <w:shd w:val="clear" w:color="auto" w:fill="F0F5FE"/>
          </w:tcPr>
          <w:p>
            <w:pPr>
              <w:ind w:left="99"/>
              <w:spacing w:after="0"/>
              <w:rPr>
                <w:sz w:val="20"/>
                <w:szCs w:val="20"/>
                <w:color w:val="auto"/>
              </w:rPr>
            </w:pPr>
            <w:r>
              <w:rPr>
                <w:rFonts w:ascii="Arial" w:cs="Arial" w:eastAsia="Arial" w:hAnsi="Arial"/>
                <w:sz w:val="14"/>
                <w:szCs w:val="14"/>
                <w:b w:val="1"/>
                <w:bCs w:val="1"/>
                <w:color w:val="292F72"/>
                <w:w w:val="99"/>
              </w:rPr>
              <w:t>HEAF</w:t>
            </w:r>
          </w:p>
        </w:tc>
        <w:tc>
          <w:tcPr>
            <w:tcW w:w="480" w:type="dxa"/>
            <w:vAlign w:val="bottom"/>
            <w:vMerge w:val="restart"/>
            <w:textDirection w:val="btLr"/>
          </w:tcPr>
          <w:p>
            <w:pPr>
              <w:ind w:left="184"/>
              <w:spacing w:after="0"/>
              <w:rPr>
                <w:sz w:val="20"/>
                <w:szCs w:val="20"/>
                <w:color w:val="auto"/>
              </w:rPr>
            </w:pPr>
            <w:r>
              <w:rPr>
                <w:rFonts w:ascii="Arial" w:cs="Arial" w:eastAsia="Arial" w:hAnsi="Arial"/>
                <w:sz w:val="14"/>
                <w:szCs w:val="14"/>
                <w:b w:val="1"/>
                <w:bCs w:val="1"/>
                <w:color w:val="292F72"/>
              </w:rPr>
              <w:t>HONDAL</w:t>
            </w:r>
          </w:p>
        </w:tc>
        <w:tc>
          <w:tcPr>
            <w:tcW w:w="100" w:type="dxa"/>
            <w:vAlign w:val="bottom"/>
            <w:shd w:val="clear" w:color="auto" w:fill="F0F5FE"/>
          </w:tcPr>
          <w:p>
            <w:pPr>
              <w:spacing w:after="0"/>
              <w:rPr>
                <w:sz w:val="9"/>
                <w:szCs w:val="9"/>
                <w:color w:val="auto"/>
              </w:rPr>
            </w:pPr>
          </w:p>
        </w:tc>
        <w:tc>
          <w:tcPr>
            <w:tcW w:w="400" w:type="dxa"/>
            <w:vAlign w:val="bottom"/>
            <w:vMerge w:val="restart"/>
            <w:textDirection w:val="btLr"/>
            <w:shd w:val="clear" w:color="auto" w:fill="F0F5FE"/>
          </w:tcPr>
          <w:p>
            <w:pPr>
              <w:ind w:left="89"/>
              <w:spacing w:after="0"/>
              <w:rPr>
                <w:sz w:val="20"/>
                <w:szCs w:val="20"/>
                <w:color w:val="auto"/>
              </w:rPr>
            </w:pPr>
            <w:r>
              <w:rPr>
                <w:rFonts w:ascii="Arial" w:cs="Arial" w:eastAsia="Arial" w:hAnsi="Arial"/>
                <w:sz w:val="14"/>
                <w:szCs w:val="14"/>
                <w:b w:val="1"/>
                <w:bCs w:val="1"/>
                <w:color w:val="292F72"/>
                <w:w w:val="95"/>
              </w:rPr>
              <w:t>LEE</w:t>
            </w:r>
          </w:p>
        </w:tc>
        <w:tc>
          <w:tcPr>
            <w:tcW w:w="500" w:type="dxa"/>
            <w:vAlign w:val="bottom"/>
            <w:vMerge w:val="restart"/>
            <w:textDirection w:val="btLr"/>
          </w:tcPr>
          <w:p>
            <w:pPr>
              <w:ind w:left="188"/>
              <w:spacing w:after="0"/>
              <w:rPr>
                <w:sz w:val="20"/>
                <w:szCs w:val="20"/>
                <w:color w:val="auto"/>
              </w:rPr>
            </w:pPr>
            <w:r>
              <w:rPr>
                <w:rFonts w:ascii="Arial" w:cs="Arial" w:eastAsia="Arial" w:hAnsi="Arial"/>
                <w:sz w:val="14"/>
                <w:szCs w:val="14"/>
                <w:b w:val="1"/>
                <w:bCs w:val="1"/>
                <w:color w:val="292F72"/>
              </w:rPr>
              <w:t>NASH</w:t>
            </w:r>
          </w:p>
        </w:tc>
        <w:tc>
          <w:tcPr>
            <w:tcW w:w="100" w:type="dxa"/>
            <w:vAlign w:val="bottom"/>
            <w:shd w:val="clear" w:color="auto" w:fill="F0F5FE"/>
          </w:tcPr>
          <w:p>
            <w:pPr>
              <w:spacing w:after="0"/>
              <w:rPr>
                <w:sz w:val="9"/>
                <w:szCs w:val="9"/>
                <w:color w:val="auto"/>
              </w:rPr>
            </w:pPr>
          </w:p>
        </w:tc>
        <w:tc>
          <w:tcPr>
            <w:tcW w:w="420" w:type="dxa"/>
            <w:vAlign w:val="bottom"/>
            <w:vMerge w:val="restart"/>
            <w:textDirection w:val="btLr"/>
            <w:shd w:val="clear" w:color="auto" w:fill="F0F5FE"/>
          </w:tcPr>
          <w:p>
            <w:pPr>
              <w:ind w:left="99"/>
              <w:spacing w:after="0"/>
              <w:rPr>
                <w:sz w:val="20"/>
                <w:szCs w:val="20"/>
                <w:color w:val="auto"/>
              </w:rPr>
            </w:pPr>
            <w:r>
              <w:rPr>
                <w:rFonts w:ascii="Arial" w:cs="Arial" w:eastAsia="Arial" w:hAnsi="Arial"/>
                <w:sz w:val="14"/>
                <w:szCs w:val="14"/>
                <w:b w:val="1"/>
                <w:bCs w:val="1"/>
                <w:color w:val="292F72"/>
                <w:w w:val="98"/>
              </w:rPr>
              <w:t>RAJLIN</w:t>
            </w:r>
          </w:p>
        </w:tc>
        <w:tc>
          <w:tcPr>
            <w:tcW w:w="500" w:type="dxa"/>
            <w:vAlign w:val="bottom"/>
            <w:vMerge w:val="restart"/>
            <w:textDirection w:val="btLr"/>
          </w:tcPr>
          <w:p>
            <w:pPr>
              <w:ind w:left="190"/>
              <w:spacing w:after="0"/>
              <w:rPr>
                <w:sz w:val="20"/>
                <w:szCs w:val="20"/>
                <w:color w:val="auto"/>
              </w:rPr>
            </w:pPr>
            <w:r>
              <w:rPr>
                <w:rFonts w:ascii="Arial" w:cs="Arial" w:eastAsia="Arial" w:hAnsi="Arial"/>
                <w:sz w:val="14"/>
                <w:szCs w:val="14"/>
                <w:b w:val="1"/>
                <w:bCs w:val="1"/>
                <w:color w:val="292F72"/>
                <w:w w:val="99"/>
              </w:rPr>
              <w:t>STEINOUR</w:t>
            </w:r>
          </w:p>
        </w:tc>
        <w:tc>
          <w:tcPr>
            <w:tcW w:w="100" w:type="dxa"/>
            <w:vAlign w:val="bottom"/>
            <w:shd w:val="clear" w:color="auto" w:fill="F0F5FE"/>
          </w:tcPr>
          <w:p>
            <w:pPr>
              <w:spacing w:after="0"/>
              <w:rPr>
                <w:sz w:val="9"/>
                <w:szCs w:val="9"/>
                <w:color w:val="auto"/>
              </w:rPr>
            </w:pPr>
          </w:p>
        </w:tc>
        <w:tc>
          <w:tcPr>
            <w:tcW w:w="420" w:type="dxa"/>
            <w:vAlign w:val="bottom"/>
            <w:vMerge w:val="restart"/>
            <w:textDirection w:val="btLr"/>
            <w:shd w:val="clear" w:color="auto" w:fill="F0F5FE"/>
          </w:tcPr>
          <w:p>
            <w:pPr>
              <w:ind w:left="102"/>
              <w:spacing w:after="0"/>
              <w:rPr>
                <w:sz w:val="20"/>
                <w:szCs w:val="20"/>
                <w:color w:val="auto"/>
              </w:rPr>
            </w:pPr>
            <w:r>
              <w:rPr>
                <w:rFonts w:ascii="Arial" w:cs="Arial" w:eastAsia="Arial" w:hAnsi="Arial"/>
                <w:sz w:val="14"/>
                <w:szCs w:val="14"/>
                <w:b w:val="1"/>
                <w:bCs w:val="1"/>
                <w:color w:val="292F72"/>
                <w:w w:val="99"/>
              </w:rPr>
              <w:t>SYMANCYK</w:t>
            </w:r>
          </w:p>
        </w:tc>
        <w:tc>
          <w:tcPr>
            <w:tcW w:w="300" w:type="dxa"/>
            <w:vAlign w:val="bottom"/>
            <w:vMerge w:val="restart"/>
            <w:textDirection w:val="btLr"/>
          </w:tcPr>
          <w:p>
            <w:pPr>
              <w:ind w:left="139"/>
              <w:spacing w:after="0"/>
              <w:rPr>
                <w:sz w:val="20"/>
                <w:szCs w:val="20"/>
                <w:color w:val="auto"/>
              </w:rPr>
            </w:pPr>
            <w:r>
              <w:rPr>
                <w:rFonts w:ascii="Arial" w:cs="Arial" w:eastAsia="Arial" w:hAnsi="Arial"/>
                <w:sz w:val="14"/>
                <w:szCs w:val="14"/>
                <w:b w:val="1"/>
                <w:bCs w:val="1"/>
                <w:color w:val="292F72"/>
                <w:w w:val="99"/>
              </w:rPr>
              <w:t>VOSKUIL</w:t>
            </w:r>
          </w:p>
        </w:tc>
        <w:tc>
          <w:tcPr>
            <w:tcW w:w="0" w:type="dxa"/>
            <w:vAlign w:val="bottom"/>
          </w:tcPr>
          <w:p>
            <w:pPr>
              <w:spacing w:after="0"/>
              <w:rPr>
                <w:sz w:val="1"/>
                <w:szCs w:val="1"/>
                <w:color w:val="auto"/>
              </w:rPr>
            </w:pPr>
          </w:p>
        </w:tc>
      </w:tr>
      <w:tr>
        <w:trPr>
          <w:trHeight w:val="962"/>
        </w:trPr>
        <w:tc>
          <w:tcPr>
            <w:tcW w:w="100" w:type="dxa"/>
            <w:vAlign w:val="bottom"/>
          </w:tcPr>
          <w:p>
            <w:pPr>
              <w:spacing w:after="0"/>
              <w:rPr>
                <w:sz w:val="24"/>
                <w:szCs w:val="24"/>
                <w:color w:val="auto"/>
              </w:rPr>
            </w:pPr>
          </w:p>
        </w:tc>
        <w:tc>
          <w:tcPr>
            <w:tcW w:w="380" w:type="dxa"/>
            <w:vAlign w:val="bottom"/>
            <w:vMerge w:val="continue"/>
            <w:shd w:val="clear" w:color="auto" w:fill="F0F5FE"/>
          </w:tcPr>
          <w:p>
            <w:pPr>
              <w:spacing w:after="0"/>
              <w:rPr>
                <w:sz w:val="24"/>
                <w:szCs w:val="24"/>
                <w:color w:val="auto"/>
              </w:rPr>
            </w:pPr>
          </w:p>
        </w:tc>
        <w:tc>
          <w:tcPr>
            <w:tcW w:w="500" w:type="dxa"/>
            <w:vAlign w:val="bottom"/>
            <w:vMerge w:val="continue"/>
          </w:tcPr>
          <w:p>
            <w:pPr>
              <w:spacing w:after="0"/>
              <w:rPr>
                <w:sz w:val="24"/>
                <w:szCs w:val="24"/>
                <w:color w:val="auto"/>
              </w:rPr>
            </w:pPr>
          </w:p>
        </w:tc>
        <w:tc>
          <w:tcPr>
            <w:tcW w:w="80" w:type="dxa"/>
            <w:vAlign w:val="bottom"/>
            <w:shd w:val="clear" w:color="auto" w:fill="F0F5FE"/>
          </w:tcPr>
          <w:p>
            <w:pPr>
              <w:spacing w:after="0"/>
              <w:rPr>
                <w:sz w:val="24"/>
                <w:szCs w:val="24"/>
                <w:color w:val="auto"/>
              </w:rPr>
            </w:pPr>
          </w:p>
        </w:tc>
        <w:tc>
          <w:tcPr>
            <w:tcW w:w="400" w:type="dxa"/>
            <w:vAlign w:val="bottom"/>
            <w:vMerge w:val="continue"/>
            <w:shd w:val="clear" w:color="auto" w:fill="F0F5FE"/>
          </w:tcPr>
          <w:p>
            <w:pPr>
              <w:spacing w:after="0"/>
              <w:rPr>
                <w:sz w:val="24"/>
                <w:szCs w:val="24"/>
                <w:color w:val="auto"/>
              </w:rPr>
            </w:pPr>
          </w:p>
        </w:tc>
        <w:tc>
          <w:tcPr>
            <w:tcW w:w="480" w:type="dxa"/>
            <w:vAlign w:val="bottom"/>
            <w:vMerge w:val="continue"/>
          </w:tcPr>
          <w:p>
            <w:pPr>
              <w:spacing w:after="0"/>
              <w:rPr>
                <w:sz w:val="24"/>
                <w:szCs w:val="24"/>
                <w:color w:val="auto"/>
              </w:rPr>
            </w:pPr>
          </w:p>
        </w:tc>
        <w:tc>
          <w:tcPr>
            <w:tcW w:w="100" w:type="dxa"/>
            <w:vAlign w:val="bottom"/>
            <w:shd w:val="clear" w:color="auto" w:fill="F0F5FE"/>
          </w:tcPr>
          <w:p>
            <w:pPr>
              <w:spacing w:after="0"/>
              <w:rPr>
                <w:sz w:val="24"/>
                <w:szCs w:val="24"/>
                <w:color w:val="auto"/>
              </w:rPr>
            </w:pPr>
          </w:p>
        </w:tc>
        <w:tc>
          <w:tcPr>
            <w:tcW w:w="400" w:type="dxa"/>
            <w:vAlign w:val="bottom"/>
            <w:vMerge w:val="continue"/>
            <w:shd w:val="clear" w:color="auto" w:fill="F0F5FE"/>
          </w:tcPr>
          <w:p>
            <w:pPr>
              <w:spacing w:after="0"/>
              <w:rPr>
                <w:sz w:val="24"/>
                <w:szCs w:val="24"/>
                <w:color w:val="auto"/>
              </w:rPr>
            </w:pPr>
          </w:p>
        </w:tc>
        <w:tc>
          <w:tcPr>
            <w:tcW w:w="500" w:type="dxa"/>
            <w:vAlign w:val="bottom"/>
            <w:vMerge w:val="continue"/>
          </w:tcPr>
          <w:p>
            <w:pPr>
              <w:spacing w:after="0"/>
              <w:rPr>
                <w:sz w:val="24"/>
                <w:szCs w:val="24"/>
                <w:color w:val="auto"/>
              </w:rPr>
            </w:pPr>
          </w:p>
        </w:tc>
        <w:tc>
          <w:tcPr>
            <w:tcW w:w="100" w:type="dxa"/>
            <w:vAlign w:val="bottom"/>
            <w:shd w:val="clear" w:color="auto" w:fill="F0F5FE"/>
          </w:tcPr>
          <w:p>
            <w:pPr>
              <w:spacing w:after="0"/>
              <w:rPr>
                <w:sz w:val="24"/>
                <w:szCs w:val="24"/>
                <w:color w:val="auto"/>
              </w:rPr>
            </w:pPr>
          </w:p>
        </w:tc>
        <w:tc>
          <w:tcPr>
            <w:tcW w:w="420" w:type="dxa"/>
            <w:vAlign w:val="bottom"/>
            <w:vMerge w:val="continue"/>
            <w:shd w:val="clear" w:color="auto" w:fill="F0F5FE"/>
          </w:tcPr>
          <w:p>
            <w:pPr>
              <w:spacing w:after="0"/>
              <w:rPr>
                <w:sz w:val="24"/>
                <w:szCs w:val="24"/>
                <w:color w:val="auto"/>
              </w:rPr>
            </w:pPr>
          </w:p>
        </w:tc>
        <w:tc>
          <w:tcPr>
            <w:tcW w:w="500" w:type="dxa"/>
            <w:vAlign w:val="bottom"/>
            <w:vMerge w:val="continue"/>
          </w:tcPr>
          <w:p>
            <w:pPr>
              <w:spacing w:after="0"/>
              <w:rPr>
                <w:sz w:val="24"/>
                <w:szCs w:val="24"/>
                <w:color w:val="auto"/>
              </w:rPr>
            </w:pPr>
          </w:p>
        </w:tc>
        <w:tc>
          <w:tcPr>
            <w:tcW w:w="100" w:type="dxa"/>
            <w:vAlign w:val="bottom"/>
            <w:shd w:val="clear" w:color="auto" w:fill="F0F5FE"/>
          </w:tcPr>
          <w:p>
            <w:pPr>
              <w:spacing w:after="0"/>
              <w:rPr>
                <w:sz w:val="24"/>
                <w:szCs w:val="24"/>
                <w:color w:val="auto"/>
              </w:rPr>
            </w:pPr>
          </w:p>
        </w:tc>
        <w:tc>
          <w:tcPr>
            <w:tcW w:w="420" w:type="dxa"/>
            <w:vAlign w:val="bottom"/>
            <w:vMerge w:val="continue"/>
            <w:shd w:val="clear" w:color="auto" w:fill="F0F5FE"/>
          </w:tcPr>
          <w:p>
            <w:pPr>
              <w:spacing w:after="0"/>
              <w:rPr>
                <w:sz w:val="24"/>
                <w:szCs w:val="24"/>
                <w:color w:val="auto"/>
              </w:rPr>
            </w:pPr>
          </w:p>
        </w:tc>
        <w:tc>
          <w:tcPr>
            <w:tcW w:w="3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736"/>
        </w:trPr>
        <w:tc>
          <w:tcPr>
            <w:tcW w:w="100" w:type="dxa"/>
            <w:vAlign w:val="bottom"/>
          </w:tcPr>
          <w:p>
            <w:pPr>
              <w:spacing w:after="0"/>
              <w:rPr>
                <w:sz w:val="24"/>
                <w:szCs w:val="24"/>
                <w:color w:val="auto"/>
              </w:rPr>
            </w:pPr>
          </w:p>
        </w:tc>
        <w:tc>
          <w:tcPr>
            <w:tcW w:w="380" w:type="dxa"/>
            <w:vAlign w:val="bottom"/>
            <w:shd w:val="clear" w:color="auto" w:fill="F0F5FE"/>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shd w:val="clear" w:color="auto" w:fill="F0F5FE"/>
          </w:tcPr>
          <w:p>
            <w:pPr>
              <w:spacing w:after="0"/>
              <w:rPr>
                <w:sz w:val="24"/>
                <w:szCs w:val="24"/>
                <w:color w:val="auto"/>
              </w:rPr>
            </w:pPr>
          </w:p>
        </w:tc>
        <w:tc>
          <w:tcPr>
            <w:tcW w:w="400" w:type="dxa"/>
            <w:vAlign w:val="bottom"/>
            <w:shd w:val="clear" w:color="auto" w:fill="F0F5FE"/>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shd w:val="clear" w:color="auto" w:fill="F0F5FE"/>
          </w:tcPr>
          <w:p>
            <w:pPr>
              <w:spacing w:after="0"/>
              <w:rPr>
                <w:sz w:val="24"/>
                <w:szCs w:val="24"/>
                <w:color w:val="auto"/>
              </w:rPr>
            </w:pPr>
          </w:p>
        </w:tc>
        <w:tc>
          <w:tcPr>
            <w:tcW w:w="400" w:type="dxa"/>
            <w:vAlign w:val="bottom"/>
            <w:shd w:val="clear" w:color="auto" w:fill="F0F5FE"/>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shd w:val="clear" w:color="auto" w:fill="F0F5FE"/>
          </w:tcPr>
          <w:p>
            <w:pPr>
              <w:spacing w:after="0"/>
              <w:rPr>
                <w:sz w:val="24"/>
                <w:szCs w:val="24"/>
                <w:color w:val="auto"/>
              </w:rPr>
            </w:pPr>
          </w:p>
        </w:tc>
        <w:tc>
          <w:tcPr>
            <w:tcW w:w="420" w:type="dxa"/>
            <w:vAlign w:val="bottom"/>
            <w:shd w:val="clear" w:color="auto" w:fill="F0F5FE"/>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shd w:val="clear" w:color="auto" w:fill="F0F5FE"/>
          </w:tcPr>
          <w:p>
            <w:pPr>
              <w:spacing w:after="0"/>
              <w:rPr>
                <w:sz w:val="24"/>
                <w:szCs w:val="24"/>
                <w:color w:val="auto"/>
              </w:rPr>
            </w:pPr>
          </w:p>
        </w:tc>
        <w:tc>
          <w:tcPr>
            <w:tcW w:w="420" w:type="dxa"/>
            <w:vAlign w:val="bottom"/>
            <w:shd w:val="clear" w:color="auto" w:fill="F0F5FE"/>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00" w:type="dxa"/>
            <w:vAlign w:val="bottom"/>
            <w:shd w:val="clear" w:color="auto" w:fill="F0F5FE"/>
          </w:tcPr>
          <w:p>
            <w:pPr>
              <w:spacing w:after="0"/>
              <w:rPr>
                <w:sz w:val="24"/>
                <w:szCs w:val="24"/>
                <w:color w:val="auto"/>
              </w:rPr>
            </w:pPr>
          </w:p>
        </w:tc>
        <w:tc>
          <w:tcPr>
            <w:tcW w:w="380" w:type="dxa"/>
            <w:vAlign w:val="bottom"/>
            <w:shd w:val="clear" w:color="auto" w:fill="F0F5FE"/>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shd w:val="clear" w:color="auto" w:fill="F0F5FE"/>
          </w:tcPr>
          <w:p>
            <w:pPr>
              <w:spacing w:after="0"/>
              <w:rPr>
                <w:sz w:val="24"/>
                <w:szCs w:val="24"/>
                <w:color w:val="auto"/>
              </w:rPr>
            </w:pPr>
          </w:p>
        </w:tc>
        <w:tc>
          <w:tcPr>
            <w:tcW w:w="400" w:type="dxa"/>
            <w:vAlign w:val="bottom"/>
            <w:shd w:val="clear" w:color="auto" w:fill="F0F5FE"/>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shd w:val="clear" w:color="auto" w:fill="F0F5FE"/>
          </w:tcPr>
          <w:p>
            <w:pPr>
              <w:spacing w:after="0"/>
              <w:rPr>
                <w:sz w:val="24"/>
                <w:szCs w:val="24"/>
                <w:color w:val="auto"/>
              </w:rPr>
            </w:pPr>
          </w:p>
        </w:tc>
        <w:tc>
          <w:tcPr>
            <w:tcW w:w="400" w:type="dxa"/>
            <w:vAlign w:val="bottom"/>
            <w:shd w:val="clear" w:color="auto" w:fill="F0F5FE"/>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shd w:val="clear" w:color="auto" w:fill="F0F5FE"/>
          </w:tcPr>
          <w:p>
            <w:pPr>
              <w:spacing w:after="0"/>
              <w:rPr>
                <w:sz w:val="24"/>
                <w:szCs w:val="24"/>
                <w:color w:val="auto"/>
              </w:rPr>
            </w:pPr>
          </w:p>
        </w:tc>
        <w:tc>
          <w:tcPr>
            <w:tcW w:w="420" w:type="dxa"/>
            <w:vAlign w:val="bottom"/>
            <w:shd w:val="clear" w:color="auto" w:fill="F0F5FE"/>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shd w:val="clear" w:color="auto" w:fill="F0F5FE"/>
          </w:tcPr>
          <w:p>
            <w:pPr>
              <w:spacing w:after="0"/>
              <w:rPr>
                <w:sz w:val="24"/>
                <w:szCs w:val="24"/>
                <w:color w:val="auto"/>
              </w:rPr>
            </w:pPr>
          </w:p>
        </w:tc>
        <w:tc>
          <w:tcPr>
            <w:tcW w:w="420" w:type="dxa"/>
            <w:vAlign w:val="bottom"/>
            <w:shd w:val="clear" w:color="auto" w:fill="F0F5FE"/>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-2586355</wp:posOffset>
            </wp:positionH>
            <wp:positionV relativeFrom="paragraph">
              <wp:posOffset>-5245100</wp:posOffset>
            </wp:positionV>
            <wp:extent cx="5737225" cy="52546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737225" cy="52546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00" w:space="280"/>
            <w:col w:w="4960"/>
          </w:cols>
          <w:pgMar w:left="1420" w:top="115" w:right="1439" w:bottom="1440" w:gutter="0" w:footer="0" w:header="0"/>
          <w:type w:val="continuous"/>
        </w:sectPr>
      </w:pPr>
    </w:p>
    <w:p>
      <w:pPr>
        <w:spacing w:after="0" w:line="58" w:lineRule="exact"/>
        <w:rPr>
          <w:sz w:val="20"/>
          <w:szCs w:val="20"/>
          <w:color w:val="auto"/>
        </w:rPr>
      </w:pPr>
    </w:p>
    <w:p>
      <w:pPr>
        <w:spacing w:after="0"/>
        <w:rPr>
          <w:sz w:val="20"/>
          <w:szCs w:val="20"/>
          <w:color w:val="auto"/>
        </w:rPr>
      </w:pPr>
      <w:r>
        <w:rPr>
          <w:rFonts w:ascii="Arial" w:cs="Arial" w:eastAsia="Arial" w:hAnsi="Arial"/>
          <w:sz w:val="23"/>
          <w:szCs w:val="23"/>
          <w:b w:val="1"/>
          <w:bCs w:val="1"/>
          <w:color w:val="292F72"/>
        </w:rPr>
        <w:t>A Broadly Representative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142875</wp:posOffset>
            </wp:positionV>
            <wp:extent cx="5687060" cy="15570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87060" cy="1557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w:t>
      </w:r>
    </w:p>
    <w:p>
      <w:pPr>
        <w:spacing w:after="0" w:line="39" w:lineRule="exact"/>
        <w:rPr>
          <w:sz w:val="20"/>
          <w:szCs w:val="20"/>
          <w:color w:val="auto"/>
        </w:rPr>
      </w:pPr>
    </w:p>
    <w:p>
      <w:pPr>
        <w:ind w:right="60"/>
        <w:spacing w:after="0" w:line="238" w:lineRule="auto"/>
        <w:rPr>
          <w:sz w:val="20"/>
          <w:szCs w:val="20"/>
          <w:color w:val="auto"/>
        </w:rPr>
      </w:pPr>
      <w:r>
        <w:rPr>
          <w:rFonts w:ascii="Arial" w:cs="Arial" w:eastAsia="Arial" w:hAnsi="Arial"/>
          <w:sz w:val="16"/>
          <w:szCs w:val="16"/>
          <w:color w:val="auto"/>
        </w:rPr>
        <w:t>Each of the ten individuals nominated for election to the Board would hold office until our 2027 annual meeting of shareholders or until his or her successor is elected and qualified. If any nominee is unable to serve, your proxy may vote for another nominee proposed by the Board; alternatively, the Board may elect to reduce the size of the Board. We are unaware of any nominee of the Board who would be unable to serve as a director if elected.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127000</wp:posOffset>
            </wp:positionV>
            <wp:extent cx="57372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737225" cy="8255"/>
                    </a:xfrm>
                    <a:prstGeom prst="rect">
                      <a:avLst/>
                    </a:prstGeom>
                    <a:noFill/>
                  </pic:spPr>
                </pic:pic>
              </a:graphicData>
            </a:graphic>
          </wp:anchor>
        </w:drawing>
      </w:r>
    </w:p>
    <w:p>
      <w:pPr>
        <w:spacing w:after="0" w:line="276" w:lineRule="exact"/>
        <w:rPr>
          <w:sz w:val="20"/>
          <w:szCs w:val="20"/>
          <w:color w:val="auto"/>
        </w:rPr>
      </w:pPr>
    </w:p>
    <w:p>
      <w:pPr>
        <w:jc w:val="right"/>
        <w:spacing w:after="0"/>
        <w:rPr>
          <w:sz w:val="20"/>
          <w:szCs w:val="20"/>
          <w:color w:val="auto"/>
        </w:rPr>
      </w:pPr>
      <w:r>
        <w:rPr>
          <w:rFonts w:ascii="Arial" w:cs="Arial" w:eastAsia="Arial" w:hAnsi="Arial"/>
          <w:sz w:val="14"/>
          <w:szCs w:val="14"/>
          <w:color w:val="292F72"/>
        </w:rPr>
        <w:t>Bath &amp; Body Works, Inc.</w:t>
      </w:r>
      <w:r>
        <w:rPr>
          <w:rFonts w:ascii="Arial" w:cs="Arial" w:eastAsia="Arial" w:hAnsi="Arial"/>
          <w:sz w:val="14"/>
          <w:szCs w:val="14"/>
          <w:color w:val="6D8CC3"/>
        </w:rPr>
        <w:t xml:space="preserve">   | </w:t>
      </w:r>
      <w:r>
        <w:rPr>
          <w:rFonts w:ascii="Arial" w:cs="Arial" w:eastAsia="Arial" w:hAnsi="Arial"/>
          <w:sz w:val="14"/>
          <w:szCs w:val="14"/>
          <w:color w:val="292F72"/>
        </w:rPr>
        <w:t xml:space="preserve">  2026 Proxy Statement     </w:t>
      </w:r>
      <w:r>
        <w:rPr>
          <w:rFonts w:ascii="Arial" w:cs="Arial" w:eastAsia="Arial" w:hAnsi="Arial"/>
          <w:sz w:val="14"/>
          <w:szCs w:val="14"/>
          <w:b w:val="1"/>
          <w:bCs w:val="1"/>
          <w:color w:val="292F72"/>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153670</wp:posOffset>
            </wp:positionV>
            <wp:extent cx="6795135" cy="165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795135" cy="16510"/>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6"/>
          <w:szCs w:val="16"/>
          <w:color w:val="292F72"/>
        </w:rPr>
        <w:t>Election of</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6"/>
          <w:szCs w:val="16"/>
          <w:color w:val="292F72"/>
        </w:rPr>
        <w:t>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907415" cy="330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907415" cy="33020"/>
                    </a:xfrm>
                    <a:prstGeom prst="rect">
                      <a:avLst/>
                    </a:prstGeom>
                    <a:noFill/>
                  </pic:spPr>
                </pic:pic>
              </a:graphicData>
            </a:graphic>
          </wp:anchor>
        </w:drawing>
      </w:r>
    </w:p>
    <w:p>
      <w:pPr>
        <w:spacing w:after="0" w:line="175" w:lineRule="exact"/>
        <w:rPr>
          <w:sz w:val="20"/>
          <w:szCs w:val="20"/>
          <w:color w:val="auto"/>
        </w:rPr>
      </w:pPr>
    </w:p>
    <w:p>
      <w:pPr>
        <w:ind w:right="99"/>
        <w:spacing w:after="0" w:line="268" w:lineRule="auto"/>
        <w:rPr>
          <w:sz w:val="20"/>
          <w:szCs w:val="20"/>
          <w:color w:val="auto"/>
        </w:rPr>
      </w:pPr>
      <w:r>
        <w:rPr>
          <w:rFonts w:ascii="Arial" w:cs="Arial" w:eastAsia="Arial" w:hAnsi="Arial"/>
          <w:sz w:val="16"/>
          <w:szCs w:val="16"/>
          <w:color w:val="auto"/>
        </w:rPr>
        <w:t>Following is additional information about the experience and qualifications of each of the nominees for director that led the Board to conclude that the director nominee would provide valuable insight and guidance as a member of the Board.</w:t>
      </w:r>
    </w:p>
    <w:p>
      <w:pPr>
        <w:sectPr>
          <w:pgSz w:w="11900" w:h="16838" w:orient="portrait"/>
          <w:cols w:equalWidth="0" w:num="1">
            <w:col w:w="9039"/>
          </w:cols>
          <w:pgMar w:left="1420" w:top="116" w:right="1440" w:bottom="1440" w:gutter="0" w:footer="0" w:header="0"/>
        </w:sectPr>
      </w:pPr>
    </w:p>
    <w:p>
      <w:pPr>
        <w:spacing w:after="0" w:line="292" w:lineRule="exact"/>
        <w:rPr>
          <w:sz w:val="20"/>
          <w:szCs w:val="20"/>
          <w:color w:val="auto"/>
        </w:rPr>
      </w:pPr>
    </w:p>
    <w:p>
      <w:pPr>
        <w:spacing w:after="0"/>
        <w:rPr>
          <w:sz w:val="20"/>
          <w:szCs w:val="20"/>
          <w:color w:val="auto"/>
        </w:rPr>
      </w:pPr>
      <w:r>
        <w:rPr>
          <w:rFonts w:ascii="Arial" w:cs="Arial" w:eastAsia="Arial" w:hAnsi="Arial"/>
          <w:sz w:val="23"/>
          <w:szCs w:val="23"/>
          <w:b w:val="1"/>
          <w:bCs w:val="1"/>
          <w:color w:val="292F72"/>
        </w:rPr>
        <w:t>Board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151765</wp:posOffset>
            </wp:positionV>
            <wp:extent cx="1198880" cy="13906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198880" cy="1390650"/>
                    </a:xfrm>
                    <a:prstGeom prst="rect">
                      <a:avLst/>
                    </a:prstGeom>
                    <a:noFill/>
                  </pic:spPr>
                </pic:pic>
              </a:graphicData>
            </a:graphic>
          </wp:anchor>
        </w:drawing>
        <w:drawing>
          <wp:anchor simplePos="0" relativeHeight="251657728" behindDoc="1" locked="0" layoutInCell="0" allowOverlap="1">
            <wp:simplePos x="0" y="0"/>
            <wp:positionH relativeFrom="column">
              <wp:posOffset>2802255</wp:posOffset>
            </wp:positionH>
            <wp:positionV relativeFrom="paragraph">
              <wp:posOffset>85090</wp:posOffset>
            </wp:positionV>
            <wp:extent cx="8255" cy="66865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255" cy="6686550"/>
                    </a:xfrm>
                    <a:prstGeom prst="rect">
                      <a:avLst/>
                    </a:prstGeom>
                    <a:noFill/>
                  </pic:spPr>
                </pic:pic>
              </a:graphicData>
            </a:graphic>
          </wp:anchor>
        </w:drawing>
      </w:r>
    </w:p>
    <w:p>
      <w:pPr>
        <w:spacing w:after="0" w:line="400" w:lineRule="exact"/>
        <w:rPr>
          <w:sz w:val="20"/>
          <w:szCs w:val="20"/>
          <w:color w:val="auto"/>
        </w:rPr>
      </w:pPr>
    </w:p>
    <w:p>
      <w:pPr>
        <w:ind w:left="2140"/>
        <w:spacing w:after="0"/>
        <w:rPr>
          <w:sz w:val="20"/>
          <w:szCs w:val="20"/>
          <w:color w:val="auto"/>
        </w:rPr>
      </w:pPr>
      <w:r>
        <w:rPr>
          <w:rFonts w:ascii="Arial" w:cs="Arial" w:eastAsia="Arial" w:hAnsi="Arial"/>
          <w:sz w:val="20"/>
          <w:szCs w:val="20"/>
          <w:b w:val="1"/>
          <w:bCs w:val="1"/>
          <w:color w:val="292F72"/>
        </w:rPr>
        <w:t>Alessandro Bogliolo</w:t>
      </w:r>
    </w:p>
    <w:p>
      <w:pPr>
        <w:spacing w:after="0" w:line="143" w:lineRule="exact"/>
        <w:rPr>
          <w:sz w:val="20"/>
          <w:szCs w:val="20"/>
          <w:color w:val="auto"/>
        </w:rPr>
      </w:pPr>
    </w:p>
    <w:p>
      <w:pPr>
        <w:ind w:left="2140"/>
        <w:spacing w:after="0"/>
        <w:rPr>
          <w:sz w:val="20"/>
          <w:szCs w:val="20"/>
          <w:color w:val="auto"/>
        </w:rPr>
      </w:pPr>
      <w:r>
        <w:rPr>
          <w:rFonts w:ascii="Arial" w:cs="Arial" w:eastAsia="Arial" w:hAnsi="Arial"/>
          <w:sz w:val="14"/>
          <w:szCs w:val="14"/>
          <w:b w:val="1"/>
          <w:bCs w:val="1"/>
          <w:color w:val="6D8CC3"/>
        </w:rPr>
        <w:t>INDEPENDENT DIRECTOR</w:t>
      </w:r>
    </w:p>
    <w:p>
      <w:pPr>
        <w:spacing w:after="0" w:line="128" w:lineRule="exact"/>
        <w:rPr>
          <w:sz w:val="20"/>
          <w:szCs w:val="20"/>
          <w:color w:val="auto"/>
        </w:rPr>
      </w:pPr>
    </w:p>
    <w:p>
      <w:pPr>
        <w:ind w:left="2140"/>
        <w:spacing w:after="0"/>
        <w:rPr>
          <w:sz w:val="20"/>
          <w:szCs w:val="20"/>
          <w:color w:val="auto"/>
        </w:rPr>
      </w:pPr>
      <w:r>
        <w:rPr>
          <w:rFonts w:ascii="Arial" w:cs="Arial" w:eastAsia="Arial" w:hAnsi="Arial"/>
          <w:sz w:val="14"/>
          <w:szCs w:val="14"/>
          <w:b w:val="1"/>
          <w:bCs w:val="1"/>
          <w:color w:val="292F72"/>
        </w:rPr>
        <w:t xml:space="preserve">Age: </w:t>
      </w:r>
      <w:r>
        <w:rPr>
          <w:rFonts w:ascii="Arial" w:cs="Arial" w:eastAsia="Arial" w:hAnsi="Arial"/>
          <w:sz w:val="14"/>
          <w:szCs w:val="14"/>
          <w:color w:val="000000"/>
        </w:rPr>
        <w:t>61</w:t>
      </w:r>
    </w:p>
    <w:p>
      <w:pPr>
        <w:spacing w:after="0" w:line="114" w:lineRule="exact"/>
        <w:rPr>
          <w:sz w:val="20"/>
          <w:szCs w:val="20"/>
          <w:color w:val="auto"/>
        </w:rPr>
      </w:pPr>
    </w:p>
    <w:p>
      <w:pPr>
        <w:ind w:left="2140"/>
        <w:spacing w:after="0"/>
        <w:rPr>
          <w:sz w:val="20"/>
          <w:szCs w:val="20"/>
          <w:color w:val="auto"/>
        </w:rPr>
      </w:pPr>
      <w:r>
        <w:rPr>
          <w:rFonts w:ascii="Arial" w:cs="Arial" w:eastAsia="Arial" w:hAnsi="Arial"/>
          <w:sz w:val="14"/>
          <w:szCs w:val="14"/>
          <w:b w:val="1"/>
          <w:bCs w:val="1"/>
          <w:color w:val="292F72"/>
        </w:rPr>
        <w:t xml:space="preserve">Director since: </w:t>
      </w:r>
      <w:r>
        <w:rPr>
          <w:rFonts w:ascii="Arial" w:cs="Arial" w:eastAsia="Arial" w:hAnsi="Arial"/>
          <w:sz w:val="14"/>
          <w:szCs w:val="14"/>
          <w:color w:val="000000"/>
        </w:rPr>
        <w:t>2022</w:t>
      </w:r>
    </w:p>
    <w:p>
      <w:pPr>
        <w:spacing w:after="0" w:line="101" w:lineRule="exact"/>
        <w:rPr>
          <w:sz w:val="20"/>
          <w:szCs w:val="20"/>
          <w:color w:val="auto"/>
        </w:rPr>
      </w:pPr>
    </w:p>
    <w:p>
      <w:pPr>
        <w:ind w:left="2140"/>
        <w:spacing w:after="0"/>
        <w:rPr>
          <w:sz w:val="20"/>
          <w:szCs w:val="20"/>
          <w:color w:val="auto"/>
        </w:rPr>
      </w:pPr>
      <w:r>
        <w:rPr>
          <w:rFonts w:ascii="Arial" w:cs="Arial" w:eastAsia="Arial" w:hAnsi="Arial"/>
          <w:sz w:val="14"/>
          <w:szCs w:val="14"/>
          <w:b w:val="1"/>
          <w:bCs w:val="1"/>
          <w:color w:val="292F72"/>
        </w:rPr>
        <w:t>Committees:</w:t>
      </w:r>
    </w:p>
    <w:p>
      <w:pPr>
        <w:spacing w:after="0" w:line="36" w:lineRule="exact"/>
        <w:rPr>
          <w:sz w:val="20"/>
          <w:szCs w:val="20"/>
          <w:color w:val="auto"/>
        </w:rPr>
      </w:pPr>
    </w:p>
    <w:p>
      <w:pPr>
        <w:ind w:left="2140" w:right="40"/>
        <w:spacing w:after="0" w:line="372" w:lineRule="auto"/>
        <w:rPr>
          <w:sz w:val="20"/>
          <w:szCs w:val="20"/>
          <w:color w:val="auto"/>
        </w:rPr>
      </w:pPr>
      <w:r>
        <w:rPr>
          <w:rFonts w:ascii="Arial" w:cs="Arial" w:eastAsia="Arial" w:hAnsi="Arial"/>
          <w:sz w:val="13"/>
          <w:szCs w:val="13"/>
          <w:color w:val="auto"/>
        </w:rPr>
        <w:t>Human Capital &amp; Compensation Nominating &amp; Governance</w:t>
      </w:r>
    </w:p>
    <w:p>
      <w:pPr>
        <w:spacing w:after="0" w:line="137" w:lineRule="exact"/>
        <w:rPr>
          <w:sz w:val="20"/>
          <w:szCs w:val="20"/>
          <w:color w:val="auto"/>
        </w:rPr>
      </w:pPr>
    </w:p>
    <w:p>
      <w:pPr>
        <w:ind w:left="40"/>
        <w:spacing w:after="0"/>
        <w:rPr>
          <w:sz w:val="20"/>
          <w:szCs w:val="20"/>
          <w:color w:val="auto"/>
        </w:rPr>
      </w:pPr>
      <w:r>
        <w:rPr>
          <w:rFonts w:ascii="Arial" w:cs="Arial" w:eastAsia="Arial" w:hAnsi="Arial"/>
          <w:sz w:val="16"/>
          <w:szCs w:val="16"/>
          <w:color w:val="auto"/>
        </w:rPr>
        <w:t> </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292F72"/>
        </w:rPr>
        <w:t>Career Highlights</w:t>
      </w:r>
    </w:p>
    <w:p>
      <w:pPr>
        <w:spacing w:after="0" w:line="107" w:lineRule="exact"/>
        <w:rPr>
          <w:sz w:val="20"/>
          <w:szCs w:val="20"/>
          <w:color w:val="auto"/>
        </w:rPr>
      </w:pPr>
    </w:p>
    <w:p>
      <w:pPr>
        <w:ind w:left="160" w:right="40" w:hanging="133"/>
        <w:spacing w:after="0" w:line="246" w:lineRule="auto"/>
        <w:rPr>
          <w:sz w:val="20"/>
          <w:szCs w:val="20"/>
          <w:color w:val="auto"/>
        </w:rPr>
      </w:pPr>
      <w:r>
        <w:rPr>
          <w:rFonts w:ascii="Arial" w:cs="Arial" w:eastAsia="Arial" w:hAnsi="Arial"/>
          <w:sz w:val="16"/>
          <w:szCs w:val="16"/>
          <w:color w:val="6D8CC3"/>
        </w:rPr>
        <w:t>•</w:t>
      </w:r>
      <w:r>
        <w:rPr>
          <w:rFonts w:ascii="Arial" w:cs="Arial" w:eastAsia="Arial" w:hAnsi="Arial"/>
          <w:sz w:val="16"/>
          <w:szCs w:val="16"/>
          <w:color w:val="000000"/>
        </w:rPr>
        <w:t xml:space="preserve">  Chief Executive Officer and director of Tiffany &amp; Co.</w:t>
      </w:r>
      <w:r>
        <w:rPr>
          <w:rFonts w:ascii="Arial" w:cs="Arial" w:eastAsia="Arial" w:hAnsi="Arial"/>
          <w:sz w:val="16"/>
          <w:szCs w:val="16"/>
          <w:color w:val="6D8CC3"/>
        </w:rPr>
        <w:t xml:space="preserve"> </w:t>
      </w:r>
      <w:r>
        <w:rPr>
          <w:rFonts w:ascii="Arial" w:cs="Arial" w:eastAsia="Arial" w:hAnsi="Arial"/>
          <w:sz w:val="16"/>
          <w:szCs w:val="16"/>
          <w:color w:val="000000"/>
        </w:rPr>
        <w:t>(“Tiffany”), a luxury jewelry and specialty retailer (October 2017 through the acquisition of Tiffany, then a publicly traded company, by LVMH Moët Hennessy Louis Vuitton SE in January 2021)</w:t>
      </w:r>
    </w:p>
    <w:p>
      <w:pPr>
        <w:spacing w:after="0" w:line="80" w:lineRule="exact"/>
        <w:rPr>
          <w:sz w:val="20"/>
          <w:szCs w:val="20"/>
          <w:color w:val="auto"/>
        </w:rPr>
      </w:pPr>
    </w:p>
    <w:p>
      <w:pPr>
        <w:ind w:left="160" w:right="100" w:hanging="133"/>
        <w:spacing w:after="0" w:line="254" w:lineRule="auto"/>
        <w:rPr>
          <w:sz w:val="20"/>
          <w:szCs w:val="20"/>
          <w:color w:val="auto"/>
        </w:rPr>
      </w:pPr>
      <w:r>
        <w:rPr>
          <w:rFonts w:ascii="Arial" w:cs="Arial" w:eastAsia="Arial" w:hAnsi="Arial"/>
          <w:sz w:val="16"/>
          <w:szCs w:val="16"/>
          <w:color w:val="6D8CC3"/>
        </w:rPr>
        <w:t>•</w:t>
      </w:r>
      <w:r>
        <w:rPr>
          <w:rFonts w:ascii="Arial" w:cs="Arial" w:eastAsia="Arial" w:hAnsi="Arial"/>
          <w:sz w:val="16"/>
          <w:szCs w:val="16"/>
          <w:color w:val="000000"/>
        </w:rPr>
        <w:t xml:space="preserve">  Chief Executive Officer and director of Diesel SpA, an</w:t>
      </w:r>
      <w:r>
        <w:rPr>
          <w:rFonts w:ascii="Arial" w:cs="Arial" w:eastAsia="Arial" w:hAnsi="Arial"/>
          <w:sz w:val="16"/>
          <w:szCs w:val="16"/>
          <w:color w:val="6D8CC3"/>
        </w:rPr>
        <w:t xml:space="preserve"> </w:t>
      </w:r>
      <w:r>
        <w:rPr>
          <w:rFonts w:ascii="Arial" w:cs="Arial" w:eastAsia="Arial" w:hAnsi="Arial"/>
          <w:sz w:val="16"/>
          <w:szCs w:val="16"/>
          <w:color w:val="000000"/>
        </w:rPr>
        <w:t>international fashion brand that is part of the OTB Group (2013 to 2017)</w:t>
      </w:r>
    </w:p>
    <w:p>
      <w:pPr>
        <w:spacing w:after="0" w:line="72" w:lineRule="exact"/>
        <w:rPr>
          <w:sz w:val="20"/>
          <w:szCs w:val="20"/>
          <w:color w:val="auto"/>
        </w:rPr>
      </w:pPr>
    </w:p>
    <w:p>
      <w:pPr>
        <w:ind w:left="160" w:right="20" w:hanging="133"/>
        <w:spacing w:after="0" w:line="249" w:lineRule="auto"/>
        <w:rPr>
          <w:sz w:val="20"/>
          <w:szCs w:val="20"/>
          <w:color w:val="auto"/>
        </w:rPr>
      </w:pPr>
      <w:r>
        <w:rPr>
          <w:rFonts w:ascii="Arial" w:cs="Arial" w:eastAsia="Arial" w:hAnsi="Arial"/>
          <w:sz w:val="16"/>
          <w:szCs w:val="16"/>
          <w:color w:val="6D8CC3"/>
        </w:rPr>
        <w:t>•</w:t>
      </w:r>
      <w:r>
        <w:rPr>
          <w:rFonts w:ascii="Arial" w:cs="Arial" w:eastAsia="Arial" w:hAnsi="Arial"/>
          <w:sz w:val="16"/>
          <w:szCs w:val="16"/>
          <w:color w:val="000000"/>
        </w:rPr>
        <w:t xml:space="preserve">  Senior roles in Asia, Europe and the US, including as</w:t>
      </w:r>
      <w:r>
        <w:rPr>
          <w:rFonts w:ascii="Arial" w:cs="Arial" w:eastAsia="Arial" w:hAnsi="Arial"/>
          <w:sz w:val="16"/>
          <w:szCs w:val="16"/>
          <w:color w:val="6D8CC3"/>
        </w:rPr>
        <w:t xml:space="preserve"> </w:t>
      </w:r>
      <w:r>
        <w:rPr>
          <w:rFonts w:ascii="Arial" w:cs="Arial" w:eastAsia="Arial" w:hAnsi="Arial"/>
          <w:sz w:val="16"/>
          <w:szCs w:val="16"/>
          <w:color w:val="000000"/>
        </w:rPr>
        <w:t>Chief Operating Officer, North America, for Sephora USA and Executive Vice President and Chief Operating Officer of Bulgari (2011 to 2013)</w:t>
      </w:r>
    </w:p>
    <w:p>
      <w:pPr>
        <w:spacing w:after="0" w:line="76" w:lineRule="exact"/>
        <w:rPr>
          <w:sz w:val="20"/>
          <w:szCs w:val="20"/>
          <w:color w:val="auto"/>
        </w:rPr>
      </w:pPr>
    </w:p>
    <w:p>
      <w:pPr>
        <w:jc w:val="both"/>
        <w:ind w:left="160" w:right="100" w:hanging="133"/>
        <w:spacing w:after="0" w:line="254" w:lineRule="auto"/>
        <w:rPr>
          <w:sz w:val="20"/>
          <w:szCs w:val="20"/>
          <w:color w:val="auto"/>
        </w:rPr>
      </w:pPr>
      <w:r>
        <w:rPr>
          <w:rFonts w:ascii="Arial" w:cs="Arial" w:eastAsia="Arial" w:hAnsi="Arial"/>
          <w:sz w:val="16"/>
          <w:szCs w:val="16"/>
          <w:color w:val="6D8CC3"/>
        </w:rPr>
        <w:t>•</w:t>
      </w:r>
      <w:r>
        <w:rPr>
          <w:rFonts w:ascii="Arial" w:cs="Arial" w:eastAsia="Arial" w:hAnsi="Arial"/>
          <w:sz w:val="16"/>
          <w:szCs w:val="16"/>
          <w:color w:val="000000"/>
        </w:rPr>
        <w:t xml:space="preserve">  Born in Italy, Mr. Bogliolo also serves as the chairman of</w:t>
      </w:r>
      <w:r>
        <w:rPr>
          <w:rFonts w:ascii="Arial" w:cs="Arial" w:eastAsia="Arial" w:hAnsi="Arial"/>
          <w:sz w:val="16"/>
          <w:szCs w:val="16"/>
          <w:color w:val="6D8CC3"/>
        </w:rPr>
        <w:t xml:space="preserve"> </w:t>
      </w:r>
      <w:r>
        <w:rPr>
          <w:rFonts w:ascii="Arial" w:cs="Arial" w:eastAsia="Arial" w:hAnsi="Arial"/>
          <w:sz w:val="16"/>
          <w:szCs w:val="16"/>
          <w:color w:val="000000"/>
        </w:rPr>
        <w:t>the board of Audemars Piguet, a Swiss manufacturer of luxury mechanical watches</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292F72"/>
        </w:rPr>
        <w:t>Other Current Public Company Boards</w:t>
      </w:r>
    </w:p>
    <w:p>
      <w:pPr>
        <w:spacing w:after="0" w:line="107" w:lineRule="exact"/>
        <w:rPr>
          <w:sz w:val="20"/>
          <w:szCs w:val="20"/>
          <w:color w:val="auto"/>
        </w:rPr>
      </w:pPr>
    </w:p>
    <w:p>
      <w:pPr>
        <w:ind w:left="40"/>
        <w:spacing w:after="0" w:line="268" w:lineRule="auto"/>
        <w:rPr>
          <w:sz w:val="20"/>
          <w:szCs w:val="20"/>
          <w:color w:val="auto"/>
        </w:rPr>
      </w:pPr>
      <w:r>
        <w:rPr>
          <w:rFonts w:ascii="Arial" w:cs="Arial" w:eastAsia="Arial" w:hAnsi="Arial"/>
          <w:sz w:val="16"/>
          <w:szCs w:val="16"/>
          <w:color w:val="auto"/>
        </w:rPr>
        <w:t>Hyatt Hotels Corporation, an international hotel chain, since December 2023</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292F72"/>
        </w:rPr>
        <w:t>Education</w:t>
      </w:r>
    </w:p>
    <w:p>
      <w:pPr>
        <w:spacing w:after="0" w:line="107" w:lineRule="exact"/>
        <w:rPr>
          <w:sz w:val="20"/>
          <w:szCs w:val="20"/>
          <w:color w:val="auto"/>
        </w:rPr>
      </w:pPr>
    </w:p>
    <w:p>
      <w:pPr>
        <w:ind w:left="40" w:right="60"/>
        <w:spacing w:after="0" w:line="249" w:lineRule="auto"/>
        <w:rPr>
          <w:sz w:val="20"/>
          <w:szCs w:val="20"/>
          <w:color w:val="auto"/>
        </w:rPr>
      </w:pPr>
      <w:r>
        <w:rPr>
          <w:rFonts w:ascii="Arial" w:cs="Arial" w:eastAsia="Arial" w:hAnsi="Arial"/>
          <w:sz w:val="16"/>
          <w:szCs w:val="16"/>
          <w:color w:val="auto"/>
        </w:rPr>
        <w:t>Mr. Bogliolo graduated from Bocconi University with a degree in Business Administration. He also attended Ecole des Hautes Etudes Commerciales’s International Management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161925</wp:posOffset>
            </wp:positionV>
            <wp:extent cx="2668905" cy="12700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668905" cy="127000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260"/>
        <w:spacing w:after="0"/>
        <w:rPr>
          <w:sz w:val="20"/>
          <w:szCs w:val="20"/>
          <w:color w:val="auto"/>
        </w:rPr>
      </w:pPr>
      <w:r>
        <w:rPr>
          <w:rFonts w:ascii="Arial" w:cs="Arial" w:eastAsia="Arial" w:hAnsi="Arial"/>
          <w:sz w:val="19"/>
          <w:szCs w:val="19"/>
          <w:b w:val="1"/>
          <w:bCs w:val="1"/>
          <w:color w:val="6D8CC3"/>
        </w:rPr>
        <w:t>Key Qualifications</w:t>
      </w:r>
    </w:p>
    <w:p>
      <w:pPr>
        <w:spacing w:after="0" w:line="108" w:lineRule="exact"/>
        <w:rPr>
          <w:sz w:val="20"/>
          <w:szCs w:val="20"/>
          <w:color w:val="auto"/>
        </w:rPr>
      </w:pPr>
    </w:p>
    <w:p>
      <w:pPr>
        <w:ind w:left="260" w:right="280"/>
        <w:spacing w:after="0" w:line="263" w:lineRule="auto"/>
        <w:rPr>
          <w:sz w:val="20"/>
          <w:szCs w:val="20"/>
          <w:color w:val="auto"/>
        </w:rPr>
      </w:pPr>
      <w:r>
        <w:rPr>
          <w:rFonts w:ascii="Arial" w:cs="Arial" w:eastAsia="Arial" w:hAnsi="Arial"/>
          <w:sz w:val="15"/>
          <w:szCs w:val="15"/>
          <w:color w:val="auto"/>
        </w:rPr>
        <w:t>Mr. Bogliolo’s nomination is supported by his extensive executive, strategic and operational leadership experience, including as chief executive officer of a publicly traded retail brand, his deep knowledge of the retail industry and consumers, his international experience and perspective and his service on other public company boards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100"/>
        <w:spacing w:after="0"/>
        <w:rPr>
          <w:sz w:val="20"/>
          <w:szCs w:val="20"/>
          <w:color w:val="auto"/>
        </w:rPr>
      </w:pPr>
      <w:r>
        <w:rPr>
          <w:rFonts w:ascii="Arial" w:cs="Arial" w:eastAsia="Arial" w:hAnsi="Arial"/>
          <w:sz w:val="21"/>
          <w:szCs w:val="21"/>
          <w:b w:val="1"/>
          <w:bCs w:val="1"/>
          <w:color w:val="292F72"/>
        </w:rPr>
        <w:t>Lucy O.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-267970</wp:posOffset>
            </wp:positionV>
            <wp:extent cx="1198880" cy="13906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198880" cy="1390650"/>
                    </a:xfrm>
                    <a:prstGeom prst="rect">
                      <a:avLst/>
                    </a:prstGeom>
                    <a:noFill/>
                  </pic:spPr>
                </pic:pic>
              </a:graphicData>
            </a:graphic>
          </wp:anchor>
        </w:drawing>
      </w:r>
    </w:p>
    <w:p>
      <w:pPr>
        <w:spacing w:after="0" w:line="111" w:lineRule="exact"/>
        <w:rPr>
          <w:sz w:val="20"/>
          <w:szCs w:val="20"/>
          <w:color w:val="auto"/>
        </w:rPr>
      </w:pPr>
    </w:p>
    <w:p>
      <w:pPr>
        <w:ind w:left="2100"/>
        <w:spacing w:after="0"/>
        <w:rPr>
          <w:sz w:val="20"/>
          <w:szCs w:val="20"/>
          <w:color w:val="auto"/>
        </w:rPr>
      </w:pPr>
      <w:r>
        <w:rPr>
          <w:rFonts w:ascii="Arial" w:cs="Arial" w:eastAsia="Arial" w:hAnsi="Arial"/>
          <w:sz w:val="14"/>
          <w:szCs w:val="14"/>
          <w:b w:val="1"/>
          <w:bCs w:val="1"/>
          <w:color w:val="6D8CC3"/>
        </w:rPr>
        <w:t>INDEPENDENT DIRECTOR</w:t>
      </w:r>
    </w:p>
    <w:p>
      <w:pPr>
        <w:spacing w:after="0" w:line="128" w:lineRule="exact"/>
        <w:rPr>
          <w:sz w:val="20"/>
          <w:szCs w:val="20"/>
          <w:color w:val="auto"/>
        </w:rPr>
      </w:pPr>
    </w:p>
    <w:p>
      <w:pPr>
        <w:ind w:left="2100"/>
        <w:spacing w:after="0"/>
        <w:rPr>
          <w:sz w:val="20"/>
          <w:szCs w:val="20"/>
          <w:color w:val="auto"/>
        </w:rPr>
      </w:pPr>
      <w:r>
        <w:rPr>
          <w:rFonts w:ascii="Arial" w:cs="Arial" w:eastAsia="Arial" w:hAnsi="Arial"/>
          <w:sz w:val="14"/>
          <w:szCs w:val="14"/>
          <w:b w:val="1"/>
          <w:bCs w:val="1"/>
          <w:color w:val="292F72"/>
        </w:rPr>
        <w:t xml:space="preserve">Age: </w:t>
      </w:r>
      <w:r>
        <w:rPr>
          <w:rFonts w:ascii="Arial" w:cs="Arial" w:eastAsia="Arial" w:hAnsi="Arial"/>
          <w:sz w:val="14"/>
          <w:szCs w:val="14"/>
          <w:color w:val="000000"/>
        </w:rPr>
        <w:t>56</w:t>
      </w:r>
    </w:p>
    <w:p>
      <w:pPr>
        <w:spacing w:after="0" w:line="114" w:lineRule="exact"/>
        <w:rPr>
          <w:sz w:val="20"/>
          <w:szCs w:val="20"/>
          <w:color w:val="auto"/>
        </w:rPr>
      </w:pPr>
    </w:p>
    <w:p>
      <w:pPr>
        <w:ind w:left="2100"/>
        <w:spacing w:after="0"/>
        <w:rPr>
          <w:sz w:val="20"/>
          <w:szCs w:val="20"/>
          <w:color w:val="auto"/>
        </w:rPr>
      </w:pPr>
      <w:r>
        <w:rPr>
          <w:rFonts w:ascii="Arial" w:cs="Arial" w:eastAsia="Arial" w:hAnsi="Arial"/>
          <w:sz w:val="14"/>
          <w:szCs w:val="14"/>
          <w:b w:val="1"/>
          <w:bCs w:val="1"/>
          <w:color w:val="292F72"/>
        </w:rPr>
        <w:t xml:space="preserve">Director since: </w:t>
      </w:r>
      <w:r>
        <w:rPr>
          <w:rFonts w:ascii="Arial" w:cs="Arial" w:eastAsia="Arial" w:hAnsi="Arial"/>
          <w:sz w:val="14"/>
          <w:szCs w:val="14"/>
          <w:color w:val="000000"/>
        </w:rPr>
        <w:t>2023</w:t>
      </w:r>
    </w:p>
    <w:p>
      <w:pPr>
        <w:spacing w:after="0" w:line="101" w:lineRule="exact"/>
        <w:rPr>
          <w:sz w:val="20"/>
          <w:szCs w:val="20"/>
          <w:color w:val="auto"/>
        </w:rPr>
      </w:pPr>
    </w:p>
    <w:p>
      <w:pPr>
        <w:ind w:left="2100"/>
        <w:spacing w:after="0"/>
        <w:rPr>
          <w:sz w:val="20"/>
          <w:szCs w:val="20"/>
          <w:color w:val="auto"/>
        </w:rPr>
      </w:pPr>
      <w:r>
        <w:rPr>
          <w:rFonts w:ascii="Arial" w:cs="Arial" w:eastAsia="Arial" w:hAnsi="Arial"/>
          <w:sz w:val="14"/>
          <w:szCs w:val="14"/>
          <w:b w:val="1"/>
          <w:bCs w:val="1"/>
          <w:color w:val="292F72"/>
        </w:rPr>
        <w:t>Committees:</w:t>
      </w:r>
    </w:p>
    <w:p>
      <w:pPr>
        <w:spacing w:after="0" w:line="36" w:lineRule="exact"/>
        <w:rPr>
          <w:sz w:val="20"/>
          <w:szCs w:val="20"/>
          <w:color w:val="auto"/>
        </w:rPr>
      </w:pPr>
    </w:p>
    <w:p>
      <w:pPr>
        <w:ind w:left="2100" w:right="219"/>
        <w:spacing w:after="0" w:line="372" w:lineRule="auto"/>
        <w:rPr>
          <w:sz w:val="20"/>
          <w:szCs w:val="20"/>
          <w:color w:val="auto"/>
        </w:rPr>
      </w:pPr>
      <w:r>
        <w:rPr>
          <w:rFonts w:ascii="Arial" w:cs="Arial" w:eastAsia="Arial" w:hAnsi="Arial"/>
          <w:sz w:val="13"/>
          <w:szCs w:val="13"/>
          <w:color w:val="auto"/>
        </w:rPr>
        <w:t>Human Capital &amp; Compensation Nominating &amp; Governance</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292F72"/>
        </w:rPr>
        <w:t>Career Highlights</w:t>
      </w:r>
    </w:p>
    <w:p>
      <w:pPr>
        <w:spacing w:after="0" w:line="107" w:lineRule="exact"/>
        <w:rPr>
          <w:sz w:val="20"/>
          <w:szCs w:val="20"/>
          <w:color w:val="auto"/>
        </w:rPr>
      </w:pPr>
    </w:p>
    <w:p>
      <w:pPr>
        <w:ind w:left="140" w:right="299" w:hanging="133"/>
        <w:spacing w:after="0" w:line="254" w:lineRule="auto"/>
        <w:rPr>
          <w:sz w:val="20"/>
          <w:szCs w:val="20"/>
          <w:color w:val="auto"/>
        </w:rPr>
      </w:pPr>
      <w:r>
        <w:rPr>
          <w:rFonts w:ascii="Arial" w:cs="Arial" w:eastAsia="Arial" w:hAnsi="Arial"/>
          <w:sz w:val="16"/>
          <w:szCs w:val="16"/>
          <w:color w:val="6D8CC3"/>
        </w:rPr>
        <w:t>•</w:t>
      </w:r>
      <w:r>
        <w:rPr>
          <w:rFonts w:ascii="Arial" w:cs="Arial" w:eastAsia="Arial" w:hAnsi="Arial"/>
          <w:sz w:val="16"/>
          <w:szCs w:val="16"/>
          <w:color w:val="000000"/>
        </w:rPr>
        <w:t xml:space="preserve">  President, Snacks and Grocery at Conagra Brands, Inc.</w:t>
      </w:r>
      <w:r>
        <w:rPr>
          <w:rFonts w:ascii="Arial" w:cs="Arial" w:eastAsia="Arial" w:hAnsi="Arial"/>
          <w:sz w:val="16"/>
          <w:szCs w:val="16"/>
          <w:color w:val="6D8CC3"/>
        </w:rPr>
        <w:t xml:space="preserve"> </w:t>
      </w:r>
      <w:r>
        <w:rPr>
          <w:rFonts w:ascii="Arial" w:cs="Arial" w:eastAsia="Arial" w:hAnsi="Arial"/>
          <w:sz w:val="16"/>
          <w:szCs w:val="16"/>
          <w:color w:val="000000"/>
        </w:rPr>
        <w:t>(“Conagra”), a publicly traded leading branded food company (June 2022 to February 2025)</w:t>
      </w:r>
    </w:p>
    <w:p>
      <w:pPr>
        <w:spacing w:after="0" w:line="72" w:lineRule="exact"/>
        <w:rPr>
          <w:sz w:val="20"/>
          <w:szCs w:val="20"/>
          <w:color w:val="auto"/>
        </w:rPr>
      </w:pPr>
    </w:p>
    <w:p>
      <w:pPr>
        <w:ind w:left="140" w:right="139" w:hanging="133"/>
        <w:spacing w:after="0" w:line="244" w:lineRule="auto"/>
        <w:rPr>
          <w:sz w:val="20"/>
          <w:szCs w:val="20"/>
          <w:color w:val="auto"/>
        </w:rPr>
      </w:pPr>
      <w:r>
        <w:rPr>
          <w:rFonts w:ascii="Arial" w:cs="Arial" w:eastAsia="Arial" w:hAnsi="Arial"/>
          <w:sz w:val="16"/>
          <w:szCs w:val="16"/>
          <w:color w:val="6D8CC3"/>
        </w:rPr>
        <w:t>•</w:t>
      </w:r>
      <w:r>
        <w:rPr>
          <w:rFonts w:ascii="Arial" w:cs="Arial" w:eastAsia="Arial" w:hAnsi="Arial"/>
          <w:sz w:val="16"/>
          <w:szCs w:val="16"/>
          <w:color w:val="000000"/>
        </w:rPr>
        <w:t xml:space="preserve">  Senior Vice President and Chief Digital Customer</w:t>
      </w:r>
      <w:r>
        <w:rPr>
          <w:rFonts w:ascii="Arial" w:cs="Arial" w:eastAsia="Arial" w:hAnsi="Arial"/>
          <w:sz w:val="16"/>
          <w:szCs w:val="16"/>
          <w:color w:val="6D8CC3"/>
        </w:rPr>
        <w:t xml:space="preserve"> </w:t>
      </w:r>
      <w:r>
        <w:rPr>
          <w:rFonts w:ascii="Arial" w:cs="Arial" w:eastAsia="Arial" w:hAnsi="Arial"/>
          <w:sz w:val="16"/>
          <w:szCs w:val="16"/>
          <w:color w:val="000000"/>
        </w:rPr>
        <w:t>Engagement Officer (January 2020 to April 2022) and Senior Vice President of Corporate Strategy, Business Development and Innovation (September 2016 to January 2020) at McDonald’s Corporation (“McDonald’s”), the owner and operator of McDonald’s restaurants located in more than 100 countries</w:t>
      </w:r>
    </w:p>
    <w:p>
      <w:pPr>
        <w:spacing w:after="0" w:line="81" w:lineRule="exact"/>
        <w:rPr>
          <w:sz w:val="20"/>
          <w:szCs w:val="20"/>
          <w:color w:val="auto"/>
        </w:rPr>
      </w:pPr>
    </w:p>
    <w:p>
      <w:pPr>
        <w:ind w:left="140" w:right="59" w:hanging="133"/>
        <w:spacing w:after="0" w:line="254" w:lineRule="auto"/>
        <w:rPr>
          <w:sz w:val="20"/>
          <w:szCs w:val="20"/>
          <w:color w:val="auto"/>
        </w:rPr>
      </w:pPr>
      <w:r>
        <w:rPr>
          <w:rFonts w:ascii="Arial" w:cs="Arial" w:eastAsia="Arial" w:hAnsi="Arial"/>
          <w:sz w:val="16"/>
          <w:szCs w:val="16"/>
          <w:color w:val="6D8CC3"/>
        </w:rPr>
        <w:t>•</w:t>
      </w:r>
      <w:r>
        <w:rPr>
          <w:rFonts w:ascii="Arial" w:cs="Arial" w:eastAsia="Arial" w:hAnsi="Arial"/>
          <w:sz w:val="16"/>
          <w:szCs w:val="16"/>
          <w:color w:val="000000"/>
        </w:rPr>
        <w:t xml:space="preserve">  Prior to joining McDonald’s, Ms. Brady served as Managing</w:t>
      </w:r>
      <w:r>
        <w:rPr>
          <w:rFonts w:ascii="Arial" w:cs="Arial" w:eastAsia="Arial" w:hAnsi="Arial"/>
          <w:sz w:val="16"/>
          <w:szCs w:val="16"/>
          <w:color w:val="6D8CC3"/>
        </w:rPr>
        <w:t xml:space="preserve"> </w:t>
      </w:r>
      <w:r>
        <w:rPr>
          <w:rFonts w:ascii="Arial" w:cs="Arial" w:eastAsia="Arial" w:hAnsi="Arial"/>
          <w:sz w:val="16"/>
          <w:szCs w:val="16"/>
          <w:color w:val="000000"/>
        </w:rPr>
        <w:t>Director and Senior Partner at The Boston Consulting Group</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292F72"/>
        </w:rPr>
        <w:t>Education</w:t>
      </w:r>
    </w:p>
    <w:p>
      <w:pPr>
        <w:spacing w:after="0" w:line="107" w:lineRule="exact"/>
        <w:rPr>
          <w:sz w:val="20"/>
          <w:szCs w:val="20"/>
          <w:color w:val="auto"/>
        </w:rPr>
      </w:pPr>
    </w:p>
    <w:p>
      <w:pPr>
        <w:ind w:right="179"/>
        <w:spacing w:after="0" w:line="279" w:lineRule="auto"/>
        <w:rPr>
          <w:sz w:val="20"/>
          <w:szCs w:val="20"/>
          <w:color w:val="auto"/>
        </w:rPr>
      </w:pPr>
      <w:r>
        <w:rPr>
          <w:rFonts w:ascii="Arial" w:cs="Arial" w:eastAsia="Arial" w:hAnsi="Arial"/>
          <w:sz w:val="15"/>
          <w:szCs w:val="15"/>
          <w:color w:val="auto"/>
        </w:rPr>
        <w:t>Ms. Brady received a B.A. in Economics from the Wharton School at the University of Pennsylvania and has an M.B.A. from the Stanford University Graduate School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675005</wp:posOffset>
            </wp:positionV>
            <wp:extent cx="2698115" cy="16738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698115" cy="1673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0"/>
        <w:spacing w:after="0"/>
        <w:rPr>
          <w:sz w:val="20"/>
          <w:szCs w:val="20"/>
          <w:color w:val="auto"/>
        </w:rPr>
      </w:pPr>
      <w:r>
        <w:rPr>
          <w:rFonts w:ascii="Arial" w:cs="Arial" w:eastAsia="Arial" w:hAnsi="Arial"/>
          <w:sz w:val="19"/>
          <w:szCs w:val="19"/>
          <w:b w:val="1"/>
          <w:bCs w:val="1"/>
          <w:color w:val="6D8CC3"/>
        </w:rPr>
        <w:t>Key Qualifications</w:t>
      </w:r>
    </w:p>
    <w:p>
      <w:pPr>
        <w:spacing w:after="0" w:line="147" w:lineRule="exact"/>
        <w:rPr>
          <w:sz w:val="20"/>
          <w:szCs w:val="20"/>
          <w:color w:val="auto"/>
        </w:rPr>
      </w:pPr>
    </w:p>
    <w:p>
      <w:pPr>
        <w:ind w:left="80" w:right="279"/>
        <w:spacing w:after="0" w:line="242" w:lineRule="auto"/>
        <w:rPr>
          <w:sz w:val="20"/>
          <w:szCs w:val="20"/>
          <w:color w:val="auto"/>
        </w:rPr>
      </w:pPr>
      <w:r>
        <w:rPr>
          <w:rFonts w:ascii="Arial" w:cs="Arial" w:eastAsia="Arial" w:hAnsi="Arial"/>
          <w:sz w:val="16"/>
          <w:szCs w:val="16"/>
          <w:color w:val="auto"/>
        </w:rPr>
        <w:t>Ms. Brady’s nomination is supported by her omnichannel retail and consumer products experience, her executive leadership and corporate strategy experience and her expertise in global digital strategy and customer loyalty and engagement. As President, Snacks and Grocery, Ms. Brady led the ongoing modernization and growth of Conagra’s $5 billion grocery and snacks portfolio. In addition, Ms. Brady oversaw some of McDonald’s most significant growth drivers, including delivery, loyalty, digital ordering and pickup and personalized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-2992755</wp:posOffset>
            </wp:positionH>
            <wp:positionV relativeFrom="paragraph">
              <wp:posOffset>335915</wp:posOffset>
            </wp:positionV>
            <wp:extent cx="57372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7372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80" w:space="540"/>
            <w:col w:w="4319"/>
          </w:cols>
          <w:pgMar w:left="1420" w:top="116" w:right="1440" w:bottom="1440" w:gutter="0" w:footer="0" w:header="0"/>
          <w:type w:val="continuous"/>
        </w:sect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b w:val="1"/>
          <w:bCs w:val="1"/>
          <w:color w:val="292F72"/>
        </w:rPr>
        <w:t>8</w:t>
      </w:r>
      <w:r>
        <w:rPr>
          <w:rFonts w:ascii="Arial" w:cs="Arial" w:eastAsia="Arial" w:hAnsi="Arial"/>
          <w:sz w:val="14"/>
          <w:szCs w:val="14"/>
          <w:color w:val="292F72"/>
        </w:rPr>
        <w:t xml:space="preserve">     Bath &amp; Body Works, Inc.</w:t>
      </w:r>
      <w:r>
        <w:rPr>
          <w:rFonts w:ascii="Arial" w:cs="Arial" w:eastAsia="Arial" w:hAnsi="Arial"/>
          <w:sz w:val="14"/>
          <w:szCs w:val="14"/>
          <w:color w:val="6D8CC3"/>
        </w:rPr>
        <w:t xml:space="preserve">   | </w:t>
      </w:r>
      <w:r>
        <w:rPr>
          <w:rFonts w:ascii="Arial" w:cs="Arial" w:eastAsia="Arial" w:hAnsi="Arial"/>
          <w:sz w:val="14"/>
          <w:szCs w:val="14"/>
          <w:b w:val="1"/>
          <w:bCs w:val="1"/>
          <w:color w:val="292F72"/>
        </w:rPr>
        <w:t xml:space="preserve">  </w:t>
      </w:r>
      <w:r>
        <w:rPr>
          <w:rFonts w:ascii="Arial" w:cs="Arial" w:eastAsia="Arial" w:hAnsi="Arial"/>
          <w:sz w:val="14"/>
          <w:szCs w:val="14"/>
          <w:color w:val="292F72"/>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178435</wp:posOffset>
            </wp:positionV>
            <wp:extent cx="6795135" cy="165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795135" cy="16510"/>
                    </a:xfrm>
                    <a:prstGeom prst="rect">
                      <a:avLst/>
                    </a:prstGeom>
                    <a:noFill/>
                  </pic:spPr>
                </pic:pic>
              </a:graphicData>
            </a:graphic>
          </wp:anchor>
        </w:drawing>
      </w:r>
    </w:p>
    <w:p>
      <w:pPr>
        <w:sectPr>
          <w:pgSz w:w="11900" w:h="16838" w:orient="portrait"/>
          <w:cols w:equalWidth="0" w:num="1">
            <w:col w:w="9039"/>
          </w:cols>
          <w:pgMar w:left="1420" w:top="116" w:right="1440"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2" w:lineRule="exact"/>
        <w:rPr>
          <w:sz w:val="20"/>
          <w:szCs w:val="20"/>
          <w:color w:val="auto"/>
        </w:rPr>
      </w:pPr>
    </w:p>
    <w:p>
      <w:pPr>
        <w:ind w:left="7640"/>
        <w:spacing w:after="0"/>
        <w:rPr>
          <w:sz w:val="20"/>
          <w:szCs w:val="20"/>
          <w:color w:val="auto"/>
        </w:rPr>
      </w:pPr>
      <w:r>
        <w:rPr>
          <w:rFonts w:ascii="Arial" w:cs="Arial" w:eastAsia="Arial" w:hAnsi="Arial"/>
          <w:sz w:val="15"/>
          <w:szCs w:val="15"/>
          <w:color w:val="292F72"/>
        </w:rPr>
        <w:t>Election of</w:t>
      </w:r>
    </w:p>
    <w:p>
      <w:pPr>
        <w:spacing w:after="0" w:line="25" w:lineRule="exact"/>
        <w:rPr>
          <w:sz w:val="20"/>
          <w:szCs w:val="20"/>
          <w:color w:val="auto"/>
        </w:rPr>
      </w:pPr>
    </w:p>
    <w:p>
      <w:pPr>
        <w:ind w:left="7640"/>
        <w:spacing w:after="0"/>
        <w:rPr>
          <w:sz w:val="20"/>
          <w:szCs w:val="20"/>
          <w:color w:val="auto"/>
        </w:rPr>
      </w:pPr>
      <w:r>
        <w:rPr>
          <w:rFonts w:ascii="Arial" w:cs="Arial" w:eastAsia="Arial" w:hAnsi="Arial"/>
          <w:sz w:val="16"/>
          <w:szCs w:val="16"/>
          <w:color w:val="292F72"/>
        </w:rPr>
        <w:t>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31750</wp:posOffset>
            </wp:positionV>
            <wp:extent cx="5720715" cy="72529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720715" cy="7252970"/>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sectPr>
      </w:pPr>
    </w:p>
    <w:p>
      <w:pPr>
        <w:spacing w:after="0" w:line="200" w:lineRule="exact"/>
        <w:rPr>
          <w:sz w:val="20"/>
          <w:szCs w:val="20"/>
          <w:color w:val="auto"/>
        </w:rPr>
      </w:pPr>
    </w:p>
    <w:p>
      <w:pPr>
        <w:spacing w:after="0" w:line="294" w:lineRule="exact"/>
        <w:rPr>
          <w:sz w:val="20"/>
          <w:szCs w:val="20"/>
          <w:color w:val="auto"/>
        </w:rPr>
      </w:pPr>
    </w:p>
    <w:p>
      <w:pPr>
        <w:ind w:left="2140"/>
        <w:spacing w:after="0"/>
        <w:rPr>
          <w:sz w:val="20"/>
          <w:szCs w:val="20"/>
          <w:color w:val="auto"/>
        </w:rPr>
      </w:pPr>
      <w:r>
        <w:rPr>
          <w:rFonts w:ascii="Arial" w:cs="Arial" w:eastAsia="Arial" w:hAnsi="Arial"/>
          <w:sz w:val="21"/>
          <w:szCs w:val="21"/>
          <w:b w:val="1"/>
          <w:bCs w:val="1"/>
          <w:color w:val="292F72"/>
        </w:rPr>
        <w:t>Daniel J. Heaf</w:t>
      </w:r>
    </w:p>
    <w:p>
      <w:pPr>
        <w:spacing w:after="0" w:line="131" w:lineRule="exact"/>
        <w:rPr>
          <w:sz w:val="20"/>
          <w:szCs w:val="20"/>
          <w:color w:val="auto"/>
        </w:rPr>
      </w:pPr>
    </w:p>
    <w:p>
      <w:pPr>
        <w:ind w:left="2140"/>
        <w:spacing w:after="0"/>
        <w:rPr>
          <w:sz w:val="20"/>
          <w:szCs w:val="20"/>
          <w:color w:val="auto"/>
        </w:rPr>
      </w:pPr>
      <w:r>
        <w:rPr>
          <w:rFonts w:ascii="Arial" w:cs="Arial" w:eastAsia="Arial" w:hAnsi="Arial"/>
          <w:sz w:val="14"/>
          <w:szCs w:val="14"/>
          <w:b w:val="1"/>
          <w:bCs w:val="1"/>
          <w:color w:val="6D8CC3"/>
        </w:rPr>
        <w:t>CHIEF EXECUTIVE OFFICER</w:t>
      </w:r>
    </w:p>
    <w:p>
      <w:pPr>
        <w:spacing w:after="0" w:line="128" w:lineRule="exact"/>
        <w:rPr>
          <w:sz w:val="20"/>
          <w:szCs w:val="20"/>
          <w:color w:val="auto"/>
        </w:rPr>
      </w:pPr>
    </w:p>
    <w:p>
      <w:pPr>
        <w:ind w:left="2140"/>
        <w:spacing w:after="0"/>
        <w:rPr>
          <w:sz w:val="20"/>
          <w:szCs w:val="20"/>
          <w:color w:val="auto"/>
        </w:rPr>
      </w:pPr>
      <w:r>
        <w:rPr>
          <w:rFonts w:ascii="Arial" w:cs="Arial" w:eastAsia="Arial" w:hAnsi="Arial"/>
          <w:sz w:val="14"/>
          <w:szCs w:val="14"/>
          <w:b w:val="1"/>
          <w:bCs w:val="1"/>
          <w:color w:val="292F72"/>
        </w:rPr>
        <w:t xml:space="preserve">Age: </w:t>
      </w:r>
      <w:r>
        <w:rPr>
          <w:rFonts w:ascii="Arial" w:cs="Arial" w:eastAsia="Arial" w:hAnsi="Arial"/>
          <w:sz w:val="14"/>
          <w:szCs w:val="14"/>
          <w:color w:val="000000"/>
        </w:rPr>
        <w:t>48</w:t>
      </w:r>
    </w:p>
    <w:p>
      <w:pPr>
        <w:spacing w:after="0" w:line="114" w:lineRule="exact"/>
        <w:rPr>
          <w:sz w:val="20"/>
          <w:szCs w:val="20"/>
          <w:color w:val="auto"/>
        </w:rPr>
      </w:pPr>
    </w:p>
    <w:p>
      <w:pPr>
        <w:ind w:left="2140"/>
        <w:spacing w:after="0"/>
        <w:rPr>
          <w:sz w:val="20"/>
          <w:szCs w:val="20"/>
          <w:color w:val="auto"/>
        </w:rPr>
      </w:pPr>
      <w:r>
        <w:rPr>
          <w:rFonts w:ascii="Arial" w:cs="Arial" w:eastAsia="Arial" w:hAnsi="Arial"/>
          <w:sz w:val="14"/>
          <w:szCs w:val="14"/>
          <w:b w:val="1"/>
          <w:bCs w:val="1"/>
          <w:color w:val="292F72"/>
        </w:rPr>
        <w:t xml:space="preserve">Director since: </w:t>
      </w:r>
      <w:r>
        <w:rPr>
          <w:rFonts w:ascii="Arial" w:cs="Arial" w:eastAsia="Arial" w:hAnsi="Arial"/>
          <w:sz w:val="14"/>
          <w:szCs w:val="14"/>
          <w:color w:val="000000"/>
        </w:rPr>
        <w:t>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  </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292F72"/>
        </w:rPr>
        <w:t>Career Highlights</w:t>
      </w:r>
    </w:p>
    <w:p>
      <w:pPr>
        <w:spacing w:after="0" w:line="107" w:lineRule="exact"/>
        <w:rPr>
          <w:sz w:val="20"/>
          <w:szCs w:val="20"/>
          <w:color w:val="auto"/>
        </w:rPr>
      </w:pPr>
    </w:p>
    <w:p>
      <w:pPr>
        <w:ind w:left="160" w:right="280" w:hanging="133"/>
        <w:spacing w:after="0" w:line="248" w:lineRule="auto"/>
        <w:rPr>
          <w:sz w:val="20"/>
          <w:szCs w:val="20"/>
          <w:color w:val="auto"/>
        </w:rPr>
      </w:pPr>
      <w:r>
        <w:rPr>
          <w:rFonts w:ascii="Arial" w:cs="Arial" w:eastAsia="Arial" w:hAnsi="Arial"/>
          <w:sz w:val="16"/>
          <w:szCs w:val="16"/>
          <w:color w:val="6D8CC3"/>
        </w:rPr>
        <w:t>•</w:t>
      </w:r>
      <w:r>
        <w:rPr>
          <w:rFonts w:ascii="Arial" w:cs="Arial" w:eastAsia="Arial" w:hAnsi="Arial"/>
          <w:sz w:val="16"/>
          <w:szCs w:val="16"/>
          <w:color w:val="000000"/>
        </w:rPr>
        <w:t xml:space="preserve">  Chief Strategy and Transformation Officer at Nike Inc.</w:t>
      </w:r>
      <w:r>
        <w:rPr>
          <w:rFonts w:ascii="Arial" w:cs="Arial" w:eastAsia="Arial" w:hAnsi="Arial"/>
          <w:sz w:val="16"/>
          <w:szCs w:val="16"/>
          <w:color w:val="6D8CC3"/>
        </w:rPr>
        <w:t xml:space="preserve"> </w:t>
      </w:r>
      <w:r>
        <w:rPr>
          <w:rFonts w:ascii="Arial" w:cs="Arial" w:eastAsia="Arial" w:hAnsi="Arial"/>
          <w:sz w:val="16"/>
          <w:szCs w:val="16"/>
          <w:color w:val="000000"/>
        </w:rPr>
        <w:t>(“Nike”), a publicly traded retail company</w:t>
      </w:r>
    </w:p>
    <w:p>
      <w:pPr>
        <w:spacing w:after="0" w:line="1" w:lineRule="exact"/>
        <w:rPr>
          <w:sz w:val="20"/>
          <w:szCs w:val="20"/>
          <w:color w:val="auto"/>
        </w:rPr>
      </w:pPr>
    </w:p>
    <w:p>
      <w:pPr>
        <w:ind w:left="160" w:right="80"/>
        <w:spacing w:after="0" w:line="244" w:lineRule="auto"/>
        <w:rPr>
          <w:sz w:val="20"/>
          <w:szCs w:val="20"/>
          <w:color w:val="auto"/>
        </w:rPr>
      </w:pPr>
      <w:r>
        <w:rPr>
          <w:rFonts w:ascii="Arial" w:cs="Arial" w:eastAsia="Arial" w:hAnsi="Arial"/>
          <w:sz w:val="16"/>
          <w:szCs w:val="16"/>
          <w:color w:val="auto"/>
        </w:rPr>
        <w:t>(August 2023 – March 2025), built Nike’s Transformation Office and developed Nike’s corporate, functional, consumer, and geography strategies</w:t>
      </w:r>
    </w:p>
    <w:p>
      <w:pPr>
        <w:spacing w:after="0" w:line="81" w:lineRule="exact"/>
        <w:rPr>
          <w:sz w:val="20"/>
          <w:szCs w:val="20"/>
          <w:color w:val="auto"/>
        </w:rPr>
      </w:pPr>
    </w:p>
    <w:p>
      <w:pPr>
        <w:ind w:left="160" w:hanging="133"/>
        <w:spacing w:after="0" w:line="249" w:lineRule="auto"/>
        <w:rPr>
          <w:sz w:val="20"/>
          <w:szCs w:val="20"/>
          <w:color w:val="auto"/>
        </w:rPr>
      </w:pPr>
      <w:r>
        <w:rPr>
          <w:rFonts w:ascii="Arial" w:cs="Arial" w:eastAsia="Arial" w:hAnsi="Arial"/>
          <w:sz w:val="16"/>
          <w:szCs w:val="16"/>
          <w:color w:val="6D8CC3"/>
        </w:rPr>
        <w:t>•</w:t>
      </w:r>
      <w:r>
        <w:rPr>
          <w:rFonts w:ascii="Arial" w:cs="Arial" w:eastAsia="Arial" w:hAnsi="Arial"/>
          <w:sz w:val="16"/>
          <w:szCs w:val="16"/>
          <w:color w:val="000000"/>
        </w:rPr>
        <w:t xml:space="preserve">  Vice President and Head of Nike Direct (April 2020 –</w:t>
      </w:r>
      <w:r>
        <w:rPr>
          <w:rFonts w:ascii="Arial" w:cs="Arial" w:eastAsia="Arial" w:hAnsi="Arial"/>
          <w:sz w:val="16"/>
          <w:szCs w:val="16"/>
          <w:color w:val="6D8CC3"/>
        </w:rPr>
        <w:t xml:space="preserve"> </w:t>
      </w:r>
      <w:r>
        <w:rPr>
          <w:rFonts w:ascii="Arial" w:cs="Arial" w:eastAsia="Arial" w:hAnsi="Arial"/>
          <w:sz w:val="16"/>
          <w:szCs w:val="16"/>
          <w:color w:val="000000"/>
        </w:rPr>
        <w:t>August 2023), oversaw 45,000 employees in 9,000 stores across 41 companies, managing the global direct-to-consumer (DTC) business</w:t>
      </w:r>
    </w:p>
    <w:p>
      <w:pPr>
        <w:spacing w:after="0" w:line="76" w:lineRule="exact"/>
        <w:rPr>
          <w:sz w:val="20"/>
          <w:szCs w:val="20"/>
          <w:color w:val="auto"/>
        </w:rPr>
      </w:pPr>
    </w:p>
    <w:p>
      <w:pPr>
        <w:jc w:val="both"/>
        <w:ind w:left="160" w:right="360" w:hanging="133"/>
        <w:spacing w:after="0" w:line="254" w:lineRule="auto"/>
        <w:rPr>
          <w:sz w:val="20"/>
          <w:szCs w:val="20"/>
          <w:color w:val="auto"/>
        </w:rPr>
      </w:pPr>
      <w:r>
        <w:rPr>
          <w:rFonts w:ascii="Arial" w:cs="Arial" w:eastAsia="Arial" w:hAnsi="Arial"/>
          <w:sz w:val="16"/>
          <w:szCs w:val="16"/>
          <w:color w:val="6D8CC3"/>
        </w:rPr>
        <w:t>•</w:t>
      </w:r>
      <w:r>
        <w:rPr>
          <w:rFonts w:ascii="Arial" w:cs="Arial" w:eastAsia="Arial" w:hAnsi="Arial"/>
          <w:sz w:val="16"/>
          <w:szCs w:val="16"/>
          <w:color w:val="000000"/>
        </w:rPr>
        <w:t xml:space="preserve">  Prior to joining Nike, Mr. Heaf served as Senior Vice</w:t>
      </w:r>
      <w:r>
        <w:rPr>
          <w:rFonts w:ascii="Arial" w:cs="Arial" w:eastAsia="Arial" w:hAnsi="Arial"/>
          <w:sz w:val="16"/>
          <w:szCs w:val="16"/>
          <w:color w:val="6D8CC3"/>
        </w:rPr>
        <w:t xml:space="preserve"> </w:t>
      </w:r>
      <w:r>
        <w:rPr>
          <w:rFonts w:ascii="Arial" w:cs="Arial" w:eastAsia="Arial" w:hAnsi="Arial"/>
          <w:sz w:val="16"/>
          <w:szCs w:val="16"/>
          <w:color w:val="000000"/>
        </w:rPr>
        <w:t>President of Digital, Digital Marketing, and Customer Service &amp; Data at Burberry</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292F72"/>
        </w:rPr>
        <w:t>Education</w:t>
      </w:r>
    </w:p>
    <w:p>
      <w:pPr>
        <w:spacing w:after="0" w:line="107" w:lineRule="exact"/>
        <w:rPr>
          <w:sz w:val="20"/>
          <w:szCs w:val="20"/>
          <w:color w:val="auto"/>
        </w:rPr>
      </w:pPr>
    </w:p>
    <w:p>
      <w:pPr>
        <w:ind w:left="40" w:right="900"/>
        <w:spacing w:after="0" w:line="268" w:lineRule="auto"/>
        <w:rPr>
          <w:sz w:val="20"/>
          <w:szCs w:val="20"/>
          <w:color w:val="auto"/>
        </w:rPr>
      </w:pPr>
      <w:r>
        <w:rPr>
          <w:rFonts w:ascii="Arial" w:cs="Arial" w:eastAsia="Arial" w:hAnsi="Arial"/>
          <w:sz w:val="16"/>
          <w:szCs w:val="16"/>
          <w:color w:val="auto"/>
        </w:rPr>
        <w:t>Mr. Heaf received a B.A. from the University of Nottingham’s School of Geography.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1285240</wp:posOffset>
            </wp:positionV>
            <wp:extent cx="2668905" cy="17614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668905" cy="1761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60"/>
        <w:spacing w:after="0"/>
        <w:rPr>
          <w:sz w:val="20"/>
          <w:szCs w:val="20"/>
          <w:color w:val="auto"/>
        </w:rPr>
      </w:pPr>
      <w:r>
        <w:rPr>
          <w:rFonts w:ascii="Arial" w:cs="Arial" w:eastAsia="Arial" w:hAnsi="Arial"/>
          <w:sz w:val="19"/>
          <w:szCs w:val="19"/>
          <w:b w:val="1"/>
          <w:bCs w:val="1"/>
          <w:color w:val="6D8CC3"/>
        </w:rPr>
        <w:t>Key Qualifications</w:t>
      </w:r>
    </w:p>
    <w:p>
      <w:pPr>
        <w:spacing w:after="0" w:line="147" w:lineRule="exact"/>
        <w:rPr>
          <w:sz w:val="20"/>
          <w:szCs w:val="20"/>
          <w:color w:val="auto"/>
        </w:rPr>
      </w:pPr>
    </w:p>
    <w:p>
      <w:pPr>
        <w:ind w:left="260" w:right="280"/>
        <w:spacing w:after="0" w:line="241" w:lineRule="auto"/>
        <w:rPr>
          <w:sz w:val="20"/>
          <w:szCs w:val="20"/>
          <w:color w:val="auto"/>
        </w:rPr>
      </w:pPr>
      <w:r>
        <w:rPr>
          <w:rFonts w:ascii="Arial" w:cs="Arial" w:eastAsia="Arial" w:hAnsi="Arial"/>
          <w:sz w:val="16"/>
          <w:szCs w:val="16"/>
          <w:color w:val="auto"/>
        </w:rPr>
        <w:t>Mr. Heaf’s nomination is supported by his extensive experience executing transformation growth strategies across consumer goods, media, retail and technology sectors. He was Chief Strategy and Transformation Officer at Nike Inc., where he built Nike’s Transformation Office and developed its corporate, functional, consumer and geography strategies. Prior to that, he led Nike’s direct-to-consumer (DTC) business, growing it from</w:t>
      </w:r>
    </w:p>
    <w:p>
      <w:pPr>
        <w:spacing w:after="0" w:line="4" w:lineRule="exact"/>
        <w:rPr>
          <w:sz w:val="20"/>
          <w:szCs w:val="20"/>
          <w:color w:val="auto"/>
        </w:rPr>
      </w:pPr>
    </w:p>
    <w:p>
      <w:pPr>
        <w:jc w:val="both"/>
        <w:ind w:left="260" w:right="560"/>
        <w:spacing w:after="0" w:line="283" w:lineRule="auto"/>
        <w:rPr>
          <w:sz w:val="20"/>
          <w:szCs w:val="20"/>
          <w:color w:val="auto"/>
        </w:rPr>
      </w:pPr>
      <w:r>
        <w:rPr>
          <w:rFonts w:ascii="Arial" w:cs="Arial" w:eastAsia="Arial" w:hAnsi="Arial"/>
          <w:sz w:val="15"/>
          <w:szCs w:val="15"/>
          <w:color w:val="auto"/>
        </w:rPr>
        <w:t>$10.4 billion in 2018 to $22.3 billion in 2023, and expanding Nike’s portfolio of digital applications.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ind w:left="2100"/>
        <w:spacing w:after="0"/>
        <w:rPr>
          <w:sz w:val="20"/>
          <w:szCs w:val="20"/>
          <w:color w:val="auto"/>
        </w:rPr>
      </w:pPr>
      <w:r>
        <w:rPr>
          <w:rFonts w:ascii="Arial" w:cs="Arial" w:eastAsia="Arial" w:hAnsi="Arial"/>
          <w:sz w:val="21"/>
          <w:szCs w:val="21"/>
          <w:b w:val="1"/>
          <w:bCs w:val="1"/>
          <w:color w:val="292F72"/>
        </w:rPr>
        <w:t>Francis A. Hondal</w:t>
      </w:r>
    </w:p>
    <w:p>
      <w:pPr>
        <w:spacing w:after="0" w:line="131" w:lineRule="exact"/>
        <w:rPr>
          <w:sz w:val="20"/>
          <w:szCs w:val="20"/>
          <w:color w:val="auto"/>
        </w:rPr>
      </w:pPr>
    </w:p>
    <w:p>
      <w:pPr>
        <w:ind w:left="2100"/>
        <w:spacing w:after="0"/>
        <w:rPr>
          <w:sz w:val="20"/>
          <w:szCs w:val="20"/>
          <w:color w:val="auto"/>
        </w:rPr>
      </w:pPr>
      <w:r>
        <w:rPr>
          <w:rFonts w:ascii="Arial" w:cs="Arial" w:eastAsia="Arial" w:hAnsi="Arial"/>
          <w:sz w:val="14"/>
          <w:szCs w:val="14"/>
          <w:b w:val="1"/>
          <w:bCs w:val="1"/>
          <w:color w:val="6D8CC3"/>
        </w:rPr>
        <w:t>INDEPENDENT DIRECTOR</w:t>
      </w:r>
    </w:p>
    <w:p>
      <w:pPr>
        <w:spacing w:after="0" w:line="128" w:lineRule="exact"/>
        <w:rPr>
          <w:sz w:val="20"/>
          <w:szCs w:val="20"/>
          <w:color w:val="auto"/>
        </w:rPr>
      </w:pPr>
    </w:p>
    <w:p>
      <w:pPr>
        <w:ind w:left="2100"/>
        <w:spacing w:after="0"/>
        <w:rPr>
          <w:sz w:val="20"/>
          <w:szCs w:val="20"/>
          <w:color w:val="auto"/>
        </w:rPr>
      </w:pPr>
      <w:r>
        <w:rPr>
          <w:rFonts w:ascii="Arial" w:cs="Arial" w:eastAsia="Arial" w:hAnsi="Arial"/>
          <w:sz w:val="14"/>
          <w:szCs w:val="14"/>
          <w:b w:val="1"/>
          <w:bCs w:val="1"/>
          <w:color w:val="292F72"/>
        </w:rPr>
        <w:t xml:space="preserve">Age: </w:t>
      </w:r>
      <w:r>
        <w:rPr>
          <w:rFonts w:ascii="Arial" w:cs="Arial" w:eastAsia="Arial" w:hAnsi="Arial"/>
          <w:sz w:val="14"/>
          <w:szCs w:val="14"/>
          <w:color w:val="000000"/>
        </w:rPr>
        <w:t>61</w:t>
      </w:r>
    </w:p>
    <w:p>
      <w:pPr>
        <w:spacing w:after="0" w:line="114" w:lineRule="exact"/>
        <w:rPr>
          <w:sz w:val="20"/>
          <w:szCs w:val="20"/>
          <w:color w:val="auto"/>
        </w:rPr>
      </w:pPr>
    </w:p>
    <w:p>
      <w:pPr>
        <w:ind w:left="2100"/>
        <w:spacing w:after="0"/>
        <w:rPr>
          <w:sz w:val="20"/>
          <w:szCs w:val="20"/>
          <w:color w:val="auto"/>
        </w:rPr>
      </w:pPr>
      <w:r>
        <w:rPr>
          <w:rFonts w:ascii="Arial" w:cs="Arial" w:eastAsia="Arial" w:hAnsi="Arial"/>
          <w:sz w:val="14"/>
          <w:szCs w:val="14"/>
          <w:b w:val="1"/>
          <w:bCs w:val="1"/>
          <w:color w:val="292F72"/>
        </w:rPr>
        <w:t xml:space="preserve">Director since: </w:t>
      </w:r>
      <w:r>
        <w:rPr>
          <w:rFonts w:ascii="Arial" w:cs="Arial" w:eastAsia="Arial" w:hAnsi="Arial"/>
          <w:sz w:val="14"/>
          <w:szCs w:val="14"/>
          <w:color w:val="000000"/>
        </w:rPr>
        <w:t>2021</w:t>
      </w:r>
    </w:p>
    <w:p>
      <w:pPr>
        <w:spacing w:after="0" w:line="101" w:lineRule="exact"/>
        <w:rPr>
          <w:sz w:val="20"/>
          <w:szCs w:val="20"/>
          <w:color w:val="auto"/>
        </w:rPr>
      </w:pPr>
    </w:p>
    <w:p>
      <w:pPr>
        <w:ind w:left="2100"/>
        <w:spacing w:after="0"/>
        <w:rPr>
          <w:sz w:val="20"/>
          <w:szCs w:val="20"/>
          <w:color w:val="auto"/>
        </w:rPr>
      </w:pPr>
      <w:r>
        <w:rPr>
          <w:rFonts w:ascii="Arial" w:cs="Arial" w:eastAsia="Arial" w:hAnsi="Arial"/>
          <w:sz w:val="14"/>
          <w:szCs w:val="14"/>
          <w:b w:val="1"/>
          <w:bCs w:val="1"/>
          <w:color w:val="292F72"/>
        </w:rPr>
        <w:t>Committees:</w:t>
      </w:r>
    </w:p>
    <w:p>
      <w:pPr>
        <w:spacing w:after="0" w:line="32" w:lineRule="exact"/>
        <w:rPr>
          <w:sz w:val="20"/>
          <w:szCs w:val="20"/>
          <w:color w:val="auto"/>
        </w:rPr>
      </w:pPr>
    </w:p>
    <w:p>
      <w:pPr>
        <w:ind w:left="2100"/>
        <w:spacing w:after="0"/>
        <w:rPr>
          <w:sz w:val="20"/>
          <w:szCs w:val="20"/>
          <w:color w:val="auto"/>
        </w:rPr>
      </w:pPr>
      <w:r>
        <w:rPr>
          <w:rFonts w:ascii="Arial" w:cs="Arial" w:eastAsia="Arial" w:hAnsi="Arial"/>
          <w:sz w:val="14"/>
          <w:szCs w:val="14"/>
          <w:color w:val="auto"/>
        </w:rPr>
        <w:t>Audit</w:t>
      </w:r>
    </w:p>
    <w:p>
      <w:pPr>
        <w:spacing w:after="0" w:line="27" w:lineRule="exact"/>
        <w:rPr>
          <w:sz w:val="20"/>
          <w:szCs w:val="20"/>
          <w:color w:val="auto"/>
        </w:rPr>
      </w:pPr>
    </w:p>
    <w:p>
      <w:pPr>
        <w:ind w:left="2100"/>
        <w:spacing w:after="0"/>
        <w:rPr>
          <w:sz w:val="20"/>
          <w:szCs w:val="20"/>
          <w:color w:val="auto"/>
        </w:rPr>
      </w:pPr>
      <w:r>
        <w:rPr>
          <w:rFonts w:ascii="Arial" w:cs="Arial" w:eastAsia="Arial" w:hAnsi="Arial"/>
          <w:sz w:val="14"/>
          <w:szCs w:val="14"/>
          <w:color w:val="auto"/>
        </w:rPr>
        <w:t>Human Capital &amp; 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292F72"/>
        </w:rPr>
        <w:t>Career Highlights</w:t>
      </w:r>
    </w:p>
    <w:p>
      <w:pPr>
        <w:spacing w:after="0" w:line="107" w:lineRule="exact"/>
        <w:rPr>
          <w:sz w:val="20"/>
          <w:szCs w:val="20"/>
          <w:color w:val="auto"/>
        </w:rPr>
      </w:pPr>
    </w:p>
    <w:p>
      <w:pPr>
        <w:ind w:left="140" w:right="80" w:hanging="133"/>
        <w:spacing w:after="0" w:line="243" w:lineRule="auto"/>
        <w:rPr>
          <w:sz w:val="20"/>
          <w:szCs w:val="20"/>
          <w:color w:val="auto"/>
        </w:rPr>
      </w:pPr>
      <w:r>
        <w:rPr>
          <w:rFonts w:ascii="Arial" w:cs="Arial" w:eastAsia="Arial" w:hAnsi="Arial"/>
          <w:sz w:val="16"/>
          <w:szCs w:val="16"/>
          <w:color w:val="6D8CC3"/>
        </w:rPr>
        <w:t>•</w:t>
      </w:r>
      <w:r>
        <w:rPr>
          <w:rFonts w:ascii="Arial" w:cs="Arial" w:eastAsia="Arial" w:hAnsi="Arial"/>
          <w:sz w:val="16"/>
          <w:szCs w:val="16"/>
          <w:color w:val="000000"/>
        </w:rPr>
        <w:t xml:space="preserve">  President, Loyalty &amp; Engagement (September 2018 to</w:t>
      </w:r>
      <w:r>
        <w:rPr>
          <w:rFonts w:ascii="Arial" w:cs="Arial" w:eastAsia="Arial" w:hAnsi="Arial"/>
          <w:sz w:val="16"/>
          <w:szCs w:val="16"/>
          <w:color w:val="6D8CC3"/>
        </w:rPr>
        <w:t xml:space="preserve"> </w:t>
      </w:r>
      <w:r>
        <w:rPr>
          <w:rFonts w:ascii="Arial" w:cs="Arial" w:eastAsia="Arial" w:hAnsi="Arial"/>
          <w:sz w:val="16"/>
          <w:szCs w:val="16"/>
          <w:color w:val="000000"/>
        </w:rPr>
        <w:t>March 2022); Executive Vice President, Global Credit/Loyalty Products and Services (September 2015 to September 2018); and Executive Vice President of Products, Marketing and Advisors at Mastercard within the Latin American region (August 2011 to September 2015) at Mastercard Inc. (“Mastercard”), a global technology company in the payments industry</w:t>
      </w:r>
    </w:p>
    <w:p>
      <w:pPr>
        <w:spacing w:after="0" w:line="83" w:lineRule="exact"/>
        <w:rPr>
          <w:sz w:val="20"/>
          <w:szCs w:val="20"/>
          <w:color w:val="auto"/>
        </w:rPr>
      </w:pPr>
    </w:p>
    <w:p>
      <w:pPr>
        <w:ind w:left="140" w:right="80" w:hanging="133"/>
        <w:spacing w:after="0" w:line="249" w:lineRule="auto"/>
        <w:rPr>
          <w:sz w:val="20"/>
          <w:szCs w:val="20"/>
          <w:color w:val="auto"/>
        </w:rPr>
      </w:pPr>
      <w:r>
        <w:rPr>
          <w:rFonts w:ascii="Arial" w:cs="Arial" w:eastAsia="Arial" w:hAnsi="Arial"/>
          <w:sz w:val="16"/>
          <w:szCs w:val="16"/>
          <w:color w:val="6D8CC3"/>
        </w:rPr>
        <w:t>•</w:t>
      </w:r>
      <w:r>
        <w:rPr>
          <w:rFonts w:ascii="Arial" w:cs="Arial" w:eastAsia="Arial" w:hAnsi="Arial"/>
          <w:sz w:val="16"/>
          <w:szCs w:val="16"/>
          <w:color w:val="000000"/>
        </w:rPr>
        <w:t xml:space="preserve">  Prior to joining Mastercard, Ms. Hondal spent 17 years at</w:t>
      </w:r>
      <w:r>
        <w:rPr>
          <w:rFonts w:ascii="Arial" w:cs="Arial" w:eastAsia="Arial" w:hAnsi="Arial"/>
          <w:sz w:val="16"/>
          <w:szCs w:val="16"/>
          <w:color w:val="6D8CC3"/>
        </w:rPr>
        <w:t xml:space="preserve"> </w:t>
      </w:r>
      <w:r>
        <w:rPr>
          <w:rFonts w:ascii="Arial" w:cs="Arial" w:eastAsia="Arial" w:hAnsi="Arial"/>
          <w:sz w:val="16"/>
          <w:szCs w:val="16"/>
          <w:color w:val="000000"/>
        </w:rPr>
        <w:t>American Express Company in global and regional general management, marketing and finance roles within its consumer services division</w:t>
      </w:r>
    </w:p>
    <w:p>
      <w:pPr>
        <w:spacing w:after="0" w:line="76" w:lineRule="exact"/>
        <w:rPr>
          <w:sz w:val="20"/>
          <w:szCs w:val="20"/>
          <w:color w:val="auto"/>
        </w:rPr>
      </w:pPr>
    </w:p>
    <w:p>
      <w:pPr>
        <w:ind w:left="140" w:right="40" w:hanging="133"/>
        <w:spacing w:after="0" w:line="268" w:lineRule="auto"/>
        <w:rPr>
          <w:sz w:val="20"/>
          <w:szCs w:val="20"/>
          <w:color w:val="auto"/>
        </w:rPr>
      </w:pPr>
      <w:r>
        <w:rPr>
          <w:rFonts w:ascii="Arial" w:cs="Arial" w:eastAsia="Arial" w:hAnsi="Arial"/>
          <w:sz w:val="16"/>
          <w:szCs w:val="16"/>
          <w:color w:val="6D8CC3"/>
        </w:rPr>
        <w:t>•</w:t>
      </w:r>
      <w:r>
        <w:rPr>
          <w:rFonts w:ascii="Arial" w:cs="Arial" w:eastAsia="Arial" w:hAnsi="Arial"/>
          <w:sz w:val="16"/>
          <w:szCs w:val="16"/>
          <w:color w:val="000000"/>
        </w:rPr>
        <w:t xml:space="preserve">  Member of the board of directors of the Florida International</w:t>
      </w:r>
      <w:r>
        <w:rPr>
          <w:rFonts w:ascii="Arial" w:cs="Arial" w:eastAsia="Arial" w:hAnsi="Arial"/>
          <w:sz w:val="16"/>
          <w:szCs w:val="16"/>
          <w:color w:val="6D8CC3"/>
        </w:rPr>
        <w:t xml:space="preserve"> </w:t>
      </w:r>
      <w:r>
        <w:rPr>
          <w:rFonts w:ascii="Arial" w:cs="Arial" w:eastAsia="Arial" w:hAnsi="Arial"/>
          <w:sz w:val="16"/>
          <w:szCs w:val="16"/>
          <w:color w:val="000000"/>
        </w:rPr>
        <w:t>University Foundation</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292F72"/>
        </w:rPr>
        <w:t>Other Current Public Company Boards</w:t>
      </w:r>
    </w:p>
    <w:p>
      <w:pPr>
        <w:spacing w:after="0" w:line="107"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Equitable Holdings, Inc., a financial services holding company composed of two principal franchises, Equitable and AllianceBernstein since 2020</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292F72"/>
        </w:rPr>
        <w:t>Education</w:t>
      </w:r>
    </w:p>
    <w:p>
      <w:pPr>
        <w:spacing w:after="0" w:line="107" w:lineRule="exact"/>
        <w:rPr>
          <w:sz w:val="20"/>
          <w:szCs w:val="20"/>
          <w:color w:val="auto"/>
        </w:rPr>
      </w:pPr>
    </w:p>
    <w:p>
      <w:pPr>
        <w:ind w:right="80"/>
        <w:spacing w:after="0" w:line="302" w:lineRule="auto"/>
        <w:rPr>
          <w:sz w:val="20"/>
          <w:szCs w:val="20"/>
          <w:color w:val="auto"/>
        </w:rPr>
      </w:pPr>
      <w:r>
        <w:rPr>
          <w:rFonts w:ascii="Arial" w:cs="Arial" w:eastAsia="Arial" w:hAnsi="Arial"/>
          <w:sz w:val="15"/>
          <w:szCs w:val="15"/>
          <w:color w:val="auto"/>
        </w:rPr>
        <w:t>Ms. Hondal has a B.A. in Finance and International Business and an M.B.A. from Florida International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373380</wp:posOffset>
            </wp:positionV>
            <wp:extent cx="2698115" cy="17900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698115" cy="1790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80"/>
        <w:spacing w:after="0"/>
        <w:rPr>
          <w:sz w:val="20"/>
          <w:szCs w:val="20"/>
          <w:color w:val="auto"/>
        </w:rPr>
      </w:pPr>
      <w:r>
        <w:rPr>
          <w:rFonts w:ascii="Arial" w:cs="Arial" w:eastAsia="Arial" w:hAnsi="Arial"/>
          <w:sz w:val="19"/>
          <w:szCs w:val="19"/>
          <w:b w:val="1"/>
          <w:bCs w:val="1"/>
          <w:color w:val="6D8CC3"/>
        </w:rPr>
        <w:t>Key Qualifications</w:t>
      </w:r>
    </w:p>
    <w:p>
      <w:pPr>
        <w:spacing w:after="0" w:line="147" w:lineRule="exact"/>
        <w:rPr>
          <w:sz w:val="20"/>
          <w:szCs w:val="20"/>
          <w:color w:val="auto"/>
        </w:rPr>
      </w:pPr>
    </w:p>
    <w:p>
      <w:pPr>
        <w:ind w:left="80" w:right="280"/>
        <w:spacing w:after="0" w:line="242" w:lineRule="auto"/>
        <w:rPr>
          <w:sz w:val="20"/>
          <w:szCs w:val="20"/>
          <w:color w:val="auto"/>
        </w:rPr>
      </w:pPr>
      <w:r>
        <w:rPr>
          <w:rFonts w:ascii="Arial" w:cs="Arial" w:eastAsia="Arial" w:hAnsi="Arial"/>
          <w:sz w:val="16"/>
          <w:szCs w:val="16"/>
          <w:color w:val="auto"/>
        </w:rPr>
        <w:t>Ms. Hondal’s nomination is supported by her extensive international general management experience, finance, data-driven marketing, and deep expertise in customer acquisition and engagement. She previously served as President of Loyalty and Engagement at Mastercard and was a member of the Mastercard management committee. She held senior leadership roles at American Express, overseeing regional and global businesses with P&amp;L responsibility. She is a former member of the Board of Trustees of Florida International University (FIU) and currently serves on the FIU Foundation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-2992755</wp:posOffset>
            </wp:positionH>
            <wp:positionV relativeFrom="paragraph">
              <wp:posOffset>334645</wp:posOffset>
            </wp:positionV>
            <wp:extent cx="57372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7372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80" w:space="540"/>
            <w:col w:w="4320"/>
          </w:cols>
          <w:pgMar w:left="1420" w:top="115" w:right="1439" w:bottom="1440" w:gutter="0" w:footer="0" w:header="0"/>
          <w:type w:val="continuous"/>
        </w:sectPr>
      </w:pPr>
    </w:p>
    <w:p>
      <w:pPr>
        <w:spacing w:after="0" w:line="200" w:lineRule="exact"/>
        <w:rPr>
          <w:sz w:val="20"/>
          <w:szCs w:val="20"/>
          <w:color w:val="auto"/>
        </w:rPr>
      </w:pPr>
    </w:p>
    <w:p>
      <w:pPr>
        <w:spacing w:after="0" w:line="222" w:lineRule="exact"/>
        <w:rPr>
          <w:sz w:val="20"/>
          <w:szCs w:val="20"/>
          <w:color w:val="auto"/>
        </w:rPr>
      </w:pPr>
    </w:p>
    <w:p>
      <w:pPr>
        <w:ind w:left="5540"/>
        <w:spacing w:after="0"/>
        <w:rPr>
          <w:sz w:val="20"/>
          <w:szCs w:val="20"/>
          <w:color w:val="auto"/>
        </w:rPr>
      </w:pPr>
      <w:r>
        <w:rPr>
          <w:rFonts w:ascii="Arial" w:cs="Arial" w:eastAsia="Arial" w:hAnsi="Arial"/>
          <w:sz w:val="13"/>
          <w:szCs w:val="13"/>
          <w:color w:val="292F72"/>
        </w:rPr>
        <w:t>Bath &amp; Body Works, Inc.</w:t>
      </w:r>
      <w:r>
        <w:rPr>
          <w:rFonts w:ascii="Arial" w:cs="Arial" w:eastAsia="Arial" w:hAnsi="Arial"/>
          <w:sz w:val="13"/>
          <w:szCs w:val="13"/>
          <w:color w:val="6D8CC3"/>
        </w:rPr>
        <w:t xml:space="preserve">   | </w:t>
      </w:r>
      <w:r>
        <w:rPr>
          <w:rFonts w:ascii="Arial" w:cs="Arial" w:eastAsia="Arial" w:hAnsi="Arial"/>
          <w:sz w:val="13"/>
          <w:szCs w:val="13"/>
          <w:color w:val="292F72"/>
        </w:rPr>
        <w:t xml:space="preserve">  2026 Proxy Statement     </w:t>
      </w:r>
      <w:r>
        <w:rPr>
          <w:rFonts w:ascii="Arial" w:cs="Arial" w:eastAsia="Arial" w:hAnsi="Arial"/>
          <w:sz w:val="13"/>
          <w:szCs w:val="13"/>
          <w:b w:val="1"/>
          <w:bCs w:val="1"/>
          <w:color w:val="292F72"/>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152400</wp:posOffset>
            </wp:positionV>
            <wp:extent cx="6795135" cy="165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795135" cy="16510"/>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6"/>
          <w:szCs w:val="16"/>
          <w:color w:val="292F72"/>
        </w:rPr>
        <w:t>Election of</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6"/>
          <w:szCs w:val="16"/>
          <w:color w:val="292F72"/>
        </w:rPr>
        <w:t>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1216025" cy="15570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16025" cy="1557020"/>
                    </a:xfrm>
                    <a:prstGeom prst="rect">
                      <a:avLst/>
                    </a:prstGeom>
                    <a:noFill/>
                  </pic:spPr>
                </pic:pic>
              </a:graphicData>
            </a:graphic>
          </wp:anchor>
        </w:drawing>
        <w:drawing>
          <wp:anchor simplePos="0" relativeHeight="251657728" behindDoc="1" locked="0" layoutInCell="0" allowOverlap="1">
            <wp:simplePos x="0" y="0"/>
            <wp:positionH relativeFrom="column">
              <wp:posOffset>2802255</wp:posOffset>
            </wp:positionH>
            <wp:positionV relativeFrom="paragraph">
              <wp:posOffset>132080</wp:posOffset>
            </wp:positionV>
            <wp:extent cx="8255" cy="74441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255" cy="74441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140"/>
        <w:spacing w:after="0"/>
        <w:rPr>
          <w:sz w:val="20"/>
          <w:szCs w:val="20"/>
          <w:color w:val="auto"/>
        </w:rPr>
      </w:pPr>
      <w:r>
        <w:rPr>
          <w:rFonts w:ascii="Arial" w:cs="Arial" w:eastAsia="Arial" w:hAnsi="Arial"/>
          <w:sz w:val="21"/>
          <w:szCs w:val="21"/>
          <w:b w:val="1"/>
          <w:bCs w:val="1"/>
          <w:color w:val="292F72"/>
        </w:rPr>
        <w:t>Danielle M. Lee</w:t>
      </w:r>
    </w:p>
    <w:p>
      <w:pPr>
        <w:spacing w:after="0" w:line="131" w:lineRule="exact"/>
        <w:rPr>
          <w:sz w:val="20"/>
          <w:szCs w:val="20"/>
          <w:color w:val="auto"/>
        </w:rPr>
      </w:pPr>
    </w:p>
    <w:p>
      <w:pPr>
        <w:ind w:left="2140"/>
        <w:spacing w:after="0"/>
        <w:rPr>
          <w:sz w:val="20"/>
          <w:szCs w:val="20"/>
          <w:color w:val="auto"/>
        </w:rPr>
      </w:pPr>
      <w:r>
        <w:rPr>
          <w:rFonts w:ascii="Arial" w:cs="Arial" w:eastAsia="Arial" w:hAnsi="Arial"/>
          <w:sz w:val="14"/>
          <w:szCs w:val="14"/>
          <w:b w:val="1"/>
          <w:bCs w:val="1"/>
          <w:color w:val="6D8CC3"/>
        </w:rPr>
        <w:t>INDEPENDENT DIRECTOR</w:t>
      </w:r>
    </w:p>
    <w:p>
      <w:pPr>
        <w:spacing w:after="0" w:line="128" w:lineRule="exact"/>
        <w:rPr>
          <w:sz w:val="20"/>
          <w:szCs w:val="20"/>
          <w:color w:val="auto"/>
        </w:rPr>
      </w:pPr>
    </w:p>
    <w:p>
      <w:pPr>
        <w:ind w:left="2140"/>
        <w:spacing w:after="0"/>
        <w:rPr>
          <w:sz w:val="20"/>
          <w:szCs w:val="20"/>
          <w:color w:val="auto"/>
        </w:rPr>
      </w:pPr>
      <w:r>
        <w:rPr>
          <w:rFonts w:ascii="Arial" w:cs="Arial" w:eastAsia="Arial" w:hAnsi="Arial"/>
          <w:sz w:val="14"/>
          <w:szCs w:val="14"/>
          <w:b w:val="1"/>
          <w:bCs w:val="1"/>
          <w:color w:val="292F72"/>
        </w:rPr>
        <w:t xml:space="preserve">Age: </w:t>
      </w:r>
      <w:r>
        <w:rPr>
          <w:rFonts w:ascii="Arial" w:cs="Arial" w:eastAsia="Arial" w:hAnsi="Arial"/>
          <w:sz w:val="14"/>
          <w:szCs w:val="14"/>
          <w:color w:val="000000"/>
        </w:rPr>
        <w:t>50</w:t>
      </w:r>
    </w:p>
    <w:p>
      <w:pPr>
        <w:spacing w:after="0" w:line="114" w:lineRule="exact"/>
        <w:rPr>
          <w:sz w:val="20"/>
          <w:szCs w:val="20"/>
          <w:color w:val="auto"/>
        </w:rPr>
      </w:pPr>
    </w:p>
    <w:p>
      <w:pPr>
        <w:ind w:left="2140"/>
        <w:spacing w:after="0"/>
        <w:rPr>
          <w:sz w:val="20"/>
          <w:szCs w:val="20"/>
          <w:color w:val="auto"/>
        </w:rPr>
      </w:pPr>
      <w:r>
        <w:rPr>
          <w:rFonts w:ascii="Arial" w:cs="Arial" w:eastAsia="Arial" w:hAnsi="Arial"/>
          <w:sz w:val="14"/>
          <w:szCs w:val="14"/>
          <w:b w:val="1"/>
          <w:bCs w:val="1"/>
          <w:color w:val="292F72"/>
        </w:rPr>
        <w:t xml:space="preserve">Director since: </w:t>
      </w:r>
      <w:r>
        <w:rPr>
          <w:rFonts w:ascii="Arial" w:cs="Arial" w:eastAsia="Arial" w:hAnsi="Arial"/>
          <w:sz w:val="14"/>
          <w:szCs w:val="14"/>
          <w:color w:val="000000"/>
        </w:rPr>
        <w:t>2021</w:t>
      </w:r>
    </w:p>
    <w:p>
      <w:pPr>
        <w:spacing w:after="0" w:line="101" w:lineRule="exact"/>
        <w:rPr>
          <w:sz w:val="20"/>
          <w:szCs w:val="20"/>
          <w:color w:val="auto"/>
        </w:rPr>
      </w:pPr>
    </w:p>
    <w:p>
      <w:pPr>
        <w:ind w:left="2140"/>
        <w:spacing w:after="0"/>
        <w:rPr>
          <w:sz w:val="20"/>
          <w:szCs w:val="20"/>
          <w:color w:val="auto"/>
        </w:rPr>
      </w:pPr>
      <w:r>
        <w:rPr>
          <w:rFonts w:ascii="Arial" w:cs="Arial" w:eastAsia="Arial" w:hAnsi="Arial"/>
          <w:sz w:val="14"/>
          <w:szCs w:val="14"/>
          <w:b w:val="1"/>
          <w:bCs w:val="1"/>
          <w:color w:val="292F72"/>
        </w:rPr>
        <w:t>Committees:</w:t>
      </w:r>
    </w:p>
    <w:p>
      <w:pPr>
        <w:spacing w:after="0" w:line="32" w:lineRule="exact"/>
        <w:rPr>
          <w:sz w:val="20"/>
          <w:szCs w:val="20"/>
          <w:color w:val="auto"/>
        </w:rPr>
      </w:pPr>
    </w:p>
    <w:p>
      <w:pPr>
        <w:ind w:left="2140" w:right="20"/>
        <w:spacing w:after="0" w:line="357" w:lineRule="auto"/>
        <w:rPr>
          <w:sz w:val="20"/>
          <w:szCs w:val="20"/>
          <w:color w:val="auto"/>
        </w:rPr>
      </w:pPr>
      <w:r>
        <w:rPr>
          <w:rFonts w:ascii="Arial" w:cs="Arial" w:eastAsia="Arial" w:hAnsi="Arial"/>
          <w:sz w:val="13"/>
          <w:szCs w:val="13"/>
          <w:color w:val="auto"/>
        </w:rPr>
        <w:t>Human Capital &amp; Compensation Nominating &amp; Governance</w:t>
      </w:r>
    </w:p>
    <w:p>
      <w:pPr>
        <w:spacing w:after="0" w:line="160"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  </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292F72"/>
        </w:rPr>
        <w:t>Career Highlights</w:t>
      </w:r>
    </w:p>
    <w:p>
      <w:pPr>
        <w:spacing w:after="0" w:line="107" w:lineRule="exact"/>
        <w:rPr>
          <w:sz w:val="20"/>
          <w:szCs w:val="20"/>
          <w:color w:val="auto"/>
        </w:rPr>
      </w:pPr>
    </w:p>
    <w:p>
      <w:pPr>
        <w:ind w:left="160" w:right="100" w:hanging="133"/>
        <w:spacing w:after="0" w:line="249" w:lineRule="auto"/>
        <w:rPr>
          <w:sz w:val="20"/>
          <w:szCs w:val="20"/>
          <w:color w:val="auto"/>
        </w:rPr>
      </w:pPr>
      <w:r>
        <w:rPr>
          <w:rFonts w:ascii="Arial" w:cs="Arial" w:eastAsia="Arial" w:hAnsi="Arial"/>
          <w:sz w:val="16"/>
          <w:szCs w:val="16"/>
          <w:color w:val="6D8CC3"/>
        </w:rPr>
        <w:t>•</w:t>
      </w:r>
      <w:r>
        <w:rPr>
          <w:rFonts w:ascii="Arial" w:cs="Arial" w:eastAsia="Arial" w:hAnsi="Arial"/>
          <w:sz w:val="16"/>
          <w:szCs w:val="16"/>
          <w:color w:val="000000"/>
        </w:rPr>
        <w:t xml:space="preserve">  President, Warner Music Artist and Fan Experiences</w:t>
      </w:r>
      <w:r>
        <w:rPr>
          <w:rFonts w:ascii="Arial" w:cs="Arial" w:eastAsia="Arial" w:hAnsi="Arial"/>
          <w:sz w:val="16"/>
          <w:szCs w:val="16"/>
          <w:color w:val="6D8CC3"/>
        </w:rPr>
        <w:t xml:space="preserve"> </w:t>
      </w:r>
      <w:r>
        <w:rPr>
          <w:rFonts w:ascii="Arial" w:cs="Arial" w:eastAsia="Arial" w:hAnsi="Arial"/>
          <w:sz w:val="16"/>
          <w:szCs w:val="16"/>
          <w:color w:val="000000"/>
        </w:rPr>
        <w:t>(June 2021 to June 2023) at Warner Music Group Corp. (“Warner Music”), a publicly traded music entertainment company</w:t>
      </w:r>
    </w:p>
    <w:p>
      <w:pPr>
        <w:spacing w:after="0" w:line="76" w:lineRule="exact"/>
        <w:rPr>
          <w:sz w:val="20"/>
          <w:szCs w:val="20"/>
          <w:color w:val="auto"/>
        </w:rPr>
      </w:pPr>
    </w:p>
    <w:p>
      <w:pPr>
        <w:ind w:left="160" w:right="180" w:hanging="133"/>
        <w:spacing w:after="0" w:line="254" w:lineRule="auto"/>
        <w:rPr>
          <w:sz w:val="20"/>
          <w:szCs w:val="20"/>
          <w:color w:val="auto"/>
        </w:rPr>
      </w:pPr>
      <w:r>
        <w:rPr>
          <w:rFonts w:ascii="Arial" w:cs="Arial" w:eastAsia="Arial" w:hAnsi="Arial"/>
          <w:sz w:val="16"/>
          <w:szCs w:val="16"/>
          <w:color w:val="6D8CC3"/>
        </w:rPr>
        <w:t>•</w:t>
      </w:r>
      <w:r>
        <w:rPr>
          <w:rFonts w:ascii="Arial" w:cs="Arial" w:eastAsia="Arial" w:hAnsi="Arial"/>
          <w:sz w:val="16"/>
          <w:szCs w:val="16"/>
          <w:color w:val="000000"/>
        </w:rPr>
        <w:t xml:space="preserve">  Chief Fan Officer (March 2020 through May 2021) with</w:t>
      </w:r>
      <w:r>
        <w:rPr>
          <w:rFonts w:ascii="Arial" w:cs="Arial" w:eastAsia="Arial" w:hAnsi="Arial"/>
          <w:sz w:val="16"/>
          <w:szCs w:val="16"/>
          <w:color w:val="6D8CC3"/>
        </w:rPr>
        <w:t xml:space="preserve"> </w:t>
      </w:r>
      <w:r>
        <w:rPr>
          <w:rFonts w:ascii="Arial" w:cs="Arial" w:eastAsia="Arial" w:hAnsi="Arial"/>
          <w:sz w:val="16"/>
          <w:szCs w:val="16"/>
          <w:color w:val="000000"/>
        </w:rPr>
        <w:t>the National Basketball Association (the “NBA”), a professional basketball league</w:t>
      </w:r>
    </w:p>
    <w:p>
      <w:pPr>
        <w:spacing w:after="0" w:line="72" w:lineRule="exact"/>
        <w:rPr>
          <w:sz w:val="20"/>
          <w:szCs w:val="20"/>
          <w:color w:val="auto"/>
        </w:rPr>
      </w:pPr>
    </w:p>
    <w:p>
      <w:pPr>
        <w:ind w:left="160" w:right="80" w:hanging="133"/>
        <w:spacing w:after="0" w:line="268" w:lineRule="auto"/>
        <w:rPr>
          <w:sz w:val="20"/>
          <w:szCs w:val="20"/>
          <w:color w:val="auto"/>
        </w:rPr>
      </w:pPr>
      <w:r>
        <w:rPr>
          <w:rFonts w:ascii="Arial" w:cs="Arial" w:eastAsia="Arial" w:hAnsi="Arial"/>
          <w:sz w:val="16"/>
          <w:szCs w:val="16"/>
          <w:color w:val="6D8CC3"/>
        </w:rPr>
        <w:t>•</w:t>
      </w:r>
      <w:r>
        <w:rPr>
          <w:rFonts w:ascii="Arial" w:cs="Arial" w:eastAsia="Arial" w:hAnsi="Arial"/>
          <w:sz w:val="16"/>
          <w:szCs w:val="16"/>
          <w:color w:val="000000"/>
        </w:rPr>
        <w:t xml:space="preserve">  Global Vice President, Partner Solutions (March 2016 to</w:t>
      </w:r>
      <w:r>
        <w:rPr>
          <w:rFonts w:ascii="Arial" w:cs="Arial" w:eastAsia="Arial" w:hAnsi="Arial"/>
          <w:sz w:val="16"/>
          <w:szCs w:val="16"/>
          <w:color w:val="6D8CC3"/>
        </w:rPr>
        <w:t xml:space="preserve"> </w:t>
      </w:r>
      <w:r>
        <w:rPr>
          <w:rFonts w:ascii="Arial" w:cs="Arial" w:eastAsia="Arial" w:hAnsi="Arial"/>
          <w:sz w:val="16"/>
          <w:szCs w:val="16"/>
          <w:color w:val="000000"/>
        </w:rPr>
        <w:t>March 2020) at Spotify Technology S.A. (“Spotify”)</w:t>
      </w:r>
    </w:p>
    <w:p>
      <w:pPr>
        <w:spacing w:after="0" w:line="61" w:lineRule="exact"/>
        <w:rPr>
          <w:sz w:val="20"/>
          <w:szCs w:val="20"/>
          <w:color w:val="auto"/>
        </w:rPr>
      </w:pPr>
    </w:p>
    <w:p>
      <w:pPr>
        <w:ind w:left="160" w:hanging="133"/>
        <w:spacing w:after="0" w:line="267" w:lineRule="auto"/>
        <w:rPr>
          <w:sz w:val="20"/>
          <w:szCs w:val="20"/>
          <w:color w:val="auto"/>
        </w:rPr>
      </w:pPr>
      <w:r>
        <w:rPr>
          <w:rFonts w:ascii="Arial" w:cs="Arial" w:eastAsia="Arial" w:hAnsi="Arial"/>
          <w:sz w:val="15"/>
          <w:szCs w:val="15"/>
          <w:color w:val="6D8CC3"/>
        </w:rPr>
        <w:t>•</w:t>
      </w:r>
      <w:r>
        <w:rPr>
          <w:rFonts w:ascii="Arial" w:cs="Arial" w:eastAsia="Arial" w:hAnsi="Arial"/>
          <w:sz w:val="15"/>
          <w:szCs w:val="15"/>
          <w:color w:val="000000"/>
        </w:rPr>
        <w:t xml:space="preserve">  Prior to Spotify, Ms. Lee served as Global Vice President,</w:t>
      </w:r>
      <w:r>
        <w:rPr>
          <w:rFonts w:ascii="Arial" w:cs="Arial" w:eastAsia="Arial" w:hAnsi="Arial"/>
          <w:sz w:val="15"/>
          <w:szCs w:val="15"/>
          <w:color w:val="6D8CC3"/>
        </w:rPr>
        <w:t xml:space="preserve"> </w:t>
      </w:r>
      <w:r>
        <w:rPr>
          <w:rFonts w:ascii="Arial" w:cs="Arial" w:eastAsia="Arial" w:hAnsi="Arial"/>
          <w:sz w:val="15"/>
          <w:szCs w:val="15"/>
          <w:color w:val="000000"/>
        </w:rPr>
        <w:t>Commercial Marketing at Vevo LLC and spent seven years at AT&amp;T Inc. and served as Vice President of Product Marketing and Innovation for AT&amp;T AdWorks after beginning her career at Showtime Networks Inc.</w:t>
      </w:r>
    </w:p>
    <w:p>
      <w:pPr>
        <w:spacing w:after="0" w:line="63" w:lineRule="exact"/>
        <w:rPr>
          <w:sz w:val="20"/>
          <w:szCs w:val="20"/>
          <w:color w:val="auto"/>
        </w:rPr>
      </w:pPr>
    </w:p>
    <w:p>
      <w:pPr>
        <w:ind w:left="160" w:right="240" w:hanging="133"/>
        <w:spacing w:after="0" w:line="254" w:lineRule="auto"/>
        <w:rPr>
          <w:sz w:val="20"/>
          <w:szCs w:val="20"/>
          <w:color w:val="auto"/>
        </w:rPr>
      </w:pPr>
      <w:r>
        <w:rPr>
          <w:rFonts w:ascii="Arial" w:cs="Arial" w:eastAsia="Arial" w:hAnsi="Arial"/>
          <w:sz w:val="16"/>
          <w:szCs w:val="16"/>
          <w:color w:val="6D8CC3"/>
        </w:rPr>
        <w:t>•</w:t>
      </w:r>
      <w:r>
        <w:rPr>
          <w:rFonts w:ascii="Arial" w:cs="Arial" w:eastAsia="Arial" w:hAnsi="Arial"/>
          <w:sz w:val="16"/>
          <w:szCs w:val="16"/>
          <w:color w:val="000000"/>
        </w:rPr>
        <w:t xml:space="preserve">  Member of the board of directors of Applause App</w:t>
      </w:r>
      <w:r>
        <w:rPr>
          <w:rFonts w:ascii="Arial" w:cs="Arial" w:eastAsia="Arial" w:hAnsi="Arial"/>
          <w:sz w:val="16"/>
          <w:szCs w:val="16"/>
          <w:color w:val="6D8CC3"/>
        </w:rPr>
        <w:t xml:space="preserve"> </w:t>
      </w:r>
      <w:r>
        <w:rPr>
          <w:rFonts w:ascii="Arial" w:cs="Arial" w:eastAsia="Arial" w:hAnsi="Arial"/>
          <w:sz w:val="16"/>
          <w:szCs w:val="16"/>
          <w:color w:val="000000"/>
        </w:rPr>
        <w:t>Quality, Inc., a digital testing company owned by Vista Equity Partners</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292F72"/>
        </w:rPr>
        <w:t>Education</w:t>
      </w:r>
    </w:p>
    <w:p>
      <w:pPr>
        <w:spacing w:after="0" w:line="107" w:lineRule="exact"/>
        <w:rPr>
          <w:sz w:val="20"/>
          <w:szCs w:val="20"/>
          <w:color w:val="auto"/>
        </w:rPr>
      </w:pPr>
    </w:p>
    <w:p>
      <w:pPr>
        <w:ind w:left="40" w:right="340"/>
        <w:spacing w:after="0" w:line="268" w:lineRule="auto"/>
        <w:rPr>
          <w:sz w:val="20"/>
          <w:szCs w:val="20"/>
          <w:color w:val="auto"/>
        </w:rPr>
      </w:pPr>
      <w:r>
        <w:rPr>
          <w:rFonts w:ascii="Arial" w:cs="Arial" w:eastAsia="Arial" w:hAnsi="Arial"/>
          <w:sz w:val="16"/>
          <w:szCs w:val="16"/>
          <w:color w:val="auto"/>
        </w:rPr>
        <w:t>Ms. Lee holds a B.A. from Columbia University and an M.B.A. from Columbia Business School.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660400</wp:posOffset>
            </wp:positionV>
            <wp:extent cx="2668905" cy="19945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668905" cy="1994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60"/>
        <w:spacing w:after="0"/>
        <w:rPr>
          <w:sz w:val="20"/>
          <w:szCs w:val="20"/>
          <w:color w:val="auto"/>
        </w:rPr>
      </w:pPr>
      <w:r>
        <w:rPr>
          <w:rFonts w:ascii="Arial" w:cs="Arial" w:eastAsia="Arial" w:hAnsi="Arial"/>
          <w:sz w:val="19"/>
          <w:szCs w:val="19"/>
          <w:b w:val="1"/>
          <w:bCs w:val="1"/>
          <w:color w:val="6D8CC3"/>
        </w:rPr>
        <w:t>Key Qualifications</w:t>
      </w:r>
    </w:p>
    <w:p>
      <w:pPr>
        <w:spacing w:after="0" w:line="147" w:lineRule="exact"/>
        <w:rPr>
          <w:sz w:val="20"/>
          <w:szCs w:val="20"/>
          <w:color w:val="auto"/>
        </w:rPr>
      </w:pPr>
    </w:p>
    <w:p>
      <w:pPr>
        <w:ind w:left="260" w:right="140"/>
        <w:spacing w:after="0" w:line="259" w:lineRule="auto"/>
        <w:rPr>
          <w:sz w:val="20"/>
          <w:szCs w:val="20"/>
          <w:color w:val="auto"/>
        </w:rPr>
      </w:pPr>
      <w:r>
        <w:rPr>
          <w:rFonts w:ascii="Arial" w:cs="Arial" w:eastAsia="Arial" w:hAnsi="Arial"/>
          <w:sz w:val="15"/>
          <w:szCs w:val="15"/>
          <w:color w:val="auto"/>
        </w:rPr>
        <w:t>Ms. Lee’s nomination is supported by her extensive experience and involvement in brand-building, product innovation and strategic marketing across technology, media and entertainment. At Warner Music, Ms. Lee led an in-house creative agency for the Warner Recorded Music roster as well as for third-party musical artists. At the NBA, she oversaw brand, creative and multiplatform fan marketing globally and was charged with elevating brand perceptions, cultural connection and fan engagement. At Spotify, she was responsible for developing go-to-market strategy and growing global revenue across music, podcasts and high-impact digital experiences.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100"/>
        <w:spacing w:after="0"/>
        <w:rPr>
          <w:sz w:val="20"/>
          <w:szCs w:val="20"/>
          <w:color w:val="auto"/>
        </w:rPr>
      </w:pPr>
      <w:r>
        <w:rPr>
          <w:rFonts w:ascii="Arial" w:cs="Arial" w:eastAsia="Arial" w:hAnsi="Arial"/>
          <w:sz w:val="21"/>
          <w:szCs w:val="21"/>
          <w:b w:val="1"/>
          <w:bCs w:val="1"/>
          <w:color w:val="292F72"/>
        </w:rPr>
        <w:t>Sarah E. Nash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-267970</wp:posOffset>
            </wp:positionV>
            <wp:extent cx="1198880" cy="13906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198880" cy="1390650"/>
                    </a:xfrm>
                    <a:prstGeom prst="rect">
                      <a:avLst/>
                    </a:prstGeom>
                    <a:noFill/>
                  </pic:spPr>
                </pic:pic>
              </a:graphicData>
            </a:graphic>
          </wp:anchor>
        </w:drawing>
      </w:r>
    </w:p>
    <w:p>
      <w:pPr>
        <w:spacing w:after="0" w:line="111" w:lineRule="exact"/>
        <w:rPr>
          <w:sz w:val="20"/>
          <w:szCs w:val="20"/>
          <w:color w:val="auto"/>
        </w:rPr>
      </w:pPr>
    </w:p>
    <w:p>
      <w:pPr>
        <w:ind w:left="2100"/>
        <w:spacing w:after="0"/>
        <w:rPr>
          <w:sz w:val="20"/>
          <w:szCs w:val="20"/>
          <w:color w:val="auto"/>
        </w:rPr>
      </w:pPr>
      <w:r>
        <w:rPr>
          <w:rFonts w:ascii="Arial" w:cs="Arial" w:eastAsia="Arial" w:hAnsi="Arial"/>
          <w:sz w:val="14"/>
          <w:szCs w:val="14"/>
          <w:b w:val="1"/>
          <w:bCs w:val="1"/>
          <w:color w:val="6D8CC3"/>
        </w:rPr>
        <w:t>INDEPENDENT BOARD CHAIR</w:t>
      </w:r>
    </w:p>
    <w:p>
      <w:pPr>
        <w:spacing w:after="0" w:line="128" w:lineRule="exact"/>
        <w:rPr>
          <w:sz w:val="20"/>
          <w:szCs w:val="20"/>
          <w:color w:val="auto"/>
        </w:rPr>
      </w:pPr>
    </w:p>
    <w:p>
      <w:pPr>
        <w:ind w:left="2100"/>
        <w:spacing w:after="0"/>
        <w:rPr>
          <w:sz w:val="20"/>
          <w:szCs w:val="20"/>
          <w:color w:val="auto"/>
        </w:rPr>
      </w:pPr>
      <w:r>
        <w:rPr>
          <w:rFonts w:ascii="Arial" w:cs="Arial" w:eastAsia="Arial" w:hAnsi="Arial"/>
          <w:sz w:val="14"/>
          <w:szCs w:val="14"/>
          <w:b w:val="1"/>
          <w:bCs w:val="1"/>
          <w:color w:val="292F72"/>
        </w:rPr>
        <w:t xml:space="preserve">Age: </w:t>
      </w:r>
      <w:r>
        <w:rPr>
          <w:rFonts w:ascii="Arial" w:cs="Arial" w:eastAsia="Arial" w:hAnsi="Arial"/>
          <w:sz w:val="14"/>
          <w:szCs w:val="14"/>
          <w:color w:val="000000"/>
        </w:rPr>
        <w:t>72</w:t>
      </w:r>
    </w:p>
    <w:p>
      <w:pPr>
        <w:spacing w:after="0" w:line="114" w:lineRule="exact"/>
        <w:rPr>
          <w:sz w:val="20"/>
          <w:szCs w:val="20"/>
          <w:color w:val="auto"/>
        </w:rPr>
      </w:pPr>
    </w:p>
    <w:p>
      <w:pPr>
        <w:ind w:left="2100"/>
        <w:spacing w:after="0"/>
        <w:rPr>
          <w:sz w:val="20"/>
          <w:szCs w:val="20"/>
          <w:color w:val="auto"/>
        </w:rPr>
      </w:pPr>
      <w:r>
        <w:rPr>
          <w:rFonts w:ascii="Arial" w:cs="Arial" w:eastAsia="Arial" w:hAnsi="Arial"/>
          <w:sz w:val="14"/>
          <w:szCs w:val="14"/>
          <w:b w:val="1"/>
          <w:bCs w:val="1"/>
          <w:color w:val="292F72"/>
        </w:rPr>
        <w:t xml:space="preserve">Director since: </w:t>
      </w:r>
      <w:r>
        <w:rPr>
          <w:rFonts w:ascii="Arial" w:cs="Arial" w:eastAsia="Arial" w:hAnsi="Arial"/>
          <w:sz w:val="14"/>
          <w:szCs w:val="14"/>
          <w:color w:val="000000"/>
        </w:rPr>
        <w:t>2019</w:t>
      </w:r>
    </w:p>
    <w:p>
      <w:pPr>
        <w:spacing w:after="0" w:line="101" w:lineRule="exact"/>
        <w:rPr>
          <w:sz w:val="20"/>
          <w:szCs w:val="20"/>
          <w:color w:val="auto"/>
        </w:rPr>
      </w:pPr>
    </w:p>
    <w:p>
      <w:pPr>
        <w:ind w:left="2100"/>
        <w:spacing w:after="0"/>
        <w:rPr>
          <w:sz w:val="20"/>
          <w:szCs w:val="20"/>
          <w:color w:val="auto"/>
        </w:rPr>
      </w:pPr>
      <w:r>
        <w:rPr>
          <w:rFonts w:ascii="Arial" w:cs="Arial" w:eastAsia="Arial" w:hAnsi="Arial"/>
          <w:sz w:val="14"/>
          <w:szCs w:val="14"/>
          <w:b w:val="1"/>
          <w:bCs w:val="1"/>
          <w:color w:val="292F72"/>
        </w:rPr>
        <w:t>Board Chair</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292F72"/>
        </w:rPr>
        <w:t>Career Highlights</w:t>
      </w:r>
    </w:p>
    <w:p>
      <w:pPr>
        <w:spacing w:after="0" w:line="107" w:lineRule="exact"/>
        <w:rPr>
          <w:sz w:val="20"/>
          <w:szCs w:val="20"/>
          <w:color w:val="auto"/>
        </w:rPr>
      </w:pPr>
    </w:p>
    <w:p>
      <w:pPr>
        <w:ind w:left="140" w:right="119" w:hanging="133"/>
        <w:spacing w:after="0" w:line="268" w:lineRule="auto"/>
        <w:rPr>
          <w:sz w:val="20"/>
          <w:szCs w:val="20"/>
          <w:color w:val="auto"/>
        </w:rPr>
      </w:pPr>
      <w:r>
        <w:rPr>
          <w:rFonts w:ascii="Arial" w:cs="Arial" w:eastAsia="Arial" w:hAnsi="Arial"/>
          <w:sz w:val="16"/>
          <w:szCs w:val="16"/>
          <w:color w:val="6D8CC3"/>
        </w:rPr>
        <w:t>•</w:t>
      </w:r>
      <w:r>
        <w:rPr>
          <w:rFonts w:ascii="Arial" w:cs="Arial" w:eastAsia="Arial" w:hAnsi="Arial"/>
          <w:sz w:val="16"/>
          <w:szCs w:val="16"/>
          <w:color w:val="000000"/>
        </w:rPr>
        <w:t xml:space="preserve">  Independent Chair of the Company’s Board (January 2023</w:t>
      </w:r>
      <w:r>
        <w:rPr>
          <w:rFonts w:ascii="Arial" w:cs="Arial" w:eastAsia="Arial" w:hAnsi="Arial"/>
          <w:sz w:val="16"/>
          <w:szCs w:val="16"/>
          <w:color w:val="6D8CC3"/>
        </w:rPr>
        <w:t xml:space="preserve"> </w:t>
      </w:r>
      <w:r>
        <w:rPr>
          <w:rFonts w:ascii="Arial" w:cs="Arial" w:eastAsia="Arial" w:hAnsi="Arial"/>
          <w:sz w:val="16"/>
          <w:szCs w:val="16"/>
          <w:color w:val="000000"/>
        </w:rPr>
        <w:t>to present and May 2020 to February 2022)</w:t>
      </w:r>
    </w:p>
    <w:p>
      <w:pPr>
        <w:spacing w:after="0" w:line="61" w:lineRule="exact"/>
        <w:rPr>
          <w:sz w:val="20"/>
          <w:szCs w:val="20"/>
          <w:color w:val="auto"/>
        </w:rPr>
      </w:pPr>
    </w:p>
    <w:p>
      <w:pPr>
        <w:jc w:val="both"/>
        <w:ind w:left="140" w:right="79" w:hanging="133"/>
        <w:spacing w:after="0" w:line="271" w:lineRule="auto"/>
        <w:rPr>
          <w:sz w:val="20"/>
          <w:szCs w:val="20"/>
          <w:color w:val="auto"/>
        </w:rPr>
      </w:pPr>
      <w:r>
        <w:rPr>
          <w:rFonts w:ascii="Arial" w:cs="Arial" w:eastAsia="Arial" w:hAnsi="Arial"/>
          <w:sz w:val="15"/>
          <w:szCs w:val="15"/>
          <w:color w:val="6D8CC3"/>
        </w:rPr>
        <w:t>•</w:t>
      </w:r>
      <w:r>
        <w:rPr>
          <w:rFonts w:ascii="Arial" w:cs="Arial" w:eastAsia="Arial" w:hAnsi="Arial"/>
          <w:sz w:val="15"/>
          <w:szCs w:val="15"/>
          <w:color w:val="000000"/>
        </w:rPr>
        <w:t xml:space="preserve">  Interim Chief Executive Officer of the Company (May 2022</w:t>
      </w:r>
      <w:r>
        <w:rPr>
          <w:rFonts w:ascii="Arial" w:cs="Arial" w:eastAsia="Arial" w:hAnsi="Arial"/>
          <w:sz w:val="15"/>
          <w:szCs w:val="15"/>
          <w:color w:val="6D8CC3"/>
        </w:rPr>
        <w:t xml:space="preserve"> </w:t>
      </w:r>
      <w:r>
        <w:rPr>
          <w:rFonts w:ascii="Arial" w:cs="Arial" w:eastAsia="Arial" w:hAnsi="Arial"/>
          <w:sz w:val="15"/>
          <w:szCs w:val="15"/>
          <w:color w:val="000000"/>
        </w:rPr>
        <w:t>through November 2022) and Executive Chair of the Board (February 2022 to January 2023), following the resignation of the Company’s Chief Executive Officer in May 2022</w:t>
      </w:r>
    </w:p>
    <w:p>
      <w:pPr>
        <w:spacing w:after="0" w:line="60" w:lineRule="exact"/>
        <w:rPr>
          <w:sz w:val="20"/>
          <w:szCs w:val="20"/>
          <w:color w:val="auto"/>
        </w:rPr>
      </w:pPr>
    </w:p>
    <w:p>
      <w:pPr>
        <w:ind w:left="140" w:right="399" w:hanging="133"/>
        <w:spacing w:after="0" w:line="267" w:lineRule="auto"/>
        <w:rPr>
          <w:sz w:val="20"/>
          <w:szCs w:val="20"/>
          <w:color w:val="auto"/>
        </w:rPr>
      </w:pPr>
      <w:r>
        <w:rPr>
          <w:rFonts w:ascii="Arial" w:cs="Arial" w:eastAsia="Arial" w:hAnsi="Arial"/>
          <w:sz w:val="15"/>
          <w:szCs w:val="15"/>
          <w:color w:val="6D8CC3"/>
        </w:rPr>
        <w:t>•</w:t>
      </w:r>
      <w:r>
        <w:rPr>
          <w:rFonts w:ascii="Arial" w:cs="Arial" w:eastAsia="Arial" w:hAnsi="Arial"/>
          <w:sz w:val="15"/>
          <w:szCs w:val="15"/>
          <w:color w:val="000000"/>
        </w:rPr>
        <w:t xml:space="preserve">  Chief Executive Officer and owner (2018 to present) of</w:t>
      </w:r>
      <w:r>
        <w:rPr>
          <w:rFonts w:ascii="Arial" w:cs="Arial" w:eastAsia="Arial" w:hAnsi="Arial"/>
          <w:sz w:val="15"/>
          <w:szCs w:val="15"/>
          <w:color w:val="6D8CC3"/>
        </w:rPr>
        <w:t xml:space="preserve"> </w:t>
      </w:r>
      <w:r>
        <w:rPr>
          <w:rFonts w:ascii="Arial" w:cs="Arial" w:eastAsia="Arial" w:hAnsi="Arial"/>
          <w:sz w:val="15"/>
          <w:szCs w:val="15"/>
          <w:color w:val="000000"/>
        </w:rPr>
        <w:t>Novagard Solutions, an innovator and manufacturer of silicone sealants and coatings and hybrid and foam solutions for the building systems, electronics, EV and battery, and industrial and transportation markets</w:t>
      </w:r>
    </w:p>
    <w:p>
      <w:pPr>
        <w:spacing w:after="0" w:line="63" w:lineRule="exact"/>
        <w:rPr>
          <w:sz w:val="20"/>
          <w:szCs w:val="20"/>
          <w:color w:val="auto"/>
        </w:rPr>
      </w:pPr>
    </w:p>
    <w:p>
      <w:pPr>
        <w:jc w:val="both"/>
        <w:ind w:left="140" w:right="239" w:hanging="133"/>
        <w:spacing w:after="0" w:line="249" w:lineRule="auto"/>
        <w:rPr>
          <w:sz w:val="20"/>
          <w:szCs w:val="20"/>
          <w:color w:val="auto"/>
        </w:rPr>
      </w:pPr>
      <w:r>
        <w:rPr>
          <w:rFonts w:ascii="Arial" w:cs="Arial" w:eastAsia="Arial" w:hAnsi="Arial"/>
          <w:sz w:val="16"/>
          <w:szCs w:val="16"/>
          <w:color w:val="6D8CC3"/>
        </w:rPr>
        <w:t>•</w:t>
      </w:r>
      <w:r>
        <w:rPr>
          <w:rFonts w:ascii="Arial" w:cs="Arial" w:eastAsia="Arial" w:hAnsi="Arial"/>
          <w:sz w:val="16"/>
          <w:szCs w:val="16"/>
          <w:color w:val="000000"/>
        </w:rPr>
        <w:t xml:space="preserve">  Ms. Nash spent nearly 30 years in investment banking at</w:t>
      </w:r>
      <w:r>
        <w:rPr>
          <w:rFonts w:ascii="Arial" w:cs="Arial" w:eastAsia="Arial" w:hAnsi="Arial"/>
          <w:sz w:val="16"/>
          <w:szCs w:val="16"/>
          <w:color w:val="6D8CC3"/>
        </w:rPr>
        <w:t xml:space="preserve"> </w:t>
      </w:r>
      <w:r>
        <w:rPr>
          <w:rFonts w:ascii="Arial" w:cs="Arial" w:eastAsia="Arial" w:hAnsi="Arial"/>
          <w:sz w:val="16"/>
          <w:szCs w:val="16"/>
          <w:color w:val="000000"/>
        </w:rPr>
        <w:t>JPMorgan Chase &amp; Co. (and predecessor companies), a financial services firm, retiring as vice chairman of global investment banking in July 2005</w:t>
      </w:r>
    </w:p>
    <w:p>
      <w:pPr>
        <w:spacing w:after="0" w:line="76" w:lineRule="exact"/>
        <w:rPr>
          <w:sz w:val="20"/>
          <w:szCs w:val="20"/>
          <w:color w:val="auto"/>
        </w:rPr>
      </w:pPr>
    </w:p>
    <w:p>
      <w:pPr>
        <w:jc w:val="both"/>
        <w:ind w:left="140" w:right="19" w:hanging="133"/>
        <w:spacing w:after="0" w:line="254" w:lineRule="auto"/>
        <w:rPr>
          <w:sz w:val="20"/>
          <w:szCs w:val="20"/>
          <w:color w:val="auto"/>
        </w:rPr>
      </w:pPr>
      <w:r>
        <w:rPr>
          <w:rFonts w:ascii="Arial" w:cs="Arial" w:eastAsia="Arial" w:hAnsi="Arial"/>
          <w:sz w:val="16"/>
          <w:szCs w:val="16"/>
          <w:color w:val="6D8CC3"/>
        </w:rPr>
        <w:t>•</w:t>
      </w:r>
      <w:r>
        <w:rPr>
          <w:rFonts w:ascii="Arial" w:cs="Arial" w:eastAsia="Arial" w:hAnsi="Arial"/>
          <w:sz w:val="16"/>
          <w:szCs w:val="16"/>
          <w:color w:val="000000"/>
        </w:rPr>
        <w:t xml:space="preserve">  Ms. Nash has also served on the board of directors of Irving</w:t>
      </w:r>
      <w:r>
        <w:rPr>
          <w:rFonts w:ascii="Arial" w:cs="Arial" w:eastAsia="Arial" w:hAnsi="Arial"/>
          <w:sz w:val="16"/>
          <w:szCs w:val="16"/>
          <w:color w:val="6D8CC3"/>
        </w:rPr>
        <w:t xml:space="preserve"> </w:t>
      </w:r>
      <w:r>
        <w:rPr>
          <w:rFonts w:ascii="Arial" w:cs="Arial" w:eastAsia="Arial" w:hAnsi="Arial"/>
          <w:sz w:val="16"/>
          <w:szCs w:val="16"/>
          <w:color w:val="000000"/>
        </w:rPr>
        <w:t>Oil Company and as a member of the National Board of the Smithsonian Institution</w:t>
      </w:r>
    </w:p>
    <w:p>
      <w:pPr>
        <w:spacing w:after="0" w:line="72" w:lineRule="exact"/>
        <w:rPr>
          <w:sz w:val="20"/>
          <w:szCs w:val="20"/>
          <w:color w:val="auto"/>
        </w:rPr>
      </w:pPr>
    </w:p>
    <w:p>
      <w:pPr>
        <w:ind w:left="140" w:right="459" w:hanging="133"/>
        <w:spacing w:after="0" w:line="248" w:lineRule="auto"/>
        <w:rPr>
          <w:sz w:val="20"/>
          <w:szCs w:val="20"/>
          <w:color w:val="auto"/>
        </w:rPr>
      </w:pPr>
      <w:r>
        <w:rPr>
          <w:rFonts w:ascii="Arial" w:cs="Arial" w:eastAsia="Arial" w:hAnsi="Arial"/>
          <w:sz w:val="16"/>
          <w:szCs w:val="16"/>
          <w:color w:val="6D8CC3"/>
        </w:rPr>
        <w:t>•</w:t>
      </w:r>
      <w:r>
        <w:rPr>
          <w:rFonts w:ascii="Arial" w:cs="Arial" w:eastAsia="Arial" w:hAnsi="Arial"/>
          <w:sz w:val="16"/>
          <w:szCs w:val="16"/>
          <w:color w:val="000000"/>
        </w:rPr>
        <w:t xml:space="preserve">  She currently serves on the board of directors of HBD</w:t>
      </w:r>
      <w:r>
        <w:rPr>
          <w:rFonts w:ascii="Arial" w:cs="Arial" w:eastAsia="Arial" w:hAnsi="Arial"/>
          <w:sz w:val="16"/>
          <w:szCs w:val="16"/>
          <w:color w:val="6D8CC3"/>
        </w:rPr>
        <w:t xml:space="preserve"> </w:t>
      </w:r>
      <w:r>
        <w:rPr>
          <w:rFonts w:ascii="Arial" w:cs="Arial" w:eastAsia="Arial" w:hAnsi="Arial"/>
          <w:sz w:val="16"/>
          <w:szCs w:val="16"/>
          <w:color w:val="000000"/>
        </w:rPr>
        <w:t>Industries, Inc. and as a trustee of the</w:t>
      </w:r>
    </w:p>
    <w:p>
      <w:pPr>
        <w:spacing w:after="0" w:line="1" w:lineRule="exact"/>
        <w:rPr>
          <w:sz w:val="20"/>
          <w:szCs w:val="20"/>
          <w:color w:val="auto"/>
        </w:rPr>
      </w:pPr>
    </w:p>
    <w:p>
      <w:pPr>
        <w:ind w:left="140" w:right="39"/>
        <w:spacing w:after="0" w:line="264" w:lineRule="auto"/>
        <w:rPr>
          <w:sz w:val="20"/>
          <w:szCs w:val="20"/>
          <w:color w:val="auto"/>
        </w:rPr>
      </w:pPr>
      <w:r>
        <w:rPr>
          <w:rFonts w:ascii="Arial" w:cs="Arial" w:eastAsia="Arial" w:hAnsi="Arial"/>
          <w:sz w:val="15"/>
          <w:szCs w:val="15"/>
          <w:color w:val="auto"/>
        </w:rPr>
        <w:t>New York-Presbyterian Hospital, a member of the Smithsonian Tropical Research Institute, Panama, the chair of the International Advisory Board of the Montreal Museum of Fine Arts and a trustee for the Cleveland Museum of Art</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color w:val="292F72"/>
        </w:rPr>
        <w:t>Other Former Public Company Boards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Blackbaud, Inc. (2010-2025)</w:t>
      </w:r>
    </w:p>
    <w:p>
      <w:pPr>
        <w:spacing w:after="0" w:line="105" w:lineRule="exact"/>
        <w:rPr>
          <w:sz w:val="20"/>
          <w:szCs w:val="20"/>
          <w:color w:val="auto"/>
        </w:rPr>
      </w:pPr>
    </w:p>
    <w:p>
      <w:pPr>
        <w:ind w:right="59"/>
        <w:spacing w:after="0" w:line="268" w:lineRule="auto"/>
        <w:rPr>
          <w:sz w:val="20"/>
          <w:szCs w:val="20"/>
          <w:color w:val="auto"/>
        </w:rPr>
      </w:pPr>
      <w:r>
        <w:rPr>
          <w:rFonts w:ascii="Arial" w:cs="Arial" w:eastAsia="Arial" w:hAnsi="Arial"/>
          <w:sz w:val="16"/>
          <w:szCs w:val="16"/>
          <w:color w:val="auto"/>
        </w:rPr>
        <w:t>Knoll, Inc. (2006 through its acquisition by Herman Miller, Inc. in 2021)</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292F72"/>
        </w:rPr>
        <w:t>Education</w:t>
      </w:r>
    </w:p>
    <w:p>
      <w:pPr>
        <w:spacing w:after="0" w:line="107" w:lineRule="exact"/>
        <w:rPr>
          <w:sz w:val="20"/>
          <w:szCs w:val="20"/>
          <w:color w:val="auto"/>
        </w:rPr>
      </w:pPr>
    </w:p>
    <w:p>
      <w:pPr>
        <w:ind w:right="579"/>
        <w:spacing w:after="0" w:line="268" w:lineRule="auto"/>
        <w:rPr>
          <w:sz w:val="20"/>
          <w:szCs w:val="20"/>
          <w:color w:val="auto"/>
        </w:rPr>
      </w:pPr>
      <w:r>
        <w:rPr>
          <w:rFonts w:ascii="Arial" w:cs="Arial" w:eastAsia="Arial" w:hAnsi="Arial"/>
          <w:sz w:val="16"/>
          <w:szCs w:val="16"/>
          <w:color w:val="auto"/>
        </w:rPr>
        <w:t>Ms. Nash holds a B.A. in political science from Vassar College.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179705</wp:posOffset>
            </wp:positionV>
            <wp:extent cx="2698115" cy="8578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698115" cy="85788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80"/>
        <w:spacing w:after="0"/>
        <w:rPr>
          <w:sz w:val="20"/>
          <w:szCs w:val="20"/>
          <w:color w:val="auto"/>
        </w:rPr>
      </w:pPr>
      <w:r>
        <w:rPr>
          <w:rFonts w:ascii="Arial" w:cs="Arial" w:eastAsia="Arial" w:hAnsi="Arial"/>
          <w:sz w:val="19"/>
          <w:szCs w:val="19"/>
          <w:b w:val="1"/>
          <w:bCs w:val="1"/>
          <w:color w:val="6D8CC3"/>
        </w:rPr>
        <w:t>Key Qualifications</w:t>
      </w:r>
    </w:p>
    <w:p>
      <w:pPr>
        <w:spacing w:after="0" w:line="147" w:lineRule="exact"/>
        <w:rPr>
          <w:sz w:val="20"/>
          <w:szCs w:val="20"/>
          <w:color w:val="auto"/>
        </w:rPr>
      </w:pPr>
    </w:p>
    <w:p>
      <w:pPr>
        <w:jc w:val="both"/>
        <w:ind w:left="80" w:right="559"/>
        <w:spacing w:after="0" w:line="249" w:lineRule="auto"/>
        <w:rPr>
          <w:sz w:val="20"/>
          <w:szCs w:val="20"/>
          <w:color w:val="auto"/>
        </w:rPr>
      </w:pPr>
      <w:r>
        <w:rPr>
          <w:rFonts w:ascii="Arial" w:cs="Arial" w:eastAsia="Arial" w:hAnsi="Arial"/>
          <w:sz w:val="16"/>
          <w:szCs w:val="16"/>
          <w:color w:val="auto"/>
        </w:rPr>
        <w:t>Ms. Nash’s nomination is supported by her extensive experience in capital markets, strategic transactions, operations and corporate governance as well as her management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-2992755</wp:posOffset>
            </wp:positionH>
            <wp:positionV relativeFrom="paragraph">
              <wp:posOffset>330835</wp:posOffset>
            </wp:positionV>
            <wp:extent cx="57372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7372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60" w:space="560"/>
            <w:col w:w="4319"/>
          </w:cols>
          <w:pgMar w:left="1420" w:top="116" w:right="1440" w:bottom="1440" w:gutter="0" w:footer="0" w:header="0"/>
        </w:sect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b w:val="1"/>
          <w:bCs w:val="1"/>
          <w:color w:val="292F72"/>
        </w:rPr>
        <w:t>10</w:t>
      </w:r>
      <w:r>
        <w:rPr>
          <w:rFonts w:ascii="Arial" w:cs="Arial" w:eastAsia="Arial" w:hAnsi="Arial"/>
          <w:sz w:val="14"/>
          <w:szCs w:val="14"/>
          <w:color w:val="292F72"/>
        </w:rPr>
        <w:t xml:space="preserve">     Bath &amp; Body Works, Inc.</w:t>
      </w:r>
      <w:r>
        <w:rPr>
          <w:rFonts w:ascii="Arial" w:cs="Arial" w:eastAsia="Arial" w:hAnsi="Arial"/>
          <w:sz w:val="14"/>
          <w:szCs w:val="14"/>
          <w:color w:val="6D8CC3"/>
        </w:rPr>
        <w:t xml:space="preserve">   | </w:t>
      </w:r>
      <w:r>
        <w:rPr>
          <w:rFonts w:ascii="Arial" w:cs="Arial" w:eastAsia="Arial" w:hAnsi="Arial"/>
          <w:sz w:val="14"/>
          <w:szCs w:val="14"/>
          <w:b w:val="1"/>
          <w:bCs w:val="1"/>
          <w:color w:val="292F72"/>
        </w:rPr>
        <w:t xml:space="preserve">  </w:t>
      </w:r>
      <w:r>
        <w:rPr>
          <w:rFonts w:ascii="Arial" w:cs="Arial" w:eastAsia="Arial" w:hAnsi="Arial"/>
          <w:sz w:val="14"/>
          <w:szCs w:val="14"/>
          <w:color w:val="292F72"/>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170180</wp:posOffset>
            </wp:positionV>
            <wp:extent cx="6795135" cy="165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795135" cy="16510"/>
                    </a:xfrm>
                    <a:prstGeom prst="rect">
                      <a:avLst/>
                    </a:prstGeom>
                    <a:noFill/>
                  </pic:spPr>
                </pic:pic>
              </a:graphicData>
            </a:graphic>
          </wp:anchor>
        </w:drawing>
      </w:r>
    </w:p>
    <w:p>
      <w:pPr>
        <w:sectPr>
          <w:pgSz w:w="11900" w:h="16838" w:orient="portrait"/>
          <w:cols w:equalWidth="0" w:num="1">
            <w:col w:w="9039"/>
          </w:cols>
          <w:pgMar w:left="1420" w:top="116" w:right="1440"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562610</wp:posOffset>
            </wp:positionV>
            <wp:extent cx="1198880" cy="13906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198880" cy="1390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140"/>
        <w:spacing w:after="0"/>
        <w:rPr>
          <w:sz w:val="20"/>
          <w:szCs w:val="20"/>
          <w:color w:val="auto"/>
        </w:rPr>
      </w:pPr>
      <w:r>
        <w:rPr>
          <w:rFonts w:ascii="Arial" w:cs="Arial" w:eastAsia="Arial" w:hAnsi="Arial"/>
          <w:sz w:val="21"/>
          <w:szCs w:val="21"/>
          <w:b w:val="1"/>
          <w:bCs w:val="1"/>
          <w:color w:val="292F72"/>
        </w:rPr>
        <w:t>Juan Rajlin</w:t>
      </w:r>
    </w:p>
    <w:p>
      <w:pPr>
        <w:spacing w:after="0" w:line="131" w:lineRule="exact"/>
        <w:rPr>
          <w:sz w:val="20"/>
          <w:szCs w:val="20"/>
          <w:color w:val="auto"/>
        </w:rPr>
      </w:pPr>
    </w:p>
    <w:p>
      <w:pPr>
        <w:ind w:left="2140"/>
        <w:spacing w:after="0"/>
        <w:rPr>
          <w:sz w:val="20"/>
          <w:szCs w:val="20"/>
          <w:color w:val="auto"/>
        </w:rPr>
      </w:pPr>
      <w:r>
        <w:rPr>
          <w:rFonts w:ascii="Arial" w:cs="Arial" w:eastAsia="Arial" w:hAnsi="Arial"/>
          <w:sz w:val="14"/>
          <w:szCs w:val="14"/>
          <w:b w:val="1"/>
          <w:bCs w:val="1"/>
          <w:color w:val="6D8CC3"/>
        </w:rPr>
        <w:t>INDEPENDENT DIRECTOR</w:t>
      </w:r>
    </w:p>
    <w:p>
      <w:pPr>
        <w:spacing w:after="0" w:line="128" w:lineRule="exact"/>
        <w:rPr>
          <w:sz w:val="20"/>
          <w:szCs w:val="20"/>
          <w:color w:val="auto"/>
        </w:rPr>
      </w:pPr>
    </w:p>
    <w:p>
      <w:pPr>
        <w:ind w:left="2140"/>
        <w:spacing w:after="0"/>
        <w:rPr>
          <w:sz w:val="20"/>
          <w:szCs w:val="20"/>
          <w:color w:val="auto"/>
        </w:rPr>
      </w:pPr>
      <w:r>
        <w:rPr>
          <w:rFonts w:ascii="Arial" w:cs="Arial" w:eastAsia="Arial" w:hAnsi="Arial"/>
          <w:sz w:val="14"/>
          <w:szCs w:val="14"/>
          <w:b w:val="1"/>
          <w:bCs w:val="1"/>
          <w:color w:val="292F72"/>
        </w:rPr>
        <w:t xml:space="preserve">Age: </w:t>
      </w:r>
      <w:r>
        <w:rPr>
          <w:rFonts w:ascii="Arial" w:cs="Arial" w:eastAsia="Arial" w:hAnsi="Arial"/>
          <w:sz w:val="14"/>
          <w:szCs w:val="14"/>
          <w:color w:val="000000"/>
        </w:rPr>
        <w:t>51</w:t>
      </w:r>
    </w:p>
    <w:p>
      <w:pPr>
        <w:spacing w:after="0" w:line="114" w:lineRule="exact"/>
        <w:rPr>
          <w:sz w:val="20"/>
          <w:szCs w:val="20"/>
          <w:color w:val="auto"/>
        </w:rPr>
      </w:pPr>
    </w:p>
    <w:p>
      <w:pPr>
        <w:ind w:left="2140"/>
        <w:spacing w:after="0"/>
        <w:rPr>
          <w:sz w:val="20"/>
          <w:szCs w:val="20"/>
          <w:color w:val="auto"/>
        </w:rPr>
      </w:pPr>
      <w:r>
        <w:rPr>
          <w:rFonts w:ascii="Arial" w:cs="Arial" w:eastAsia="Arial" w:hAnsi="Arial"/>
          <w:sz w:val="14"/>
          <w:szCs w:val="14"/>
          <w:b w:val="1"/>
          <w:bCs w:val="1"/>
          <w:color w:val="292F72"/>
        </w:rPr>
        <w:t xml:space="preserve">Director since: </w:t>
      </w:r>
      <w:r>
        <w:rPr>
          <w:rFonts w:ascii="Arial" w:cs="Arial" w:eastAsia="Arial" w:hAnsi="Arial"/>
          <w:sz w:val="14"/>
          <w:szCs w:val="14"/>
          <w:color w:val="000000"/>
        </w:rPr>
        <w:t>2022</w:t>
      </w:r>
    </w:p>
    <w:p>
      <w:pPr>
        <w:spacing w:after="0" w:line="101" w:lineRule="exact"/>
        <w:rPr>
          <w:sz w:val="20"/>
          <w:szCs w:val="20"/>
          <w:color w:val="auto"/>
        </w:rPr>
      </w:pPr>
    </w:p>
    <w:p>
      <w:pPr>
        <w:ind w:left="2140"/>
        <w:spacing w:after="0"/>
        <w:rPr>
          <w:sz w:val="20"/>
          <w:szCs w:val="20"/>
          <w:color w:val="auto"/>
        </w:rPr>
      </w:pPr>
      <w:r>
        <w:rPr>
          <w:rFonts w:ascii="Arial" w:cs="Arial" w:eastAsia="Arial" w:hAnsi="Arial"/>
          <w:sz w:val="14"/>
          <w:szCs w:val="14"/>
          <w:b w:val="1"/>
          <w:bCs w:val="1"/>
          <w:color w:val="292F72"/>
        </w:rPr>
        <w:t>Committees:</w:t>
      </w:r>
    </w:p>
    <w:p>
      <w:pPr>
        <w:spacing w:after="0" w:line="32" w:lineRule="exact"/>
        <w:rPr>
          <w:sz w:val="20"/>
          <w:szCs w:val="20"/>
          <w:color w:val="auto"/>
        </w:rPr>
      </w:pPr>
    </w:p>
    <w:p>
      <w:pPr>
        <w:ind w:left="2140"/>
        <w:spacing w:after="0"/>
        <w:rPr>
          <w:sz w:val="20"/>
          <w:szCs w:val="20"/>
          <w:color w:val="auto"/>
        </w:rPr>
      </w:pPr>
      <w:r>
        <w:rPr>
          <w:rFonts w:ascii="Arial" w:cs="Arial" w:eastAsia="Arial" w:hAnsi="Arial"/>
          <w:sz w:val="14"/>
          <w:szCs w:val="14"/>
          <w:color w:val="auto"/>
        </w:rPr>
        <w:t>Audit</w:t>
      </w:r>
    </w:p>
    <w:p>
      <w:pPr>
        <w:spacing w:after="0" w:line="27" w:lineRule="exact"/>
        <w:rPr>
          <w:sz w:val="20"/>
          <w:szCs w:val="20"/>
          <w:color w:val="auto"/>
        </w:rPr>
      </w:pPr>
    </w:p>
    <w:p>
      <w:pPr>
        <w:ind w:left="2140"/>
        <w:spacing w:after="0"/>
        <w:rPr>
          <w:sz w:val="20"/>
          <w:szCs w:val="20"/>
          <w:color w:val="auto"/>
        </w:rPr>
      </w:pPr>
      <w:r>
        <w:rPr>
          <w:rFonts w:ascii="Arial" w:cs="Arial" w:eastAsia="Arial" w:hAnsi="Arial"/>
          <w:sz w:val="14"/>
          <w:szCs w:val="14"/>
          <w:color w:val="auto"/>
        </w:rPr>
        <w:t>Nominating &amp; Governance</w:t>
      </w:r>
    </w:p>
    <w:p>
      <w:pPr>
        <w:spacing w:after="0" w:line="2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  </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292F72"/>
        </w:rPr>
        <w:t>Career Highlights</w:t>
      </w:r>
    </w:p>
    <w:p>
      <w:pPr>
        <w:spacing w:after="0" w:line="107" w:lineRule="exact"/>
        <w:rPr>
          <w:sz w:val="20"/>
          <w:szCs w:val="20"/>
          <w:color w:val="auto"/>
        </w:rPr>
      </w:pPr>
    </w:p>
    <w:p>
      <w:pPr>
        <w:ind w:left="160" w:hanging="133"/>
        <w:spacing w:after="0" w:line="249" w:lineRule="auto"/>
        <w:rPr>
          <w:sz w:val="20"/>
          <w:szCs w:val="20"/>
          <w:color w:val="auto"/>
        </w:rPr>
      </w:pPr>
      <w:r>
        <w:rPr>
          <w:rFonts w:ascii="Arial" w:cs="Arial" w:eastAsia="Arial" w:hAnsi="Arial"/>
          <w:sz w:val="16"/>
          <w:szCs w:val="16"/>
          <w:color w:val="6D8CC3"/>
        </w:rPr>
        <w:t>•</w:t>
      </w:r>
      <w:r>
        <w:rPr>
          <w:rFonts w:ascii="Arial" w:cs="Arial" w:eastAsia="Arial" w:hAnsi="Arial"/>
          <w:sz w:val="16"/>
          <w:szCs w:val="16"/>
          <w:color w:val="000000"/>
        </w:rPr>
        <w:t xml:space="preserve">  Vice President and Treasurer (October 2018 to present)</w:t>
      </w:r>
      <w:r>
        <w:rPr>
          <w:rFonts w:ascii="Arial" w:cs="Arial" w:eastAsia="Arial" w:hAnsi="Arial"/>
          <w:sz w:val="16"/>
          <w:szCs w:val="16"/>
          <w:color w:val="6D8CC3"/>
        </w:rPr>
        <w:t xml:space="preserve"> </w:t>
      </w:r>
      <w:r>
        <w:rPr>
          <w:rFonts w:ascii="Arial" w:cs="Arial" w:eastAsia="Arial" w:hAnsi="Arial"/>
          <w:sz w:val="16"/>
          <w:szCs w:val="16"/>
          <w:color w:val="000000"/>
        </w:rPr>
        <w:t>of Alphabet Inc. (“Alphabet”), a publicly traded multinational technology company, and its subsidiary Google LLC</w:t>
      </w:r>
    </w:p>
    <w:p>
      <w:pPr>
        <w:spacing w:after="0" w:line="76" w:lineRule="exact"/>
        <w:rPr>
          <w:sz w:val="20"/>
          <w:szCs w:val="20"/>
          <w:color w:val="auto"/>
        </w:rPr>
      </w:pPr>
    </w:p>
    <w:p>
      <w:pPr>
        <w:ind w:left="160" w:right="340" w:hanging="133"/>
        <w:spacing w:after="0" w:line="249" w:lineRule="auto"/>
        <w:rPr>
          <w:sz w:val="20"/>
          <w:szCs w:val="20"/>
          <w:color w:val="auto"/>
        </w:rPr>
      </w:pPr>
      <w:r>
        <w:rPr>
          <w:rFonts w:ascii="Arial" w:cs="Arial" w:eastAsia="Arial" w:hAnsi="Arial"/>
          <w:sz w:val="16"/>
          <w:szCs w:val="16"/>
          <w:color w:val="6D8CC3"/>
        </w:rPr>
        <w:t>•</w:t>
      </w:r>
      <w:r>
        <w:rPr>
          <w:rFonts w:ascii="Arial" w:cs="Arial" w:eastAsia="Arial" w:hAnsi="Arial"/>
          <w:sz w:val="16"/>
          <w:szCs w:val="16"/>
          <w:color w:val="000000"/>
        </w:rPr>
        <w:t xml:space="preserve">  Chief Financial Officer, Products and Services</w:t>
      </w:r>
      <w:r>
        <w:rPr>
          <w:rFonts w:ascii="Arial" w:cs="Arial" w:eastAsia="Arial" w:hAnsi="Arial"/>
          <w:sz w:val="16"/>
          <w:szCs w:val="16"/>
          <w:color w:val="6D8CC3"/>
        </w:rPr>
        <w:t xml:space="preserve"> </w:t>
      </w:r>
      <w:r>
        <w:rPr>
          <w:rFonts w:ascii="Arial" w:cs="Arial" w:eastAsia="Arial" w:hAnsi="Arial"/>
          <w:sz w:val="16"/>
          <w:szCs w:val="16"/>
          <w:color w:val="000000"/>
        </w:rPr>
        <w:t>(October 2017 to September 2018) and Corporate Treasurer and Chief Risk Officer (February 2013 to October 2017) of Mastercard</w:t>
      </w:r>
    </w:p>
    <w:p>
      <w:pPr>
        <w:spacing w:after="0" w:line="76" w:lineRule="exact"/>
        <w:rPr>
          <w:sz w:val="20"/>
          <w:szCs w:val="20"/>
          <w:color w:val="auto"/>
        </w:rPr>
      </w:pPr>
    </w:p>
    <w:p>
      <w:pPr>
        <w:ind w:left="160" w:right="80" w:hanging="133"/>
        <w:spacing w:after="0" w:line="254" w:lineRule="auto"/>
        <w:rPr>
          <w:sz w:val="20"/>
          <w:szCs w:val="20"/>
          <w:color w:val="auto"/>
        </w:rPr>
      </w:pPr>
      <w:r>
        <w:rPr>
          <w:rFonts w:ascii="Arial" w:cs="Arial" w:eastAsia="Arial" w:hAnsi="Arial"/>
          <w:sz w:val="16"/>
          <w:szCs w:val="16"/>
          <w:color w:val="6D8CC3"/>
        </w:rPr>
        <w:t>•</w:t>
      </w:r>
      <w:r>
        <w:rPr>
          <w:rFonts w:ascii="Arial" w:cs="Arial" w:eastAsia="Arial" w:hAnsi="Arial"/>
          <w:sz w:val="16"/>
          <w:szCs w:val="16"/>
          <w:color w:val="000000"/>
        </w:rPr>
        <w:t xml:space="preserve">  Before joining Mastercard, Mr. Rajlin held various roles</w:t>
      </w:r>
      <w:r>
        <w:rPr>
          <w:rFonts w:ascii="Arial" w:cs="Arial" w:eastAsia="Arial" w:hAnsi="Arial"/>
          <w:sz w:val="16"/>
          <w:szCs w:val="16"/>
          <w:color w:val="6D8CC3"/>
        </w:rPr>
        <w:t xml:space="preserve"> </w:t>
      </w:r>
      <w:r>
        <w:rPr>
          <w:rFonts w:ascii="Arial" w:cs="Arial" w:eastAsia="Arial" w:hAnsi="Arial"/>
          <w:sz w:val="16"/>
          <w:szCs w:val="16"/>
          <w:color w:val="000000"/>
        </w:rPr>
        <w:t>with increasing levels of responsibility at General Motors Company</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292F72"/>
        </w:rPr>
        <w:t>Education</w:t>
      </w:r>
    </w:p>
    <w:p>
      <w:pPr>
        <w:spacing w:after="0" w:line="107" w:lineRule="exact"/>
        <w:rPr>
          <w:sz w:val="20"/>
          <w:szCs w:val="20"/>
          <w:color w:val="auto"/>
        </w:rPr>
      </w:pPr>
    </w:p>
    <w:p>
      <w:pPr>
        <w:jc w:val="both"/>
        <w:ind w:left="40" w:right="220"/>
        <w:spacing w:after="0" w:line="254" w:lineRule="auto"/>
        <w:rPr>
          <w:sz w:val="20"/>
          <w:szCs w:val="20"/>
          <w:color w:val="auto"/>
        </w:rPr>
      </w:pPr>
      <w:r>
        <w:rPr>
          <w:rFonts w:ascii="Arial" w:cs="Arial" w:eastAsia="Arial" w:hAnsi="Arial"/>
          <w:sz w:val="16"/>
          <w:szCs w:val="16"/>
          <w:color w:val="auto"/>
        </w:rPr>
        <w:t>Born in Argentina, Mr. Rajlin holds a B.S. in economics from Universidad Torcuato Di Tella in Argentina and an M.B.A. from Columbia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967105</wp:posOffset>
            </wp:positionV>
            <wp:extent cx="2668905" cy="16446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668905" cy="164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60"/>
        <w:spacing w:after="0"/>
        <w:rPr>
          <w:sz w:val="20"/>
          <w:szCs w:val="20"/>
          <w:color w:val="auto"/>
        </w:rPr>
      </w:pPr>
      <w:r>
        <w:rPr>
          <w:rFonts w:ascii="Arial" w:cs="Arial" w:eastAsia="Arial" w:hAnsi="Arial"/>
          <w:sz w:val="19"/>
          <w:szCs w:val="19"/>
          <w:b w:val="1"/>
          <w:bCs w:val="1"/>
          <w:color w:val="6D8CC3"/>
        </w:rPr>
        <w:t>Key Qualifications</w:t>
      </w:r>
    </w:p>
    <w:p>
      <w:pPr>
        <w:spacing w:after="0" w:line="147" w:lineRule="exact"/>
        <w:rPr>
          <w:sz w:val="20"/>
          <w:szCs w:val="20"/>
          <w:color w:val="auto"/>
        </w:rPr>
      </w:pPr>
    </w:p>
    <w:p>
      <w:pPr>
        <w:ind w:left="260" w:right="160"/>
        <w:spacing w:after="0" w:line="260" w:lineRule="auto"/>
        <w:rPr>
          <w:sz w:val="20"/>
          <w:szCs w:val="20"/>
          <w:color w:val="auto"/>
        </w:rPr>
      </w:pPr>
      <w:r>
        <w:rPr>
          <w:rFonts w:ascii="Arial" w:cs="Arial" w:eastAsia="Arial" w:hAnsi="Arial"/>
          <w:sz w:val="15"/>
          <w:szCs w:val="15"/>
          <w:color w:val="auto"/>
        </w:rPr>
        <w:t>Mr. Rajlin’s nomination is supported by his extensive finance and risk management experience, his experience with financial and capital allocation matters, consumer-driven technologies and sustainability matters and his deep international experience and perspective. In Mr. Rajlin’s role with Alphabet, he oversees over $100 billion of investments, corporate finance policy and financial risk management. He is also a key executive overseeing Google’s sustainability strategy.</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left="2920"/>
        <w:spacing w:after="0"/>
        <w:rPr>
          <w:sz w:val="20"/>
          <w:szCs w:val="20"/>
          <w:color w:val="auto"/>
        </w:rPr>
      </w:pPr>
      <w:r>
        <w:rPr>
          <w:rFonts w:ascii="Arial" w:cs="Arial" w:eastAsia="Arial" w:hAnsi="Arial"/>
          <w:sz w:val="16"/>
          <w:szCs w:val="16"/>
          <w:color w:val="292F72"/>
        </w:rPr>
        <w:t>Election of</w:t>
      </w:r>
    </w:p>
    <w:p>
      <w:pPr>
        <w:spacing w:after="0" w:line="14" w:lineRule="exact"/>
        <w:rPr>
          <w:sz w:val="20"/>
          <w:szCs w:val="20"/>
          <w:color w:val="auto"/>
        </w:rPr>
      </w:pPr>
    </w:p>
    <w:p>
      <w:pPr>
        <w:ind w:left="2920"/>
        <w:spacing w:after="0"/>
        <w:rPr>
          <w:sz w:val="20"/>
          <w:szCs w:val="20"/>
          <w:color w:val="auto"/>
        </w:rPr>
      </w:pPr>
      <w:r>
        <w:rPr>
          <w:rFonts w:ascii="Arial" w:cs="Arial" w:eastAsia="Arial" w:hAnsi="Arial"/>
          <w:sz w:val="16"/>
          <w:szCs w:val="16"/>
          <w:color w:val="292F72"/>
        </w:rPr>
        <w:t>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31750</wp:posOffset>
            </wp:positionV>
            <wp:extent cx="2939415" cy="67779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939415" cy="67779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100"/>
        <w:spacing w:after="0"/>
        <w:rPr>
          <w:sz w:val="20"/>
          <w:szCs w:val="20"/>
          <w:color w:val="auto"/>
        </w:rPr>
      </w:pPr>
      <w:r>
        <w:rPr>
          <w:rFonts w:ascii="Arial" w:cs="Arial" w:eastAsia="Arial" w:hAnsi="Arial"/>
          <w:sz w:val="21"/>
          <w:szCs w:val="21"/>
          <w:b w:val="1"/>
          <w:bCs w:val="1"/>
          <w:color w:val="292F72"/>
        </w:rPr>
        <w:t>Stephen D. Steinour</w:t>
      </w:r>
    </w:p>
    <w:p>
      <w:pPr>
        <w:spacing w:after="0" w:line="131" w:lineRule="exact"/>
        <w:rPr>
          <w:sz w:val="20"/>
          <w:szCs w:val="20"/>
          <w:color w:val="auto"/>
        </w:rPr>
      </w:pPr>
    </w:p>
    <w:p>
      <w:pPr>
        <w:ind w:left="2100"/>
        <w:spacing w:after="0"/>
        <w:rPr>
          <w:sz w:val="20"/>
          <w:szCs w:val="20"/>
          <w:color w:val="auto"/>
        </w:rPr>
      </w:pPr>
      <w:r>
        <w:rPr>
          <w:rFonts w:ascii="Arial" w:cs="Arial" w:eastAsia="Arial" w:hAnsi="Arial"/>
          <w:sz w:val="14"/>
          <w:szCs w:val="14"/>
          <w:b w:val="1"/>
          <w:bCs w:val="1"/>
          <w:color w:val="6D8CC3"/>
        </w:rPr>
        <w:t>INDEPENDENT DIRECTOR</w:t>
      </w:r>
    </w:p>
    <w:p>
      <w:pPr>
        <w:spacing w:after="0" w:line="128" w:lineRule="exact"/>
        <w:rPr>
          <w:sz w:val="20"/>
          <w:szCs w:val="20"/>
          <w:color w:val="auto"/>
        </w:rPr>
      </w:pPr>
    </w:p>
    <w:p>
      <w:pPr>
        <w:ind w:left="2100"/>
        <w:spacing w:after="0"/>
        <w:rPr>
          <w:sz w:val="20"/>
          <w:szCs w:val="20"/>
          <w:color w:val="auto"/>
        </w:rPr>
      </w:pPr>
      <w:r>
        <w:rPr>
          <w:rFonts w:ascii="Arial" w:cs="Arial" w:eastAsia="Arial" w:hAnsi="Arial"/>
          <w:sz w:val="14"/>
          <w:szCs w:val="14"/>
          <w:b w:val="1"/>
          <w:bCs w:val="1"/>
          <w:color w:val="292F72"/>
        </w:rPr>
        <w:t xml:space="preserve">Age: </w:t>
      </w:r>
      <w:r>
        <w:rPr>
          <w:rFonts w:ascii="Arial" w:cs="Arial" w:eastAsia="Arial" w:hAnsi="Arial"/>
          <w:sz w:val="14"/>
          <w:szCs w:val="14"/>
          <w:color w:val="000000"/>
        </w:rPr>
        <w:t>67</w:t>
      </w:r>
    </w:p>
    <w:p>
      <w:pPr>
        <w:spacing w:after="0" w:line="114" w:lineRule="exact"/>
        <w:rPr>
          <w:sz w:val="20"/>
          <w:szCs w:val="20"/>
          <w:color w:val="auto"/>
        </w:rPr>
      </w:pPr>
    </w:p>
    <w:p>
      <w:pPr>
        <w:ind w:left="2100"/>
        <w:spacing w:after="0"/>
        <w:rPr>
          <w:sz w:val="20"/>
          <w:szCs w:val="20"/>
          <w:color w:val="auto"/>
        </w:rPr>
      </w:pPr>
      <w:r>
        <w:rPr>
          <w:rFonts w:ascii="Arial" w:cs="Arial" w:eastAsia="Arial" w:hAnsi="Arial"/>
          <w:sz w:val="14"/>
          <w:szCs w:val="14"/>
          <w:b w:val="1"/>
          <w:bCs w:val="1"/>
          <w:color w:val="292F72"/>
        </w:rPr>
        <w:t xml:space="preserve">Director since: </w:t>
      </w:r>
      <w:r>
        <w:rPr>
          <w:rFonts w:ascii="Arial" w:cs="Arial" w:eastAsia="Arial" w:hAnsi="Arial"/>
          <w:sz w:val="14"/>
          <w:szCs w:val="14"/>
          <w:color w:val="000000"/>
        </w:rPr>
        <w:t>2014</w:t>
      </w:r>
    </w:p>
    <w:p>
      <w:pPr>
        <w:spacing w:after="0" w:line="101" w:lineRule="exact"/>
        <w:rPr>
          <w:sz w:val="20"/>
          <w:szCs w:val="20"/>
          <w:color w:val="auto"/>
        </w:rPr>
      </w:pPr>
    </w:p>
    <w:p>
      <w:pPr>
        <w:ind w:left="2100"/>
        <w:spacing w:after="0"/>
        <w:rPr>
          <w:sz w:val="20"/>
          <w:szCs w:val="20"/>
          <w:color w:val="auto"/>
        </w:rPr>
      </w:pPr>
      <w:r>
        <w:rPr>
          <w:rFonts w:ascii="Arial" w:cs="Arial" w:eastAsia="Arial" w:hAnsi="Arial"/>
          <w:sz w:val="14"/>
          <w:szCs w:val="14"/>
          <w:b w:val="1"/>
          <w:bCs w:val="1"/>
          <w:color w:val="292F72"/>
        </w:rPr>
        <w:t>Committees:</w:t>
      </w:r>
    </w:p>
    <w:p>
      <w:pPr>
        <w:spacing w:after="0" w:line="32" w:lineRule="exact"/>
        <w:rPr>
          <w:sz w:val="20"/>
          <w:szCs w:val="20"/>
          <w:color w:val="auto"/>
        </w:rPr>
      </w:pPr>
    </w:p>
    <w:p>
      <w:pPr>
        <w:ind w:left="2100"/>
        <w:spacing w:after="0"/>
        <w:rPr>
          <w:sz w:val="20"/>
          <w:szCs w:val="20"/>
          <w:color w:val="auto"/>
        </w:rPr>
      </w:pPr>
      <w:r>
        <w:rPr>
          <w:rFonts w:ascii="Arial" w:cs="Arial" w:eastAsia="Arial" w:hAnsi="Arial"/>
          <w:sz w:val="14"/>
          <w:szCs w:val="14"/>
          <w:color w:val="auto"/>
        </w:rPr>
        <w:t>Audit</w:t>
      </w:r>
    </w:p>
    <w:p>
      <w:pPr>
        <w:spacing w:after="0" w:line="27" w:lineRule="exact"/>
        <w:rPr>
          <w:sz w:val="20"/>
          <w:szCs w:val="20"/>
          <w:color w:val="auto"/>
        </w:rPr>
      </w:pPr>
    </w:p>
    <w:p>
      <w:pPr>
        <w:ind w:left="2100"/>
        <w:spacing w:after="0"/>
        <w:rPr>
          <w:sz w:val="20"/>
          <w:szCs w:val="20"/>
          <w:color w:val="auto"/>
        </w:rPr>
      </w:pPr>
      <w:r>
        <w:rPr>
          <w:rFonts w:ascii="Arial" w:cs="Arial" w:eastAsia="Arial" w:hAnsi="Arial"/>
          <w:sz w:val="14"/>
          <w:szCs w:val="14"/>
          <w:color w:val="auto"/>
        </w:rPr>
        <w:t>Human Capital &amp; 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292F72"/>
        </w:rPr>
        <w:t>Career Highlights</w:t>
      </w:r>
    </w:p>
    <w:p>
      <w:pPr>
        <w:spacing w:after="0" w:line="107" w:lineRule="exact"/>
        <w:rPr>
          <w:sz w:val="20"/>
          <w:szCs w:val="20"/>
          <w:color w:val="auto"/>
        </w:rPr>
      </w:pPr>
    </w:p>
    <w:p>
      <w:pPr>
        <w:ind w:left="140" w:hanging="133"/>
        <w:spacing w:after="0" w:line="254" w:lineRule="auto"/>
        <w:rPr>
          <w:sz w:val="20"/>
          <w:szCs w:val="20"/>
          <w:color w:val="auto"/>
        </w:rPr>
      </w:pPr>
      <w:r>
        <w:rPr>
          <w:rFonts w:ascii="Arial" w:cs="Arial" w:eastAsia="Arial" w:hAnsi="Arial"/>
          <w:sz w:val="16"/>
          <w:szCs w:val="16"/>
          <w:color w:val="6D8CC3"/>
        </w:rPr>
        <w:t>•</w:t>
      </w:r>
      <w:r>
        <w:rPr>
          <w:rFonts w:ascii="Arial" w:cs="Arial" w:eastAsia="Arial" w:hAnsi="Arial"/>
          <w:sz w:val="16"/>
          <w:szCs w:val="16"/>
          <w:color w:val="000000"/>
        </w:rPr>
        <w:t xml:space="preserve">  Chairman, President and Chief Executive Officer since 2009</w:t>
      </w:r>
      <w:r>
        <w:rPr>
          <w:rFonts w:ascii="Arial" w:cs="Arial" w:eastAsia="Arial" w:hAnsi="Arial"/>
          <w:sz w:val="16"/>
          <w:szCs w:val="16"/>
          <w:color w:val="6D8CC3"/>
        </w:rPr>
        <w:t xml:space="preserve"> </w:t>
      </w:r>
      <w:r>
        <w:rPr>
          <w:rFonts w:ascii="Arial" w:cs="Arial" w:eastAsia="Arial" w:hAnsi="Arial"/>
          <w:sz w:val="16"/>
          <w:szCs w:val="16"/>
          <w:color w:val="000000"/>
        </w:rPr>
        <w:t>of Huntington Bancshares Incorporated (“Huntington”), a publicly traded bank holding company</w:t>
      </w:r>
    </w:p>
    <w:p>
      <w:pPr>
        <w:spacing w:after="0" w:line="72" w:lineRule="exact"/>
        <w:rPr>
          <w:sz w:val="20"/>
          <w:szCs w:val="20"/>
          <w:color w:val="auto"/>
        </w:rPr>
      </w:pPr>
    </w:p>
    <w:p>
      <w:pPr>
        <w:ind w:left="140" w:right="20" w:hanging="133"/>
        <w:spacing w:after="0" w:line="268" w:lineRule="auto"/>
        <w:rPr>
          <w:sz w:val="20"/>
          <w:szCs w:val="20"/>
          <w:color w:val="auto"/>
        </w:rPr>
      </w:pPr>
      <w:r>
        <w:rPr>
          <w:rFonts w:ascii="Arial" w:cs="Arial" w:eastAsia="Arial" w:hAnsi="Arial"/>
          <w:sz w:val="16"/>
          <w:szCs w:val="16"/>
          <w:color w:val="6D8CC3"/>
        </w:rPr>
        <w:t>•</w:t>
      </w:r>
      <w:r>
        <w:rPr>
          <w:rFonts w:ascii="Arial" w:cs="Arial" w:eastAsia="Arial" w:hAnsi="Arial"/>
          <w:sz w:val="16"/>
          <w:szCs w:val="16"/>
          <w:color w:val="000000"/>
        </w:rPr>
        <w:t xml:space="preserve">  Interim Lead Independent Director on the Company’s Board</w:t>
      </w:r>
      <w:r>
        <w:rPr>
          <w:rFonts w:ascii="Arial" w:cs="Arial" w:eastAsia="Arial" w:hAnsi="Arial"/>
          <w:sz w:val="16"/>
          <w:szCs w:val="16"/>
          <w:color w:val="6D8CC3"/>
        </w:rPr>
        <w:t xml:space="preserve"> </w:t>
      </w:r>
      <w:r>
        <w:rPr>
          <w:rFonts w:ascii="Arial" w:cs="Arial" w:eastAsia="Arial" w:hAnsi="Arial"/>
          <w:sz w:val="16"/>
          <w:szCs w:val="16"/>
          <w:color w:val="000000"/>
        </w:rPr>
        <w:t>(March 2022 to January 2023)</w:t>
      </w:r>
    </w:p>
    <w:p>
      <w:pPr>
        <w:spacing w:after="0" w:line="61" w:lineRule="exact"/>
        <w:rPr>
          <w:sz w:val="20"/>
          <w:szCs w:val="20"/>
          <w:color w:val="auto"/>
        </w:rPr>
      </w:pPr>
    </w:p>
    <w:p>
      <w:pPr>
        <w:jc w:val="both"/>
        <w:ind w:left="140" w:right="60" w:hanging="133"/>
        <w:spacing w:after="0" w:line="254" w:lineRule="auto"/>
        <w:rPr>
          <w:sz w:val="20"/>
          <w:szCs w:val="20"/>
          <w:color w:val="auto"/>
        </w:rPr>
      </w:pPr>
      <w:r>
        <w:rPr>
          <w:rFonts w:ascii="Arial" w:cs="Arial" w:eastAsia="Arial" w:hAnsi="Arial"/>
          <w:sz w:val="16"/>
          <w:szCs w:val="16"/>
          <w:color w:val="6D8CC3"/>
        </w:rPr>
        <w:t>•</w:t>
      </w:r>
      <w:r>
        <w:rPr>
          <w:rFonts w:ascii="Arial" w:cs="Arial" w:eastAsia="Arial" w:hAnsi="Arial"/>
          <w:sz w:val="16"/>
          <w:szCs w:val="16"/>
          <w:color w:val="000000"/>
        </w:rPr>
        <w:t xml:space="preserve">  Managing Partner (2008 to 2009) with CrossHarbor Capital</w:t>
      </w:r>
      <w:r>
        <w:rPr>
          <w:rFonts w:ascii="Arial" w:cs="Arial" w:eastAsia="Arial" w:hAnsi="Arial"/>
          <w:sz w:val="16"/>
          <w:szCs w:val="16"/>
          <w:color w:val="6D8CC3"/>
        </w:rPr>
        <w:t xml:space="preserve"> </w:t>
      </w:r>
      <w:r>
        <w:rPr>
          <w:rFonts w:ascii="Arial" w:cs="Arial" w:eastAsia="Arial" w:hAnsi="Arial"/>
          <w:sz w:val="16"/>
          <w:szCs w:val="16"/>
          <w:color w:val="000000"/>
        </w:rPr>
        <w:t>Partners, LLC, a recognized leading manager of alternative investments</w:t>
      </w:r>
    </w:p>
    <w:p>
      <w:pPr>
        <w:spacing w:after="0" w:line="72" w:lineRule="exact"/>
        <w:rPr>
          <w:sz w:val="20"/>
          <w:szCs w:val="20"/>
          <w:color w:val="auto"/>
        </w:rPr>
      </w:pPr>
    </w:p>
    <w:p>
      <w:pPr>
        <w:ind w:left="140" w:hanging="133"/>
        <w:spacing w:after="0" w:line="249" w:lineRule="auto"/>
        <w:rPr>
          <w:sz w:val="20"/>
          <w:szCs w:val="20"/>
          <w:color w:val="auto"/>
        </w:rPr>
      </w:pPr>
      <w:r>
        <w:rPr>
          <w:rFonts w:ascii="Arial" w:cs="Arial" w:eastAsia="Arial" w:hAnsi="Arial"/>
          <w:sz w:val="16"/>
          <w:szCs w:val="16"/>
          <w:color w:val="6D8CC3"/>
        </w:rPr>
        <w:t>•</w:t>
      </w:r>
      <w:r>
        <w:rPr>
          <w:rFonts w:ascii="Arial" w:cs="Arial" w:eastAsia="Arial" w:hAnsi="Arial"/>
          <w:sz w:val="16"/>
          <w:szCs w:val="16"/>
          <w:color w:val="000000"/>
        </w:rPr>
        <w:t xml:space="preserve">  Mr. Steinour was with Citizens Financial Group from 1992 to</w:t>
      </w:r>
      <w:r>
        <w:rPr>
          <w:rFonts w:ascii="Arial" w:cs="Arial" w:eastAsia="Arial" w:hAnsi="Arial"/>
          <w:sz w:val="16"/>
          <w:szCs w:val="16"/>
          <w:color w:val="6D8CC3"/>
        </w:rPr>
        <w:t xml:space="preserve"> </w:t>
      </w:r>
      <w:r>
        <w:rPr>
          <w:rFonts w:ascii="Arial" w:cs="Arial" w:eastAsia="Arial" w:hAnsi="Arial"/>
          <w:sz w:val="16"/>
          <w:szCs w:val="16"/>
          <w:color w:val="000000"/>
        </w:rPr>
        <w:t>2008, where he served in various executive roles, including Vice Chairman from 1997 to 2007 and President and Chief Executive Officer from 2007 to 2008</w:t>
      </w:r>
    </w:p>
    <w:p>
      <w:pPr>
        <w:spacing w:after="0" w:line="76" w:lineRule="exact"/>
        <w:rPr>
          <w:sz w:val="20"/>
          <w:szCs w:val="20"/>
          <w:color w:val="auto"/>
        </w:rPr>
      </w:pPr>
    </w:p>
    <w:p>
      <w:pPr>
        <w:ind w:left="140" w:right="60" w:hanging="133"/>
        <w:spacing w:after="0" w:line="245" w:lineRule="auto"/>
        <w:rPr>
          <w:sz w:val="20"/>
          <w:szCs w:val="20"/>
          <w:color w:val="auto"/>
        </w:rPr>
      </w:pPr>
      <w:r>
        <w:rPr>
          <w:rFonts w:ascii="Arial" w:cs="Arial" w:eastAsia="Arial" w:hAnsi="Arial"/>
          <w:sz w:val="16"/>
          <w:szCs w:val="16"/>
          <w:color w:val="6D8CC3"/>
        </w:rPr>
        <w:t>•</w:t>
      </w:r>
      <w:r>
        <w:rPr>
          <w:rFonts w:ascii="Arial" w:cs="Arial" w:eastAsia="Arial" w:hAnsi="Arial"/>
          <w:sz w:val="16"/>
          <w:szCs w:val="16"/>
          <w:color w:val="000000"/>
        </w:rPr>
        <w:t xml:space="preserve">  Mr. Steinour also serves as a supervisory board member of</w:t>
      </w:r>
      <w:r>
        <w:rPr>
          <w:rFonts w:ascii="Arial" w:cs="Arial" w:eastAsia="Arial" w:hAnsi="Arial"/>
          <w:sz w:val="16"/>
          <w:szCs w:val="16"/>
          <w:color w:val="6D8CC3"/>
        </w:rPr>
        <w:t xml:space="preserve"> </w:t>
      </w:r>
      <w:r>
        <w:rPr>
          <w:rFonts w:ascii="Arial" w:cs="Arial" w:eastAsia="Arial" w:hAnsi="Arial"/>
          <w:sz w:val="16"/>
          <w:szCs w:val="16"/>
          <w:color w:val="000000"/>
        </w:rPr>
        <w:t>The Clearing House, a real-time payments platform and he previously served as a trustee of Liberty Property Trust, a real estate investment trust, from 2010 to 2014 and as a director of the Federal Reserve Bank of Cleveland, from 2017 to 2019</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292F72"/>
        </w:rPr>
        <w:t>Other Current and Former Public Company Boards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Huntington, since 2009</w:t>
      </w:r>
    </w:p>
    <w:p>
      <w:pPr>
        <w:spacing w:after="0" w:line="105" w:lineRule="exact"/>
        <w:rPr>
          <w:sz w:val="20"/>
          <w:szCs w:val="20"/>
          <w:color w:val="auto"/>
        </w:rPr>
      </w:pPr>
    </w:p>
    <w:p>
      <w:pPr>
        <w:ind w:right="160"/>
        <w:spacing w:after="0" w:line="268" w:lineRule="auto"/>
        <w:rPr>
          <w:sz w:val="20"/>
          <w:szCs w:val="20"/>
          <w:color w:val="auto"/>
        </w:rPr>
      </w:pPr>
      <w:r>
        <w:rPr>
          <w:rFonts w:ascii="Arial" w:cs="Arial" w:eastAsia="Arial" w:hAnsi="Arial"/>
          <w:sz w:val="16"/>
          <w:szCs w:val="16"/>
          <w:color w:val="auto"/>
        </w:rPr>
        <w:t>Exelon Corporation, a utility services holding company, from 2007 to 2020</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292F72"/>
        </w:rPr>
        <w:t>Education</w:t>
      </w:r>
    </w:p>
    <w:p>
      <w:pPr>
        <w:spacing w:after="0" w:line="107" w:lineRule="exact"/>
        <w:rPr>
          <w:sz w:val="20"/>
          <w:szCs w:val="20"/>
          <w:color w:val="auto"/>
        </w:rPr>
      </w:pPr>
    </w:p>
    <w:p>
      <w:pPr>
        <w:ind w:right="60"/>
        <w:spacing w:after="0" w:line="279" w:lineRule="auto"/>
        <w:rPr>
          <w:sz w:val="20"/>
          <w:szCs w:val="20"/>
          <w:color w:val="auto"/>
        </w:rPr>
      </w:pPr>
      <w:r>
        <w:rPr>
          <w:rFonts w:ascii="Arial" w:cs="Arial" w:eastAsia="Arial" w:hAnsi="Arial"/>
          <w:sz w:val="15"/>
          <w:szCs w:val="15"/>
          <w:color w:val="auto"/>
        </w:rPr>
        <w:t>Mr. Steinour holds a bachelors in economics from Gettysburg College and completed the Stanford University Graduate School of Business Executive Program in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175260</wp:posOffset>
            </wp:positionV>
            <wp:extent cx="2698115" cy="7410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698115" cy="74104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80"/>
        <w:spacing w:after="0"/>
        <w:rPr>
          <w:sz w:val="20"/>
          <w:szCs w:val="20"/>
          <w:color w:val="auto"/>
        </w:rPr>
      </w:pPr>
      <w:r>
        <w:rPr>
          <w:rFonts w:ascii="Arial" w:cs="Arial" w:eastAsia="Arial" w:hAnsi="Arial"/>
          <w:sz w:val="19"/>
          <w:szCs w:val="19"/>
          <w:b w:val="1"/>
          <w:bCs w:val="1"/>
          <w:color w:val="6D8CC3"/>
        </w:rPr>
        <w:t>Key Qualifications</w:t>
      </w:r>
    </w:p>
    <w:p>
      <w:pPr>
        <w:spacing w:after="0" w:line="147" w:lineRule="exact"/>
        <w:rPr>
          <w:sz w:val="20"/>
          <w:szCs w:val="20"/>
          <w:color w:val="auto"/>
        </w:rPr>
      </w:pPr>
    </w:p>
    <w:p>
      <w:pPr>
        <w:jc w:val="both"/>
        <w:ind w:left="80" w:right="340"/>
        <w:spacing w:after="0" w:line="279" w:lineRule="auto"/>
        <w:rPr>
          <w:sz w:val="20"/>
          <w:szCs w:val="20"/>
          <w:color w:val="auto"/>
        </w:rPr>
      </w:pPr>
      <w:r>
        <w:rPr>
          <w:rFonts w:ascii="Arial" w:cs="Arial" w:eastAsia="Arial" w:hAnsi="Arial"/>
          <w:sz w:val="15"/>
          <w:szCs w:val="15"/>
          <w:color w:val="auto"/>
        </w:rPr>
        <w:t>Mr. Steinour’s nomination is supported by his extensive executive experience, financial expertise and service on several public company boards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-2992755</wp:posOffset>
            </wp:positionH>
            <wp:positionV relativeFrom="paragraph">
              <wp:posOffset>316865</wp:posOffset>
            </wp:positionV>
            <wp:extent cx="57372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7372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60" w:space="660"/>
            <w:col w:w="4320"/>
          </w:cols>
          <w:pgMar w:left="1420" w:top="116" w:right="1439" w:bottom="1440" w:gutter="0" w:footer="0" w:header="0"/>
        </w:sectPr>
      </w:pPr>
    </w:p>
    <w:p>
      <w:pPr>
        <w:spacing w:after="0" w:line="395" w:lineRule="exact"/>
        <w:rPr>
          <w:sz w:val="20"/>
          <w:szCs w:val="20"/>
          <w:color w:val="auto"/>
        </w:rPr>
      </w:pPr>
    </w:p>
    <w:p>
      <w:pPr>
        <w:ind w:left="5480"/>
        <w:spacing w:after="0"/>
        <w:rPr>
          <w:sz w:val="20"/>
          <w:szCs w:val="20"/>
          <w:color w:val="auto"/>
        </w:rPr>
      </w:pPr>
      <w:r>
        <w:rPr>
          <w:rFonts w:ascii="Arial" w:cs="Arial" w:eastAsia="Arial" w:hAnsi="Arial"/>
          <w:sz w:val="13"/>
          <w:szCs w:val="13"/>
          <w:color w:val="292F72"/>
        </w:rPr>
        <w:t>Bath &amp; Body Works, Inc.</w:t>
      </w:r>
      <w:r>
        <w:rPr>
          <w:rFonts w:ascii="Arial" w:cs="Arial" w:eastAsia="Arial" w:hAnsi="Arial"/>
          <w:sz w:val="13"/>
          <w:szCs w:val="13"/>
          <w:color w:val="6D8CC3"/>
        </w:rPr>
        <w:t xml:space="preserve">   | </w:t>
      </w:r>
      <w:r>
        <w:rPr>
          <w:rFonts w:ascii="Arial" w:cs="Arial" w:eastAsia="Arial" w:hAnsi="Arial"/>
          <w:sz w:val="13"/>
          <w:szCs w:val="13"/>
          <w:color w:val="292F72"/>
        </w:rPr>
        <w:t xml:space="preserve">  2026 Proxy Statement     </w:t>
      </w:r>
      <w:r>
        <w:rPr>
          <w:rFonts w:ascii="Arial" w:cs="Arial" w:eastAsia="Arial" w:hAnsi="Arial"/>
          <w:sz w:val="13"/>
          <w:szCs w:val="13"/>
          <w:b w:val="1"/>
          <w:bCs w:val="1"/>
          <w:color w:val="292F72"/>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152400</wp:posOffset>
            </wp:positionV>
            <wp:extent cx="6795135" cy="165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795135" cy="16510"/>
                    </a:xfrm>
                    <a:prstGeom prst="rect">
                      <a:avLst/>
                    </a:prstGeom>
                    <a:noFill/>
                  </pic:spPr>
                </pic:pic>
              </a:graphicData>
            </a:graphic>
          </wp:anchor>
        </w:drawing>
      </w:r>
    </w:p>
    <w:p>
      <w:pPr>
        <w:sectPr>
          <w:pgSz w:w="11900" w:h="16838" w:orient="portrait"/>
          <w:cols w:equalWidth="0" w:num="1">
            <w:col w:w="9040"/>
          </w:cols>
          <w:pgMar w:left="1420" w:top="116" w:right="14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6"/>
          <w:szCs w:val="16"/>
          <w:color w:val="292F72"/>
        </w:rPr>
        <w:t>Election of</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6"/>
          <w:szCs w:val="16"/>
          <w:color w:val="292F72"/>
        </w:rPr>
        <w:t>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1216025" cy="15570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16025" cy="1557020"/>
                    </a:xfrm>
                    <a:prstGeom prst="rect">
                      <a:avLst/>
                    </a:prstGeom>
                    <a:noFill/>
                  </pic:spPr>
                </pic:pic>
              </a:graphicData>
            </a:graphic>
          </wp:anchor>
        </w:drawing>
        <w:drawing>
          <wp:anchor simplePos="0" relativeHeight="251657728" behindDoc="1" locked="0" layoutInCell="0" allowOverlap="1">
            <wp:simplePos x="0" y="0"/>
            <wp:positionH relativeFrom="column">
              <wp:posOffset>2802255</wp:posOffset>
            </wp:positionH>
            <wp:positionV relativeFrom="paragraph">
              <wp:posOffset>132080</wp:posOffset>
            </wp:positionV>
            <wp:extent cx="8255" cy="63703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255" cy="63703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140"/>
        <w:spacing w:after="0"/>
        <w:rPr>
          <w:sz w:val="20"/>
          <w:szCs w:val="20"/>
          <w:color w:val="auto"/>
        </w:rPr>
      </w:pPr>
      <w:r>
        <w:rPr>
          <w:rFonts w:ascii="Arial" w:cs="Arial" w:eastAsia="Arial" w:hAnsi="Arial"/>
          <w:sz w:val="21"/>
          <w:szCs w:val="21"/>
          <w:b w:val="1"/>
          <w:bCs w:val="1"/>
          <w:color w:val="292F72"/>
        </w:rPr>
        <w:t>J.K. Symancyk</w:t>
      </w:r>
    </w:p>
    <w:p>
      <w:pPr>
        <w:spacing w:after="0" w:line="131" w:lineRule="exact"/>
        <w:rPr>
          <w:sz w:val="20"/>
          <w:szCs w:val="20"/>
          <w:color w:val="auto"/>
        </w:rPr>
      </w:pPr>
    </w:p>
    <w:p>
      <w:pPr>
        <w:ind w:left="2140"/>
        <w:spacing w:after="0"/>
        <w:rPr>
          <w:sz w:val="20"/>
          <w:szCs w:val="20"/>
          <w:color w:val="auto"/>
        </w:rPr>
      </w:pPr>
      <w:r>
        <w:rPr>
          <w:rFonts w:ascii="Arial" w:cs="Arial" w:eastAsia="Arial" w:hAnsi="Arial"/>
          <w:sz w:val="14"/>
          <w:szCs w:val="14"/>
          <w:b w:val="1"/>
          <w:bCs w:val="1"/>
          <w:color w:val="6D8CC3"/>
        </w:rPr>
        <w:t>INDEPENDENT DIRECTOR</w:t>
      </w:r>
    </w:p>
    <w:p>
      <w:pPr>
        <w:spacing w:after="0" w:line="128" w:lineRule="exact"/>
        <w:rPr>
          <w:sz w:val="20"/>
          <w:szCs w:val="20"/>
          <w:color w:val="auto"/>
        </w:rPr>
      </w:pPr>
    </w:p>
    <w:p>
      <w:pPr>
        <w:ind w:left="2140"/>
        <w:spacing w:after="0"/>
        <w:rPr>
          <w:sz w:val="20"/>
          <w:szCs w:val="20"/>
          <w:color w:val="auto"/>
        </w:rPr>
      </w:pPr>
      <w:r>
        <w:rPr>
          <w:rFonts w:ascii="Arial" w:cs="Arial" w:eastAsia="Arial" w:hAnsi="Arial"/>
          <w:sz w:val="14"/>
          <w:szCs w:val="14"/>
          <w:b w:val="1"/>
          <w:bCs w:val="1"/>
          <w:color w:val="292F72"/>
        </w:rPr>
        <w:t xml:space="preserve">Age: </w:t>
      </w:r>
      <w:r>
        <w:rPr>
          <w:rFonts w:ascii="Arial" w:cs="Arial" w:eastAsia="Arial" w:hAnsi="Arial"/>
          <w:sz w:val="14"/>
          <w:szCs w:val="14"/>
          <w:color w:val="000000"/>
        </w:rPr>
        <w:t>54</w:t>
      </w:r>
    </w:p>
    <w:p>
      <w:pPr>
        <w:spacing w:after="0" w:line="114" w:lineRule="exact"/>
        <w:rPr>
          <w:sz w:val="20"/>
          <w:szCs w:val="20"/>
          <w:color w:val="auto"/>
        </w:rPr>
      </w:pPr>
    </w:p>
    <w:p>
      <w:pPr>
        <w:ind w:left="2140"/>
        <w:spacing w:after="0"/>
        <w:rPr>
          <w:sz w:val="20"/>
          <w:szCs w:val="20"/>
          <w:color w:val="auto"/>
        </w:rPr>
      </w:pPr>
      <w:r>
        <w:rPr>
          <w:rFonts w:ascii="Arial" w:cs="Arial" w:eastAsia="Arial" w:hAnsi="Arial"/>
          <w:sz w:val="14"/>
          <w:szCs w:val="14"/>
          <w:b w:val="1"/>
          <w:bCs w:val="1"/>
          <w:color w:val="292F72"/>
        </w:rPr>
        <w:t xml:space="preserve">Director since: </w:t>
      </w:r>
      <w:r>
        <w:rPr>
          <w:rFonts w:ascii="Arial" w:cs="Arial" w:eastAsia="Arial" w:hAnsi="Arial"/>
          <w:sz w:val="14"/>
          <w:szCs w:val="14"/>
          <w:color w:val="000000"/>
        </w:rPr>
        <w:t>2021</w:t>
      </w:r>
    </w:p>
    <w:p>
      <w:pPr>
        <w:spacing w:after="0" w:line="101" w:lineRule="exact"/>
        <w:rPr>
          <w:sz w:val="20"/>
          <w:szCs w:val="20"/>
          <w:color w:val="auto"/>
        </w:rPr>
      </w:pPr>
    </w:p>
    <w:p>
      <w:pPr>
        <w:ind w:left="2140"/>
        <w:spacing w:after="0"/>
        <w:rPr>
          <w:sz w:val="20"/>
          <w:szCs w:val="20"/>
          <w:color w:val="auto"/>
        </w:rPr>
      </w:pPr>
      <w:r>
        <w:rPr>
          <w:rFonts w:ascii="Arial" w:cs="Arial" w:eastAsia="Arial" w:hAnsi="Arial"/>
          <w:sz w:val="14"/>
          <w:szCs w:val="14"/>
          <w:b w:val="1"/>
          <w:bCs w:val="1"/>
          <w:color w:val="292F72"/>
        </w:rPr>
        <w:t>Committees:</w:t>
      </w:r>
    </w:p>
    <w:p>
      <w:pPr>
        <w:spacing w:after="0" w:line="32" w:lineRule="exact"/>
        <w:rPr>
          <w:sz w:val="20"/>
          <w:szCs w:val="20"/>
          <w:color w:val="auto"/>
        </w:rPr>
      </w:pPr>
    </w:p>
    <w:p>
      <w:pPr>
        <w:ind w:left="2140"/>
        <w:spacing w:after="0"/>
        <w:rPr>
          <w:sz w:val="20"/>
          <w:szCs w:val="20"/>
          <w:color w:val="auto"/>
        </w:rPr>
      </w:pPr>
      <w:r>
        <w:rPr>
          <w:rFonts w:ascii="Arial" w:cs="Arial" w:eastAsia="Arial" w:hAnsi="Arial"/>
          <w:sz w:val="14"/>
          <w:szCs w:val="14"/>
          <w:color w:val="auto"/>
        </w:rPr>
        <w:t>Audit</w:t>
      </w:r>
    </w:p>
    <w:p>
      <w:pPr>
        <w:spacing w:after="0" w:line="27" w:lineRule="exact"/>
        <w:rPr>
          <w:sz w:val="20"/>
          <w:szCs w:val="20"/>
          <w:color w:val="auto"/>
        </w:rPr>
      </w:pPr>
    </w:p>
    <w:p>
      <w:pPr>
        <w:ind w:left="2140"/>
        <w:spacing w:after="0"/>
        <w:rPr>
          <w:sz w:val="20"/>
          <w:szCs w:val="20"/>
          <w:color w:val="auto"/>
        </w:rPr>
      </w:pPr>
      <w:r>
        <w:rPr>
          <w:rFonts w:ascii="Arial" w:cs="Arial" w:eastAsia="Arial" w:hAnsi="Arial"/>
          <w:sz w:val="14"/>
          <w:szCs w:val="14"/>
          <w:color w:val="auto"/>
        </w:rPr>
        <w:t>Nominating &amp; Governance</w:t>
      </w:r>
    </w:p>
    <w:p>
      <w:pPr>
        <w:spacing w:after="0" w:line="2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  </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292F72"/>
        </w:rPr>
        <w:t>Career Highlights</w:t>
      </w:r>
    </w:p>
    <w:p>
      <w:pPr>
        <w:spacing w:after="0" w:line="107" w:lineRule="exact"/>
        <w:rPr>
          <w:sz w:val="20"/>
          <w:szCs w:val="20"/>
          <w:color w:val="auto"/>
        </w:rPr>
      </w:pPr>
    </w:p>
    <w:p>
      <w:pPr>
        <w:ind w:left="160" w:hanging="133"/>
        <w:spacing w:after="0" w:line="302" w:lineRule="auto"/>
        <w:rPr>
          <w:sz w:val="20"/>
          <w:szCs w:val="20"/>
          <w:color w:val="auto"/>
        </w:rPr>
      </w:pPr>
      <w:r>
        <w:rPr>
          <w:rFonts w:ascii="Arial" w:cs="Arial" w:eastAsia="Arial" w:hAnsi="Arial"/>
          <w:sz w:val="15"/>
          <w:szCs w:val="15"/>
          <w:color w:val="6D8CC3"/>
        </w:rPr>
        <w:t>•</w:t>
      </w:r>
      <w:r>
        <w:rPr>
          <w:rFonts w:ascii="Arial" w:cs="Arial" w:eastAsia="Arial" w:hAnsi="Arial"/>
          <w:sz w:val="15"/>
          <w:szCs w:val="15"/>
          <w:color w:val="000000"/>
        </w:rPr>
        <w:t xml:space="preserve">  Chief Executive Officer and director of Signet Jewelers</w:t>
      </w:r>
      <w:r>
        <w:rPr>
          <w:rFonts w:ascii="Arial" w:cs="Arial" w:eastAsia="Arial" w:hAnsi="Arial"/>
          <w:sz w:val="15"/>
          <w:szCs w:val="15"/>
          <w:color w:val="6D8CC3"/>
        </w:rPr>
        <w:t xml:space="preserve"> </w:t>
      </w:r>
      <w:r>
        <w:rPr>
          <w:rFonts w:ascii="Arial" w:cs="Arial" w:eastAsia="Arial" w:hAnsi="Arial"/>
          <w:sz w:val="15"/>
          <w:szCs w:val="15"/>
          <w:color w:val="000000"/>
        </w:rPr>
        <w:t>Limited, a specialty jewelry retailer, since November 2024</w:t>
      </w:r>
    </w:p>
    <w:p>
      <w:pPr>
        <w:spacing w:after="0" w:line="38" w:lineRule="exact"/>
        <w:rPr>
          <w:sz w:val="20"/>
          <w:szCs w:val="20"/>
          <w:color w:val="auto"/>
        </w:rPr>
      </w:pPr>
    </w:p>
    <w:p>
      <w:pPr>
        <w:ind w:left="160" w:right="20" w:hanging="133"/>
        <w:spacing w:after="0" w:line="254" w:lineRule="auto"/>
        <w:rPr>
          <w:sz w:val="20"/>
          <w:szCs w:val="20"/>
          <w:color w:val="auto"/>
        </w:rPr>
      </w:pPr>
      <w:r>
        <w:rPr>
          <w:rFonts w:ascii="Arial" w:cs="Arial" w:eastAsia="Arial" w:hAnsi="Arial"/>
          <w:sz w:val="16"/>
          <w:szCs w:val="16"/>
          <w:color w:val="6D8CC3"/>
        </w:rPr>
        <w:t>•</w:t>
      </w:r>
      <w:r>
        <w:rPr>
          <w:rFonts w:ascii="Arial" w:cs="Arial" w:eastAsia="Arial" w:hAnsi="Arial"/>
          <w:sz w:val="16"/>
          <w:szCs w:val="16"/>
          <w:color w:val="000000"/>
        </w:rPr>
        <w:t xml:space="preserve">  President and Chief Executive Officer and a director</w:t>
      </w:r>
      <w:r>
        <w:rPr>
          <w:rFonts w:ascii="Arial" w:cs="Arial" w:eastAsia="Arial" w:hAnsi="Arial"/>
          <w:sz w:val="16"/>
          <w:szCs w:val="16"/>
          <w:color w:val="6D8CC3"/>
        </w:rPr>
        <w:t xml:space="preserve"> </w:t>
      </w:r>
      <w:r>
        <w:rPr>
          <w:rFonts w:ascii="Arial" w:cs="Arial" w:eastAsia="Arial" w:hAnsi="Arial"/>
          <w:sz w:val="16"/>
          <w:szCs w:val="16"/>
          <w:color w:val="000000"/>
        </w:rPr>
        <w:t>(June 2018 to September 2024) of PetSmart LLC, a large specialty pet retailer</w:t>
      </w:r>
    </w:p>
    <w:p>
      <w:pPr>
        <w:spacing w:after="0" w:line="72" w:lineRule="exact"/>
        <w:rPr>
          <w:sz w:val="20"/>
          <w:szCs w:val="20"/>
          <w:color w:val="auto"/>
        </w:rPr>
      </w:pPr>
    </w:p>
    <w:p>
      <w:pPr>
        <w:jc w:val="both"/>
        <w:ind w:left="160" w:right="100" w:hanging="133"/>
        <w:spacing w:after="0" w:line="279" w:lineRule="auto"/>
        <w:rPr>
          <w:sz w:val="20"/>
          <w:szCs w:val="20"/>
          <w:color w:val="auto"/>
        </w:rPr>
      </w:pPr>
      <w:r>
        <w:rPr>
          <w:rFonts w:ascii="Arial" w:cs="Arial" w:eastAsia="Arial" w:hAnsi="Arial"/>
          <w:sz w:val="15"/>
          <w:szCs w:val="15"/>
          <w:color w:val="6D8CC3"/>
        </w:rPr>
        <w:t>•</w:t>
      </w:r>
      <w:r>
        <w:rPr>
          <w:rFonts w:ascii="Arial" w:cs="Arial" w:eastAsia="Arial" w:hAnsi="Arial"/>
          <w:sz w:val="15"/>
          <w:szCs w:val="15"/>
          <w:color w:val="000000"/>
        </w:rPr>
        <w:t xml:space="preserve">  Chief Executive Officer (September 2015 to June 2018)</w:t>
      </w:r>
      <w:r>
        <w:rPr>
          <w:rFonts w:ascii="Arial" w:cs="Arial" w:eastAsia="Arial" w:hAnsi="Arial"/>
          <w:sz w:val="15"/>
          <w:szCs w:val="15"/>
          <w:color w:val="6D8CC3"/>
        </w:rPr>
        <w:t xml:space="preserve"> </w:t>
      </w:r>
      <w:r>
        <w:rPr>
          <w:rFonts w:ascii="Arial" w:cs="Arial" w:eastAsia="Arial" w:hAnsi="Arial"/>
          <w:sz w:val="15"/>
          <w:szCs w:val="15"/>
          <w:color w:val="000000"/>
        </w:rPr>
        <w:t>of Academy Sports and Outdoors, Inc., a sporting goods and outdoor recreation retailer (“Academy Sports”)</w:t>
      </w:r>
    </w:p>
    <w:p>
      <w:pPr>
        <w:spacing w:after="0" w:line="54" w:lineRule="exact"/>
        <w:rPr>
          <w:sz w:val="20"/>
          <w:szCs w:val="20"/>
          <w:color w:val="auto"/>
        </w:rPr>
      </w:pPr>
    </w:p>
    <w:p>
      <w:pPr>
        <w:jc w:val="both"/>
        <w:ind w:left="160" w:right="20" w:hanging="133"/>
        <w:spacing w:after="0" w:line="249" w:lineRule="auto"/>
        <w:rPr>
          <w:sz w:val="20"/>
          <w:szCs w:val="20"/>
          <w:color w:val="auto"/>
        </w:rPr>
      </w:pPr>
      <w:r>
        <w:rPr>
          <w:rFonts w:ascii="Arial" w:cs="Arial" w:eastAsia="Arial" w:hAnsi="Arial"/>
          <w:sz w:val="16"/>
          <w:szCs w:val="16"/>
          <w:color w:val="6D8CC3"/>
        </w:rPr>
        <w:t>•</w:t>
      </w:r>
      <w:r>
        <w:rPr>
          <w:rFonts w:ascii="Arial" w:cs="Arial" w:eastAsia="Arial" w:hAnsi="Arial"/>
          <w:sz w:val="16"/>
          <w:szCs w:val="16"/>
          <w:color w:val="000000"/>
        </w:rPr>
        <w:t xml:space="preserve">  Mr. Symancyk has nearly 30 years of industry experience</w:t>
      </w:r>
      <w:r>
        <w:rPr>
          <w:rFonts w:ascii="Arial" w:cs="Arial" w:eastAsia="Arial" w:hAnsi="Arial"/>
          <w:sz w:val="16"/>
          <w:szCs w:val="16"/>
          <w:color w:val="6D8CC3"/>
        </w:rPr>
        <w:t xml:space="preserve"> </w:t>
      </w:r>
      <w:r>
        <w:rPr>
          <w:rFonts w:ascii="Arial" w:cs="Arial" w:eastAsia="Arial" w:hAnsi="Arial"/>
          <w:sz w:val="16"/>
          <w:szCs w:val="16"/>
          <w:color w:val="000000"/>
        </w:rPr>
        <w:t>managing complex retail organizations, including in roles of increasing responsibility with each of Academy Sports, Meijer and Walmart Stores</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292F72"/>
        </w:rPr>
        <w:t>Former Public Company Boards</w:t>
      </w:r>
    </w:p>
    <w:p>
      <w:pPr>
        <w:spacing w:after="0" w:line="107" w:lineRule="exact"/>
        <w:rPr>
          <w:sz w:val="20"/>
          <w:szCs w:val="20"/>
          <w:color w:val="auto"/>
        </w:rPr>
      </w:pPr>
    </w:p>
    <w:p>
      <w:pPr>
        <w:ind w:left="40" w:right="280"/>
        <w:spacing w:after="0" w:line="302" w:lineRule="auto"/>
        <w:rPr>
          <w:sz w:val="20"/>
          <w:szCs w:val="20"/>
          <w:color w:val="auto"/>
        </w:rPr>
      </w:pPr>
      <w:r>
        <w:rPr>
          <w:rFonts w:ascii="Arial" w:cs="Arial" w:eastAsia="Arial" w:hAnsi="Arial"/>
          <w:sz w:val="15"/>
          <w:szCs w:val="15"/>
          <w:color w:val="auto"/>
        </w:rPr>
        <w:t>Chewy, Inc., an online retailer for pet products, supplies and prescriptions, from June 2018 through July 2021</w:t>
      </w:r>
    </w:p>
    <w:p>
      <w:pPr>
        <w:spacing w:after="0" w:line="38" w:lineRule="exact"/>
        <w:rPr>
          <w:sz w:val="20"/>
          <w:szCs w:val="20"/>
          <w:color w:val="auto"/>
        </w:rPr>
      </w:pPr>
    </w:p>
    <w:p>
      <w:pPr>
        <w:ind w:left="40" w:right="280"/>
        <w:spacing w:after="0" w:line="268" w:lineRule="auto"/>
        <w:rPr>
          <w:sz w:val="20"/>
          <w:szCs w:val="20"/>
          <w:color w:val="auto"/>
        </w:rPr>
      </w:pPr>
      <w:r>
        <w:rPr>
          <w:rFonts w:ascii="Arial" w:cs="Arial" w:eastAsia="Arial" w:hAnsi="Arial"/>
          <w:sz w:val="16"/>
          <w:szCs w:val="16"/>
          <w:color w:val="auto"/>
        </w:rPr>
        <w:t>GameStop Corp., a gaming and entertainment products retailer, from March 2020 to June 2021</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292F72"/>
        </w:rPr>
        <w:t>Education</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5"/>
          <w:szCs w:val="15"/>
          <w:color w:val="auto"/>
        </w:rPr>
        <w:t>Mr. Symancyk holds a B.A. from the University of Arkansas.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337185</wp:posOffset>
            </wp:positionV>
            <wp:extent cx="2668905" cy="10617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668905" cy="1061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60"/>
        <w:spacing w:after="0"/>
        <w:rPr>
          <w:sz w:val="20"/>
          <w:szCs w:val="20"/>
          <w:color w:val="auto"/>
        </w:rPr>
      </w:pPr>
      <w:r>
        <w:rPr>
          <w:rFonts w:ascii="Arial" w:cs="Arial" w:eastAsia="Arial" w:hAnsi="Arial"/>
          <w:sz w:val="19"/>
          <w:szCs w:val="19"/>
          <w:b w:val="1"/>
          <w:bCs w:val="1"/>
          <w:color w:val="6D8CC3"/>
        </w:rPr>
        <w:t>Key Qualifications</w:t>
      </w:r>
    </w:p>
    <w:p>
      <w:pPr>
        <w:spacing w:after="0" w:line="147" w:lineRule="exact"/>
        <w:rPr>
          <w:sz w:val="20"/>
          <w:szCs w:val="20"/>
          <w:color w:val="auto"/>
        </w:rPr>
      </w:pPr>
    </w:p>
    <w:p>
      <w:pPr>
        <w:ind w:left="260" w:right="300"/>
        <w:spacing w:after="0" w:line="246" w:lineRule="auto"/>
        <w:rPr>
          <w:sz w:val="20"/>
          <w:szCs w:val="20"/>
          <w:color w:val="auto"/>
        </w:rPr>
      </w:pPr>
      <w:r>
        <w:rPr>
          <w:rFonts w:ascii="Arial" w:cs="Arial" w:eastAsia="Arial" w:hAnsi="Arial"/>
          <w:sz w:val="16"/>
          <w:szCs w:val="16"/>
          <w:color w:val="auto"/>
        </w:rPr>
        <w:t>Mr. Symancyk’s nomination is supported by his executive experience, including as a leading retail chief executive officer, his financial and operational experience, and his deep understanding of the retail industry.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100"/>
        <w:spacing w:after="0"/>
        <w:rPr>
          <w:sz w:val="20"/>
          <w:szCs w:val="20"/>
          <w:color w:val="auto"/>
        </w:rPr>
      </w:pPr>
      <w:r>
        <w:rPr>
          <w:rFonts w:ascii="Arial" w:cs="Arial" w:eastAsia="Arial" w:hAnsi="Arial"/>
          <w:sz w:val="21"/>
          <w:szCs w:val="21"/>
          <w:b w:val="1"/>
          <w:bCs w:val="1"/>
          <w:color w:val="292F72"/>
        </w:rPr>
        <w:t>Steven E. Voskuil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-267970</wp:posOffset>
            </wp:positionV>
            <wp:extent cx="1198880" cy="13906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198880" cy="1390650"/>
                    </a:xfrm>
                    <a:prstGeom prst="rect">
                      <a:avLst/>
                    </a:prstGeom>
                    <a:noFill/>
                  </pic:spPr>
                </pic:pic>
              </a:graphicData>
            </a:graphic>
          </wp:anchor>
        </w:drawing>
      </w:r>
    </w:p>
    <w:p>
      <w:pPr>
        <w:spacing w:after="0" w:line="111" w:lineRule="exact"/>
        <w:rPr>
          <w:sz w:val="20"/>
          <w:szCs w:val="20"/>
          <w:color w:val="auto"/>
        </w:rPr>
      </w:pPr>
    </w:p>
    <w:p>
      <w:pPr>
        <w:ind w:left="2100"/>
        <w:spacing w:after="0"/>
        <w:rPr>
          <w:sz w:val="20"/>
          <w:szCs w:val="20"/>
          <w:color w:val="auto"/>
        </w:rPr>
      </w:pPr>
      <w:r>
        <w:rPr>
          <w:rFonts w:ascii="Arial" w:cs="Arial" w:eastAsia="Arial" w:hAnsi="Arial"/>
          <w:sz w:val="14"/>
          <w:szCs w:val="14"/>
          <w:b w:val="1"/>
          <w:bCs w:val="1"/>
          <w:color w:val="6D8CC3"/>
        </w:rPr>
        <w:t>INDEPENDENT DIRECTOR</w:t>
      </w:r>
    </w:p>
    <w:p>
      <w:pPr>
        <w:spacing w:after="0" w:line="128" w:lineRule="exact"/>
        <w:rPr>
          <w:sz w:val="20"/>
          <w:szCs w:val="20"/>
          <w:color w:val="auto"/>
        </w:rPr>
      </w:pPr>
    </w:p>
    <w:p>
      <w:pPr>
        <w:ind w:left="2100"/>
        <w:spacing w:after="0"/>
        <w:rPr>
          <w:sz w:val="20"/>
          <w:szCs w:val="20"/>
          <w:color w:val="auto"/>
        </w:rPr>
      </w:pPr>
      <w:r>
        <w:rPr>
          <w:rFonts w:ascii="Arial" w:cs="Arial" w:eastAsia="Arial" w:hAnsi="Arial"/>
          <w:sz w:val="14"/>
          <w:szCs w:val="14"/>
          <w:b w:val="1"/>
          <w:bCs w:val="1"/>
          <w:color w:val="292F72"/>
        </w:rPr>
        <w:t xml:space="preserve">Age: </w:t>
      </w:r>
      <w:r>
        <w:rPr>
          <w:rFonts w:ascii="Arial" w:cs="Arial" w:eastAsia="Arial" w:hAnsi="Arial"/>
          <w:sz w:val="14"/>
          <w:szCs w:val="14"/>
          <w:color w:val="000000"/>
        </w:rPr>
        <w:t>57</w:t>
      </w:r>
    </w:p>
    <w:p>
      <w:pPr>
        <w:spacing w:after="0" w:line="114" w:lineRule="exact"/>
        <w:rPr>
          <w:sz w:val="20"/>
          <w:szCs w:val="20"/>
          <w:color w:val="auto"/>
        </w:rPr>
      </w:pPr>
    </w:p>
    <w:p>
      <w:pPr>
        <w:ind w:left="2100"/>
        <w:spacing w:after="0"/>
        <w:rPr>
          <w:sz w:val="20"/>
          <w:szCs w:val="20"/>
          <w:color w:val="auto"/>
        </w:rPr>
      </w:pPr>
      <w:r>
        <w:rPr>
          <w:rFonts w:ascii="Arial" w:cs="Arial" w:eastAsia="Arial" w:hAnsi="Arial"/>
          <w:sz w:val="14"/>
          <w:szCs w:val="14"/>
          <w:b w:val="1"/>
          <w:bCs w:val="1"/>
          <w:color w:val="292F72"/>
        </w:rPr>
        <w:t xml:space="preserve">Director since: </w:t>
      </w:r>
      <w:r>
        <w:rPr>
          <w:rFonts w:ascii="Arial" w:cs="Arial" w:eastAsia="Arial" w:hAnsi="Arial"/>
          <w:sz w:val="14"/>
          <w:szCs w:val="14"/>
          <w:color w:val="000000"/>
        </w:rPr>
        <w:t>2023</w:t>
      </w:r>
    </w:p>
    <w:p>
      <w:pPr>
        <w:spacing w:after="0" w:line="101" w:lineRule="exact"/>
        <w:rPr>
          <w:sz w:val="20"/>
          <w:szCs w:val="20"/>
          <w:color w:val="auto"/>
        </w:rPr>
      </w:pPr>
    </w:p>
    <w:p>
      <w:pPr>
        <w:ind w:left="2100"/>
        <w:spacing w:after="0"/>
        <w:rPr>
          <w:sz w:val="20"/>
          <w:szCs w:val="20"/>
          <w:color w:val="auto"/>
        </w:rPr>
      </w:pPr>
      <w:r>
        <w:rPr>
          <w:rFonts w:ascii="Arial" w:cs="Arial" w:eastAsia="Arial" w:hAnsi="Arial"/>
          <w:sz w:val="14"/>
          <w:szCs w:val="14"/>
          <w:b w:val="1"/>
          <w:bCs w:val="1"/>
          <w:color w:val="292F72"/>
        </w:rPr>
        <w:t>Committees:</w:t>
      </w:r>
    </w:p>
    <w:p>
      <w:pPr>
        <w:spacing w:after="0" w:line="32" w:lineRule="exact"/>
        <w:rPr>
          <w:sz w:val="20"/>
          <w:szCs w:val="20"/>
          <w:color w:val="auto"/>
        </w:rPr>
      </w:pPr>
    </w:p>
    <w:p>
      <w:pPr>
        <w:ind w:left="2100"/>
        <w:spacing w:after="0"/>
        <w:rPr>
          <w:sz w:val="20"/>
          <w:szCs w:val="20"/>
          <w:color w:val="auto"/>
        </w:rPr>
      </w:pPr>
      <w:r>
        <w:rPr>
          <w:rFonts w:ascii="Arial" w:cs="Arial" w:eastAsia="Arial" w:hAnsi="Arial"/>
          <w:sz w:val="14"/>
          <w:szCs w:val="14"/>
          <w:color w:val="auto"/>
        </w:rPr>
        <w:t>Audit</w:t>
      </w:r>
    </w:p>
    <w:p>
      <w:pPr>
        <w:spacing w:after="0" w:line="27" w:lineRule="exact"/>
        <w:rPr>
          <w:sz w:val="20"/>
          <w:szCs w:val="20"/>
          <w:color w:val="auto"/>
        </w:rPr>
      </w:pPr>
    </w:p>
    <w:p>
      <w:pPr>
        <w:ind w:left="2100"/>
        <w:spacing w:after="0"/>
        <w:rPr>
          <w:sz w:val="20"/>
          <w:szCs w:val="20"/>
          <w:color w:val="auto"/>
        </w:rPr>
      </w:pPr>
      <w:r>
        <w:rPr>
          <w:rFonts w:ascii="Arial" w:cs="Arial" w:eastAsia="Arial" w:hAnsi="Arial"/>
          <w:sz w:val="14"/>
          <w:szCs w:val="14"/>
          <w:color w:val="auto"/>
        </w:rPr>
        <w:t>Human Capital &amp; 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292F72"/>
        </w:rPr>
        <w:t>Career Highlights</w:t>
      </w:r>
    </w:p>
    <w:p>
      <w:pPr>
        <w:spacing w:after="0" w:line="107" w:lineRule="exact"/>
        <w:rPr>
          <w:sz w:val="20"/>
          <w:szCs w:val="20"/>
          <w:color w:val="auto"/>
        </w:rPr>
      </w:pPr>
    </w:p>
    <w:p>
      <w:pPr>
        <w:ind w:left="140" w:right="160" w:hanging="133"/>
        <w:spacing w:after="0" w:line="254" w:lineRule="auto"/>
        <w:rPr>
          <w:sz w:val="20"/>
          <w:szCs w:val="20"/>
          <w:color w:val="auto"/>
        </w:rPr>
      </w:pPr>
      <w:r>
        <w:rPr>
          <w:rFonts w:ascii="Arial" w:cs="Arial" w:eastAsia="Arial" w:hAnsi="Arial"/>
          <w:sz w:val="16"/>
          <w:szCs w:val="16"/>
          <w:color w:val="6D8CC3"/>
        </w:rPr>
        <w:t>•</w:t>
      </w:r>
      <w:r>
        <w:rPr>
          <w:rFonts w:ascii="Arial" w:cs="Arial" w:eastAsia="Arial" w:hAnsi="Arial"/>
          <w:sz w:val="16"/>
          <w:szCs w:val="16"/>
          <w:color w:val="000000"/>
        </w:rPr>
        <w:t xml:space="preserve">  Senior Vice President and Chief Financial Officer (2019 to</w:t>
      </w:r>
      <w:r>
        <w:rPr>
          <w:rFonts w:ascii="Arial" w:cs="Arial" w:eastAsia="Arial" w:hAnsi="Arial"/>
          <w:sz w:val="16"/>
          <w:szCs w:val="16"/>
          <w:color w:val="6D8CC3"/>
        </w:rPr>
        <w:t xml:space="preserve"> </w:t>
      </w:r>
      <w:r>
        <w:rPr>
          <w:rFonts w:ascii="Arial" w:cs="Arial" w:eastAsia="Arial" w:hAnsi="Arial"/>
          <w:sz w:val="16"/>
          <w:szCs w:val="16"/>
          <w:color w:val="000000"/>
        </w:rPr>
        <w:t>present) of The Hershey Company (“Hershey”), a global confectionary leader</w:t>
      </w:r>
    </w:p>
    <w:p>
      <w:pPr>
        <w:spacing w:after="0" w:line="72" w:lineRule="exact"/>
        <w:rPr>
          <w:sz w:val="20"/>
          <w:szCs w:val="20"/>
          <w:color w:val="auto"/>
        </w:rPr>
      </w:pPr>
    </w:p>
    <w:p>
      <w:pPr>
        <w:ind w:left="140" w:right="160" w:hanging="133"/>
        <w:spacing w:after="0" w:line="264" w:lineRule="auto"/>
        <w:rPr>
          <w:sz w:val="20"/>
          <w:szCs w:val="20"/>
          <w:color w:val="auto"/>
        </w:rPr>
      </w:pPr>
      <w:r>
        <w:rPr>
          <w:rFonts w:ascii="Arial" w:cs="Arial" w:eastAsia="Arial" w:hAnsi="Arial"/>
          <w:sz w:val="15"/>
          <w:szCs w:val="15"/>
          <w:color w:val="6D8CC3"/>
        </w:rPr>
        <w:t>•</w:t>
      </w:r>
      <w:r>
        <w:rPr>
          <w:rFonts w:ascii="Arial" w:cs="Arial" w:eastAsia="Arial" w:hAnsi="Arial"/>
          <w:sz w:val="15"/>
          <w:szCs w:val="15"/>
          <w:color w:val="000000"/>
        </w:rPr>
        <w:t xml:space="preserve">  Senior Vice President and Chief Financial Officer (2014 to</w:t>
      </w:r>
      <w:r>
        <w:rPr>
          <w:rFonts w:ascii="Arial" w:cs="Arial" w:eastAsia="Arial" w:hAnsi="Arial"/>
          <w:sz w:val="15"/>
          <w:szCs w:val="15"/>
          <w:color w:val="6D8CC3"/>
        </w:rPr>
        <w:t xml:space="preserve"> </w:t>
      </w:r>
      <w:r>
        <w:rPr>
          <w:rFonts w:ascii="Arial" w:cs="Arial" w:eastAsia="Arial" w:hAnsi="Arial"/>
          <w:sz w:val="15"/>
          <w:szCs w:val="15"/>
          <w:color w:val="000000"/>
        </w:rPr>
        <w:t>2019) of Avanos Medical, Inc. (previously Halyard Health, Inc.) (“Avanos”), a publicly traded global medical device company serving healthcare needs in more than 90 countries, after he led Avanos’ successful spin-off from Kimberly-Clark Corporation (“Kimberly-Clark”) in 2014</w:t>
      </w:r>
    </w:p>
    <w:p>
      <w:pPr>
        <w:spacing w:after="0" w:line="68" w:lineRule="exact"/>
        <w:rPr>
          <w:sz w:val="20"/>
          <w:szCs w:val="20"/>
          <w:color w:val="auto"/>
        </w:rPr>
      </w:pPr>
    </w:p>
    <w:p>
      <w:pPr>
        <w:ind w:left="140" w:right="140" w:hanging="133"/>
        <w:spacing w:after="0" w:line="249" w:lineRule="auto"/>
        <w:rPr>
          <w:sz w:val="20"/>
          <w:szCs w:val="20"/>
          <w:color w:val="auto"/>
        </w:rPr>
      </w:pPr>
      <w:r>
        <w:rPr>
          <w:rFonts w:ascii="Arial" w:cs="Arial" w:eastAsia="Arial" w:hAnsi="Arial"/>
          <w:sz w:val="16"/>
          <w:szCs w:val="16"/>
          <w:color w:val="6D8CC3"/>
        </w:rPr>
        <w:t>•</w:t>
      </w:r>
      <w:r>
        <w:rPr>
          <w:rFonts w:ascii="Arial" w:cs="Arial" w:eastAsia="Arial" w:hAnsi="Arial"/>
          <w:sz w:val="16"/>
          <w:szCs w:val="16"/>
          <w:color w:val="000000"/>
        </w:rPr>
        <w:t xml:space="preserve">  Prior to Avanos, he worked for 23 years at Kimberly-Clark,</w:t>
      </w:r>
      <w:r>
        <w:rPr>
          <w:rFonts w:ascii="Arial" w:cs="Arial" w:eastAsia="Arial" w:hAnsi="Arial"/>
          <w:sz w:val="16"/>
          <w:szCs w:val="16"/>
          <w:color w:val="6D8CC3"/>
        </w:rPr>
        <w:t xml:space="preserve"> </w:t>
      </w:r>
      <w:r>
        <w:rPr>
          <w:rFonts w:ascii="Arial" w:cs="Arial" w:eastAsia="Arial" w:hAnsi="Arial"/>
          <w:sz w:val="16"/>
          <w:szCs w:val="16"/>
          <w:color w:val="000000"/>
        </w:rPr>
        <w:t>including serving as Chief Financial Officer of Kimberly-Clark International and Vice President and Treasurer of Kimberly-Clark</w:t>
      </w:r>
    </w:p>
    <w:p>
      <w:pPr>
        <w:spacing w:after="0" w:line="76" w:lineRule="exact"/>
        <w:rPr>
          <w:sz w:val="20"/>
          <w:szCs w:val="20"/>
          <w:color w:val="auto"/>
        </w:rPr>
      </w:pPr>
    </w:p>
    <w:p>
      <w:pPr>
        <w:ind w:left="140" w:right="80" w:hanging="133"/>
        <w:spacing w:after="0" w:line="254" w:lineRule="auto"/>
        <w:rPr>
          <w:sz w:val="20"/>
          <w:szCs w:val="20"/>
          <w:color w:val="auto"/>
        </w:rPr>
      </w:pPr>
      <w:r>
        <w:rPr>
          <w:rFonts w:ascii="Arial" w:cs="Arial" w:eastAsia="Arial" w:hAnsi="Arial"/>
          <w:sz w:val="16"/>
          <w:szCs w:val="16"/>
          <w:color w:val="6D8CC3"/>
        </w:rPr>
        <w:t>•</w:t>
      </w:r>
      <w:r>
        <w:rPr>
          <w:rFonts w:ascii="Arial" w:cs="Arial" w:eastAsia="Arial" w:hAnsi="Arial"/>
          <w:sz w:val="16"/>
          <w:szCs w:val="16"/>
          <w:color w:val="000000"/>
        </w:rPr>
        <w:t xml:space="preserve">  Since 2023, Mr. Voskuil has served on the Economic and</w:t>
      </w:r>
      <w:r>
        <w:rPr>
          <w:rFonts w:ascii="Arial" w:cs="Arial" w:eastAsia="Arial" w:hAnsi="Arial"/>
          <w:sz w:val="16"/>
          <w:szCs w:val="16"/>
          <w:color w:val="6D8CC3"/>
        </w:rPr>
        <w:t xml:space="preserve"> </w:t>
      </w:r>
      <w:r>
        <w:rPr>
          <w:rFonts w:ascii="Arial" w:cs="Arial" w:eastAsia="Arial" w:hAnsi="Arial"/>
          <w:sz w:val="16"/>
          <w:szCs w:val="16"/>
          <w:color w:val="000000"/>
        </w:rPr>
        <w:t>Community Advisory Council for the Federal Reserve Bank of Philadelphia, and currently as Vice Chairman</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292F72"/>
        </w:rPr>
        <w:t>Education</w:t>
      </w:r>
    </w:p>
    <w:p>
      <w:pPr>
        <w:spacing w:after="0" w:line="107"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Mr. Voskuil received a B.B.A. in Finance from the University of Wisconsin, and has a Master’s degree in Management from the Stanford Graduate School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186055</wp:posOffset>
            </wp:positionV>
            <wp:extent cx="2698115" cy="14408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698115" cy="144081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80"/>
        <w:spacing w:after="0"/>
        <w:rPr>
          <w:sz w:val="20"/>
          <w:szCs w:val="20"/>
          <w:color w:val="auto"/>
        </w:rPr>
      </w:pPr>
      <w:r>
        <w:rPr>
          <w:rFonts w:ascii="Arial" w:cs="Arial" w:eastAsia="Arial" w:hAnsi="Arial"/>
          <w:sz w:val="19"/>
          <w:szCs w:val="19"/>
          <w:b w:val="1"/>
          <w:bCs w:val="1"/>
          <w:color w:val="6D8CC3"/>
        </w:rPr>
        <w:t>Key Qualifications</w:t>
      </w:r>
    </w:p>
    <w:p>
      <w:pPr>
        <w:spacing w:after="0" w:line="147" w:lineRule="exact"/>
        <w:rPr>
          <w:sz w:val="20"/>
          <w:szCs w:val="20"/>
          <w:color w:val="auto"/>
        </w:rPr>
      </w:pPr>
    </w:p>
    <w:p>
      <w:pPr>
        <w:ind w:left="80" w:right="280"/>
        <w:spacing w:after="0" w:line="261" w:lineRule="auto"/>
        <w:rPr>
          <w:sz w:val="20"/>
          <w:szCs w:val="20"/>
          <w:color w:val="auto"/>
        </w:rPr>
      </w:pPr>
      <w:r>
        <w:rPr>
          <w:rFonts w:ascii="Arial" w:cs="Arial" w:eastAsia="Arial" w:hAnsi="Arial"/>
          <w:sz w:val="15"/>
          <w:szCs w:val="15"/>
          <w:color w:val="auto"/>
        </w:rPr>
        <w:t>Mr. Voskuil’s nomination is supported by his extensive financial (including capital allocation) and executive experience, including as chief financial officer of a Fortune 500 company, his international business experience and his consumer products experience. At Hershey, Mr. Voskuil is responsible for leading Hershey’s global finance organization, including financial planning and analysis, accounting and reporting, tax, treasury, internal audit and investor 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-2992755</wp:posOffset>
            </wp:positionH>
            <wp:positionV relativeFrom="paragraph">
              <wp:posOffset>234950</wp:posOffset>
            </wp:positionV>
            <wp:extent cx="5737225" cy="5410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737225" cy="5410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80" w:space="540"/>
            <w:col w:w="4320"/>
          </w:cols>
          <w:pgMar w:left="1420" w:top="116" w:right="1439" w:bottom="1440" w:gutter="0" w:footer="0" w:header="0"/>
        </w:sectPr>
      </w:pPr>
    </w:p>
    <w:p>
      <w:pPr>
        <w:spacing w:after="0" w:line="375" w:lineRule="exact"/>
        <w:rPr>
          <w:sz w:val="20"/>
          <w:szCs w:val="20"/>
          <w:color w:val="auto"/>
        </w:rPr>
      </w:pPr>
    </w:p>
    <w:p>
      <w:pPr>
        <w:jc w:val="right"/>
        <w:ind w:right="780"/>
        <w:spacing w:after="0"/>
        <w:rPr>
          <w:sz w:val="20"/>
          <w:szCs w:val="20"/>
          <w:color w:val="auto"/>
        </w:rPr>
      </w:pPr>
      <w:r>
        <w:rPr>
          <w:rFonts w:ascii="Arial" w:cs="Arial" w:eastAsia="Arial" w:hAnsi="Arial"/>
          <w:sz w:val="23"/>
          <w:szCs w:val="23"/>
          <w:b w:val="1"/>
          <w:bCs w:val="1"/>
          <w:color w:val="292F72"/>
        </w:rPr>
        <w:t xml:space="preserve">WE RECOMMEND THAT YOU VOTE </w:t>
      </w:r>
      <w:r>
        <w:rPr>
          <w:rFonts w:ascii="Arial" w:cs="Arial" w:eastAsia="Arial" w:hAnsi="Arial"/>
          <w:sz w:val="23"/>
          <w:szCs w:val="23"/>
          <w:b w:val="1"/>
          <w:bCs w:val="1"/>
          <w:color w:val="6D8CC3"/>
        </w:rPr>
        <w:t>“FOR”</w:t>
      </w:r>
      <w:r>
        <w:rPr>
          <w:rFonts w:ascii="Arial" w:cs="Arial" w:eastAsia="Arial" w:hAnsi="Arial"/>
          <w:sz w:val="23"/>
          <w:szCs w:val="23"/>
          <w:b w:val="1"/>
          <w:bCs w:val="1"/>
          <w:color w:val="292F72"/>
        </w:rPr>
        <w:t xml:space="preserve"> THE ELECTION OF EACH</w:t>
      </w:r>
    </w:p>
    <w:p>
      <w:pPr>
        <w:spacing w:after="0" w:line="33" w:lineRule="exact"/>
        <w:rPr>
          <w:sz w:val="20"/>
          <w:szCs w:val="20"/>
          <w:color w:val="auto"/>
        </w:rPr>
      </w:pPr>
    </w:p>
    <w:p>
      <w:pPr>
        <w:ind w:left="840" w:hanging="676"/>
        <w:spacing w:after="0"/>
        <w:tabs>
          <w:tab w:leader="none" w:pos="840" w:val="left"/>
        </w:tabs>
        <w:numPr>
          <w:ilvl w:val="0"/>
          <w:numId w:val="33"/>
        </w:numPr>
        <w:rPr>
          <w:rFonts w:ascii="Arial" w:cs="Arial" w:eastAsia="Arial" w:hAnsi="Arial"/>
          <w:sz w:val="17"/>
          <w:szCs w:val="17"/>
          <w:color w:val="auto"/>
        </w:rPr>
      </w:pPr>
      <w:r>
        <w:rPr>
          <w:rFonts w:ascii="Arial" w:cs="Arial" w:eastAsia="Arial" w:hAnsi="Arial"/>
          <w:sz w:val="23"/>
          <w:szCs w:val="23"/>
          <w:b w:val="1"/>
          <w:bCs w:val="1"/>
          <w:color w:val="292F72"/>
        </w:rPr>
        <w:t>NOMINEE TO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187325</wp:posOffset>
            </wp:positionV>
            <wp:extent cx="57372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737225" cy="825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4"/>
          <w:szCs w:val="14"/>
          <w:b w:val="1"/>
          <w:bCs w:val="1"/>
          <w:color w:val="292F72"/>
        </w:rPr>
        <w:t>12</w:t>
      </w:r>
      <w:r>
        <w:rPr>
          <w:rFonts w:ascii="Arial" w:cs="Arial" w:eastAsia="Arial" w:hAnsi="Arial"/>
          <w:sz w:val="14"/>
          <w:szCs w:val="14"/>
          <w:color w:val="292F72"/>
        </w:rPr>
        <w:t xml:space="preserve">     Bath &amp; Body Works, Inc.</w:t>
      </w:r>
      <w:r>
        <w:rPr>
          <w:rFonts w:ascii="Arial" w:cs="Arial" w:eastAsia="Arial" w:hAnsi="Arial"/>
          <w:sz w:val="14"/>
          <w:szCs w:val="14"/>
          <w:color w:val="6D8CC3"/>
        </w:rPr>
        <w:t xml:space="preserve">   | </w:t>
      </w:r>
      <w:r>
        <w:rPr>
          <w:rFonts w:ascii="Arial" w:cs="Arial" w:eastAsia="Arial" w:hAnsi="Arial"/>
          <w:sz w:val="14"/>
          <w:szCs w:val="14"/>
          <w:b w:val="1"/>
          <w:bCs w:val="1"/>
          <w:color w:val="292F72"/>
        </w:rPr>
        <w:t xml:space="preserve">  </w:t>
      </w:r>
      <w:r>
        <w:rPr>
          <w:rFonts w:ascii="Arial" w:cs="Arial" w:eastAsia="Arial" w:hAnsi="Arial"/>
          <w:sz w:val="14"/>
          <w:szCs w:val="14"/>
          <w:color w:val="292F72"/>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170180</wp:posOffset>
            </wp:positionV>
            <wp:extent cx="6795135" cy="165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795135" cy="16510"/>
                    </a:xfrm>
                    <a:prstGeom prst="rect">
                      <a:avLst/>
                    </a:prstGeom>
                    <a:noFill/>
                  </pic:spPr>
                </pic:pic>
              </a:graphicData>
            </a:graphic>
          </wp:anchor>
        </w:drawing>
      </w:r>
    </w:p>
    <w:p>
      <w:pPr>
        <w:sectPr>
          <w:pgSz w:w="11900" w:h="16838" w:orient="portrait"/>
          <w:cols w:equalWidth="0" w:num="1">
            <w:col w:w="9040"/>
          </w:cols>
          <w:pgMar w:left="1420" w:top="116" w:right="14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3"/>
          <w:szCs w:val="23"/>
          <w:b w:val="1"/>
          <w:bCs w:val="1"/>
          <w:color w:val="292F72"/>
        </w:rPr>
        <w:t>Director Independence</w:t>
      </w:r>
    </w:p>
    <w:p>
      <w:pPr>
        <w:spacing w:after="0" w:line="174"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The Board has determined that each of the individuals nominated to serve on the Board (except for Mr. Heaf, our Chief Executive Officer, and Ms. Boswell, who resigned from the Board effective May 16, 2025) has no material relationship with the Company other than in his or her capacity as a director of the Company and that each is “independent” in accordance with applicable NYSE standards. If all director nominees are elected to serve as our directors at our 2026 annual meeting, independent directors will continue to constitute 90% of our Board.</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left="1600"/>
        <w:spacing w:after="0"/>
        <w:rPr>
          <w:sz w:val="20"/>
          <w:szCs w:val="20"/>
          <w:color w:val="auto"/>
        </w:rPr>
      </w:pPr>
      <w:r>
        <w:rPr>
          <w:rFonts w:ascii="Arial" w:cs="Arial" w:eastAsia="Arial" w:hAnsi="Arial"/>
          <w:sz w:val="16"/>
          <w:szCs w:val="16"/>
          <w:color w:val="292F72"/>
        </w:rPr>
        <w:t>Election of</w:t>
      </w:r>
    </w:p>
    <w:p>
      <w:pPr>
        <w:spacing w:after="0" w:line="14" w:lineRule="exact"/>
        <w:rPr>
          <w:sz w:val="20"/>
          <w:szCs w:val="20"/>
          <w:color w:val="auto"/>
        </w:rPr>
      </w:pPr>
    </w:p>
    <w:p>
      <w:pPr>
        <w:ind w:left="1600"/>
        <w:spacing w:after="0"/>
        <w:rPr>
          <w:sz w:val="20"/>
          <w:szCs w:val="20"/>
          <w:color w:val="auto"/>
        </w:rPr>
      </w:pPr>
      <w:r>
        <w:rPr>
          <w:rFonts w:ascii="Arial" w:cs="Arial" w:eastAsia="Arial" w:hAnsi="Arial"/>
          <w:sz w:val="16"/>
          <w:szCs w:val="16"/>
          <w:color w:val="292F72"/>
        </w:rPr>
        <w:t>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31750</wp:posOffset>
            </wp:positionV>
            <wp:extent cx="907415" cy="330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907415" cy="33020"/>
                    </a:xfrm>
                    <a:prstGeom prst="rect">
                      <a:avLst/>
                    </a:prstGeom>
                    <a:noFill/>
                  </pic:spPr>
                </pic:pic>
              </a:graphicData>
            </a:graphic>
          </wp:anchor>
        </w:drawing>
        <w:drawing>
          <wp:anchor simplePos="0" relativeHeight="251657728" behindDoc="1" locked="0" layoutInCell="0" allowOverlap="1">
            <wp:simplePos x="0" y="0"/>
            <wp:positionH relativeFrom="column">
              <wp:posOffset>-200025</wp:posOffset>
            </wp:positionH>
            <wp:positionV relativeFrom="paragraph">
              <wp:posOffset>398145</wp:posOffset>
            </wp:positionV>
            <wp:extent cx="2106930" cy="121602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106930" cy="121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38"/>
          <w:szCs w:val="38"/>
          <w:color w:val="6D8CC3"/>
        </w:rPr>
        <w:t>90%</w:t>
      </w:r>
    </w:p>
    <w:p>
      <w:pPr>
        <w:spacing w:after="0"/>
        <w:rPr>
          <w:sz w:val="20"/>
          <w:szCs w:val="20"/>
          <w:color w:val="auto"/>
        </w:rPr>
      </w:pPr>
      <w:r>
        <w:rPr>
          <w:rFonts w:ascii="Arial" w:cs="Arial" w:eastAsia="Arial" w:hAnsi="Arial"/>
          <w:sz w:val="19"/>
          <w:szCs w:val="19"/>
          <w:b w:val="1"/>
          <w:bCs w:val="1"/>
          <w:color w:val="auto"/>
        </w:rPr>
        <w:t>of our Board are Independent</w:t>
      </w: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w:t>
      </w:r>
    </w:p>
    <w:p>
      <w:pPr>
        <w:spacing w:after="0" w:line="3" w:lineRule="exact"/>
        <w:rPr>
          <w:sz w:val="20"/>
          <w:szCs w:val="20"/>
          <w:color w:val="auto"/>
        </w:rPr>
      </w:pPr>
    </w:p>
    <w:p>
      <w:pPr>
        <w:spacing w:after="0"/>
        <w:rPr>
          <w:sz w:val="20"/>
          <w:szCs w:val="20"/>
          <w:color w:val="auto"/>
        </w:rPr>
      </w:pPr>
      <w:r>
        <w:rPr>
          <w:rFonts w:ascii="Arial" w:cs="Arial" w:eastAsia="Arial" w:hAnsi="Arial"/>
          <w:sz w:val="19"/>
          <w:szCs w:val="19"/>
          <w:b w:val="1"/>
          <w:bCs w:val="1"/>
          <w:color w:val="6D8CC3"/>
        </w:rPr>
        <w:t>9 of 10 directors</w:t>
      </w:r>
    </w:p>
    <w:p>
      <w:pPr>
        <w:spacing w:after="0" w:line="200" w:lineRule="exact"/>
        <w:rPr>
          <w:sz w:val="20"/>
          <w:szCs w:val="20"/>
          <w:color w:val="auto"/>
        </w:rPr>
      </w:pPr>
    </w:p>
    <w:p>
      <w:pPr>
        <w:sectPr>
          <w:pgSz w:w="11900" w:h="16838" w:orient="portrait"/>
          <w:cols w:equalWidth="0" w:num="2">
            <w:col w:w="5440" w:space="600"/>
            <w:col w:w="3000"/>
          </w:cols>
          <w:pgMar w:left="1420" w:top="116" w:right="1439" w:bottom="1440" w:gutter="0" w:footer="0" w:header="0"/>
        </w:sectPr>
      </w:pPr>
    </w:p>
    <w:p>
      <w:pPr>
        <w:spacing w:after="0" w:line="163" w:lineRule="exact"/>
        <w:rPr>
          <w:sz w:val="20"/>
          <w:szCs w:val="20"/>
          <w:color w:val="auto"/>
        </w:rPr>
      </w:pPr>
    </w:p>
    <w:p>
      <w:pPr>
        <w:ind w:right="40"/>
        <w:spacing w:after="0" w:line="242" w:lineRule="auto"/>
        <w:rPr>
          <w:sz w:val="20"/>
          <w:szCs w:val="20"/>
          <w:color w:val="auto"/>
        </w:rPr>
      </w:pPr>
      <w:r>
        <w:rPr>
          <w:rFonts w:ascii="Arial" w:cs="Arial" w:eastAsia="Arial" w:hAnsi="Arial"/>
          <w:sz w:val="16"/>
          <w:szCs w:val="16"/>
          <w:color w:val="auto"/>
        </w:rPr>
        <w:t>In making these determinations, the Board took into account all factors and circumstances that it considered relevant, including, where applicable, the existence of any employment relationship between the director or a member of the director’s immediate family and the Company; whether within the past three years the director or a member of the director’s immediate family has served as an executive officer of the Company; whether the director or a member of the director’s immediate family has received, during any 12-month period within the last three years, direct compensation from the Company in excess of $120,000 (other than compensation in respect of such person’s service on the Board); whether the director or a member of the director’s immediate family has been, within the last three years, a partner or an employee of the Company’s internal or external auditors; and whether the director or a member of the director’s immediate family is employed by an entity that is engaged in business dealings with the Company that exceed the greater of $1 million or 2% of such entity’s consolidated gross revenues. The Board has not adopted categorical standards with respect to director independence. The Board believes that it is more appropriate to make independence determinations on a case-by-case basis in light of all relevant factors.</w:t>
      </w:r>
    </w:p>
    <w:p>
      <w:pPr>
        <w:spacing w:after="0" w:line="327" w:lineRule="exact"/>
        <w:rPr>
          <w:sz w:val="20"/>
          <w:szCs w:val="20"/>
          <w:color w:val="auto"/>
        </w:rPr>
      </w:pPr>
    </w:p>
    <w:p>
      <w:pPr>
        <w:spacing w:after="0"/>
        <w:rPr>
          <w:sz w:val="20"/>
          <w:szCs w:val="20"/>
          <w:color w:val="auto"/>
        </w:rPr>
      </w:pPr>
      <w:r>
        <w:rPr>
          <w:rFonts w:ascii="Arial" w:cs="Arial" w:eastAsia="Arial" w:hAnsi="Arial"/>
          <w:sz w:val="23"/>
          <w:szCs w:val="23"/>
          <w:b w:val="1"/>
          <w:bCs w:val="1"/>
          <w:color w:val="292F72"/>
        </w:rPr>
        <w:t>Board Refreshment and Selection of Director Nominees</w:t>
      </w:r>
    </w:p>
    <w:p>
      <w:pPr>
        <w:spacing w:after="0" w:line="174" w:lineRule="exact"/>
        <w:rPr>
          <w:sz w:val="20"/>
          <w:szCs w:val="20"/>
          <w:color w:val="auto"/>
        </w:rPr>
      </w:pPr>
    </w:p>
    <w:p>
      <w:pPr>
        <w:ind w:right="80"/>
        <w:spacing w:after="0" w:line="244" w:lineRule="auto"/>
        <w:rPr>
          <w:sz w:val="20"/>
          <w:szCs w:val="20"/>
          <w:color w:val="auto"/>
        </w:rPr>
      </w:pPr>
      <w:r>
        <w:rPr>
          <w:rFonts w:ascii="Arial" w:cs="Arial" w:eastAsia="Arial" w:hAnsi="Arial"/>
          <w:sz w:val="16"/>
          <w:szCs w:val="16"/>
          <w:color w:val="auto"/>
        </w:rPr>
        <w:t>The Company believes that an effective Board consists of individuals who possess a variety of complementary skills, a range of tenures, a diversity of perspectives and expertise in key areas supporting our business and evolving strategy. Accordingly, the Nominating &amp; Governance Committee and the Board consider the performance, contributions, skills and experience of our Board members in the broader context of the Board’s overall composition, with a view toward constituting a Board that has the integrity, judgment, skill set, experience and other characteristics to oversee the broad set of challenges that the Company faces and evaluate management on executing the Company’s strategy. Refreshment of the Board promotes the long-term interests of our shareholders and strengthens Board and management accountability.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5737225" cy="13322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737225" cy="1332230"/>
                    </a:xfrm>
                    <a:prstGeom prst="rect">
                      <a:avLst/>
                    </a:prstGeom>
                    <a:noFill/>
                  </pic:spPr>
                </pic:pic>
              </a:graphicData>
            </a:graphic>
          </wp:anchor>
        </w:drawing>
      </w:r>
    </w:p>
    <w:p>
      <w:pPr>
        <w:spacing w:after="0" w:line="325" w:lineRule="exact"/>
        <w:rPr>
          <w:sz w:val="20"/>
          <w:szCs w:val="20"/>
          <w:color w:val="auto"/>
        </w:rPr>
      </w:pPr>
    </w:p>
    <w:p>
      <w:pPr>
        <w:ind w:left="160"/>
        <w:spacing w:after="0"/>
        <w:rPr>
          <w:sz w:val="20"/>
          <w:szCs w:val="20"/>
          <w:color w:val="auto"/>
        </w:rPr>
      </w:pPr>
      <w:r>
        <w:rPr>
          <w:rFonts w:ascii="Arial" w:cs="Arial" w:eastAsia="Arial" w:hAnsi="Arial"/>
          <w:sz w:val="19"/>
          <w:szCs w:val="19"/>
          <w:b w:val="1"/>
          <w:bCs w:val="1"/>
          <w:color w:val="auto"/>
        </w:rPr>
        <w:t>The Board has in place a robust refreshment process.</w:t>
      </w:r>
    </w:p>
    <w:p>
      <w:pPr>
        <w:spacing w:after="0" w:line="11" w:lineRule="exact"/>
        <w:rPr>
          <w:sz w:val="20"/>
          <w:szCs w:val="20"/>
          <w:color w:val="auto"/>
        </w:rPr>
      </w:pPr>
    </w:p>
    <w:p>
      <w:pPr>
        <w:ind w:left="160"/>
        <w:spacing w:after="0"/>
        <w:rPr>
          <w:sz w:val="20"/>
          <w:szCs w:val="20"/>
          <w:color w:val="auto"/>
        </w:rPr>
      </w:pPr>
      <w:r>
        <w:rPr>
          <w:rFonts w:ascii="Arial" w:cs="Arial" w:eastAsia="Arial" w:hAnsi="Arial"/>
          <w:sz w:val="19"/>
          <w:szCs w:val="19"/>
          <w:b w:val="1"/>
          <w:bCs w:val="1"/>
          <w:color w:val="auto"/>
        </w:rPr>
        <w:t>If all nominees are elected to serve as directors at the 2026 annual meeting,</w:t>
      </w:r>
    </w:p>
    <w:p>
      <w:pPr>
        <w:sectPr>
          <w:pgSz w:w="11900" w:h="16838" w:orient="portrait"/>
          <w:cols w:equalWidth="0" w:num="1">
            <w:col w:w="9040"/>
          </w:cols>
          <w:pgMar w:left="1420" w:top="116" w:right="1439" w:bottom="1440" w:gutter="0" w:footer="0" w:header="0"/>
          <w:type w:val="continuous"/>
        </w:sectPr>
      </w:pPr>
    </w:p>
    <w:p>
      <w:pPr>
        <w:spacing w:after="0" w:line="330" w:lineRule="exact"/>
        <w:rPr>
          <w:sz w:val="20"/>
          <w:szCs w:val="20"/>
          <w:color w:val="auto"/>
        </w:rPr>
      </w:pPr>
    </w:p>
    <w:p>
      <w:pPr>
        <w:ind w:left="380"/>
        <w:spacing w:after="0"/>
        <w:rPr>
          <w:sz w:val="20"/>
          <w:szCs w:val="20"/>
          <w:color w:val="auto"/>
        </w:rPr>
      </w:pPr>
      <w:r>
        <w:rPr>
          <w:rFonts w:ascii="Arial" w:cs="Arial" w:eastAsia="Arial" w:hAnsi="Arial"/>
          <w:sz w:val="38"/>
          <w:szCs w:val="38"/>
          <w:color w:val="6D8CC3"/>
        </w:rPr>
        <w:t>90%</w:t>
      </w:r>
    </w:p>
    <w:p>
      <w:pPr>
        <w:spacing w:after="0" w:line="37" w:lineRule="exact"/>
        <w:rPr>
          <w:sz w:val="20"/>
          <w:szCs w:val="20"/>
          <w:color w:val="auto"/>
        </w:rPr>
      </w:pPr>
    </w:p>
    <w:p>
      <w:pPr>
        <w:ind w:left="380" w:right="920"/>
        <w:spacing w:after="0" w:line="260" w:lineRule="auto"/>
        <w:rPr>
          <w:sz w:val="20"/>
          <w:szCs w:val="20"/>
          <w:color w:val="auto"/>
        </w:rPr>
      </w:pPr>
      <w:r>
        <w:rPr>
          <w:rFonts w:ascii="Arial" w:cs="Arial" w:eastAsia="Arial" w:hAnsi="Arial"/>
          <w:sz w:val="19"/>
          <w:szCs w:val="19"/>
          <w:b w:val="1"/>
          <w:bCs w:val="1"/>
          <w:color w:val="auto"/>
        </w:rPr>
        <w:t>of the Company’s directors will have joined the Board in 2019 or later</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spacing w:after="0"/>
        <w:rPr>
          <w:sz w:val="20"/>
          <w:szCs w:val="20"/>
          <w:color w:val="auto"/>
        </w:rPr>
      </w:pPr>
      <w:r>
        <w:rPr>
          <w:rFonts w:ascii="Arial" w:cs="Arial" w:eastAsia="Arial" w:hAnsi="Arial"/>
          <w:sz w:val="38"/>
          <w:szCs w:val="38"/>
          <w:color w:val="6D8CC3"/>
        </w:rPr>
        <w:t xml:space="preserve">5.0 </w:t>
      </w:r>
      <w:r>
        <w:rPr>
          <w:rFonts w:ascii="Arial" w:cs="Arial" w:eastAsia="Arial" w:hAnsi="Arial"/>
          <w:sz w:val="19"/>
          <w:szCs w:val="19"/>
          <w:b w:val="1"/>
          <w:bCs w:val="1"/>
          <w:color w:val="6D8CC3"/>
        </w:rPr>
        <w:t>Years</w:t>
      </w:r>
    </w:p>
    <w:p>
      <w:pPr>
        <w:spacing w:after="0" w:line="37" w:lineRule="exact"/>
        <w:rPr>
          <w:sz w:val="20"/>
          <w:szCs w:val="20"/>
          <w:color w:val="auto"/>
        </w:rPr>
      </w:pPr>
    </w:p>
    <w:p>
      <w:pPr>
        <w:ind w:right="580"/>
        <w:spacing w:after="0" w:line="260" w:lineRule="auto"/>
        <w:rPr>
          <w:sz w:val="20"/>
          <w:szCs w:val="20"/>
          <w:color w:val="auto"/>
        </w:rPr>
      </w:pPr>
      <w:r>
        <w:rPr>
          <w:rFonts w:ascii="Arial" w:cs="Arial" w:eastAsia="Arial" w:hAnsi="Arial"/>
          <w:sz w:val="19"/>
          <w:szCs w:val="19"/>
          <w:b w:val="1"/>
          <w:bCs w:val="1"/>
          <w:color w:val="auto"/>
        </w:rPr>
        <w:t>will be the average director tenure on our Board</w:t>
      </w:r>
    </w:p>
    <w:p>
      <w:pPr>
        <w:spacing w:after="0" w:line="200" w:lineRule="exact"/>
        <w:rPr>
          <w:sz w:val="20"/>
          <w:szCs w:val="20"/>
          <w:color w:val="auto"/>
        </w:rPr>
      </w:pPr>
    </w:p>
    <w:p>
      <w:pPr>
        <w:sectPr>
          <w:pgSz w:w="11900" w:h="16838" w:orient="portrait"/>
          <w:cols w:equalWidth="0" w:num="2">
            <w:col w:w="4620" w:space="720"/>
            <w:col w:w="3700"/>
          </w:cols>
          <w:pgMar w:left="1420" w:top="116" w:right="1439" w:bottom="1440" w:gutter="0" w:footer="0" w:header="0"/>
          <w:type w:val="continuous"/>
        </w:sectPr>
      </w:pPr>
    </w:p>
    <w:p>
      <w:pPr>
        <w:spacing w:after="0" w:line="183"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color w:val="auto"/>
        </w:rPr>
        <w:t xml:space="preserve">In assessing new individuals to serve as directors and committee members, the Nominating &amp; Governance Committee takes into account the qualifications of existing directors for continuing service or re-nomination, which may be affected by, among other things, the quality of their contributions, their attendance records, changes in their primary employment or other business affiliations, the number of boards of publicly traded companies on which they serve or other competing demands on their time and attention. While the Board has not established any specific minimum qualifications for director nominees, as indicated in the Company’s corporate governance principles, the directors and any potential nominees should possess the integrity, judgment, skills, experience and other characteristics that are deemed necessary or desirable for the effective performance of the Board’s oversight function. Certain of the skills, qualifications and particular areas of expertise considered with respect to the members of the Board are summarized under the heading “Election of Directors—The Board’s 2026 Director Nominees” and in the director biographies found on pages </w:t>
      </w:r>
      <w:r>
        <w:rPr>
          <w:rFonts w:ascii="Arial" w:cs="Arial" w:eastAsia="Arial" w:hAnsi="Arial"/>
          <w:sz w:val="16"/>
          <w:szCs w:val="16"/>
          <w:u w:val="single" w:color="auto"/>
          <w:color w:val="0000EE"/>
        </w:rPr>
        <w:t>8</w:t>
      </w:r>
      <w:r>
        <w:rPr>
          <w:rFonts w:ascii="Arial" w:cs="Arial" w:eastAsia="Arial" w:hAnsi="Arial"/>
          <w:sz w:val="16"/>
          <w:szCs w:val="16"/>
          <w:color w:val="auto"/>
        </w:rPr>
        <w:t xml:space="preserve"> through </w:t>
      </w:r>
      <w:r>
        <w:rPr>
          <w:rFonts w:ascii="Arial" w:cs="Arial" w:eastAsia="Arial" w:hAnsi="Arial"/>
          <w:sz w:val="16"/>
          <w:szCs w:val="16"/>
          <w:u w:val="single" w:color="auto"/>
          <w:color w:val="0000EE"/>
        </w:rPr>
        <w:t>12</w:t>
      </w:r>
      <w:r>
        <w:rPr>
          <w:rFonts w:ascii="Arial" w:cs="Arial" w:eastAsia="Arial" w:hAnsi="Arial"/>
          <w:sz w:val="16"/>
          <w:szCs w:val="16"/>
          <w:color w:val="auto"/>
        </w:rPr>
        <w:t xml:space="preserve"> of this proxy statement. The Company’s corporate governance principles provide that the Board will be composed of members of diverse backgrounds. The Nominating &amp; Governance Committee considers the diversity of experience, background and expertise of the current directors and areas where new directors might add additional perspectives as factors in the selection of Board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131445</wp:posOffset>
            </wp:positionV>
            <wp:extent cx="57372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737225" cy="8255"/>
                    </a:xfrm>
                    <a:prstGeom prst="rect">
                      <a:avLst/>
                    </a:prstGeom>
                    <a:noFill/>
                  </pic:spPr>
                </pic:pic>
              </a:graphicData>
            </a:graphic>
          </wp:anchor>
        </w:drawing>
      </w:r>
    </w:p>
    <w:p>
      <w:pPr>
        <w:spacing w:after="0" w:line="282" w:lineRule="exact"/>
        <w:rPr>
          <w:sz w:val="20"/>
          <w:szCs w:val="20"/>
          <w:color w:val="auto"/>
        </w:rPr>
      </w:pPr>
    </w:p>
    <w:p>
      <w:pPr>
        <w:jc w:val="right"/>
        <w:spacing w:after="0"/>
        <w:rPr>
          <w:sz w:val="20"/>
          <w:szCs w:val="20"/>
          <w:color w:val="auto"/>
        </w:rPr>
      </w:pPr>
      <w:r>
        <w:rPr>
          <w:rFonts w:ascii="Arial" w:cs="Arial" w:eastAsia="Arial" w:hAnsi="Arial"/>
          <w:sz w:val="14"/>
          <w:szCs w:val="14"/>
          <w:color w:val="292F72"/>
        </w:rPr>
        <w:t>Bath &amp; Body Works, Inc.</w:t>
      </w:r>
      <w:r>
        <w:rPr>
          <w:rFonts w:ascii="Arial" w:cs="Arial" w:eastAsia="Arial" w:hAnsi="Arial"/>
          <w:sz w:val="14"/>
          <w:szCs w:val="14"/>
          <w:color w:val="6D8CC3"/>
        </w:rPr>
        <w:t xml:space="preserve">   | </w:t>
      </w:r>
      <w:r>
        <w:rPr>
          <w:rFonts w:ascii="Arial" w:cs="Arial" w:eastAsia="Arial" w:hAnsi="Arial"/>
          <w:sz w:val="14"/>
          <w:szCs w:val="14"/>
          <w:color w:val="292F72"/>
        </w:rPr>
        <w:t xml:space="preserve">  2026 Proxy Statement     </w:t>
      </w:r>
      <w:r>
        <w:rPr>
          <w:rFonts w:ascii="Arial" w:cs="Arial" w:eastAsia="Arial" w:hAnsi="Arial"/>
          <w:sz w:val="14"/>
          <w:szCs w:val="14"/>
          <w:b w:val="1"/>
          <w:bCs w:val="1"/>
          <w:color w:val="292F72"/>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153670</wp:posOffset>
            </wp:positionV>
            <wp:extent cx="6795135" cy="165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795135" cy="16510"/>
                    </a:xfrm>
                    <a:prstGeom prst="rect">
                      <a:avLst/>
                    </a:prstGeom>
                    <a:noFill/>
                  </pic:spPr>
                </pic:pic>
              </a:graphicData>
            </a:graphic>
          </wp:anchor>
        </w:drawing>
      </w:r>
    </w:p>
    <w:p>
      <w:pPr>
        <w:sectPr>
          <w:pgSz w:w="11900" w:h="16838" w:orient="portrait"/>
          <w:cols w:equalWidth="0" w:num="1">
            <w:col w:w="9040"/>
          </w:cols>
          <w:pgMar w:left="1420" w:top="116" w:right="14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6"/>
          <w:szCs w:val="16"/>
          <w:color w:val="292F72"/>
        </w:rPr>
        <w:t>Election of</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6"/>
          <w:szCs w:val="16"/>
          <w:color w:val="292F72"/>
        </w:rPr>
        <w:t>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907415" cy="330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907415" cy="33020"/>
                    </a:xfrm>
                    <a:prstGeom prst="rect">
                      <a:avLst/>
                    </a:prstGeom>
                    <a:noFill/>
                  </pic:spPr>
                </pic:pic>
              </a:graphicData>
            </a:graphic>
          </wp:anchor>
        </w:drawing>
      </w:r>
    </w:p>
    <w:p>
      <w:pPr>
        <w:spacing w:after="0" w:line="175" w:lineRule="exact"/>
        <w:rPr>
          <w:sz w:val="20"/>
          <w:szCs w:val="20"/>
          <w:color w:val="auto"/>
        </w:rPr>
      </w:pPr>
    </w:p>
    <w:p>
      <w:pPr>
        <w:ind w:right="59"/>
        <w:spacing w:after="0" w:line="263" w:lineRule="auto"/>
        <w:rPr>
          <w:sz w:val="20"/>
          <w:szCs w:val="20"/>
          <w:color w:val="auto"/>
        </w:rPr>
      </w:pPr>
      <w:r>
        <w:rPr>
          <w:rFonts w:ascii="Arial" w:cs="Arial" w:eastAsia="Arial" w:hAnsi="Arial"/>
          <w:sz w:val="15"/>
          <w:szCs w:val="15"/>
          <w:color w:val="auto"/>
        </w:rPr>
        <w:t xml:space="preserve">The Nominating &amp; Governance Committee does not have a formal policy regarding the consideration of director candidates recommended by shareholders. The Board believes that it is more appropriate to provide the Nominating &amp; Governance Committee flexibility in evaluating shareholder recommendations. If a director nominee is recommended by a shareholder, the Nominating &amp; Governance Committee will give due consideration to the director nominee and will use the same criteria used for evaluating individuals nominated by the Board, in addition to considering the information relating to the director nominee provided by the shareholder. Shareholders may submit recommendations for director candidates for consideration by the Nominating &amp; Governance Committee by contacting the committee as described under the heading “Contacting the Board” found on page </w:t>
      </w:r>
      <w:r>
        <w:rPr>
          <w:rFonts w:ascii="Arial" w:cs="Arial" w:eastAsia="Arial" w:hAnsi="Arial"/>
          <w:sz w:val="15"/>
          <w:szCs w:val="15"/>
          <w:u w:val="single" w:color="auto"/>
          <w:color w:val="0000EE"/>
        </w:rPr>
        <w:t>21</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116840</wp:posOffset>
            </wp:positionV>
            <wp:extent cx="57372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737225" cy="8255"/>
                    </a:xfrm>
                    <a:prstGeom prst="rect">
                      <a:avLst/>
                    </a:prstGeom>
                    <a:noFill/>
                  </pic:spPr>
                </pic:pic>
              </a:graphicData>
            </a:graphic>
          </wp:anchor>
        </w:drawing>
      </w: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b w:val="1"/>
          <w:bCs w:val="1"/>
          <w:color w:val="292F72"/>
        </w:rPr>
        <w:t>14</w:t>
      </w:r>
      <w:r>
        <w:rPr>
          <w:rFonts w:ascii="Arial" w:cs="Arial" w:eastAsia="Arial" w:hAnsi="Arial"/>
          <w:sz w:val="14"/>
          <w:szCs w:val="14"/>
          <w:color w:val="292F72"/>
        </w:rPr>
        <w:t xml:space="preserve">     Bath &amp; Body Works, Inc.</w:t>
      </w:r>
      <w:r>
        <w:rPr>
          <w:rFonts w:ascii="Arial" w:cs="Arial" w:eastAsia="Arial" w:hAnsi="Arial"/>
          <w:sz w:val="14"/>
          <w:szCs w:val="14"/>
          <w:color w:val="6D8CC3"/>
        </w:rPr>
        <w:t xml:space="preserve">   | </w:t>
      </w:r>
      <w:r>
        <w:rPr>
          <w:rFonts w:ascii="Arial" w:cs="Arial" w:eastAsia="Arial" w:hAnsi="Arial"/>
          <w:sz w:val="14"/>
          <w:szCs w:val="14"/>
          <w:b w:val="1"/>
          <w:bCs w:val="1"/>
          <w:color w:val="292F72"/>
        </w:rPr>
        <w:t xml:space="preserve">  </w:t>
      </w:r>
      <w:r>
        <w:rPr>
          <w:rFonts w:ascii="Arial" w:cs="Arial" w:eastAsia="Arial" w:hAnsi="Arial"/>
          <w:sz w:val="14"/>
          <w:szCs w:val="14"/>
          <w:color w:val="292F72"/>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170180</wp:posOffset>
            </wp:positionV>
            <wp:extent cx="6795135" cy="165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795135" cy="16510"/>
                    </a:xfrm>
                    <a:prstGeom prst="rect">
                      <a:avLst/>
                    </a:prstGeom>
                    <a:noFill/>
                  </pic:spPr>
                </pic:pic>
              </a:graphicData>
            </a:graphic>
          </wp:anchor>
        </w:drawing>
      </w:r>
    </w:p>
    <w:p>
      <w:pPr>
        <w:sectPr>
          <w:pgSz w:w="11900" w:h="16838" w:orient="portrait"/>
          <w:cols w:equalWidth="0" w:num="1">
            <w:col w:w="9039"/>
          </w:cols>
          <w:pgMar w:left="1420" w:top="115"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113030</wp:posOffset>
            </wp:positionV>
            <wp:extent cx="6803390" cy="87934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03390" cy="8793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840"/>
        <w:spacing w:after="0"/>
        <w:rPr>
          <w:sz w:val="20"/>
          <w:szCs w:val="20"/>
          <w:color w:val="auto"/>
        </w:rPr>
      </w:pPr>
      <w:r>
        <w:rPr>
          <w:rFonts w:ascii="Arial" w:cs="Arial" w:eastAsia="Arial" w:hAnsi="Arial"/>
          <w:sz w:val="38"/>
          <w:szCs w:val="38"/>
          <w:color w:val="FFFFFF"/>
        </w:rPr>
        <w:t>Corporate Governance</w:t>
      </w:r>
    </w:p>
    <w:p>
      <w:pPr>
        <w:spacing w:after="0" w:line="177" w:lineRule="exact"/>
        <w:rPr>
          <w:sz w:val="20"/>
          <w:szCs w:val="20"/>
          <w:color w:val="auto"/>
        </w:rPr>
      </w:pPr>
    </w:p>
    <w:p>
      <w:pPr>
        <w:ind w:left="840" w:right="3340"/>
        <w:spacing w:after="0" w:line="246" w:lineRule="auto"/>
        <w:rPr>
          <w:sz w:val="20"/>
          <w:szCs w:val="20"/>
          <w:color w:val="auto"/>
        </w:rPr>
      </w:pPr>
      <w:r>
        <w:rPr>
          <w:rFonts w:ascii="Arial" w:cs="Arial" w:eastAsia="Arial" w:hAnsi="Arial"/>
          <w:sz w:val="19"/>
          <w:szCs w:val="19"/>
          <w:color w:val="FFFFFF"/>
        </w:rPr>
        <w:t>The Company has a long-standing commitment to strong corporate governance, which promotes the long-term interests of our shareholders, strengthens Board and management accountability and helps build stakeholder trust in the Company. The Board regularly reviews the Company’s major governance documents, policies and processes in the context of current governance trends, recognized best practices and legal and regulatory changes.</w:t>
      </w:r>
    </w:p>
    <w:p>
      <w:pPr>
        <w:spacing w:after="0" w:line="137" w:lineRule="exact"/>
        <w:rPr>
          <w:sz w:val="20"/>
          <w:szCs w:val="20"/>
          <w:color w:val="auto"/>
        </w:rPr>
      </w:pPr>
    </w:p>
    <w:p>
      <w:pPr>
        <w:ind w:left="840" w:right="3240"/>
        <w:spacing w:after="0" w:line="257" w:lineRule="auto"/>
        <w:rPr>
          <w:sz w:val="20"/>
          <w:szCs w:val="20"/>
          <w:color w:val="auto"/>
        </w:rPr>
      </w:pPr>
      <w:r>
        <w:rPr>
          <w:rFonts w:ascii="Arial" w:cs="Arial" w:eastAsia="Arial" w:hAnsi="Arial"/>
          <w:sz w:val="19"/>
          <w:szCs w:val="19"/>
          <w:color w:val="FFFFFF"/>
        </w:rPr>
        <w:t>The following sections provide an overview of our corporate governance structure, policies and processes, including key aspects of our Board’s and its committees’ operations.</w:t>
      </w:r>
    </w:p>
    <w:p>
      <w:pPr>
        <w:spacing w:after="0" w:line="200" w:lineRule="exact"/>
        <w:rPr>
          <w:sz w:val="20"/>
          <w:szCs w:val="20"/>
          <w:color w:val="auto"/>
        </w:rPr>
      </w:pPr>
    </w:p>
    <w:p>
      <w:pPr>
        <w:spacing w:after="0" w:line="373" w:lineRule="exact"/>
        <w:rPr>
          <w:sz w:val="20"/>
          <w:szCs w:val="20"/>
          <w:color w:val="auto"/>
        </w:rPr>
      </w:pPr>
    </w:p>
    <w:p>
      <w:pPr>
        <w:ind w:left="840"/>
        <w:spacing w:after="0"/>
        <w:rPr>
          <w:sz w:val="20"/>
          <w:szCs w:val="20"/>
          <w:color w:val="auto"/>
        </w:rPr>
      </w:pPr>
      <w:r>
        <w:rPr>
          <w:rFonts w:ascii="Arial" w:cs="Arial" w:eastAsia="Arial" w:hAnsi="Arial"/>
          <w:sz w:val="28"/>
          <w:szCs w:val="28"/>
          <w:color w:val="FFFFFF"/>
        </w:rPr>
        <w:t>In this Section</w:t>
      </w:r>
    </w:p>
    <w:p>
      <w:pPr>
        <w:spacing w:after="0" w:line="239" w:lineRule="exact"/>
        <w:rPr>
          <w:sz w:val="20"/>
          <w:szCs w:val="20"/>
          <w:color w:val="auto"/>
        </w:rPr>
      </w:pPr>
    </w:p>
    <w:p>
      <w:pPr>
        <w:ind w:left="1200" w:hanging="350"/>
        <w:spacing w:after="0"/>
        <w:tabs>
          <w:tab w:leader="none" w:pos="1200" w:val="left"/>
        </w:tabs>
        <w:numPr>
          <w:ilvl w:val="0"/>
          <w:numId w:val="34"/>
        </w:numPr>
        <w:rPr>
          <w:rFonts w:ascii="Arial" w:cs="Arial" w:eastAsia="Arial" w:hAnsi="Arial"/>
          <w:sz w:val="19"/>
          <w:szCs w:val="19"/>
          <w:u w:val="single" w:color="auto"/>
          <w:color w:val="0000EE"/>
        </w:rPr>
      </w:pPr>
      <w:r>
        <w:rPr>
          <w:rFonts w:ascii="Arial" w:cs="Arial" w:eastAsia="Arial" w:hAnsi="Arial"/>
          <w:sz w:val="19"/>
          <w:szCs w:val="19"/>
          <w:u w:val="single" w:color="auto"/>
          <w:color w:val="0000EE"/>
        </w:rPr>
        <w:t>Corporate Governance Highlights</w:t>
      </w:r>
    </w:p>
    <w:p>
      <w:pPr>
        <w:spacing w:after="0" w:line="214" w:lineRule="exact"/>
        <w:rPr>
          <w:rFonts w:ascii="Arial" w:cs="Arial" w:eastAsia="Arial" w:hAnsi="Arial"/>
          <w:sz w:val="19"/>
          <w:szCs w:val="19"/>
          <w:u w:val="single" w:color="auto"/>
          <w:color w:val="0000EE"/>
        </w:rPr>
      </w:pPr>
    </w:p>
    <w:p>
      <w:pPr>
        <w:ind w:left="1200" w:hanging="350"/>
        <w:spacing w:after="0"/>
        <w:tabs>
          <w:tab w:leader="none" w:pos="1200" w:val="left"/>
        </w:tabs>
        <w:numPr>
          <w:ilvl w:val="0"/>
          <w:numId w:val="34"/>
        </w:numPr>
        <w:rPr>
          <w:rFonts w:ascii="Arial" w:cs="Arial" w:eastAsia="Arial" w:hAnsi="Arial"/>
          <w:sz w:val="19"/>
          <w:szCs w:val="19"/>
          <w:u w:val="single" w:color="auto"/>
          <w:color w:val="0000EE"/>
        </w:rPr>
      </w:pPr>
      <w:r>
        <w:rPr>
          <w:rFonts w:ascii="Arial" w:cs="Arial" w:eastAsia="Arial" w:hAnsi="Arial"/>
          <w:sz w:val="19"/>
          <w:szCs w:val="19"/>
          <w:u w:val="single" w:color="auto"/>
          <w:color w:val="0000EE"/>
        </w:rPr>
        <w:t>Board Leadership Structure</w:t>
      </w:r>
    </w:p>
    <w:p>
      <w:pPr>
        <w:spacing w:after="0" w:line="214" w:lineRule="exact"/>
        <w:rPr>
          <w:sz w:val="20"/>
          <w:szCs w:val="20"/>
          <w:color w:val="auto"/>
        </w:rPr>
      </w:pPr>
    </w:p>
    <w:p>
      <w:pPr>
        <w:ind w:left="860"/>
        <w:spacing w:after="0"/>
        <w:rPr>
          <w:sz w:val="20"/>
          <w:szCs w:val="20"/>
          <w:color w:val="auto"/>
        </w:rPr>
      </w:pPr>
      <w:r>
        <w:rPr>
          <w:rFonts w:ascii="Arial" w:cs="Arial" w:eastAsia="Arial" w:hAnsi="Arial"/>
          <w:sz w:val="19"/>
          <w:szCs w:val="19"/>
          <w:u w:val="single" w:color="auto"/>
          <w:color w:val="0000EE"/>
        </w:rPr>
        <w:t>17  Meeting Attendance</w:t>
      </w:r>
    </w:p>
    <w:p>
      <w:pPr>
        <w:spacing w:after="0" w:line="214" w:lineRule="exact"/>
        <w:rPr>
          <w:sz w:val="20"/>
          <w:szCs w:val="20"/>
          <w:color w:val="auto"/>
        </w:rPr>
      </w:pPr>
    </w:p>
    <w:p>
      <w:pPr>
        <w:ind w:left="860"/>
        <w:spacing w:after="0"/>
        <w:rPr>
          <w:sz w:val="20"/>
          <w:szCs w:val="20"/>
          <w:color w:val="auto"/>
        </w:rPr>
      </w:pPr>
      <w:r>
        <w:rPr>
          <w:rFonts w:ascii="Arial" w:cs="Arial" w:eastAsia="Arial" w:hAnsi="Arial"/>
          <w:sz w:val="19"/>
          <w:szCs w:val="19"/>
          <w:u w:val="single" w:color="auto"/>
          <w:color w:val="0000EE"/>
        </w:rPr>
        <w:t>17  Committees of the Board</w:t>
      </w:r>
    </w:p>
    <w:p>
      <w:pPr>
        <w:spacing w:after="0" w:line="214" w:lineRule="exact"/>
        <w:rPr>
          <w:sz w:val="20"/>
          <w:szCs w:val="20"/>
          <w:color w:val="auto"/>
        </w:rPr>
      </w:pPr>
    </w:p>
    <w:p>
      <w:pPr>
        <w:ind w:left="1200" w:hanging="350"/>
        <w:spacing w:after="0"/>
        <w:tabs>
          <w:tab w:leader="none" w:pos="1200" w:val="left"/>
        </w:tabs>
        <w:numPr>
          <w:ilvl w:val="0"/>
          <w:numId w:val="35"/>
        </w:numPr>
        <w:rPr>
          <w:rFonts w:ascii="Arial" w:cs="Arial" w:eastAsia="Arial" w:hAnsi="Arial"/>
          <w:sz w:val="19"/>
          <w:szCs w:val="19"/>
          <w:u w:val="single" w:color="auto"/>
          <w:color w:val="0000EE"/>
        </w:rPr>
      </w:pPr>
      <w:r>
        <w:rPr>
          <w:rFonts w:ascii="Arial" w:cs="Arial" w:eastAsia="Arial" w:hAnsi="Arial"/>
          <w:sz w:val="19"/>
          <w:szCs w:val="19"/>
          <w:u w:val="single" w:color="auto"/>
          <w:color w:val="0000EE"/>
        </w:rPr>
        <w:t>Board and Committee Evaluations</w:t>
      </w:r>
    </w:p>
    <w:p>
      <w:pPr>
        <w:spacing w:after="0" w:line="214" w:lineRule="exact"/>
        <w:rPr>
          <w:rFonts w:ascii="Arial" w:cs="Arial" w:eastAsia="Arial" w:hAnsi="Arial"/>
          <w:sz w:val="19"/>
          <w:szCs w:val="19"/>
          <w:u w:val="single" w:color="auto"/>
          <w:color w:val="0000EE"/>
        </w:rPr>
      </w:pPr>
    </w:p>
    <w:p>
      <w:pPr>
        <w:ind w:left="1200" w:hanging="350"/>
        <w:spacing w:after="0"/>
        <w:tabs>
          <w:tab w:leader="none" w:pos="1200" w:val="left"/>
        </w:tabs>
        <w:numPr>
          <w:ilvl w:val="0"/>
          <w:numId w:val="36"/>
        </w:numPr>
        <w:rPr>
          <w:rFonts w:ascii="Arial" w:cs="Arial" w:eastAsia="Arial" w:hAnsi="Arial"/>
          <w:sz w:val="19"/>
          <w:szCs w:val="19"/>
          <w:u w:val="single" w:color="auto"/>
          <w:color w:val="0000EE"/>
        </w:rPr>
      </w:pPr>
      <w:r>
        <w:rPr>
          <w:rFonts w:ascii="Arial" w:cs="Arial" w:eastAsia="Arial" w:hAnsi="Arial"/>
          <w:sz w:val="19"/>
          <w:szCs w:val="19"/>
          <w:u w:val="single" w:color="auto"/>
          <w:color w:val="0000EE"/>
        </w:rPr>
        <w:t>Meetings of Independent Directors</w:t>
      </w:r>
    </w:p>
    <w:p>
      <w:pPr>
        <w:spacing w:after="0" w:line="214" w:lineRule="exact"/>
        <w:rPr>
          <w:sz w:val="20"/>
          <w:szCs w:val="20"/>
          <w:color w:val="auto"/>
        </w:rPr>
      </w:pPr>
    </w:p>
    <w:p>
      <w:pPr>
        <w:ind w:left="1200" w:right="5540" w:hanging="350"/>
        <w:spacing w:after="0" w:line="269" w:lineRule="auto"/>
        <w:tabs>
          <w:tab w:leader="none" w:pos="1200" w:val="left"/>
        </w:tabs>
        <w:numPr>
          <w:ilvl w:val="0"/>
          <w:numId w:val="37"/>
        </w:numPr>
        <w:rPr>
          <w:rFonts w:ascii="Arial" w:cs="Arial" w:eastAsia="Arial" w:hAnsi="Arial"/>
          <w:sz w:val="19"/>
          <w:szCs w:val="19"/>
          <w:u w:val="single" w:color="auto"/>
          <w:color w:val="0000EE"/>
        </w:rPr>
      </w:pPr>
      <w:r>
        <w:rPr>
          <w:rFonts w:ascii="Arial" w:cs="Arial" w:eastAsia="Arial" w:hAnsi="Arial"/>
          <w:sz w:val="19"/>
          <w:szCs w:val="19"/>
          <w:u w:val="single" w:color="auto"/>
          <w:color w:val="0000EE"/>
        </w:rPr>
        <w:t>Board Role in Strategic Planning and Capital Structure</w:t>
      </w:r>
    </w:p>
    <w:p>
      <w:pPr>
        <w:spacing w:after="0" w:line="152" w:lineRule="exact"/>
        <w:rPr>
          <w:rFonts w:ascii="Arial" w:cs="Arial" w:eastAsia="Arial" w:hAnsi="Arial"/>
          <w:sz w:val="19"/>
          <w:szCs w:val="19"/>
          <w:u w:val="single" w:color="auto"/>
          <w:color w:val="0000EE"/>
        </w:rPr>
      </w:pPr>
    </w:p>
    <w:p>
      <w:pPr>
        <w:ind w:left="1200" w:hanging="350"/>
        <w:spacing w:after="0"/>
        <w:tabs>
          <w:tab w:leader="none" w:pos="1200" w:val="left"/>
        </w:tabs>
        <w:numPr>
          <w:ilvl w:val="0"/>
          <w:numId w:val="37"/>
        </w:numPr>
        <w:rPr>
          <w:rFonts w:ascii="Arial" w:cs="Arial" w:eastAsia="Arial" w:hAnsi="Arial"/>
          <w:sz w:val="19"/>
          <w:szCs w:val="19"/>
          <w:u w:val="single" w:color="auto"/>
          <w:color w:val="0000EE"/>
        </w:rPr>
      </w:pPr>
      <w:r>
        <w:rPr>
          <w:rFonts w:ascii="Arial" w:cs="Arial" w:eastAsia="Arial" w:hAnsi="Arial"/>
          <w:sz w:val="19"/>
          <w:szCs w:val="19"/>
          <w:u w:val="single" w:color="auto"/>
          <w:color w:val="0000EE"/>
        </w:rPr>
        <w:t>Board Role in Risk Oversight</w:t>
      </w:r>
    </w:p>
    <w:p>
      <w:pPr>
        <w:spacing w:after="0" w:line="214" w:lineRule="exact"/>
        <w:rPr>
          <w:rFonts w:ascii="Arial" w:cs="Arial" w:eastAsia="Arial" w:hAnsi="Arial"/>
          <w:sz w:val="19"/>
          <w:szCs w:val="19"/>
          <w:u w:val="single" w:color="auto"/>
          <w:color w:val="0000EE"/>
        </w:rPr>
      </w:pPr>
    </w:p>
    <w:p>
      <w:pPr>
        <w:ind w:left="1200" w:right="5520" w:hanging="350"/>
        <w:spacing w:after="0" w:line="249" w:lineRule="auto"/>
        <w:tabs>
          <w:tab w:leader="none" w:pos="1200" w:val="left"/>
        </w:tabs>
        <w:numPr>
          <w:ilvl w:val="0"/>
          <w:numId w:val="37"/>
        </w:numPr>
        <w:rPr>
          <w:rFonts w:ascii="Arial" w:cs="Arial" w:eastAsia="Arial" w:hAnsi="Arial"/>
          <w:sz w:val="19"/>
          <w:szCs w:val="19"/>
          <w:u w:val="single" w:color="auto"/>
          <w:color w:val="0000EE"/>
        </w:rPr>
      </w:pPr>
      <w:r>
        <w:rPr>
          <w:rFonts w:ascii="Arial" w:cs="Arial" w:eastAsia="Arial" w:hAnsi="Arial"/>
          <w:sz w:val="19"/>
          <w:szCs w:val="19"/>
          <w:u w:val="single" w:color="auto"/>
          <w:color w:val="0000EE"/>
        </w:rPr>
        <w:t>Code of Conduct, Insider Trading, Governance Documents and Related Person Transactions</w:t>
      </w:r>
    </w:p>
    <w:p>
      <w:pPr>
        <w:spacing w:after="0" w:line="172" w:lineRule="exact"/>
        <w:rPr>
          <w:sz w:val="20"/>
          <w:szCs w:val="20"/>
          <w:color w:val="auto"/>
        </w:rPr>
      </w:pPr>
    </w:p>
    <w:p>
      <w:pPr>
        <w:ind w:left="1200" w:right="5400" w:hanging="350"/>
        <w:spacing w:after="0" w:line="269" w:lineRule="auto"/>
        <w:tabs>
          <w:tab w:leader="none" w:pos="1200" w:val="left"/>
        </w:tabs>
        <w:numPr>
          <w:ilvl w:val="0"/>
          <w:numId w:val="38"/>
        </w:numPr>
        <w:rPr>
          <w:rFonts w:ascii="Arial" w:cs="Arial" w:eastAsia="Arial" w:hAnsi="Arial"/>
          <w:sz w:val="19"/>
          <w:szCs w:val="19"/>
          <w:u w:val="single" w:color="auto"/>
          <w:color w:val="0000EE"/>
        </w:rPr>
      </w:pPr>
      <w:r>
        <w:rPr>
          <w:rFonts w:ascii="Arial" w:cs="Arial" w:eastAsia="Arial" w:hAnsi="Arial"/>
          <w:sz w:val="19"/>
          <w:szCs w:val="19"/>
          <w:u w:val="single" w:color="auto"/>
          <w:color w:val="0000EE"/>
        </w:rPr>
        <w:t>Human Capital &amp; Compensation Committee Participation and Interlocks</w:t>
      </w:r>
    </w:p>
    <w:p>
      <w:pPr>
        <w:spacing w:after="0" w:line="153" w:lineRule="exact"/>
        <w:rPr>
          <w:sz w:val="20"/>
          <w:szCs w:val="20"/>
          <w:color w:val="auto"/>
        </w:rPr>
      </w:pPr>
    </w:p>
    <w:p>
      <w:pPr>
        <w:ind w:left="1200" w:hanging="350"/>
        <w:spacing w:after="0"/>
        <w:tabs>
          <w:tab w:leader="none" w:pos="1200" w:val="left"/>
        </w:tabs>
        <w:numPr>
          <w:ilvl w:val="0"/>
          <w:numId w:val="39"/>
        </w:numPr>
        <w:rPr>
          <w:rFonts w:ascii="Arial" w:cs="Arial" w:eastAsia="Arial" w:hAnsi="Arial"/>
          <w:sz w:val="19"/>
          <w:szCs w:val="19"/>
          <w:u w:val="single" w:color="auto"/>
          <w:color w:val="0000EE"/>
        </w:rPr>
      </w:pPr>
      <w:r>
        <w:rPr>
          <w:rFonts w:ascii="Arial" w:cs="Arial" w:eastAsia="Arial" w:hAnsi="Arial"/>
          <w:sz w:val="19"/>
          <w:szCs w:val="19"/>
          <w:u w:val="single" w:color="auto"/>
          <w:color w:val="0000EE"/>
        </w:rPr>
        <w:t>Director Stock Ownership Guidelines</w:t>
      </w:r>
    </w:p>
    <w:p>
      <w:pPr>
        <w:spacing w:after="0" w:line="214" w:lineRule="exact"/>
        <w:rPr>
          <w:rFonts w:ascii="Arial" w:cs="Arial" w:eastAsia="Arial" w:hAnsi="Arial"/>
          <w:sz w:val="19"/>
          <w:szCs w:val="19"/>
          <w:u w:val="single" w:color="auto"/>
          <w:color w:val="0000EE"/>
        </w:rPr>
      </w:pPr>
    </w:p>
    <w:p>
      <w:pPr>
        <w:ind w:left="1200" w:hanging="350"/>
        <w:spacing w:after="0"/>
        <w:tabs>
          <w:tab w:leader="none" w:pos="1200" w:val="left"/>
        </w:tabs>
        <w:numPr>
          <w:ilvl w:val="0"/>
          <w:numId w:val="40"/>
        </w:numPr>
        <w:rPr>
          <w:rFonts w:ascii="Arial" w:cs="Arial" w:eastAsia="Arial" w:hAnsi="Arial"/>
          <w:sz w:val="19"/>
          <w:szCs w:val="19"/>
          <w:u w:val="single" w:color="auto"/>
          <w:color w:val="0000EE"/>
        </w:rPr>
      </w:pPr>
      <w:r>
        <w:rPr>
          <w:rFonts w:ascii="Arial" w:cs="Arial" w:eastAsia="Arial" w:hAnsi="Arial"/>
          <w:sz w:val="19"/>
          <w:szCs w:val="19"/>
          <w:u w:val="single" w:color="auto"/>
          <w:color w:val="0000EE"/>
        </w:rPr>
        <w:t>Contacting the Board</w:t>
      </w:r>
    </w:p>
    <w:p>
      <w:pPr>
        <w:spacing w:after="0" w:line="214" w:lineRule="exact"/>
        <w:rPr>
          <w:rFonts w:ascii="Arial" w:cs="Arial" w:eastAsia="Arial" w:hAnsi="Arial"/>
          <w:sz w:val="19"/>
          <w:szCs w:val="19"/>
          <w:u w:val="single" w:color="auto"/>
          <w:color w:val="0000EE"/>
        </w:rPr>
      </w:pPr>
    </w:p>
    <w:p>
      <w:pPr>
        <w:ind w:left="1200" w:hanging="350"/>
        <w:spacing w:after="0"/>
        <w:tabs>
          <w:tab w:leader="none" w:pos="1200" w:val="left"/>
        </w:tabs>
        <w:numPr>
          <w:ilvl w:val="0"/>
          <w:numId w:val="40"/>
        </w:numPr>
        <w:rPr>
          <w:rFonts w:ascii="Arial" w:cs="Arial" w:eastAsia="Arial" w:hAnsi="Arial"/>
          <w:sz w:val="19"/>
          <w:szCs w:val="19"/>
          <w:u w:val="single" w:color="auto"/>
          <w:color w:val="0000EE"/>
        </w:rPr>
      </w:pPr>
      <w:r>
        <w:rPr>
          <w:rFonts w:ascii="Arial" w:cs="Arial" w:eastAsia="Arial" w:hAnsi="Arial"/>
          <w:sz w:val="19"/>
          <w:szCs w:val="19"/>
          <w:u w:val="single" w:color="auto"/>
          <w:color w:val="0000EE"/>
        </w:rPr>
        <w:t>Fiscal 2025 Director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rFonts w:ascii="Arial" w:cs="Arial" w:eastAsia="Arial" w:hAnsi="Arial"/>
          <w:sz w:val="14"/>
          <w:szCs w:val="14"/>
          <w:color w:val="292F72"/>
        </w:rPr>
        <w:t>Bath &amp; Body Works, Inc.</w:t>
      </w:r>
      <w:r>
        <w:rPr>
          <w:rFonts w:ascii="Arial" w:cs="Arial" w:eastAsia="Arial" w:hAnsi="Arial"/>
          <w:sz w:val="14"/>
          <w:szCs w:val="14"/>
          <w:color w:val="6D8CC3"/>
        </w:rPr>
        <w:t xml:space="preserve">   | </w:t>
      </w:r>
      <w:r>
        <w:rPr>
          <w:rFonts w:ascii="Arial" w:cs="Arial" w:eastAsia="Arial" w:hAnsi="Arial"/>
          <w:sz w:val="14"/>
          <w:szCs w:val="14"/>
          <w:color w:val="292F72"/>
        </w:rPr>
        <w:t xml:space="preserve">  2026 Proxy Statement     </w:t>
      </w:r>
      <w:r>
        <w:rPr>
          <w:rFonts w:ascii="Arial" w:cs="Arial" w:eastAsia="Arial" w:hAnsi="Arial"/>
          <w:sz w:val="14"/>
          <w:szCs w:val="14"/>
          <w:b w:val="1"/>
          <w:bCs w:val="1"/>
          <w:color w:val="292F72"/>
        </w:rPr>
        <w:t>15</w:t>
      </w:r>
    </w:p>
    <w:p>
      <w:pPr>
        <w:sectPr>
          <w:pgSz w:w="11900" w:h="16838" w:orient="portrait"/>
          <w:cols w:equalWidth="0" w:num="1">
            <w:col w:w="9880"/>
          </w:cols>
          <w:pgMar w:left="580" w:top="115" w:right="1439" w:bottom="1440" w:gutter="0" w:footer="0" w:header="0"/>
        </w:sectPr>
      </w:pPr>
    </w:p>
    <w:bookmarkStart w:id="21" w:name="page22"/>
    <w:bookmarkEnd w:id="21"/>
    <w:p>
      <w:pPr>
        <w:ind w:left="8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2" w:lineRule="exact"/>
        <w:rPr>
          <w:sz w:val="20"/>
          <w:szCs w:val="20"/>
          <w:color w:val="auto"/>
        </w:rPr>
      </w:pPr>
    </w:p>
    <w:p>
      <w:pPr>
        <w:ind w:left="840"/>
        <w:spacing w:after="0"/>
        <w:rPr>
          <w:sz w:val="20"/>
          <w:szCs w:val="20"/>
          <w:color w:val="auto"/>
        </w:rPr>
      </w:pPr>
      <w:r>
        <w:rPr>
          <w:rFonts w:ascii="Arial" w:cs="Arial" w:eastAsia="Arial" w:hAnsi="Arial"/>
          <w:sz w:val="16"/>
          <w:szCs w:val="16"/>
          <w:color w:val="292F72"/>
        </w:rPr>
        <w:t>Corporate</w:t>
      </w:r>
    </w:p>
    <w:p>
      <w:pPr>
        <w:spacing w:after="0" w:line="14" w:lineRule="exact"/>
        <w:rPr>
          <w:sz w:val="20"/>
          <w:szCs w:val="20"/>
          <w:color w:val="auto"/>
        </w:rPr>
      </w:pPr>
    </w:p>
    <w:p>
      <w:pPr>
        <w:ind w:left="840"/>
        <w:spacing w:after="0"/>
        <w:rPr>
          <w:sz w:val="20"/>
          <w:szCs w:val="20"/>
          <w:color w:val="auto"/>
        </w:rPr>
      </w:pPr>
      <w:r>
        <w:rPr>
          <w:rFonts w:ascii="Arial" w:cs="Arial" w:eastAsia="Arial" w:hAnsi="Arial"/>
          <w:sz w:val="16"/>
          <w:szCs w:val="16"/>
          <w:color w:val="292F72"/>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31750</wp:posOffset>
            </wp:positionV>
            <wp:extent cx="1024255" cy="330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024255" cy="33020"/>
                    </a:xfrm>
                    <a:prstGeom prst="rect">
                      <a:avLst/>
                    </a:prstGeom>
                    <a:noFill/>
                  </pic:spPr>
                </pic:pic>
              </a:graphicData>
            </a:graphic>
          </wp:anchor>
        </w:drawing>
      </w:r>
    </w:p>
    <w:p>
      <w:pPr>
        <w:spacing w:after="0" w:line="209"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292F72"/>
        </w:rPr>
        <w:t>Corporate Governance Highlights</w:t>
      </w:r>
    </w:p>
    <w:p>
      <w:pPr>
        <w:spacing w:after="0" w:line="254" w:lineRule="exact"/>
        <w:rPr>
          <w:sz w:val="20"/>
          <w:szCs w:val="20"/>
          <w:color w:val="auto"/>
        </w:rPr>
      </w:pPr>
    </w:p>
    <w:p>
      <w:pPr>
        <w:ind w:left="820"/>
        <w:spacing w:after="0"/>
        <w:rPr>
          <w:sz w:val="20"/>
          <w:szCs w:val="20"/>
          <w:color w:val="auto"/>
        </w:rPr>
      </w:pPr>
      <w:r>
        <w:rPr>
          <w:rFonts w:ascii="Arial" w:cs="Arial" w:eastAsia="Arial" w:hAnsi="Arial"/>
          <w:sz w:val="19"/>
          <w:szCs w:val="19"/>
          <w:b w:val="1"/>
          <w:bCs w:val="1"/>
          <w:color w:val="6D8CC3"/>
        </w:rPr>
        <w:t>INDEPENDENT BOARD OVERSIGHT</w:t>
      </w:r>
    </w:p>
    <w:p>
      <w:pPr>
        <w:spacing w:after="0" w:line="60" w:lineRule="exact"/>
        <w:rPr>
          <w:sz w:val="20"/>
          <w:szCs w:val="20"/>
          <w:color w:val="auto"/>
        </w:rPr>
      </w:pPr>
    </w:p>
    <w:tbl>
      <w:tblPr>
        <w:tblLayout w:type="fixed"/>
        <w:tblInd w:w="820" w:type="dxa"/>
        <w:tblCellMar>
          <w:top w:w="0" w:type="dxa"/>
          <w:left w:w="0" w:type="dxa"/>
          <w:bottom w:w="0" w:type="dxa"/>
          <w:right w:w="0" w:type="dxa"/>
        </w:tblCellMar>
      </w:tblPr>
      <w:tr>
        <w:trPr>
          <w:trHeight w:val="314"/>
        </w:trPr>
        <w:tc>
          <w:tcPr>
            <w:tcW w:w="120" w:type="dxa"/>
            <w:vAlign w:val="bottom"/>
            <w:tcBorders>
              <w:top w:val="single" w:sz="8" w:color="292F72"/>
            </w:tcBorders>
            <w:shd w:val="clear" w:color="auto" w:fill="F0F5FE"/>
          </w:tcPr>
          <w:p>
            <w:pPr>
              <w:spacing w:after="0"/>
              <w:rPr>
                <w:sz w:val="24"/>
                <w:szCs w:val="24"/>
                <w:color w:val="auto"/>
              </w:rPr>
            </w:pPr>
          </w:p>
        </w:tc>
        <w:tc>
          <w:tcPr>
            <w:tcW w:w="2200" w:type="dxa"/>
            <w:vAlign w:val="bottom"/>
            <w:tcBorders>
              <w:top w:val="single" w:sz="8" w:color="292F72"/>
            </w:tcBorders>
            <w:shd w:val="clear" w:color="auto" w:fill="F0F5FE"/>
          </w:tcPr>
          <w:p>
            <w:pPr>
              <w:ind w:left="40"/>
              <w:spacing w:after="0"/>
              <w:rPr>
                <w:sz w:val="20"/>
                <w:szCs w:val="20"/>
                <w:color w:val="auto"/>
              </w:rPr>
            </w:pPr>
            <w:r>
              <w:rPr>
                <w:rFonts w:ascii="Arial" w:cs="Arial" w:eastAsia="Arial" w:hAnsi="Arial"/>
                <w:sz w:val="14"/>
                <w:szCs w:val="14"/>
                <w:b w:val="1"/>
                <w:bCs w:val="1"/>
                <w:color w:val="auto"/>
              </w:rPr>
              <w:t>Majority Independent Board</w:t>
            </w:r>
          </w:p>
        </w:tc>
        <w:tc>
          <w:tcPr>
            <w:tcW w:w="6720" w:type="dxa"/>
            <w:vAlign w:val="bottom"/>
            <w:tcBorders>
              <w:top w:val="single" w:sz="8" w:color="292F72"/>
            </w:tcBorders>
          </w:tcPr>
          <w:p>
            <w:pPr>
              <w:ind w:left="100"/>
              <w:spacing w:after="0"/>
              <w:rPr>
                <w:sz w:val="20"/>
                <w:szCs w:val="20"/>
                <w:color w:val="auto"/>
              </w:rPr>
            </w:pPr>
            <w:r>
              <w:rPr>
                <w:rFonts w:ascii="Arial" w:cs="Arial" w:eastAsia="Arial" w:hAnsi="Arial"/>
                <w:sz w:val="14"/>
                <w:szCs w:val="14"/>
                <w:color w:val="auto"/>
              </w:rPr>
              <w:t>Our Board includes ten members, nine of whom are independent, including our independent Board Chair.</w:t>
            </w:r>
          </w:p>
        </w:tc>
        <w:tc>
          <w:tcPr>
            <w:tcW w:w="0" w:type="dxa"/>
            <w:vAlign w:val="bottom"/>
          </w:tcPr>
          <w:p>
            <w:pPr>
              <w:spacing w:after="0"/>
              <w:rPr>
                <w:sz w:val="1"/>
                <w:szCs w:val="1"/>
                <w:color w:val="auto"/>
              </w:rPr>
            </w:pPr>
          </w:p>
        </w:tc>
      </w:tr>
      <w:tr>
        <w:trPr>
          <w:trHeight w:val="92"/>
        </w:trPr>
        <w:tc>
          <w:tcPr>
            <w:tcW w:w="120" w:type="dxa"/>
            <w:vAlign w:val="bottom"/>
            <w:tcBorders>
              <w:bottom w:val="single" w:sz="8" w:color="6D8CC3"/>
            </w:tcBorders>
            <w:shd w:val="clear" w:color="auto" w:fill="F0F5FE"/>
          </w:tcPr>
          <w:p>
            <w:pPr>
              <w:spacing w:after="0"/>
              <w:rPr>
                <w:sz w:val="8"/>
                <w:szCs w:val="8"/>
                <w:color w:val="auto"/>
              </w:rPr>
            </w:pPr>
          </w:p>
        </w:tc>
        <w:tc>
          <w:tcPr>
            <w:tcW w:w="2200" w:type="dxa"/>
            <w:vAlign w:val="bottom"/>
            <w:tcBorders>
              <w:bottom w:val="single" w:sz="8" w:color="6D8CC3"/>
            </w:tcBorders>
            <w:shd w:val="clear" w:color="auto" w:fill="F0F5FE"/>
          </w:tcPr>
          <w:p>
            <w:pPr>
              <w:spacing w:after="0"/>
              <w:rPr>
                <w:sz w:val="8"/>
                <w:szCs w:val="8"/>
                <w:color w:val="auto"/>
              </w:rPr>
            </w:pPr>
          </w:p>
        </w:tc>
        <w:tc>
          <w:tcPr>
            <w:tcW w:w="6720" w:type="dxa"/>
            <w:vAlign w:val="bottom"/>
            <w:tcBorders>
              <w:bottom w:val="single" w:sz="8" w:color="6D8CC3"/>
            </w:tcBorders>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20" w:type="dxa"/>
            <w:vAlign w:val="bottom"/>
            <w:shd w:val="clear" w:color="auto" w:fill="F0F5FE"/>
          </w:tcPr>
          <w:p>
            <w:pPr>
              <w:spacing w:after="0"/>
              <w:rPr>
                <w:sz w:val="22"/>
                <w:szCs w:val="22"/>
                <w:color w:val="auto"/>
              </w:rPr>
            </w:pPr>
          </w:p>
        </w:tc>
        <w:tc>
          <w:tcPr>
            <w:tcW w:w="2200" w:type="dxa"/>
            <w:vAlign w:val="bottom"/>
            <w:vMerge w:val="restart"/>
            <w:shd w:val="clear" w:color="auto" w:fill="F0F5FE"/>
          </w:tcPr>
          <w:p>
            <w:pPr>
              <w:ind w:left="40"/>
              <w:spacing w:after="0"/>
              <w:rPr>
                <w:sz w:val="20"/>
                <w:szCs w:val="20"/>
                <w:color w:val="auto"/>
              </w:rPr>
            </w:pPr>
            <w:r>
              <w:rPr>
                <w:rFonts w:ascii="Arial" w:cs="Arial" w:eastAsia="Arial" w:hAnsi="Arial"/>
                <w:sz w:val="14"/>
                <w:szCs w:val="14"/>
                <w:b w:val="1"/>
                <w:bCs w:val="1"/>
                <w:color w:val="auto"/>
              </w:rPr>
              <w:t>Separate Board Chair and</w:t>
            </w:r>
          </w:p>
        </w:tc>
        <w:tc>
          <w:tcPr>
            <w:tcW w:w="6720" w:type="dxa"/>
            <w:vAlign w:val="bottom"/>
          </w:tcPr>
          <w:p>
            <w:pPr>
              <w:ind w:left="100"/>
              <w:spacing w:after="0"/>
              <w:rPr>
                <w:sz w:val="20"/>
                <w:szCs w:val="20"/>
                <w:color w:val="auto"/>
              </w:rPr>
            </w:pPr>
            <w:r>
              <w:rPr>
                <w:rFonts w:ascii="Arial" w:cs="Arial" w:eastAsia="Arial" w:hAnsi="Arial"/>
                <w:sz w:val="14"/>
                <w:szCs w:val="14"/>
                <w:color w:val="auto"/>
              </w:rPr>
              <w:t>The Chief Executive Officer and Board Chair are two separate people. The Chief Executive Officer and</w:t>
            </w:r>
          </w:p>
        </w:tc>
        <w:tc>
          <w:tcPr>
            <w:tcW w:w="0" w:type="dxa"/>
            <w:vAlign w:val="bottom"/>
          </w:tcPr>
          <w:p>
            <w:pPr>
              <w:spacing w:after="0"/>
              <w:rPr>
                <w:sz w:val="1"/>
                <w:szCs w:val="1"/>
                <w:color w:val="auto"/>
              </w:rPr>
            </w:pPr>
          </w:p>
        </w:tc>
      </w:tr>
      <w:tr>
        <w:trPr>
          <w:trHeight w:val="79"/>
        </w:trPr>
        <w:tc>
          <w:tcPr>
            <w:tcW w:w="120" w:type="dxa"/>
            <w:vAlign w:val="bottom"/>
            <w:shd w:val="clear" w:color="auto" w:fill="F0F5FE"/>
          </w:tcPr>
          <w:p>
            <w:pPr>
              <w:spacing w:after="0"/>
              <w:rPr>
                <w:sz w:val="6"/>
                <w:szCs w:val="6"/>
                <w:color w:val="auto"/>
              </w:rPr>
            </w:pPr>
          </w:p>
        </w:tc>
        <w:tc>
          <w:tcPr>
            <w:tcW w:w="2200" w:type="dxa"/>
            <w:vAlign w:val="bottom"/>
            <w:vMerge w:val="continue"/>
            <w:shd w:val="clear" w:color="auto" w:fill="F0F5FE"/>
          </w:tcPr>
          <w:p>
            <w:pPr>
              <w:spacing w:after="0"/>
              <w:rPr>
                <w:sz w:val="6"/>
                <w:szCs w:val="6"/>
                <w:color w:val="auto"/>
              </w:rPr>
            </w:pPr>
          </w:p>
        </w:tc>
        <w:tc>
          <w:tcPr>
            <w:tcW w:w="6720" w:type="dxa"/>
            <w:vAlign w:val="bottom"/>
            <w:vMerge w:val="restart"/>
          </w:tcPr>
          <w:p>
            <w:pPr>
              <w:ind w:left="100"/>
              <w:spacing w:after="0" w:line="157" w:lineRule="exact"/>
              <w:rPr>
                <w:sz w:val="20"/>
                <w:szCs w:val="20"/>
                <w:color w:val="auto"/>
              </w:rPr>
            </w:pPr>
            <w:r>
              <w:rPr>
                <w:rFonts w:ascii="Arial" w:cs="Arial" w:eastAsia="Arial" w:hAnsi="Arial"/>
                <w:sz w:val="14"/>
                <w:szCs w:val="14"/>
                <w:color w:val="auto"/>
              </w:rPr>
              <w:t>Board Chair roles are required to be separated pursuant to our Nominating &amp; Governance Committee</w:t>
            </w:r>
          </w:p>
        </w:tc>
        <w:tc>
          <w:tcPr>
            <w:tcW w:w="0" w:type="dxa"/>
            <w:vAlign w:val="bottom"/>
          </w:tcPr>
          <w:p>
            <w:pPr>
              <w:spacing w:after="0"/>
              <w:rPr>
                <w:sz w:val="1"/>
                <w:szCs w:val="1"/>
                <w:color w:val="auto"/>
              </w:rPr>
            </w:pPr>
          </w:p>
        </w:tc>
      </w:tr>
      <w:tr>
        <w:trPr>
          <w:trHeight w:val="79"/>
        </w:trPr>
        <w:tc>
          <w:tcPr>
            <w:tcW w:w="120" w:type="dxa"/>
            <w:vAlign w:val="bottom"/>
            <w:shd w:val="clear" w:color="auto" w:fill="F0F5FE"/>
          </w:tcPr>
          <w:p>
            <w:pPr>
              <w:spacing w:after="0"/>
              <w:rPr>
                <w:sz w:val="6"/>
                <w:szCs w:val="6"/>
                <w:color w:val="auto"/>
              </w:rPr>
            </w:pPr>
          </w:p>
        </w:tc>
        <w:tc>
          <w:tcPr>
            <w:tcW w:w="2200" w:type="dxa"/>
            <w:vAlign w:val="bottom"/>
            <w:vMerge w:val="restart"/>
            <w:shd w:val="clear" w:color="auto" w:fill="F0F5FE"/>
          </w:tcPr>
          <w:p>
            <w:pPr>
              <w:ind w:left="40"/>
              <w:spacing w:after="0"/>
              <w:rPr>
                <w:sz w:val="20"/>
                <w:szCs w:val="20"/>
                <w:color w:val="auto"/>
              </w:rPr>
            </w:pPr>
            <w:r>
              <w:rPr>
                <w:rFonts w:ascii="Arial" w:cs="Arial" w:eastAsia="Arial" w:hAnsi="Arial"/>
                <w:sz w:val="14"/>
                <w:szCs w:val="14"/>
                <w:b w:val="1"/>
                <w:bCs w:val="1"/>
                <w:color w:val="auto"/>
              </w:rPr>
              <w:t>CEO Roles</w:t>
            </w:r>
          </w:p>
        </w:tc>
        <w:tc>
          <w:tcPr>
            <w:tcW w:w="6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120" w:type="dxa"/>
            <w:vAlign w:val="bottom"/>
            <w:shd w:val="clear" w:color="auto" w:fill="F0F5FE"/>
          </w:tcPr>
          <w:p>
            <w:pPr>
              <w:spacing w:after="0"/>
              <w:rPr>
                <w:sz w:val="9"/>
                <w:szCs w:val="9"/>
                <w:color w:val="auto"/>
              </w:rPr>
            </w:pPr>
          </w:p>
        </w:tc>
        <w:tc>
          <w:tcPr>
            <w:tcW w:w="2200" w:type="dxa"/>
            <w:vAlign w:val="bottom"/>
            <w:vMerge w:val="continue"/>
            <w:shd w:val="clear" w:color="auto" w:fill="F0F5FE"/>
          </w:tcPr>
          <w:p>
            <w:pPr>
              <w:spacing w:after="0"/>
              <w:rPr>
                <w:sz w:val="9"/>
                <w:szCs w:val="9"/>
                <w:color w:val="auto"/>
              </w:rPr>
            </w:pPr>
          </w:p>
        </w:tc>
        <w:tc>
          <w:tcPr>
            <w:tcW w:w="6720" w:type="dxa"/>
            <w:vAlign w:val="bottom"/>
            <w:vMerge w:val="restart"/>
          </w:tcPr>
          <w:p>
            <w:pPr>
              <w:ind w:left="100"/>
              <w:spacing w:after="0"/>
              <w:rPr>
                <w:sz w:val="20"/>
                <w:szCs w:val="20"/>
                <w:color w:val="auto"/>
              </w:rPr>
            </w:pPr>
            <w:r>
              <w:rPr>
                <w:rFonts w:ascii="Arial" w:cs="Arial" w:eastAsia="Arial" w:hAnsi="Arial"/>
                <w:sz w:val="14"/>
                <w:szCs w:val="14"/>
                <w:color w:val="auto"/>
              </w:rPr>
              <w:t>charter.</w:t>
            </w:r>
          </w:p>
        </w:tc>
        <w:tc>
          <w:tcPr>
            <w:tcW w:w="0" w:type="dxa"/>
            <w:vAlign w:val="bottom"/>
          </w:tcPr>
          <w:p>
            <w:pPr>
              <w:spacing w:after="0"/>
              <w:rPr>
                <w:sz w:val="1"/>
                <w:szCs w:val="1"/>
                <w:color w:val="auto"/>
              </w:rPr>
            </w:pPr>
          </w:p>
        </w:tc>
      </w:tr>
      <w:tr>
        <w:trPr>
          <w:trHeight w:val="71"/>
        </w:trPr>
        <w:tc>
          <w:tcPr>
            <w:tcW w:w="120" w:type="dxa"/>
            <w:vAlign w:val="bottom"/>
            <w:shd w:val="clear" w:color="auto" w:fill="F0F5FE"/>
          </w:tcPr>
          <w:p>
            <w:pPr>
              <w:spacing w:after="0"/>
              <w:rPr>
                <w:sz w:val="6"/>
                <w:szCs w:val="6"/>
                <w:color w:val="auto"/>
              </w:rPr>
            </w:pPr>
          </w:p>
        </w:tc>
        <w:tc>
          <w:tcPr>
            <w:tcW w:w="2200" w:type="dxa"/>
            <w:vAlign w:val="bottom"/>
            <w:shd w:val="clear" w:color="auto" w:fill="F0F5FE"/>
          </w:tcPr>
          <w:p>
            <w:pPr>
              <w:spacing w:after="0"/>
              <w:rPr>
                <w:sz w:val="6"/>
                <w:szCs w:val="6"/>
                <w:color w:val="auto"/>
              </w:rPr>
            </w:pPr>
          </w:p>
        </w:tc>
        <w:tc>
          <w:tcPr>
            <w:tcW w:w="6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0"/>
        </w:trPr>
        <w:tc>
          <w:tcPr>
            <w:tcW w:w="120" w:type="dxa"/>
            <w:vAlign w:val="bottom"/>
            <w:tcBorders>
              <w:bottom w:val="single" w:sz="8" w:color="6D8CC3"/>
            </w:tcBorders>
            <w:shd w:val="clear" w:color="auto" w:fill="F0F5FE"/>
          </w:tcPr>
          <w:p>
            <w:pPr>
              <w:spacing w:after="0"/>
              <w:rPr>
                <w:sz w:val="8"/>
                <w:szCs w:val="8"/>
                <w:color w:val="auto"/>
              </w:rPr>
            </w:pPr>
          </w:p>
        </w:tc>
        <w:tc>
          <w:tcPr>
            <w:tcW w:w="2200" w:type="dxa"/>
            <w:vAlign w:val="bottom"/>
            <w:tcBorders>
              <w:bottom w:val="single" w:sz="8" w:color="6D8CC3"/>
            </w:tcBorders>
            <w:shd w:val="clear" w:color="auto" w:fill="F0F5FE"/>
          </w:tcPr>
          <w:p>
            <w:pPr>
              <w:spacing w:after="0"/>
              <w:rPr>
                <w:sz w:val="8"/>
                <w:szCs w:val="8"/>
                <w:color w:val="auto"/>
              </w:rPr>
            </w:pPr>
          </w:p>
        </w:tc>
        <w:tc>
          <w:tcPr>
            <w:tcW w:w="6720" w:type="dxa"/>
            <w:vAlign w:val="bottom"/>
            <w:tcBorders>
              <w:bottom w:val="single" w:sz="8" w:color="6D8CC3"/>
            </w:tcBorders>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20" w:type="dxa"/>
            <w:vAlign w:val="bottom"/>
            <w:shd w:val="clear" w:color="auto" w:fill="F0F5FE"/>
          </w:tcPr>
          <w:p>
            <w:pPr>
              <w:spacing w:after="0"/>
              <w:rPr>
                <w:sz w:val="22"/>
                <w:szCs w:val="22"/>
                <w:color w:val="auto"/>
              </w:rPr>
            </w:pPr>
          </w:p>
        </w:tc>
        <w:tc>
          <w:tcPr>
            <w:tcW w:w="2200" w:type="dxa"/>
            <w:vAlign w:val="bottom"/>
            <w:shd w:val="clear" w:color="auto" w:fill="F0F5FE"/>
          </w:tcPr>
          <w:p>
            <w:pPr>
              <w:ind w:left="40"/>
              <w:spacing w:after="0"/>
              <w:rPr>
                <w:sz w:val="20"/>
                <w:szCs w:val="20"/>
                <w:color w:val="auto"/>
              </w:rPr>
            </w:pPr>
            <w:r>
              <w:rPr>
                <w:rFonts w:ascii="Arial" w:cs="Arial" w:eastAsia="Arial" w:hAnsi="Arial"/>
                <w:sz w:val="14"/>
                <w:szCs w:val="14"/>
                <w:b w:val="1"/>
                <w:bCs w:val="1"/>
                <w:color w:val="auto"/>
              </w:rPr>
              <w:t>Independent Board</w:t>
            </w:r>
          </w:p>
        </w:tc>
        <w:tc>
          <w:tcPr>
            <w:tcW w:w="6720" w:type="dxa"/>
            <w:vAlign w:val="bottom"/>
          </w:tcPr>
          <w:p>
            <w:pPr>
              <w:ind w:left="100"/>
              <w:spacing w:after="0"/>
              <w:rPr>
                <w:sz w:val="20"/>
                <w:szCs w:val="20"/>
                <w:color w:val="auto"/>
              </w:rPr>
            </w:pPr>
            <w:r>
              <w:rPr>
                <w:rFonts w:ascii="Arial" w:cs="Arial" w:eastAsia="Arial" w:hAnsi="Arial"/>
                <w:sz w:val="14"/>
                <w:szCs w:val="14"/>
                <w:color w:val="auto"/>
              </w:rPr>
              <w:t>Each of our standing Board committees is composed solely of independent directors.</w:t>
            </w:r>
          </w:p>
        </w:tc>
        <w:tc>
          <w:tcPr>
            <w:tcW w:w="0" w:type="dxa"/>
            <w:vAlign w:val="bottom"/>
          </w:tcPr>
          <w:p>
            <w:pPr>
              <w:spacing w:after="0"/>
              <w:rPr>
                <w:sz w:val="1"/>
                <w:szCs w:val="1"/>
                <w:color w:val="auto"/>
              </w:rPr>
            </w:pPr>
          </w:p>
        </w:tc>
      </w:tr>
      <w:tr>
        <w:trPr>
          <w:trHeight w:val="193"/>
        </w:trPr>
        <w:tc>
          <w:tcPr>
            <w:tcW w:w="120" w:type="dxa"/>
            <w:vAlign w:val="bottom"/>
            <w:shd w:val="clear" w:color="auto" w:fill="F0F5FE"/>
          </w:tcPr>
          <w:p>
            <w:pPr>
              <w:spacing w:after="0"/>
              <w:rPr>
                <w:sz w:val="16"/>
                <w:szCs w:val="16"/>
                <w:color w:val="auto"/>
              </w:rPr>
            </w:pPr>
          </w:p>
        </w:tc>
        <w:tc>
          <w:tcPr>
            <w:tcW w:w="2200" w:type="dxa"/>
            <w:vAlign w:val="bottom"/>
            <w:shd w:val="clear" w:color="auto" w:fill="F0F5FE"/>
          </w:tcPr>
          <w:p>
            <w:pPr>
              <w:ind w:left="40"/>
              <w:spacing w:after="0"/>
              <w:rPr>
                <w:sz w:val="20"/>
                <w:szCs w:val="20"/>
                <w:color w:val="auto"/>
              </w:rPr>
            </w:pPr>
            <w:r>
              <w:rPr>
                <w:rFonts w:ascii="Arial" w:cs="Arial" w:eastAsia="Arial" w:hAnsi="Arial"/>
                <w:sz w:val="14"/>
                <w:szCs w:val="14"/>
                <w:b w:val="1"/>
                <w:bCs w:val="1"/>
                <w:color w:val="auto"/>
              </w:rPr>
              <w:t>Committees</w:t>
            </w:r>
          </w:p>
        </w:tc>
        <w:tc>
          <w:tcPr>
            <w:tcW w:w="6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120" w:type="dxa"/>
            <w:vAlign w:val="bottom"/>
            <w:tcBorders>
              <w:bottom w:val="single" w:sz="8" w:color="6D8CC3"/>
            </w:tcBorders>
            <w:shd w:val="clear" w:color="auto" w:fill="F0F5FE"/>
          </w:tcPr>
          <w:p>
            <w:pPr>
              <w:spacing w:after="0"/>
              <w:rPr>
                <w:sz w:val="8"/>
                <w:szCs w:val="8"/>
                <w:color w:val="auto"/>
              </w:rPr>
            </w:pPr>
          </w:p>
        </w:tc>
        <w:tc>
          <w:tcPr>
            <w:tcW w:w="2200" w:type="dxa"/>
            <w:vAlign w:val="bottom"/>
            <w:tcBorders>
              <w:bottom w:val="single" w:sz="8" w:color="6D8CC3"/>
            </w:tcBorders>
            <w:shd w:val="clear" w:color="auto" w:fill="F0F5FE"/>
          </w:tcPr>
          <w:p>
            <w:pPr>
              <w:spacing w:after="0"/>
              <w:rPr>
                <w:sz w:val="8"/>
                <w:szCs w:val="8"/>
                <w:color w:val="auto"/>
              </w:rPr>
            </w:pPr>
          </w:p>
        </w:tc>
        <w:tc>
          <w:tcPr>
            <w:tcW w:w="6720" w:type="dxa"/>
            <w:vAlign w:val="bottom"/>
            <w:tcBorders>
              <w:bottom w:val="single" w:sz="8" w:color="6D8CC3"/>
            </w:tcBorders>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20" w:type="dxa"/>
            <w:vAlign w:val="bottom"/>
            <w:shd w:val="clear" w:color="auto" w:fill="F0F5FE"/>
          </w:tcPr>
          <w:p>
            <w:pPr>
              <w:spacing w:after="0"/>
              <w:rPr>
                <w:sz w:val="22"/>
                <w:szCs w:val="22"/>
                <w:color w:val="auto"/>
              </w:rPr>
            </w:pPr>
          </w:p>
        </w:tc>
        <w:tc>
          <w:tcPr>
            <w:tcW w:w="2200" w:type="dxa"/>
            <w:vAlign w:val="bottom"/>
            <w:shd w:val="clear" w:color="auto" w:fill="F0F5FE"/>
          </w:tcPr>
          <w:p>
            <w:pPr>
              <w:spacing w:after="0"/>
              <w:rPr>
                <w:sz w:val="22"/>
                <w:szCs w:val="22"/>
                <w:color w:val="auto"/>
              </w:rPr>
            </w:pPr>
          </w:p>
        </w:tc>
        <w:tc>
          <w:tcPr>
            <w:tcW w:w="6720" w:type="dxa"/>
            <w:vAlign w:val="bottom"/>
          </w:tcPr>
          <w:p>
            <w:pPr>
              <w:ind w:left="100"/>
              <w:spacing w:after="0"/>
              <w:rPr>
                <w:sz w:val="20"/>
                <w:szCs w:val="20"/>
                <w:color w:val="auto"/>
              </w:rPr>
            </w:pPr>
            <w:r>
              <w:rPr>
                <w:rFonts w:ascii="Arial" w:cs="Arial" w:eastAsia="Arial" w:hAnsi="Arial"/>
                <w:sz w:val="14"/>
                <w:szCs w:val="14"/>
                <w:color w:val="auto"/>
              </w:rPr>
              <w:t>Our Board oversees the Company’s strategy, capital structure (including capital allocation), risk</w:t>
            </w:r>
          </w:p>
        </w:tc>
        <w:tc>
          <w:tcPr>
            <w:tcW w:w="0" w:type="dxa"/>
            <w:vAlign w:val="bottom"/>
          </w:tcPr>
          <w:p>
            <w:pPr>
              <w:spacing w:after="0"/>
              <w:rPr>
                <w:sz w:val="1"/>
                <w:szCs w:val="1"/>
                <w:color w:val="auto"/>
              </w:rPr>
            </w:pPr>
          </w:p>
        </w:tc>
      </w:tr>
      <w:tr>
        <w:trPr>
          <w:trHeight w:val="157"/>
        </w:trPr>
        <w:tc>
          <w:tcPr>
            <w:tcW w:w="120" w:type="dxa"/>
            <w:vAlign w:val="bottom"/>
            <w:shd w:val="clear" w:color="auto" w:fill="F0F5FE"/>
          </w:tcPr>
          <w:p>
            <w:pPr>
              <w:spacing w:after="0"/>
              <w:rPr>
                <w:sz w:val="13"/>
                <w:szCs w:val="13"/>
                <w:color w:val="auto"/>
              </w:rPr>
            </w:pPr>
          </w:p>
        </w:tc>
        <w:tc>
          <w:tcPr>
            <w:tcW w:w="2200" w:type="dxa"/>
            <w:vAlign w:val="bottom"/>
            <w:shd w:val="clear" w:color="auto" w:fill="F0F5FE"/>
          </w:tcPr>
          <w:p>
            <w:pPr>
              <w:ind w:left="40"/>
              <w:spacing w:after="0" w:line="157" w:lineRule="exact"/>
              <w:rPr>
                <w:sz w:val="20"/>
                <w:szCs w:val="20"/>
                <w:color w:val="auto"/>
              </w:rPr>
            </w:pPr>
            <w:r>
              <w:rPr>
                <w:rFonts w:ascii="Arial" w:cs="Arial" w:eastAsia="Arial" w:hAnsi="Arial"/>
                <w:sz w:val="14"/>
                <w:szCs w:val="14"/>
                <w:b w:val="1"/>
                <w:bCs w:val="1"/>
                <w:color w:val="auto"/>
              </w:rPr>
              <w:t>Oversight of Critical Matters</w:t>
            </w:r>
          </w:p>
        </w:tc>
        <w:tc>
          <w:tcPr>
            <w:tcW w:w="6720" w:type="dxa"/>
            <w:vAlign w:val="bottom"/>
          </w:tcPr>
          <w:p>
            <w:pPr>
              <w:ind w:left="100"/>
              <w:spacing w:after="0" w:line="157" w:lineRule="exact"/>
              <w:rPr>
                <w:sz w:val="20"/>
                <w:szCs w:val="20"/>
                <w:color w:val="auto"/>
              </w:rPr>
            </w:pPr>
            <w:r>
              <w:rPr>
                <w:rFonts w:ascii="Arial" w:cs="Arial" w:eastAsia="Arial" w:hAnsi="Arial"/>
                <w:sz w:val="14"/>
                <w:szCs w:val="14"/>
                <w:color w:val="auto"/>
              </w:rPr>
              <w:t>management, financial and other controls, legal and regulatory, ethics and compliance, technology,</w:t>
            </w:r>
          </w:p>
        </w:tc>
        <w:tc>
          <w:tcPr>
            <w:tcW w:w="0" w:type="dxa"/>
            <w:vAlign w:val="bottom"/>
          </w:tcPr>
          <w:p>
            <w:pPr>
              <w:spacing w:after="0"/>
              <w:rPr>
                <w:sz w:val="1"/>
                <w:szCs w:val="1"/>
                <w:color w:val="auto"/>
              </w:rPr>
            </w:pPr>
          </w:p>
        </w:tc>
      </w:tr>
      <w:tr>
        <w:trPr>
          <w:trHeight w:val="185"/>
        </w:trPr>
        <w:tc>
          <w:tcPr>
            <w:tcW w:w="120" w:type="dxa"/>
            <w:vAlign w:val="bottom"/>
            <w:shd w:val="clear" w:color="auto" w:fill="F0F5FE"/>
          </w:tcPr>
          <w:p>
            <w:pPr>
              <w:spacing w:after="0"/>
              <w:rPr>
                <w:sz w:val="16"/>
                <w:szCs w:val="16"/>
                <w:color w:val="auto"/>
              </w:rPr>
            </w:pPr>
          </w:p>
        </w:tc>
        <w:tc>
          <w:tcPr>
            <w:tcW w:w="2200" w:type="dxa"/>
            <w:vAlign w:val="bottom"/>
            <w:shd w:val="clear" w:color="auto" w:fill="F0F5FE"/>
          </w:tcPr>
          <w:p>
            <w:pPr>
              <w:spacing w:after="0"/>
              <w:rPr>
                <w:sz w:val="16"/>
                <w:szCs w:val="16"/>
                <w:color w:val="auto"/>
              </w:rPr>
            </w:pPr>
          </w:p>
        </w:tc>
        <w:tc>
          <w:tcPr>
            <w:tcW w:w="6720" w:type="dxa"/>
            <w:vAlign w:val="bottom"/>
          </w:tcPr>
          <w:p>
            <w:pPr>
              <w:ind w:left="100"/>
              <w:spacing w:after="0"/>
              <w:rPr>
                <w:sz w:val="20"/>
                <w:szCs w:val="20"/>
                <w:color w:val="auto"/>
              </w:rPr>
            </w:pPr>
            <w:r>
              <w:rPr>
                <w:rFonts w:ascii="Arial" w:cs="Arial" w:eastAsia="Arial" w:hAnsi="Arial"/>
                <w:sz w:val="14"/>
                <w:szCs w:val="14"/>
                <w:color w:val="auto"/>
              </w:rPr>
              <w:t>cybersecurity, artificial intelligence, data security, culture and sustainability matters.</w:t>
            </w:r>
          </w:p>
        </w:tc>
        <w:tc>
          <w:tcPr>
            <w:tcW w:w="0" w:type="dxa"/>
            <w:vAlign w:val="bottom"/>
          </w:tcPr>
          <w:p>
            <w:pPr>
              <w:spacing w:after="0"/>
              <w:rPr>
                <w:sz w:val="1"/>
                <w:szCs w:val="1"/>
                <w:color w:val="auto"/>
              </w:rPr>
            </w:pPr>
          </w:p>
        </w:tc>
      </w:tr>
      <w:tr>
        <w:trPr>
          <w:trHeight w:val="100"/>
        </w:trPr>
        <w:tc>
          <w:tcPr>
            <w:tcW w:w="120" w:type="dxa"/>
            <w:vAlign w:val="bottom"/>
            <w:tcBorders>
              <w:bottom w:val="single" w:sz="8" w:color="6D8CC3"/>
            </w:tcBorders>
            <w:shd w:val="clear" w:color="auto" w:fill="F0F5FE"/>
          </w:tcPr>
          <w:p>
            <w:pPr>
              <w:spacing w:after="0"/>
              <w:rPr>
                <w:sz w:val="8"/>
                <w:szCs w:val="8"/>
                <w:color w:val="auto"/>
              </w:rPr>
            </w:pPr>
          </w:p>
        </w:tc>
        <w:tc>
          <w:tcPr>
            <w:tcW w:w="2200" w:type="dxa"/>
            <w:vAlign w:val="bottom"/>
            <w:tcBorders>
              <w:bottom w:val="single" w:sz="8" w:color="6D8CC3"/>
            </w:tcBorders>
            <w:shd w:val="clear" w:color="auto" w:fill="F0F5FE"/>
          </w:tcPr>
          <w:p>
            <w:pPr>
              <w:spacing w:after="0"/>
              <w:rPr>
                <w:sz w:val="8"/>
                <w:szCs w:val="8"/>
                <w:color w:val="auto"/>
              </w:rPr>
            </w:pPr>
          </w:p>
        </w:tc>
        <w:tc>
          <w:tcPr>
            <w:tcW w:w="6720" w:type="dxa"/>
            <w:vAlign w:val="bottom"/>
            <w:tcBorders>
              <w:bottom w:val="single" w:sz="8" w:color="6D8CC3"/>
            </w:tcBorders>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20" w:type="dxa"/>
            <w:vAlign w:val="bottom"/>
            <w:shd w:val="clear" w:color="auto" w:fill="F0F5FE"/>
          </w:tcPr>
          <w:p>
            <w:pPr>
              <w:spacing w:after="0"/>
              <w:rPr>
                <w:sz w:val="22"/>
                <w:szCs w:val="22"/>
                <w:color w:val="auto"/>
              </w:rPr>
            </w:pPr>
          </w:p>
        </w:tc>
        <w:tc>
          <w:tcPr>
            <w:tcW w:w="2200" w:type="dxa"/>
            <w:vAlign w:val="bottom"/>
            <w:vMerge w:val="restart"/>
            <w:shd w:val="clear" w:color="auto" w:fill="F0F5FE"/>
          </w:tcPr>
          <w:p>
            <w:pPr>
              <w:ind w:left="40"/>
              <w:spacing w:after="0"/>
              <w:rPr>
                <w:sz w:val="20"/>
                <w:szCs w:val="20"/>
                <w:color w:val="auto"/>
              </w:rPr>
            </w:pPr>
            <w:r>
              <w:rPr>
                <w:rFonts w:ascii="Arial" w:cs="Arial" w:eastAsia="Arial" w:hAnsi="Arial"/>
                <w:sz w:val="14"/>
                <w:szCs w:val="14"/>
                <w:b w:val="1"/>
                <w:bCs w:val="1"/>
                <w:color w:val="auto"/>
              </w:rPr>
              <w:t>Management Succession</w:t>
            </w:r>
          </w:p>
        </w:tc>
        <w:tc>
          <w:tcPr>
            <w:tcW w:w="6720" w:type="dxa"/>
            <w:vAlign w:val="bottom"/>
          </w:tcPr>
          <w:p>
            <w:pPr>
              <w:ind w:left="100"/>
              <w:spacing w:after="0"/>
              <w:rPr>
                <w:sz w:val="20"/>
                <w:szCs w:val="20"/>
                <w:color w:val="auto"/>
              </w:rPr>
            </w:pPr>
            <w:r>
              <w:rPr>
                <w:rFonts w:ascii="Arial" w:cs="Arial" w:eastAsia="Arial" w:hAnsi="Arial"/>
                <w:sz w:val="14"/>
                <w:szCs w:val="14"/>
                <w:color w:val="auto"/>
              </w:rPr>
              <w:t>Our Board regularly reviews succession plans for our Chief Executive Officer and other senior</w:t>
            </w:r>
          </w:p>
        </w:tc>
        <w:tc>
          <w:tcPr>
            <w:tcW w:w="0" w:type="dxa"/>
            <w:vAlign w:val="bottom"/>
          </w:tcPr>
          <w:p>
            <w:pPr>
              <w:spacing w:after="0"/>
              <w:rPr>
                <w:sz w:val="1"/>
                <w:szCs w:val="1"/>
                <w:color w:val="auto"/>
              </w:rPr>
            </w:pPr>
          </w:p>
        </w:tc>
      </w:tr>
      <w:tr>
        <w:trPr>
          <w:trHeight w:val="114"/>
        </w:trPr>
        <w:tc>
          <w:tcPr>
            <w:tcW w:w="120" w:type="dxa"/>
            <w:vAlign w:val="bottom"/>
            <w:shd w:val="clear" w:color="auto" w:fill="F0F5FE"/>
          </w:tcPr>
          <w:p>
            <w:pPr>
              <w:spacing w:after="0"/>
              <w:rPr>
                <w:sz w:val="9"/>
                <w:szCs w:val="9"/>
                <w:color w:val="auto"/>
              </w:rPr>
            </w:pPr>
          </w:p>
        </w:tc>
        <w:tc>
          <w:tcPr>
            <w:tcW w:w="2200" w:type="dxa"/>
            <w:vAlign w:val="bottom"/>
            <w:vMerge w:val="continue"/>
            <w:shd w:val="clear" w:color="auto" w:fill="F0F5FE"/>
          </w:tcPr>
          <w:p>
            <w:pPr>
              <w:spacing w:after="0"/>
              <w:rPr>
                <w:sz w:val="9"/>
                <w:szCs w:val="9"/>
                <w:color w:val="auto"/>
              </w:rPr>
            </w:pPr>
          </w:p>
        </w:tc>
        <w:tc>
          <w:tcPr>
            <w:tcW w:w="6720" w:type="dxa"/>
            <w:vAlign w:val="bottom"/>
            <w:vMerge w:val="restart"/>
          </w:tcPr>
          <w:p>
            <w:pPr>
              <w:ind w:left="100"/>
              <w:spacing w:after="0"/>
              <w:rPr>
                <w:sz w:val="20"/>
                <w:szCs w:val="20"/>
                <w:color w:val="auto"/>
              </w:rPr>
            </w:pPr>
            <w:r>
              <w:rPr>
                <w:rFonts w:ascii="Arial" w:cs="Arial" w:eastAsia="Arial" w:hAnsi="Arial"/>
                <w:sz w:val="14"/>
                <w:szCs w:val="14"/>
                <w:color w:val="auto"/>
              </w:rPr>
              <w:t>management positions.</w:t>
            </w:r>
          </w:p>
        </w:tc>
        <w:tc>
          <w:tcPr>
            <w:tcW w:w="0" w:type="dxa"/>
            <w:vAlign w:val="bottom"/>
          </w:tcPr>
          <w:p>
            <w:pPr>
              <w:spacing w:after="0"/>
              <w:rPr>
                <w:sz w:val="1"/>
                <w:szCs w:val="1"/>
                <w:color w:val="auto"/>
              </w:rPr>
            </w:pPr>
          </w:p>
        </w:tc>
      </w:tr>
      <w:tr>
        <w:trPr>
          <w:trHeight w:val="71"/>
        </w:trPr>
        <w:tc>
          <w:tcPr>
            <w:tcW w:w="120" w:type="dxa"/>
            <w:vAlign w:val="bottom"/>
            <w:shd w:val="clear" w:color="auto" w:fill="F0F5FE"/>
          </w:tcPr>
          <w:p>
            <w:pPr>
              <w:spacing w:after="0"/>
              <w:rPr>
                <w:sz w:val="6"/>
                <w:szCs w:val="6"/>
                <w:color w:val="auto"/>
              </w:rPr>
            </w:pPr>
          </w:p>
        </w:tc>
        <w:tc>
          <w:tcPr>
            <w:tcW w:w="2200" w:type="dxa"/>
            <w:vAlign w:val="bottom"/>
            <w:shd w:val="clear" w:color="auto" w:fill="F0F5FE"/>
          </w:tcPr>
          <w:p>
            <w:pPr>
              <w:spacing w:after="0"/>
              <w:rPr>
                <w:sz w:val="6"/>
                <w:szCs w:val="6"/>
                <w:color w:val="auto"/>
              </w:rPr>
            </w:pPr>
          </w:p>
        </w:tc>
        <w:tc>
          <w:tcPr>
            <w:tcW w:w="6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0"/>
        </w:trPr>
        <w:tc>
          <w:tcPr>
            <w:tcW w:w="120" w:type="dxa"/>
            <w:vAlign w:val="bottom"/>
            <w:tcBorders>
              <w:bottom w:val="single" w:sz="8" w:color="6D8CC3"/>
            </w:tcBorders>
            <w:shd w:val="clear" w:color="auto" w:fill="F0F5FE"/>
          </w:tcPr>
          <w:p>
            <w:pPr>
              <w:spacing w:after="0"/>
              <w:rPr>
                <w:sz w:val="8"/>
                <w:szCs w:val="8"/>
                <w:color w:val="auto"/>
              </w:rPr>
            </w:pPr>
          </w:p>
        </w:tc>
        <w:tc>
          <w:tcPr>
            <w:tcW w:w="2200" w:type="dxa"/>
            <w:vAlign w:val="bottom"/>
            <w:tcBorders>
              <w:bottom w:val="single" w:sz="8" w:color="6D8CC3"/>
            </w:tcBorders>
            <w:shd w:val="clear" w:color="auto" w:fill="F0F5FE"/>
          </w:tcPr>
          <w:p>
            <w:pPr>
              <w:spacing w:after="0"/>
              <w:rPr>
                <w:sz w:val="8"/>
                <w:szCs w:val="8"/>
                <w:color w:val="auto"/>
              </w:rPr>
            </w:pPr>
          </w:p>
        </w:tc>
        <w:tc>
          <w:tcPr>
            <w:tcW w:w="6720" w:type="dxa"/>
            <w:vAlign w:val="bottom"/>
            <w:tcBorders>
              <w:bottom w:val="single" w:sz="8" w:color="6D8CC3"/>
            </w:tcBorders>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20" w:type="dxa"/>
            <w:vAlign w:val="bottom"/>
            <w:shd w:val="clear" w:color="auto" w:fill="F0F5FE"/>
          </w:tcPr>
          <w:p>
            <w:pPr>
              <w:spacing w:after="0"/>
              <w:rPr>
                <w:sz w:val="22"/>
                <w:szCs w:val="22"/>
                <w:color w:val="auto"/>
              </w:rPr>
            </w:pPr>
          </w:p>
        </w:tc>
        <w:tc>
          <w:tcPr>
            <w:tcW w:w="2200" w:type="dxa"/>
            <w:vAlign w:val="bottom"/>
            <w:shd w:val="clear" w:color="auto" w:fill="F0F5FE"/>
          </w:tcPr>
          <w:p>
            <w:pPr>
              <w:ind w:left="40"/>
              <w:spacing w:after="0"/>
              <w:rPr>
                <w:sz w:val="20"/>
                <w:szCs w:val="20"/>
                <w:color w:val="auto"/>
              </w:rPr>
            </w:pPr>
            <w:r>
              <w:rPr>
                <w:rFonts w:ascii="Arial" w:cs="Arial" w:eastAsia="Arial" w:hAnsi="Arial"/>
                <w:sz w:val="14"/>
                <w:szCs w:val="14"/>
                <w:b w:val="1"/>
                <w:bCs w:val="1"/>
                <w:color w:val="auto"/>
              </w:rPr>
              <w:t>Independent Executive</w:t>
            </w:r>
          </w:p>
        </w:tc>
        <w:tc>
          <w:tcPr>
            <w:tcW w:w="6720" w:type="dxa"/>
            <w:vAlign w:val="bottom"/>
          </w:tcPr>
          <w:p>
            <w:pPr>
              <w:ind w:left="100"/>
              <w:spacing w:after="0"/>
              <w:rPr>
                <w:sz w:val="20"/>
                <w:szCs w:val="20"/>
                <w:color w:val="auto"/>
              </w:rPr>
            </w:pPr>
            <w:r>
              <w:rPr>
                <w:rFonts w:ascii="Arial" w:cs="Arial" w:eastAsia="Arial" w:hAnsi="Arial"/>
                <w:sz w:val="14"/>
                <w:szCs w:val="14"/>
                <w:color w:val="auto"/>
              </w:rPr>
              <w:t>At every regular Board meeting, time is set aside for the independent directors to meet in</w:t>
            </w:r>
          </w:p>
        </w:tc>
        <w:tc>
          <w:tcPr>
            <w:tcW w:w="0" w:type="dxa"/>
            <w:vAlign w:val="bottom"/>
          </w:tcPr>
          <w:p>
            <w:pPr>
              <w:spacing w:after="0"/>
              <w:rPr>
                <w:sz w:val="1"/>
                <w:szCs w:val="1"/>
                <w:color w:val="auto"/>
              </w:rPr>
            </w:pPr>
          </w:p>
        </w:tc>
      </w:tr>
      <w:tr>
        <w:trPr>
          <w:trHeight w:val="167"/>
        </w:trPr>
        <w:tc>
          <w:tcPr>
            <w:tcW w:w="120" w:type="dxa"/>
            <w:vAlign w:val="bottom"/>
            <w:shd w:val="clear" w:color="auto" w:fill="F0F5FE"/>
          </w:tcPr>
          <w:p>
            <w:pPr>
              <w:spacing w:after="0"/>
              <w:rPr>
                <w:sz w:val="14"/>
                <w:szCs w:val="14"/>
                <w:color w:val="auto"/>
              </w:rPr>
            </w:pPr>
          </w:p>
        </w:tc>
        <w:tc>
          <w:tcPr>
            <w:tcW w:w="2200" w:type="dxa"/>
            <w:vAlign w:val="bottom"/>
            <w:shd w:val="clear" w:color="auto" w:fill="F0F5FE"/>
          </w:tcPr>
          <w:p>
            <w:pPr>
              <w:ind w:left="40"/>
              <w:spacing w:after="0"/>
              <w:rPr>
                <w:sz w:val="20"/>
                <w:szCs w:val="20"/>
                <w:color w:val="auto"/>
              </w:rPr>
            </w:pPr>
            <w:r>
              <w:rPr>
                <w:rFonts w:ascii="Arial" w:cs="Arial" w:eastAsia="Arial" w:hAnsi="Arial"/>
                <w:sz w:val="14"/>
                <w:szCs w:val="14"/>
                <w:b w:val="1"/>
                <w:bCs w:val="1"/>
                <w:color w:val="auto"/>
              </w:rPr>
              <w:t>Sessions</w:t>
            </w:r>
          </w:p>
        </w:tc>
        <w:tc>
          <w:tcPr>
            <w:tcW w:w="6720" w:type="dxa"/>
            <w:vAlign w:val="bottom"/>
          </w:tcPr>
          <w:p>
            <w:pPr>
              <w:ind w:left="100"/>
              <w:spacing w:after="0"/>
              <w:rPr>
                <w:sz w:val="20"/>
                <w:szCs w:val="20"/>
                <w:color w:val="auto"/>
              </w:rPr>
            </w:pPr>
            <w:r>
              <w:rPr>
                <w:rFonts w:ascii="Arial" w:cs="Arial" w:eastAsia="Arial" w:hAnsi="Arial"/>
                <w:sz w:val="14"/>
                <w:szCs w:val="14"/>
                <w:color w:val="auto"/>
              </w:rPr>
              <w:t>executive session.</w:t>
            </w:r>
          </w:p>
        </w:tc>
        <w:tc>
          <w:tcPr>
            <w:tcW w:w="0" w:type="dxa"/>
            <w:vAlign w:val="bottom"/>
          </w:tcPr>
          <w:p>
            <w:pPr>
              <w:spacing w:after="0"/>
              <w:rPr>
                <w:sz w:val="1"/>
                <w:szCs w:val="1"/>
                <w:color w:val="auto"/>
              </w:rPr>
            </w:pPr>
          </w:p>
        </w:tc>
      </w:tr>
      <w:tr>
        <w:trPr>
          <w:trHeight w:val="66"/>
        </w:trPr>
        <w:tc>
          <w:tcPr>
            <w:tcW w:w="120" w:type="dxa"/>
            <w:vAlign w:val="bottom"/>
            <w:tcBorders>
              <w:bottom w:val="single" w:sz="8" w:color="6D8CC3"/>
            </w:tcBorders>
            <w:shd w:val="clear" w:color="auto" w:fill="F0F5FE"/>
          </w:tcPr>
          <w:p>
            <w:pPr>
              <w:spacing w:after="0"/>
              <w:rPr>
                <w:sz w:val="5"/>
                <w:szCs w:val="5"/>
                <w:color w:val="auto"/>
              </w:rPr>
            </w:pPr>
          </w:p>
        </w:tc>
        <w:tc>
          <w:tcPr>
            <w:tcW w:w="2200" w:type="dxa"/>
            <w:vAlign w:val="bottom"/>
            <w:tcBorders>
              <w:bottom w:val="single" w:sz="8" w:color="6D8CC3"/>
            </w:tcBorders>
            <w:shd w:val="clear" w:color="auto" w:fill="F0F5FE"/>
          </w:tcPr>
          <w:p>
            <w:pPr>
              <w:spacing w:after="0"/>
              <w:rPr>
                <w:sz w:val="5"/>
                <w:szCs w:val="5"/>
                <w:color w:val="auto"/>
              </w:rPr>
            </w:pPr>
          </w:p>
        </w:tc>
        <w:tc>
          <w:tcPr>
            <w:tcW w:w="6720" w:type="dxa"/>
            <w:vAlign w:val="bottom"/>
            <w:tcBorders>
              <w:bottom w:val="single" w:sz="8" w:color="6D8CC3"/>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820"/>
        <w:spacing w:after="0"/>
        <w:rPr>
          <w:sz w:val="20"/>
          <w:szCs w:val="20"/>
          <w:color w:val="auto"/>
        </w:rPr>
      </w:pPr>
      <w:r>
        <w:rPr>
          <w:rFonts w:ascii="Arial" w:cs="Arial" w:eastAsia="Arial" w:hAnsi="Arial"/>
          <w:sz w:val="19"/>
          <w:szCs w:val="19"/>
          <w:b w:val="1"/>
          <w:bCs w:val="1"/>
          <w:color w:val="6D8CC3"/>
        </w:rPr>
        <w:t>SHAREHOLDER RIGHTS AND ACCOUNTABILITY</w:t>
      </w:r>
    </w:p>
    <w:p>
      <w:pPr>
        <w:spacing w:after="0" w:line="74" w:lineRule="exact"/>
        <w:rPr>
          <w:sz w:val="20"/>
          <w:szCs w:val="20"/>
          <w:color w:val="auto"/>
        </w:rPr>
      </w:pPr>
    </w:p>
    <w:tbl>
      <w:tblPr>
        <w:tblLayout w:type="fixed"/>
        <w:tblInd w:w="820" w:type="dxa"/>
        <w:tblCellMar>
          <w:top w:w="0" w:type="dxa"/>
          <w:left w:w="0" w:type="dxa"/>
          <w:bottom w:w="0" w:type="dxa"/>
          <w:right w:w="0" w:type="dxa"/>
        </w:tblCellMar>
      </w:tblPr>
      <w:tr>
        <w:trPr>
          <w:trHeight w:val="314"/>
        </w:trPr>
        <w:tc>
          <w:tcPr>
            <w:tcW w:w="120" w:type="dxa"/>
            <w:vAlign w:val="bottom"/>
            <w:tcBorders>
              <w:top w:val="single" w:sz="8" w:color="292F72"/>
            </w:tcBorders>
            <w:shd w:val="clear" w:color="auto" w:fill="F0F5FE"/>
          </w:tcPr>
          <w:p>
            <w:pPr>
              <w:spacing w:after="0"/>
              <w:rPr>
                <w:sz w:val="24"/>
                <w:szCs w:val="24"/>
                <w:color w:val="auto"/>
              </w:rPr>
            </w:pPr>
          </w:p>
        </w:tc>
        <w:tc>
          <w:tcPr>
            <w:tcW w:w="2200" w:type="dxa"/>
            <w:vAlign w:val="bottom"/>
            <w:tcBorders>
              <w:top w:val="single" w:sz="8" w:color="292F72"/>
            </w:tcBorders>
            <w:shd w:val="clear" w:color="auto" w:fill="F0F5FE"/>
          </w:tcPr>
          <w:p>
            <w:pPr>
              <w:ind w:left="40"/>
              <w:spacing w:after="0"/>
              <w:rPr>
                <w:sz w:val="20"/>
                <w:szCs w:val="20"/>
                <w:color w:val="auto"/>
              </w:rPr>
            </w:pPr>
            <w:r>
              <w:rPr>
                <w:rFonts w:ascii="Arial" w:cs="Arial" w:eastAsia="Arial" w:hAnsi="Arial"/>
                <w:sz w:val="14"/>
                <w:szCs w:val="14"/>
                <w:b w:val="1"/>
                <w:bCs w:val="1"/>
                <w:color w:val="auto"/>
              </w:rPr>
              <w:t>Annual Board Elections</w:t>
            </w:r>
          </w:p>
        </w:tc>
        <w:tc>
          <w:tcPr>
            <w:tcW w:w="6720" w:type="dxa"/>
            <w:vAlign w:val="bottom"/>
            <w:tcBorders>
              <w:top w:val="single" w:sz="8" w:color="292F72"/>
            </w:tcBorders>
          </w:tcPr>
          <w:p>
            <w:pPr>
              <w:ind w:left="100"/>
              <w:spacing w:after="0"/>
              <w:rPr>
                <w:sz w:val="20"/>
                <w:szCs w:val="20"/>
                <w:color w:val="auto"/>
              </w:rPr>
            </w:pPr>
            <w:r>
              <w:rPr>
                <w:rFonts w:ascii="Arial" w:cs="Arial" w:eastAsia="Arial" w:hAnsi="Arial"/>
                <w:sz w:val="14"/>
                <w:szCs w:val="14"/>
                <w:color w:val="auto"/>
              </w:rPr>
              <w:t>All directors are elected annually. We do not have a classified Board.</w:t>
            </w:r>
          </w:p>
        </w:tc>
        <w:tc>
          <w:tcPr>
            <w:tcW w:w="0" w:type="dxa"/>
            <w:vAlign w:val="bottom"/>
          </w:tcPr>
          <w:p>
            <w:pPr>
              <w:spacing w:after="0"/>
              <w:rPr>
                <w:sz w:val="1"/>
                <w:szCs w:val="1"/>
                <w:color w:val="auto"/>
              </w:rPr>
            </w:pPr>
          </w:p>
        </w:tc>
      </w:tr>
      <w:tr>
        <w:trPr>
          <w:trHeight w:val="92"/>
        </w:trPr>
        <w:tc>
          <w:tcPr>
            <w:tcW w:w="120" w:type="dxa"/>
            <w:vAlign w:val="bottom"/>
            <w:tcBorders>
              <w:bottom w:val="single" w:sz="8" w:color="6D8CC3"/>
            </w:tcBorders>
            <w:shd w:val="clear" w:color="auto" w:fill="F0F5FE"/>
          </w:tcPr>
          <w:p>
            <w:pPr>
              <w:spacing w:after="0"/>
              <w:rPr>
                <w:sz w:val="8"/>
                <w:szCs w:val="8"/>
                <w:color w:val="auto"/>
              </w:rPr>
            </w:pPr>
          </w:p>
        </w:tc>
        <w:tc>
          <w:tcPr>
            <w:tcW w:w="2200" w:type="dxa"/>
            <w:vAlign w:val="bottom"/>
            <w:tcBorders>
              <w:bottom w:val="single" w:sz="8" w:color="6D8CC3"/>
            </w:tcBorders>
            <w:shd w:val="clear" w:color="auto" w:fill="F0F5FE"/>
          </w:tcPr>
          <w:p>
            <w:pPr>
              <w:spacing w:after="0"/>
              <w:rPr>
                <w:sz w:val="8"/>
                <w:szCs w:val="8"/>
                <w:color w:val="auto"/>
              </w:rPr>
            </w:pPr>
          </w:p>
        </w:tc>
        <w:tc>
          <w:tcPr>
            <w:tcW w:w="6720" w:type="dxa"/>
            <w:vAlign w:val="bottom"/>
            <w:tcBorders>
              <w:bottom w:val="single" w:sz="8" w:color="6D8CC3"/>
            </w:tcBorders>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20" w:type="dxa"/>
            <w:vAlign w:val="bottom"/>
            <w:shd w:val="clear" w:color="auto" w:fill="F0F5FE"/>
          </w:tcPr>
          <w:p>
            <w:pPr>
              <w:spacing w:after="0"/>
              <w:rPr>
                <w:sz w:val="22"/>
                <w:szCs w:val="22"/>
                <w:color w:val="auto"/>
              </w:rPr>
            </w:pPr>
          </w:p>
        </w:tc>
        <w:tc>
          <w:tcPr>
            <w:tcW w:w="2200" w:type="dxa"/>
            <w:vAlign w:val="bottom"/>
            <w:vMerge w:val="restart"/>
            <w:shd w:val="clear" w:color="auto" w:fill="F0F5FE"/>
          </w:tcPr>
          <w:p>
            <w:pPr>
              <w:ind w:left="40"/>
              <w:spacing w:after="0"/>
              <w:rPr>
                <w:sz w:val="20"/>
                <w:szCs w:val="20"/>
                <w:color w:val="auto"/>
              </w:rPr>
            </w:pPr>
            <w:r>
              <w:rPr>
                <w:rFonts w:ascii="Arial" w:cs="Arial" w:eastAsia="Arial" w:hAnsi="Arial"/>
                <w:sz w:val="14"/>
                <w:szCs w:val="14"/>
                <w:b w:val="1"/>
                <w:bCs w:val="1"/>
                <w:color w:val="auto"/>
              </w:rPr>
              <w:t>Majority Voting Requirements</w:t>
            </w:r>
          </w:p>
        </w:tc>
        <w:tc>
          <w:tcPr>
            <w:tcW w:w="6720" w:type="dxa"/>
            <w:vAlign w:val="bottom"/>
          </w:tcPr>
          <w:p>
            <w:pPr>
              <w:ind w:left="100"/>
              <w:spacing w:after="0"/>
              <w:rPr>
                <w:sz w:val="20"/>
                <w:szCs w:val="20"/>
                <w:color w:val="auto"/>
              </w:rPr>
            </w:pPr>
            <w:r>
              <w:rPr>
                <w:rFonts w:ascii="Arial" w:cs="Arial" w:eastAsia="Arial" w:hAnsi="Arial"/>
                <w:sz w:val="14"/>
                <w:szCs w:val="14"/>
                <w:color w:val="auto"/>
              </w:rPr>
              <w:t>Neither our Certificate of Incorporation nor our Amended and Restated Bylaws (the “Bylaws”) has a</w:t>
            </w:r>
          </w:p>
        </w:tc>
        <w:tc>
          <w:tcPr>
            <w:tcW w:w="0" w:type="dxa"/>
            <w:vAlign w:val="bottom"/>
          </w:tcPr>
          <w:p>
            <w:pPr>
              <w:spacing w:after="0"/>
              <w:rPr>
                <w:sz w:val="1"/>
                <w:szCs w:val="1"/>
                <w:color w:val="auto"/>
              </w:rPr>
            </w:pPr>
          </w:p>
        </w:tc>
      </w:tr>
      <w:tr>
        <w:trPr>
          <w:trHeight w:val="114"/>
        </w:trPr>
        <w:tc>
          <w:tcPr>
            <w:tcW w:w="120" w:type="dxa"/>
            <w:vAlign w:val="bottom"/>
            <w:shd w:val="clear" w:color="auto" w:fill="F0F5FE"/>
          </w:tcPr>
          <w:p>
            <w:pPr>
              <w:spacing w:after="0"/>
              <w:rPr>
                <w:sz w:val="9"/>
                <w:szCs w:val="9"/>
                <w:color w:val="auto"/>
              </w:rPr>
            </w:pPr>
          </w:p>
        </w:tc>
        <w:tc>
          <w:tcPr>
            <w:tcW w:w="2200" w:type="dxa"/>
            <w:vAlign w:val="bottom"/>
            <w:vMerge w:val="continue"/>
            <w:shd w:val="clear" w:color="auto" w:fill="F0F5FE"/>
          </w:tcPr>
          <w:p>
            <w:pPr>
              <w:spacing w:after="0"/>
              <w:rPr>
                <w:sz w:val="9"/>
                <w:szCs w:val="9"/>
                <w:color w:val="auto"/>
              </w:rPr>
            </w:pPr>
          </w:p>
        </w:tc>
        <w:tc>
          <w:tcPr>
            <w:tcW w:w="6720" w:type="dxa"/>
            <w:vAlign w:val="bottom"/>
            <w:vMerge w:val="restart"/>
          </w:tcPr>
          <w:p>
            <w:pPr>
              <w:ind w:left="100"/>
              <w:spacing w:after="0"/>
              <w:rPr>
                <w:sz w:val="20"/>
                <w:szCs w:val="20"/>
                <w:color w:val="auto"/>
              </w:rPr>
            </w:pPr>
            <w:r>
              <w:rPr>
                <w:rFonts w:ascii="Arial" w:cs="Arial" w:eastAsia="Arial" w:hAnsi="Arial"/>
                <w:sz w:val="14"/>
                <w:szCs w:val="14"/>
                <w:color w:val="auto"/>
              </w:rPr>
              <w:t>supermajority voting requirement.</w:t>
            </w:r>
          </w:p>
        </w:tc>
        <w:tc>
          <w:tcPr>
            <w:tcW w:w="0" w:type="dxa"/>
            <w:vAlign w:val="bottom"/>
          </w:tcPr>
          <w:p>
            <w:pPr>
              <w:spacing w:after="0"/>
              <w:rPr>
                <w:sz w:val="1"/>
                <w:szCs w:val="1"/>
                <w:color w:val="auto"/>
              </w:rPr>
            </w:pPr>
          </w:p>
        </w:tc>
      </w:tr>
      <w:tr>
        <w:trPr>
          <w:trHeight w:val="71"/>
        </w:trPr>
        <w:tc>
          <w:tcPr>
            <w:tcW w:w="120" w:type="dxa"/>
            <w:vAlign w:val="bottom"/>
            <w:shd w:val="clear" w:color="auto" w:fill="F0F5FE"/>
          </w:tcPr>
          <w:p>
            <w:pPr>
              <w:spacing w:after="0"/>
              <w:rPr>
                <w:sz w:val="6"/>
                <w:szCs w:val="6"/>
                <w:color w:val="auto"/>
              </w:rPr>
            </w:pPr>
          </w:p>
        </w:tc>
        <w:tc>
          <w:tcPr>
            <w:tcW w:w="2200" w:type="dxa"/>
            <w:vAlign w:val="bottom"/>
            <w:shd w:val="clear" w:color="auto" w:fill="F0F5FE"/>
          </w:tcPr>
          <w:p>
            <w:pPr>
              <w:spacing w:after="0"/>
              <w:rPr>
                <w:sz w:val="6"/>
                <w:szCs w:val="6"/>
                <w:color w:val="auto"/>
              </w:rPr>
            </w:pPr>
          </w:p>
        </w:tc>
        <w:tc>
          <w:tcPr>
            <w:tcW w:w="6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0"/>
        </w:trPr>
        <w:tc>
          <w:tcPr>
            <w:tcW w:w="120" w:type="dxa"/>
            <w:vAlign w:val="bottom"/>
            <w:tcBorders>
              <w:bottom w:val="single" w:sz="8" w:color="6D8CC3"/>
            </w:tcBorders>
            <w:shd w:val="clear" w:color="auto" w:fill="F0F5FE"/>
          </w:tcPr>
          <w:p>
            <w:pPr>
              <w:spacing w:after="0"/>
              <w:rPr>
                <w:sz w:val="8"/>
                <w:szCs w:val="8"/>
                <w:color w:val="auto"/>
              </w:rPr>
            </w:pPr>
          </w:p>
        </w:tc>
        <w:tc>
          <w:tcPr>
            <w:tcW w:w="2200" w:type="dxa"/>
            <w:vAlign w:val="bottom"/>
            <w:tcBorders>
              <w:bottom w:val="single" w:sz="8" w:color="6D8CC3"/>
            </w:tcBorders>
            <w:shd w:val="clear" w:color="auto" w:fill="F0F5FE"/>
          </w:tcPr>
          <w:p>
            <w:pPr>
              <w:spacing w:after="0"/>
              <w:rPr>
                <w:sz w:val="8"/>
                <w:szCs w:val="8"/>
                <w:color w:val="auto"/>
              </w:rPr>
            </w:pPr>
          </w:p>
        </w:tc>
        <w:tc>
          <w:tcPr>
            <w:tcW w:w="6720" w:type="dxa"/>
            <w:vAlign w:val="bottom"/>
            <w:tcBorders>
              <w:bottom w:val="single" w:sz="8" w:color="6D8CC3"/>
            </w:tcBorders>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20" w:type="dxa"/>
            <w:vAlign w:val="bottom"/>
            <w:shd w:val="clear" w:color="auto" w:fill="F0F5FE"/>
          </w:tcPr>
          <w:p>
            <w:pPr>
              <w:spacing w:after="0"/>
              <w:rPr>
                <w:sz w:val="22"/>
                <w:szCs w:val="22"/>
                <w:color w:val="auto"/>
              </w:rPr>
            </w:pPr>
          </w:p>
        </w:tc>
        <w:tc>
          <w:tcPr>
            <w:tcW w:w="2200" w:type="dxa"/>
            <w:vAlign w:val="bottom"/>
            <w:shd w:val="clear" w:color="auto" w:fill="F0F5FE"/>
          </w:tcPr>
          <w:p>
            <w:pPr>
              <w:spacing w:after="0"/>
              <w:rPr>
                <w:sz w:val="22"/>
                <w:szCs w:val="22"/>
                <w:color w:val="auto"/>
              </w:rPr>
            </w:pPr>
          </w:p>
        </w:tc>
        <w:tc>
          <w:tcPr>
            <w:tcW w:w="6720" w:type="dxa"/>
            <w:vAlign w:val="bottom"/>
          </w:tcPr>
          <w:p>
            <w:pPr>
              <w:ind w:left="100"/>
              <w:spacing w:after="0"/>
              <w:rPr>
                <w:sz w:val="20"/>
                <w:szCs w:val="20"/>
                <w:color w:val="auto"/>
              </w:rPr>
            </w:pPr>
            <w:r>
              <w:rPr>
                <w:rFonts w:ascii="Arial" w:cs="Arial" w:eastAsia="Arial" w:hAnsi="Arial"/>
                <w:sz w:val="14"/>
                <w:szCs w:val="14"/>
                <w:color w:val="auto"/>
              </w:rPr>
              <w:t>Our Bylaws include proxy access rights, permitting up to 20 shareholders owning 3% or more of the</w:t>
            </w:r>
          </w:p>
        </w:tc>
        <w:tc>
          <w:tcPr>
            <w:tcW w:w="0" w:type="dxa"/>
            <w:vAlign w:val="bottom"/>
          </w:tcPr>
          <w:p>
            <w:pPr>
              <w:spacing w:after="0"/>
              <w:rPr>
                <w:sz w:val="1"/>
                <w:szCs w:val="1"/>
                <w:color w:val="auto"/>
              </w:rPr>
            </w:pPr>
          </w:p>
        </w:tc>
      </w:tr>
      <w:tr>
        <w:trPr>
          <w:trHeight w:val="157"/>
        </w:trPr>
        <w:tc>
          <w:tcPr>
            <w:tcW w:w="120" w:type="dxa"/>
            <w:vAlign w:val="bottom"/>
            <w:shd w:val="clear" w:color="auto" w:fill="F0F5FE"/>
          </w:tcPr>
          <w:p>
            <w:pPr>
              <w:spacing w:after="0"/>
              <w:rPr>
                <w:sz w:val="13"/>
                <w:szCs w:val="13"/>
                <w:color w:val="auto"/>
              </w:rPr>
            </w:pPr>
          </w:p>
        </w:tc>
        <w:tc>
          <w:tcPr>
            <w:tcW w:w="2200" w:type="dxa"/>
            <w:vAlign w:val="bottom"/>
            <w:shd w:val="clear" w:color="auto" w:fill="F0F5FE"/>
          </w:tcPr>
          <w:p>
            <w:pPr>
              <w:ind w:left="40"/>
              <w:spacing w:after="0" w:line="157" w:lineRule="exact"/>
              <w:rPr>
                <w:sz w:val="20"/>
                <w:szCs w:val="20"/>
                <w:color w:val="auto"/>
              </w:rPr>
            </w:pPr>
            <w:r>
              <w:rPr>
                <w:rFonts w:ascii="Arial" w:cs="Arial" w:eastAsia="Arial" w:hAnsi="Arial"/>
                <w:sz w:val="14"/>
                <w:szCs w:val="14"/>
                <w:b w:val="1"/>
                <w:bCs w:val="1"/>
                <w:color w:val="auto"/>
              </w:rPr>
              <w:t>Proxy Access</w:t>
            </w:r>
          </w:p>
        </w:tc>
        <w:tc>
          <w:tcPr>
            <w:tcW w:w="6720" w:type="dxa"/>
            <w:vAlign w:val="bottom"/>
          </w:tcPr>
          <w:p>
            <w:pPr>
              <w:ind w:left="100"/>
              <w:spacing w:after="0" w:line="157" w:lineRule="exact"/>
              <w:rPr>
                <w:sz w:val="20"/>
                <w:szCs w:val="20"/>
                <w:color w:val="auto"/>
              </w:rPr>
            </w:pPr>
            <w:r>
              <w:rPr>
                <w:rFonts w:ascii="Arial" w:cs="Arial" w:eastAsia="Arial" w:hAnsi="Arial"/>
                <w:sz w:val="14"/>
                <w:szCs w:val="14"/>
                <w:color w:val="auto"/>
              </w:rPr>
              <w:t>outstanding shares of the Company’s common stock continuously for at least three years to nominate the</w:t>
            </w:r>
          </w:p>
        </w:tc>
        <w:tc>
          <w:tcPr>
            <w:tcW w:w="0" w:type="dxa"/>
            <w:vAlign w:val="bottom"/>
          </w:tcPr>
          <w:p>
            <w:pPr>
              <w:spacing w:after="0"/>
              <w:rPr>
                <w:sz w:val="1"/>
                <w:szCs w:val="1"/>
                <w:color w:val="auto"/>
              </w:rPr>
            </w:pPr>
          </w:p>
        </w:tc>
      </w:tr>
      <w:tr>
        <w:trPr>
          <w:trHeight w:val="185"/>
        </w:trPr>
        <w:tc>
          <w:tcPr>
            <w:tcW w:w="120" w:type="dxa"/>
            <w:vAlign w:val="bottom"/>
            <w:shd w:val="clear" w:color="auto" w:fill="F0F5FE"/>
          </w:tcPr>
          <w:p>
            <w:pPr>
              <w:spacing w:after="0"/>
              <w:rPr>
                <w:sz w:val="16"/>
                <w:szCs w:val="16"/>
                <w:color w:val="auto"/>
              </w:rPr>
            </w:pPr>
          </w:p>
        </w:tc>
        <w:tc>
          <w:tcPr>
            <w:tcW w:w="2200" w:type="dxa"/>
            <w:vAlign w:val="bottom"/>
            <w:shd w:val="clear" w:color="auto" w:fill="F0F5FE"/>
          </w:tcPr>
          <w:p>
            <w:pPr>
              <w:spacing w:after="0"/>
              <w:rPr>
                <w:sz w:val="16"/>
                <w:szCs w:val="16"/>
                <w:color w:val="auto"/>
              </w:rPr>
            </w:pPr>
          </w:p>
        </w:tc>
        <w:tc>
          <w:tcPr>
            <w:tcW w:w="6720" w:type="dxa"/>
            <w:vAlign w:val="bottom"/>
          </w:tcPr>
          <w:p>
            <w:pPr>
              <w:ind w:left="100"/>
              <w:spacing w:after="0"/>
              <w:rPr>
                <w:sz w:val="20"/>
                <w:szCs w:val="20"/>
                <w:color w:val="auto"/>
              </w:rPr>
            </w:pPr>
            <w:r>
              <w:rPr>
                <w:rFonts w:ascii="Arial" w:cs="Arial" w:eastAsia="Arial" w:hAnsi="Arial"/>
                <w:sz w:val="14"/>
                <w:szCs w:val="14"/>
                <w:color w:val="auto"/>
              </w:rPr>
              <w:t>greater of two directors or up to 20% of our Board and include those nominees in our proxy materials.</w:t>
            </w:r>
          </w:p>
        </w:tc>
        <w:tc>
          <w:tcPr>
            <w:tcW w:w="0" w:type="dxa"/>
            <w:vAlign w:val="bottom"/>
          </w:tcPr>
          <w:p>
            <w:pPr>
              <w:spacing w:after="0"/>
              <w:rPr>
                <w:sz w:val="1"/>
                <w:szCs w:val="1"/>
                <w:color w:val="auto"/>
              </w:rPr>
            </w:pPr>
          </w:p>
        </w:tc>
      </w:tr>
      <w:tr>
        <w:trPr>
          <w:trHeight w:val="100"/>
        </w:trPr>
        <w:tc>
          <w:tcPr>
            <w:tcW w:w="120" w:type="dxa"/>
            <w:vAlign w:val="bottom"/>
            <w:tcBorders>
              <w:bottom w:val="single" w:sz="8" w:color="6D8CC3"/>
            </w:tcBorders>
            <w:shd w:val="clear" w:color="auto" w:fill="F0F5FE"/>
          </w:tcPr>
          <w:p>
            <w:pPr>
              <w:spacing w:after="0"/>
              <w:rPr>
                <w:sz w:val="8"/>
                <w:szCs w:val="8"/>
                <w:color w:val="auto"/>
              </w:rPr>
            </w:pPr>
          </w:p>
        </w:tc>
        <w:tc>
          <w:tcPr>
            <w:tcW w:w="2200" w:type="dxa"/>
            <w:vAlign w:val="bottom"/>
            <w:tcBorders>
              <w:bottom w:val="single" w:sz="8" w:color="6D8CC3"/>
            </w:tcBorders>
            <w:shd w:val="clear" w:color="auto" w:fill="F0F5FE"/>
          </w:tcPr>
          <w:p>
            <w:pPr>
              <w:spacing w:after="0"/>
              <w:rPr>
                <w:sz w:val="8"/>
                <w:szCs w:val="8"/>
                <w:color w:val="auto"/>
              </w:rPr>
            </w:pPr>
          </w:p>
        </w:tc>
        <w:tc>
          <w:tcPr>
            <w:tcW w:w="6720" w:type="dxa"/>
            <w:vAlign w:val="bottom"/>
            <w:tcBorders>
              <w:bottom w:val="single" w:sz="8" w:color="6D8CC3"/>
            </w:tcBorders>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20" w:type="dxa"/>
            <w:vAlign w:val="bottom"/>
            <w:shd w:val="clear" w:color="auto" w:fill="F0F5FE"/>
          </w:tcPr>
          <w:p>
            <w:pPr>
              <w:spacing w:after="0"/>
              <w:rPr>
                <w:sz w:val="22"/>
                <w:szCs w:val="22"/>
                <w:color w:val="auto"/>
              </w:rPr>
            </w:pPr>
          </w:p>
        </w:tc>
        <w:tc>
          <w:tcPr>
            <w:tcW w:w="2200" w:type="dxa"/>
            <w:vAlign w:val="bottom"/>
            <w:shd w:val="clear" w:color="auto" w:fill="F0F5FE"/>
          </w:tcPr>
          <w:p>
            <w:pPr>
              <w:ind w:left="40"/>
              <w:spacing w:after="0"/>
              <w:rPr>
                <w:sz w:val="20"/>
                <w:szCs w:val="20"/>
                <w:color w:val="auto"/>
              </w:rPr>
            </w:pPr>
            <w:r>
              <w:rPr>
                <w:rFonts w:ascii="Arial" w:cs="Arial" w:eastAsia="Arial" w:hAnsi="Arial"/>
                <w:sz w:val="14"/>
                <w:szCs w:val="14"/>
                <w:b w:val="1"/>
                <w:bCs w:val="1"/>
                <w:color w:val="auto"/>
              </w:rPr>
              <w:t>Shareholder Ability to Call</w:t>
            </w:r>
          </w:p>
        </w:tc>
        <w:tc>
          <w:tcPr>
            <w:tcW w:w="6720" w:type="dxa"/>
            <w:vAlign w:val="bottom"/>
          </w:tcPr>
          <w:p>
            <w:pPr>
              <w:ind w:left="100"/>
              <w:spacing w:after="0"/>
              <w:rPr>
                <w:sz w:val="20"/>
                <w:szCs w:val="20"/>
                <w:color w:val="auto"/>
              </w:rPr>
            </w:pPr>
            <w:r>
              <w:rPr>
                <w:rFonts w:ascii="Arial" w:cs="Arial" w:eastAsia="Arial" w:hAnsi="Arial"/>
                <w:sz w:val="14"/>
                <w:szCs w:val="14"/>
                <w:color w:val="auto"/>
              </w:rPr>
              <w:t>Shareholders who own at least 25% of the outstanding shares of the Company’s common stock may call a</w:t>
            </w:r>
          </w:p>
        </w:tc>
        <w:tc>
          <w:tcPr>
            <w:tcW w:w="0" w:type="dxa"/>
            <w:vAlign w:val="bottom"/>
          </w:tcPr>
          <w:p>
            <w:pPr>
              <w:spacing w:after="0"/>
              <w:rPr>
                <w:sz w:val="1"/>
                <w:szCs w:val="1"/>
                <w:color w:val="auto"/>
              </w:rPr>
            </w:pPr>
          </w:p>
        </w:tc>
      </w:tr>
      <w:tr>
        <w:trPr>
          <w:trHeight w:val="193"/>
        </w:trPr>
        <w:tc>
          <w:tcPr>
            <w:tcW w:w="120" w:type="dxa"/>
            <w:vAlign w:val="bottom"/>
            <w:shd w:val="clear" w:color="auto" w:fill="F0F5FE"/>
          </w:tcPr>
          <w:p>
            <w:pPr>
              <w:spacing w:after="0"/>
              <w:rPr>
                <w:sz w:val="16"/>
                <w:szCs w:val="16"/>
                <w:color w:val="auto"/>
              </w:rPr>
            </w:pPr>
          </w:p>
        </w:tc>
        <w:tc>
          <w:tcPr>
            <w:tcW w:w="2200" w:type="dxa"/>
            <w:vAlign w:val="bottom"/>
            <w:shd w:val="clear" w:color="auto" w:fill="F0F5FE"/>
          </w:tcPr>
          <w:p>
            <w:pPr>
              <w:ind w:left="40"/>
              <w:spacing w:after="0"/>
              <w:rPr>
                <w:sz w:val="20"/>
                <w:szCs w:val="20"/>
                <w:color w:val="auto"/>
              </w:rPr>
            </w:pPr>
            <w:r>
              <w:rPr>
                <w:rFonts w:ascii="Arial" w:cs="Arial" w:eastAsia="Arial" w:hAnsi="Arial"/>
                <w:sz w:val="14"/>
                <w:szCs w:val="14"/>
                <w:b w:val="1"/>
                <w:bCs w:val="1"/>
                <w:color w:val="auto"/>
              </w:rPr>
              <w:t>Special Meetings</w:t>
            </w:r>
          </w:p>
        </w:tc>
        <w:tc>
          <w:tcPr>
            <w:tcW w:w="6720" w:type="dxa"/>
            <w:vAlign w:val="bottom"/>
          </w:tcPr>
          <w:p>
            <w:pPr>
              <w:ind w:left="100"/>
              <w:spacing w:after="0"/>
              <w:rPr>
                <w:sz w:val="20"/>
                <w:szCs w:val="20"/>
                <w:color w:val="auto"/>
              </w:rPr>
            </w:pPr>
            <w:r>
              <w:rPr>
                <w:rFonts w:ascii="Arial" w:cs="Arial" w:eastAsia="Arial" w:hAnsi="Arial"/>
                <w:sz w:val="14"/>
                <w:szCs w:val="14"/>
                <w:color w:val="auto"/>
              </w:rPr>
              <w:t>special meeting of shareholders.</w:t>
            </w:r>
          </w:p>
        </w:tc>
        <w:tc>
          <w:tcPr>
            <w:tcW w:w="0" w:type="dxa"/>
            <w:vAlign w:val="bottom"/>
          </w:tcPr>
          <w:p>
            <w:pPr>
              <w:spacing w:after="0"/>
              <w:rPr>
                <w:sz w:val="1"/>
                <w:szCs w:val="1"/>
                <w:color w:val="auto"/>
              </w:rPr>
            </w:pPr>
          </w:p>
        </w:tc>
      </w:tr>
      <w:tr>
        <w:trPr>
          <w:trHeight w:val="92"/>
        </w:trPr>
        <w:tc>
          <w:tcPr>
            <w:tcW w:w="120" w:type="dxa"/>
            <w:vAlign w:val="bottom"/>
            <w:tcBorders>
              <w:bottom w:val="single" w:sz="8" w:color="6D8CC3"/>
            </w:tcBorders>
            <w:shd w:val="clear" w:color="auto" w:fill="F0F5FE"/>
          </w:tcPr>
          <w:p>
            <w:pPr>
              <w:spacing w:after="0"/>
              <w:rPr>
                <w:sz w:val="8"/>
                <w:szCs w:val="8"/>
                <w:color w:val="auto"/>
              </w:rPr>
            </w:pPr>
          </w:p>
        </w:tc>
        <w:tc>
          <w:tcPr>
            <w:tcW w:w="2200" w:type="dxa"/>
            <w:vAlign w:val="bottom"/>
            <w:tcBorders>
              <w:bottom w:val="single" w:sz="8" w:color="6D8CC3"/>
            </w:tcBorders>
            <w:shd w:val="clear" w:color="auto" w:fill="F0F5FE"/>
          </w:tcPr>
          <w:p>
            <w:pPr>
              <w:spacing w:after="0"/>
              <w:rPr>
                <w:sz w:val="8"/>
                <w:szCs w:val="8"/>
                <w:color w:val="auto"/>
              </w:rPr>
            </w:pPr>
          </w:p>
        </w:tc>
        <w:tc>
          <w:tcPr>
            <w:tcW w:w="6720" w:type="dxa"/>
            <w:vAlign w:val="bottom"/>
            <w:tcBorders>
              <w:bottom w:val="single" w:sz="8" w:color="6D8CC3"/>
            </w:tcBorders>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20" w:type="dxa"/>
            <w:vAlign w:val="bottom"/>
            <w:shd w:val="clear" w:color="auto" w:fill="F0F5FE"/>
          </w:tcPr>
          <w:p>
            <w:pPr>
              <w:spacing w:after="0"/>
              <w:rPr>
                <w:sz w:val="22"/>
                <w:szCs w:val="22"/>
                <w:color w:val="auto"/>
              </w:rPr>
            </w:pPr>
          </w:p>
        </w:tc>
        <w:tc>
          <w:tcPr>
            <w:tcW w:w="2200" w:type="dxa"/>
            <w:vAlign w:val="bottom"/>
            <w:shd w:val="clear" w:color="auto" w:fill="F0F5FE"/>
          </w:tcPr>
          <w:p>
            <w:pPr>
              <w:ind w:left="40"/>
              <w:spacing w:after="0"/>
              <w:rPr>
                <w:sz w:val="20"/>
                <w:szCs w:val="20"/>
                <w:color w:val="auto"/>
              </w:rPr>
            </w:pPr>
            <w:r>
              <w:rPr>
                <w:rFonts w:ascii="Arial" w:cs="Arial" w:eastAsia="Arial" w:hAnsi="Arial"/>
                <w:sz w:val="14"/>
                <w:szCs w:val="14"/>
                <w:b w:val="1"/>
                <w:bCs w:val="1"/>
                <w:color w:val="auto"/>
              </w:rPr>
              <w:t>Majority Voting Standard for</w:t>
            </w:r>
          </w:p>
        </w:tc>
        <w:tc>
          <w:tcPr>
            <w:tcW w:w="6720" w:type="dxa"/>
            <w:vAlign w:val="bottom"/>
          </w:tcPr>
          <w:p>
            <w:pPr>
              <w:ind w:left="100"/>
              <w:spacing w:after="0"/>
              <w:rPr>
                <w:sz w:val="20"/>
                <w:szCs w:val="20"/>
                <w:color w:val="auto"/>
              </w:rPr>
            </w:pPr>
            <w:r>
              <w:rPr>
                <w:rFonts w:ascii="Arial" w:cs="Arial" w:eastAsia="Arial" w:hAnsi="Arial"/>
                <w:sz w:val="14"/>
                <w:szCs w:val="14"/>
                <w:color w:val="auto"/>
              </w:rPr>
              <w:t>In uncontested director elections, directors are elected by a majority of votes cast.</w:t>
            </w:r>
          </w:p>
        </w:tc>
        <w:tc>
          <w:tcPr>
            <w:tcW w:w="0" w:type="dxa"/>
            <w:vAlign w:val="bottom"/>
          </w:tcPr>
          <w:p>
            <w:pPr>
              <w:spacing w:after="0"/>
              <w:rPr>
                <w:sz w:val="1"/>
                <w:szCs w:val="1"/>
                <w:color w:val="auto"/>
              </w:rPr>
            </w:pPr>
          </w:p>
        </w:tc>
      </w:tr>
      <w:tr>
        <w:trPr>
          <w:trHeight w:val="157"/>
        </w:trPr>
        <w:tc>
          <w:tcPr>
            <w:tcW w:w="120" w:type="dxa"/>
            <w:vAlign w:val="bottom"/>
            <w:shd w:val="clear" w:color="auto" w:fill="F0F5FE"/>
          </w:tcPr>
          <w:p>
            <w:pPr>
              <w:spacing w:after="0"/>
              <w:rPr>
                <w:sz w:val="13"/>
                <w:szCs w:val="13"/>
                <w:color w:val="auto"/>
              </w:rPr>
            </w:pPr>
          </w:p>
        </w:tc>
        <w:tc>
          <w:tcPr>
            <w:tcW w:w="2200" w:type="dxa"/>
            <w:vAlign w:val="bottom"/>
            <w:shd w:val="clear" w:color="auto" w:fill="F0F5FE"/>
          </w:tcPr>
          <w:p>
            <w:pPr>
              <w:ind w:left="40"/>
              <w:spacing w:after="0" w:line="157" w:lineRule="exact"/>
              <w:rPr>
                <w:sz w:val="20"/>
                <w:szCs w:val="20"/>
                <w:color w:val="auto"/>
              </w:rPr>
            </w:pPr>
            <w:r>
              <w:rPr>
                <w:rFonts w:ascii="Arial" w:cs="Arial" w:eastAsia="Arial" w:hAnsi="Arial"/>
                <w:sz w:val="14"/>
                <w:szCs w:val="14"/>
                <w:b w:val="1"/>
                <w:bCs w:val="1"/>
                <w:color w:val="auto"/>
              </w:rPr>
              <w:t>Uncontested Director</w:t>
            </w:r>
          </w:p>
        </w:tc>
        <w:tc>
          <w:tcPr>
            <w:tcW w:w="6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120" w:type="dxa"/>
            <w:vAlign w:val="bottom"/>
            <w:shd w:val="clear" w:color="auto" w:fill="F0F5FE"/>
          </w:tcPr>
          <w:p>
            <w:pPr>
              <w:spacing w:after="0"/>
              <w:rPr>
                <w:sz w:val="16"/>
                <w:szCs w:val="16"/>
                <w:color w:val="auto"/>
              </w:rPr>
            </w:pPr>
          </w:p>
        </w:tc>
        <w:tc>
          <w:tcPr>
            <w:tcW w:w="2200" w:type="dxa"/>
            <w:vAlign w:val="bottom"/>
            <w:shd w:val="clear" w:color="auto" w:fill="F0F5FE"/>
          </w:tcPr>
          <w:p>
            <w:pPr>
              <w:ind w:left="40"/>
              <w:spacing w:after="0"/>
              <w:rPr>
                <w:sz w:val="20"/>
                <w:szCs w:val="20"/>
                <w:color w:val="auto"/>
              </w:rPr>
            </w:pPr>
            <w:r>
              <w:rPr>
                <w:rFonts w:ascii="Arial" w:cs="Arial" w:eastAsia="Arial" w:hAnsi="Arial"/>
                <w:sz w:val="14"/>
                <w:szCs w:val="14"/>
                <w:b w:val="1"/>
                <w:bCs w:val="1"/>
                <w:color w:val="auto"/>
              </w:rPr>
              <w:t>Elections</w:t>
            </w:r>
          </w:p>
        </w:tc>
        <w:tc>
          <w:tcPr>
            <w:tcW w:w="6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120" w:type="dxa"/>
            <w:vAlign w:val="bottom"/>
            <w:tcBorders>
              <w:bottom w:val="single" w:sz="8" w:color="6D8CC3"/>
            </w:tcBorders>
            <w:shd w:val="clear" w:color="auto" w:fill="F0F5FE"/>
          </w:tcPr>
          <w:p>
            <w:pPr>
              <w:spacing w:after="0"/>
              <w:rPr>
                <w:sz w:val="8"/>
                <w:szCs w:val="8"/>
                <w:color w:val="auto"/>
              </w:rPr>
            </w:pPr>
          </w:p>
        </w:tc>
        <w:tc>
          <w:tcPr>
            <w:tcW w:w="2200" w:type="dxa"/>
            <w:vAlign w:val="bottom"/>
            <w:tcBorders>
              <w:bottom w:val="single" w:sz="8" w:color="6D8CC3"/>
            </w:tcBorders>
            <w:shd w:val="clear" w:color="auto" w:fill="F0F5FE"/>
          </w:tcPr>
          <w:p>
            <w:pPr>
              <w:spacing w:after="0"/>
              <w:rPr>
                <w:sz w:val="8"/>
                <w:szCs w:val="8"/>
                <w:color w:val="auto"/>
              </w:rPr>
            </w:pPr>
          </w:p>
        </w:tc>
        <w:tc>
          <w:tcPr>
            <w:tcW w:w="6720" w:type="dxa"/>
            <w:vAlign w:val="bottom"/>
            <w:tcBorders>
              <w:bottom w:val="single" w:sz="8" w:color="6D8CC3"/>
            </w:tcBorders>
          </w:tcPr>
          <w:p>
            <w:pPr>
              <w:spacing w:after="0"/>
              <w:rPr>
                <w:sz w:val="8"/>
                <w:szCs w:val="8"/>
                <w:color w:val="auto"/>
              </w:rPr>
            </w:pPr>
          </w:p>
        </w:tc>
        <w:tc>
          <w:tcPr>
            <w:tcW w:w="0" w:type="dxa"/>
            <w:vAlign w:val="bottom"/>
          </w:tcPr>
          <w:p>
            <w:pPr>
              <w:spacing w:after="0"/>
              <w:rPr>
                <w:sz w:val="1"/>
                <w:szCs w:val="1"/>
                <w:color w:val="auto"/>
              </w:rPr>
            </w:pPr>
          </w:p>
        </w:tc>
      </w:tr>
      <w:tr>
        <w:trPr>
          <w:trHeight w:val="268"/>
        </w:trPr>
        <w:tc>
          <w:tcPr>
            <w:tcW w:w="120" w:type="dxa"/>
            <w:vAlign w:val="bottom"/>
            <w:shd w:val="clear" w:color="auto" w:fill="F0F5FE"/>
          </w:tcPr>
          <w:p>
            <w:pPr>
              <w:spacing w:after="0"/>
              <w:rPr>
                <w:sz w:val="23"/>
                <w:szCs w:val="23"/>
                <w:color w:val="auto"/>
              </w:rPr>
            </w:pPr>
          </w:p>
        </w:tc>
        <w:tc>
          <w:tcPr>
            <w:tcW w:w="2200" w:type="dxa"/>
            <w:vAlign w:val="bottom"/>
            <w:shd w:val="clear" w:color="auto" w:fill="F0F5FE"/>
          </w:tcPr>
          <w:p>
            <w:pPr>
              <w:ind w:left="40"/>
              <w:spacing w:after="0"/>
              <w:rPr>
                <w:sz w:val="20"/>
                <w:szCs w:val="20"/>
                <w:color w:val="auto"/>
              </w:rPr>
            </w:pPr>
            <w:r>
              <w:rPr>
                <w:rFonts w:ascii="Arial" w:cs="Arial" w:eastAsia="Arial" w:hAnsi="Arial"/>
                <w:sz w:val="14"/>
                <w:szCs w:val="14"/>
                <w:b w:val="1"/>
                <w:bCs w:val="1"/>
                <w:color w:val="auto"/>
              </w:rPr>
              <w:t>No Shareholder Rights Plan</w:t>
            </w:r>
          </w:p>
        </w:tc>
        <w:tc>
          <w:tcPr>
            <w:tcW w:w="6720" w:type="dxa"/>
            <w:vAlign w:val="bottom"/>
          </w:tcPr>
          <w:p>
            <w:pPr>
              <w:ind w:left="100"/>
              <w:spacing w:after="0"/>
              <w:rPr>
                <w:sz w:val="20"/>
                <w:szCs w:val="20"/>
                <w:color w:val="auto"/>
              </w:rPr>
            </w:pPr>
            <w:r>
              <w:rPr>
                <w:rFonts w:ascii="Arial" w:cs="Arial" w:eastAsia="Arial" w:hAnsi="Arial"/>
                <w:sz w:val="14"/>
                <w:szCs w:val="14"/>
                <w:color w:val="auto"/>
              </w:rPr>
              <w:t>We do not have a shareholder rights plan / “poison pill” in effect.</w:t>
            </w:r>
          </w:p>
        </w:tc>
        <w:tc>
          <w:tcPr>
            <w:tcW w:w="0" w:type="dxa"/>
            <w:vAlign w:val="bottom"/>
          </w:tcPr>
          <w:p>
            <w:pPr>
              <w:spacing w:after="0"/>
              <w:rPr>
                <w:sz w:val="1"/>
                <w:szCs w:val="1"/>
                <w:color w:val="auto"/>
              </w:rPr>
            </w:pPr>
          </w:p>
        </w:tc>
      </w:tr>
      <w:tr>
        <w:trPr>
          <w:trHeight w:val="66"/>
        </w:trPr>
        <w:tc>
          <w:tcPr>
            <w:tcW w:w="120" w:type="dxa"/>
            <w:vAlign w:val="bottom"/>
            <w:tcBorders>
              <w:bottom w:val="single" w:sz="8" w:color="6D8CC3"/>
            </w:tcBorders>
            <w:shd w:val="clear" w:color="auto" w:fill="F0F5FE"/>
          </w:tcPr>
          <w:p>
            <w:pPr>
              <w:spacing w:after="0"/>
              <w:rPr>
                <w:sz w:val="5"/>
                <w:szCs w:val="5"/>
                <w:color w:val="auto"/>
              </w:rPr>
            </w:pPr>
          </w:p>
        </w:tc>
        <w:tc>
          <w:tcPr>
            <w:tcW w:w="2200" w:type="dxa"/>
            <w:vAlign w:val="bottom"/>
            <w:tcBorders>
              <w:bottom w:val="single" w:sz="8" w:color="6D8CC3"/>
            </w:tcBorders>
            <w:shd w:val="clear" w:color="auto" w:fill="F0F5FE"/>
          </w:tcPr>
          <w:p>
            <w:pPr>
              <w:spacing w:after="0"/>
              <w:rPr>
                <w:sz w:val="5"/>
                <w:szCs w:val="5"/>
                <w:color w:val="auto"/>
              </w:rPr>
            </w:pPr>
          </w:p>
        </w:tc>
        <w:tc>
          <w:tcPr>
            <w:tcW w:w="6720" w:type="dxa"/>
            <w:vAlign w:val="bottom"/>
            <w:tcBorders>
              <w:bottom w:val="single" w:sz="8" w:color="6D8CC3"/>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820"/>
        <w:spacing w:after="0"/>
        <w:rPr>
          <w:sz w:val="20"/>
          <w:szCs w:val="20"/>
          <w:color w:val="auto"/>
        </w:rPr>
      </w:pPr>
      <w:r>
        <w:rPr>
          <w:rFonts w:ascii="Arial" w:cs="Arial" w:eastAsia="Arial" w:hAnsi="Arial"/>
          <w:sz w:val="19"/>
          <w:szCs w:val="19"/>
          <w:b w:val="1"/>
          <w:bCs w:val="1"/>
          <w:color w:val="6D8CC3"/>
        </w:rPr>
        <w:t>BOARD STRUCTURE</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820" w:type="dxa"/>
            <w:vAlign w:val="bottom"/>
          </w:tcPr>
          <w:p>
            <w:pPr>
              <w:spacing w:after="0"/>
              <w:rPr>
                <w:sz w:val="24"/>
                <w:szCs w:val="24"/>
                <w:color w:val="auto"/>
              </w:rPr>
            </w:pPr>
          </w:p>
        </w:tc>
        <w:tc>
          <w:tcPr>
            <w:tcW w:w="120" w:type="dxa"/>
            <w:vAlign w:val="bottom"/>
            <w:tcBorders>
              <w:top w:val="single" w:sz="8" w:color="292F72"/>
            </w:tcBorders>
            <w:shd w:val="clear" w:color="auto" w:fill="F0F5FE"/>
          </w:tcPr>
          <w:p>
            <w:pPr>
              <w:spacing w:after="0"/>
              <w:rPr>
                <w:sz w:val="24"/>
                <w:szCs w:val="24"/>
                <w:color w:val="auto"/>
              </w:rPr>
            </w:pPr>
          </w:p>
        </w:tc>
        <w:tc>
          <w:tcPr>
            <w:tcW w:w="2040" w:type="dxa"/>
            <w:vAlign w:val="bottom"/>
            <w:tcBorders>
              <w:top w:val="single" w:sz="8" w:color="292F72"/>
            </w:tcBorders>
            <w:shd w:val="clear" w:color="auto" w:fill="F0F5FE"/>
          </w:tcPr>
          <w:p>
            <w:pPr>
              <w:ind w:left="40"/>
              <w:spacing w:after="0"/>
              <w:rPr>
                <w:sz w:val="20"/>
                <w:szCs w:val="20"/>
                <w:color w:val="auto"/>
              </w:rPr>
            </w:pPr>
            <w:r>
              <w:rPr>
                <w:rFonts w:ascii="Arial" w:cs="Arial" w:eastAsia="Arial" w:hAnsi="Arial"/>
                <w:sz w:val="14"/>
                <w:szCs w:val="14"/>
                <w:b w:val="1"/>
                <w:bCs w:val="1"/>
                <w:color w:val="auto"/>
              </w:rPr>
              <w:t>Director Nominee</w:t>
            </w:r>
          </w:p>
        </w:tc>
        <w:tc>
          <w:tcPr>
            <w:tcW w:w="160" w:type="dxa"/>
            <w:vAlign w:val="bottom"/>
            <w:tcBorders>
              <w:top w:val="single" w:sz="8" w:color="292F72"/>
            </w:tcBorders>
            <w:shd w:val="clear" w:color="auto" w:fill="F0F5FE"/>
          </w:tcPr>
          <w:p>
            <w:pPr>
              <w:spacing w:after="0"/>
              <w:rPr>
                <w:sz w:val="24"/>
                <w:szCs w:val="24"/>
                <w:color w:val="auto"/>
              </w:rPr>
            </w:pPr>
          </w:p>
        </w:tc>
        <w:tc>
          <w:tcPr>
            <w:tcW w:w="6720" w:type="dxa"/>
            <w:vAlign w:val="bottom"/>
            <w:tcBorders>
              <w:top w:val="single" w:sz="8" w:color="292F72"/>
            </w:tcBorders>
          </w:tcPr>
          <w:p>
            <w:pPr>
              <w:ind w:left="100"/>
              <w:spacing w:after="0"/>
              <w:rPr>
                <w:sz w:val="20"/>
                <w:szCs w:val="20"/>
                <w:color w:val="auto"/>
              </w:rPr>
            </w:pPr>
            <w:r>
              <w:rPr>
                <w:rFonts w:ascii="Arial" w:cs="Arial" w:eastAsia="Arial" w:hAnsi="Arial"/>
                <w:sz w:val="14"/>
                <w:szCs w:val="14"/>
                <w:color w:val="auto"/>
              </w:rPr>
              <w:t>We believe that our director nominees, as a whole, possess the optimal mix of qualifications, skills</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820" w:type="dxa"/>
            <w:vAlign w:val="bottom"/>
          </w:tcPr>
          <w:p>
            <w:pPr>
              <w:spacing w:after="0"/>
              <w:rPr>
                <w:sz w:val="16"/>
                <w:szCs w:val="16"/>
                <w:color w:val="auto"/>
              </w:rPr>
            </w:pPr>
          </w:p>
        </w:tc>
        <w:tc>
          <w:tcPr>
            <w:tcW w:w="120" w:type="dxa"/>
            <w:vAlign w:val="bottom"/>
            <w:shd w:val="clear" w:color="auto" w:fill="F0F5FE"/>
          </w:tcPr>
          <w:p>
            <w:pPr>
              <w:spacing w:after="0"/>
              <w:rPr>
                <w:sz w:val="16"/>
                <w:szCs w:val="16"/>
                <w:color w:val="auto"/>
              </w:rPr>
            </w:pPr>
          </w:p>
        </w:tc>
        <w:tc>
          <w:tcPr>
            <w:tcW w:w="2040" w:type="dxa"/>
            <w:vAlign w:val="bottom"/>
            <w:shd w:val="clear" w:color="auto" w:fill="F0F5FE"/>
          </w:tcPr>
          <w:p>
            <w:pPr>
              <w:ind w:left="40"/>
              <w:spacing w:after="0"/>
              <w:rPr>
                <w:sz w:val="20"/>
                <w:szCs w:val="20"/>
                <w:color w:val="auto"/>
              </w:rPr>
            </w:pPr>
            <w:r>
              <w:rPr>
                <w:rFonts w:ascii="Arial" w:cs="Arial" w:eastAsia="Arial" w:hAnsi="Arial"/>
                <w:sz w:val="14"/>
                <w:szCs w:val="14"/>
                <w:b w:val="1"/>
                <w:bCs w:val="1"/>
                <w:color w:val="auto"/>
              </w:rPr>
              <w:t>Qualifications and Skills</w:t>
            </w:r>
          </w:p>
        </w:tc>
        <w:tc>
          <w:tcPr>
            <w:tcW w:w="160" w:type="dxa"/>
            <w:vAlign w:val="bottom"/>
            <w:shd w:val="clear" w:color="auto" w:fill="F0F5FE"/>
          </w:tcPr>
          <w:p>
            <w:pPr>
              <w:spacing w:after="0"/>
              <w:rPr>
                <w:sz w:val="16"/>
                <w:szCs w:val="16"/>
                <w:color w:val="auto"/>
              </w:rPr>
            </w:pPr>
          </w:p>
        </w:tc>
        <w:tc>
          <w:tcPr>
            <w:tcW w:w="6720" w:type="dxa"/>
            <w:vAlign w:val="bottom"/>
          </w:tcPr>
          <w:p>
            <w:pPr>
              <w:ind w:left="100"/>
              <w:spacing w:after="0"/>
              <w:rPr>
                <w:sz w:val="20"/>
                <w:szCs w:val="20"/>
                <w:color w:val="auto"/>
              </w:rPr>
            </w:pPr>
            <w:r>
              <w:rPr>
                <w:rFonts w:ascii="Arial" w:cs="Arial" w:eastAsia="Arial" w:hAnsi="Arial"/>
                <w:sz w:val="14"/>
                <w:szCs w:val="14"/>
                <w:color w:val="auto"/>
              </w:rPr>
              <w:t>and experience.</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820" w:type="dxa"/>
            <w:vAlign w:val="bottom"/>
          </w:tcPr>
          <w:p>
            <w:pPr>
              <w:spacing w:after="0"/>
              <w:rPr>
                <w:sz w:val="8"/>
                <w:szCs w:val="8"/>
                <w:color w:val="auto"/>
              </w:rPr>
            </w:pPr>
          </w:p>
        </w:tc>
        <w:tc>
          <w:tcPr>
            <w:tcW w:w="120" w:type="dxa"/>
            <w:vAlign w:val="bottom"/>
            <w:tcBorders>
              <w:bottom w:val="single" w:sz="8" w:color="6D8CC3"/>
            </w:tcBorders>
            <w:shd w:val="clear" w:color="auto" w:fill="F0F5FE"/>
          </w:tcPr>
          <w:p>
            <w:pPr>
              <w:spacing w:after="0"/>
              <w:rPr>
                <w:sz w:val="8"/>
                <w:szCs w:val="8"/>
                <w:color w:val="auto"/>
              </w:rPr>
            </w:pPr>
          </w:p>
        </w:tc>
        <w:tc>
          <w:tcPr>
            <w:tcW w:w="2040" w:type="dxa"/>
            <w:vAlign w:val="bottom"/>
            <w:tcBorders>
              <w:bottom w:val="single" w:sz="8" w:color="6D8CC3"/>
            </w:tcBorders>
            <w:shd w:val="clear" w:color="auto" w:fill="F0F5FE"/>
          </w:tcPr>
          <w:p>
            <w:pPr>
              <w:spacing w:after="0"/>
              <w:rPr>
                <w:sz w:val="8"/>
                <w:szCs w:val="8"/>
                <w:color w:val="auto"/>
              </w:rPr>
            </w:pPr>
          </w:p>
        </w:tc>
        <w:tc>
          <w:tcPr>
            <w:tcW w:w="160" w:type="dxa"/>
            <w:vAlign w:val="bottom"/>
            <w:tcBorders>
              <w:bottom w:val="single" w:sz="8" w:color="6D8CC3"/>
            </w:tcBorders>
            <w:shd w:val="clear" w:color="auto" w:fill="F0F5FE"/>
          </w:tcPr>
          <w:p>
            <w:pPr>
              <w:spacing w:after="0"/>
              <w:rPr>
                <w:sz w:val="8"/>
                <w:szCs w:val="8"/>
                <w:color w:val="auto"/>
              </w:rPr>
            </w:pPr>
          </w:p>
        </w:tc>
        <w:tc>
          <w:tcPr>
            <w:tcW w:w="6720" w:type="dxa"/>
            <w:vAlign w:val="bottom"/>
            <w:tcBorders>
              <w:bottom w:val="single" w:sz="8" w:color="6D8CC3"/>
            </w:tcBorders>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820" w:type="dxa"/>
            <w:vAlign w:val="bottom"/>
          </w:tcPr>
          <w:p>
            <w:pPr>
              <w:spacing w:after="0"/>
              <w:rPr>
                <w:sz w:val="22"/>
                <w:szCs w:val="22"/>
                <w:color w:val="auto"/>
              </w:rPr>
            </w:pPr>
          </w:p>
        </w:tc>
        <w:tc>
          <w:tcPr>
            <w:tcW w:w="120" w:type="dxa"/>
            <w:vAlign w:val="bottom"/>
            <w:shd w:val="clear" w:color="auto" w:fill="F0F5FE"/>
          </w:tcPr>
          <w:p>
            <w:pPr>
              <w:spacing w:after="0"/>
              <w:rPr>
                <w:sz w:val="22"/>
                <w:szCs w:val="22"/>
                <w:color w:val="auto"/>
              </w:rPr>
            </w:pPr>
          </w:p>
        </w:tc>
        <w:tc>
          <w:tcPr>
            <w:tcW w:w="2040" w:type="dxa"/>
            <w:vAlign w:val="bottom"/>
            <w:shd w:val="clear" w:color="auto" w:fill="F0F5FE"/>
          </w:tcPr>
          <w:p>
            <w:pPr>
              <w:spacing w:after="0"/>
              <w:rPr>
                <w:sz w:val="22"/>
                <w:szCs w:val="22"/>
                <w:color w:val="auto"/>
              </w:rPr>
            </w:pPr>
          </w:p>
        </w:tc>
        <w:tc>
          <w:tcPr>
            <w:tcW w:w="160" w:type="dxa"/>
            <w:vAlign w:val="bottom"/>
            <w:shd w:val="clear" w:color="auto" w:fill="F0F5FE"/>
          </w:tcPr>
          <w:p>
            <w:pPr>
              <w:spacing w:after="0"/>
              <w:rPr>
                <w:sz w:val="22"/>
                <w:szCs w:val="22"/>
                <w:color w:val="auto"/>
              </w:rPr>
            </w:pPr>
          </w:p>
        </w:tc>
        <w:tc>
          <w:tcPr>
            <w:tcW w:w="6720" w:type="dxa"/>
            <w:vAlign w:val="bottom"/>
          </w:tcPr>
          <w:p>
            <w:pPr>
              <w:ind w:left="100"/>
              <w:spacing w:after="0"/>
              <w:rPr>
                <w:sz w:val="20"/>
                <w:szCs w:val="20"/>
                <w:color w:val="auto"/>
              </w:rPr>
            </w:pPr>
            <w:r>
              <w:rPr>
                <w:rFonts w:ascii="Arial" w:cs="Arial" w:eastAsia="Arial" w:hAnsi="Arial"/>
                <w:sz w:val="14"/>
                <w:szCs w:val="14"/>
                <w:color w:val="auto"/>
              </w:rPr>
              <w:t>Under the Company’s corporate governance principles, directors may serve on no more than four public</w:t>
            </w: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7"/>
        </w:trPr>
        <w:tc>
          <w:tcPr>
            <w:tcW w:w="820" w:type="dxa"/>
            <w:vAlign w:val="bottom"/>
          </w:tcPr>
          <w:p>
            <w:pPr>
              <w:spacing w:after="0"/>
              <w:rPr>
                <w:sz w:val="13"/>
                <w:szCs w:val="13"/>
                <w:color w:val="auto"/>
              </w:rPr>
            </w:pPr>
          </w:p>
        </w:tc>
        <w:tc>
          <w:tcPr>
            <w:tcW w:w="120" w:type="dxa"/>
            <w:vAlign w:val="bottom"/>
            <w:shd w:val="clear" w:color="auto" w:fill="F0F5FE"/>
          </w:tcPr>
          <w:p>
            <w:pPr>
              <w:spacing w:after="0"/>
              <w:rPr>
                <w:sz w:val="13"/>
                <w:szCs w:val="13"/>
                <w:color w:val="auto"/>
              </w:rPr>
            </w:pPr>
          </w:p>
        </w:tc>
        <w:tc>
          <w:tcPr>
            <w:tcW w:w="2040" w:type="dxa"/>
            <w:vAlign w:val="bottom"/>
            <w:vMerge w:val="restart"/>
            <w:shd w:val="clear" w:color="auto" w:fill="F0F5FE"/>
          </w:tcPr>
          <w:p>
            <w:pPr>
              <w:ind w:left="40"/>
              <w:spacing w:after="0"/>
              <w:rPr>
                <w:sz w:val="20"/>
                <w:szCs w:val="20"/>
                <w:color w:val="auto"/>
              </w:rPr>
            </w:pPr>
            <w:r>
              <w:rPr>
                <w:rFonts w:ascii="Arial" w:cs="Arial" w:eastAsia="Arial" w:hAnsi="Arial"/>
                <w:sz w:val="14"/>
                <w:szCs w:val="14"/>
                <w:b w:val="1"/>
                <w:bCs w:val="1"/>
                <w:color w:val="auto"/>
              </w:rPr>
              <w:t>Director Overboarding Policy</w:t>
            </w:r>
          </w:p>
        </w:tc>
        <w:tc>
          <w:tcPr>
            <w:tcW w:w="160" w:type="dxa"/>
            <w:vAlign w:val="bottom"/>
            <w:shd w:val="clear" w:color="auto" w:fill="F0F5FE"/>
          </w:tcPr>
          <w:p>
            <w:pPr>
              <w:spacing w:after="0"/>
              <w:rPr>
                <w:sz w:val="13"/>
                <w:szCs w:val="13"/>
                <w:color w:val="auto"/>
              </w:rPr>
            </w:pPr>
          </w:p>
        </w:tc>
        <w:tc>
          <w:tcPr>
            <w:tcW w:w="6720" w:type="dxa"/>
            <w:vAlign w:val="bottom"/>
          </w:tcPr>
          <w:p>
            <w:pPr>
              <w:ind w:left="100"/>
              <w:spacing w:after="0" w:line="157" w:lineRule="exact"/>
              <w:rPr>
                <w:sz w:val="20"/>
                <w:szCs w:val="20"/>
                <w:color w:val="auto"/>
              </w:rPr>
            </w:pPr>
            <w:r>
              <w:rPr>
                <w:rFonts w:ascii="Arial" w:cs="Arial" w:eastAsia="Arial" w:hAnsi="Arial"/>
                <w:sz w:val="14"/>
                <w:szCs w:val="14"/>
                <w:color w:val="auto"/>
              </w:rPr>
              <w:t>company boards (including the Company’s Board), and any director who is also a named executive officer</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820" w:type="dxa"/>
            <w:vAlign w:val="bottom"/>
          </w:tcPr>
          <w:p>
            <w:pPr>
              <w:spacing w:after="0"/>
              <w:rPr>
                <w:sz w:val="9"/>
                <w:szCs w:val="9"/>
                <w:color w:val="auto"/>
              </w:rPr>
            </w:pPr>
          </w:p>
        </w:tc>
        <w:tc>
          <w:tcPr>
            <w:tcW w:w="120" w:type="dxa"/>
            <w:vAlign w:val="bottom"/>
            <w:shd w:val="clear" w:color="auto" w:fill="F0F5FE"/>
          </w:tcPr>
          <w:p>
            <w:pPr>
              <w:spacing w:after="0"/>
              <w:rPr>
                <w:sz w:val="9"/>
                <w:szCs w:val="9"/>
                <w:color w:val="auto"/>
              </w:rPr>
            </w:pPr>
          </w:p>
        </w:tc>
        <w:tc>
          <w:tcPr>
            <w:tcW w:w="2040" w:type="dxa"/>
            <w:vAlign w:val="bottom"/>
            <w:vMerge w:val="continue"/>
            <w:shd w:val="clear" w:color="auto" w:fill="F0F5FE"/>
          </w:tcPr>
          <w:p>
            <w:pPr>
              <w:spacing w:after="0"/>
              <w:rPr>
                <w:sz w:val="9"/>
                <w:szCs w:val="9"/>
                <w:color w:val="auto"/>
              </w:rPr>
            </w:pPr>
          </w:p>
        </w:tc>
        <w:tc>
          <w:tcPr>
            <w:tcW w:w="160" w:type="dxa"/>
            <w:vAlign w:val="bottom"/>
            <w:shd w:val="clear" w:color="auto" w:fill="F0F5FE"/>
          </w:tcPr>
          <w:p>
            <w:pPr>
              <w:spacing w:after="0"/>
              <w:rPr>
                <w:sz w:val="9"/>
                <w:szCs w:val="9"/>
                <w:color w:val="auto"/>
              </w:rPr>
            </w:pPr>
          </w:p>
        </w:tc>
        <w:tc>
          <w:tcPr>
            <w:tcW w:w="6720" w:type="dxa"/>
            <w:vAlign w:val="bottom"/>
            <w:vMerge w:val="restart"/>
          </w:tcPr>
          <w:p>
            <w:pPr>
              <w:ind w:left="100"/>
              <w:spacing w:after="0" w:line="157" w:lineRule="exact"/>
              <w:rPr>
                <w:sz w:val="20"/>
                <w:szCs w:val="20"/>
                <w:color w:val="auto"/>
              </w:rPr>
            </w:pPr>
            <w:r>
              <w:rPr>
                <w:rFonts w:ascii="Arial" w:cs="Arial" w:eastAsia="Arial" w:hAnsi="Arial"/>
                <w:sz w:val="14"/>
                <w:szCs w:val="14"/>
                <w:color w:val="auto"/>
              </w:rPr>
              <w:t>of another public company may serve on no more than two public company boards (including the</w:t>
            </w: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4"/>
        </w:trPr>
        <w:tc>
          <w:tcPr>
            <w:tcW w:w="820" w:type="dxa"/>
            <w:vAlign w:val="bottom"/>
          </w:tcPr>
          <w:p>
            <w:pPr>
              <w:spacing w:after="0"/>
              <w:rPr>
                <w:sz w:val="3"/>
                <w:szCs w:val="3"/>
                <w:color w:val="auto"/>
              </w:rPr>
            </w:pPr>
          </w:p>
        </w:tc>
        <w:tc>
          <w:tcPr>
            <w:tcW w:w="120" w:type="dxa"/>
            <w:vAlign w:val="bottom"/>
            <w:shd w:val="clear" w:color="auto" w:fill="F0F5FE"/>
          </w:tcPr>
          <w:p>
            <w:pPr>
              <w:spacing w:after="0"/>
              <w:rPr>
                <w:sz w:val="3"/>
                <w:szCs w:val="3"/>
                <w:color w:val="auto"/>
              </w:rPr>
            </w:pPr>
          </w:p>
        </w:tc>
        <w:tc>
          <w:tcPr>
            <w:tcW w:w="2040" w:type="dxa"/>
            <w:vAlign w:val="bottom"/>
            <w:shd w:val="clear" w:color="auto" w:fill="F0F5FE"/>
          </w:tcPr>
          <w:p>
            <w:pPr>
              <w:spacing w:after="0"/>
              <w:rPr>
                <w:sz w:val="3"/>
                <w:szCs w:val="3"/>
                <w:color w:val="auto"/>
              </w:rPr>
            </w:pPr>
          </w:p>
        </w:tc>
        <w:tc>
          <w:tcPr>
            <w:tcW w:w="160" w:type="dxa"/>
            <w:vAlign w:val="bottom"/>
            <w:shd w:val="clear" w:color="auto" w:fill="F0F5FE"/>
          </w:tcPr>
          <w:p>
            <w:pPr>
              <w:spacing w:after="0"/>
              <w:rPr>
                <w:sz w:val="3"/>
                <w:szCs w:val="3"/>
                <w:color w:val="auto"/>
              </w:rPr>
            </w:pPr>
          </w:p>
        </w:tc>
        <w:tc>
          <w:tcPr>
            <w:tcW w:w="6720" w:type="dxa"/>
            <w:vAlign w:val="bottom"/>
            <w:vMerge w:val="continue"/>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820" w:type="dxa"/>
            <w:vAlign w:val="bottom"/>
          </w:tcPr>
          <w:p>
            <w:pPr>
              <w:spacing w:after="0"/>
              <w:rPr>
                <w:sz w:val="16"/>
                <w:szCs w:val="16"/>
                <w:color w:val="auto"/>
              </w:rPr>
            </w:pPr>
          </w:p>
        </w:tc>
        <w:tc>
          <w:tcPr>
            <w:tcW w:w="120" w:type="dxa"/>
            <w:vAlign w:val="bottom"/>
            <w:shd w:val="clear" w:color="auto" w:fill="F0F5FE"/>
          </w:tcPr>
          <w:p>
            <w:pPr>
              <w:spacing w:after="0"/>
              <w:rPr>
                <w:sz w:val="16"/>
                <w:szCs w:val="16"/>
                <w:color w:val="auto"/>
              </w:rPr>
            </w:pPr>
          </w:p>
        </w:tc>
        <w:tc>
          <w:tcPr>
            <w:tcW w:w="2040" w:type="dxa"/>
            <w:vAlign w:val="bottom"/>
            <w:shd w:val="clear" w:color="auto" w:fill="F0F5FE"/>
          </w:tcPr>
          <w:p>
            <w:pPr>
              <w:spacing w:after="0"/>
              <w:rPr>
                <w:sz w:val="16"/>
                <w:szCs w:val="16"/>
                <w:color w:val="auto"/>
              </w:rPr>
            </w:pPr>
          </w:p>
        </w:tc>
        <w:tc>
          <w:tcPr>
            <w:tcW w:w="160" w:type="dxa"/>
            <w:vAlign w:val="bottom"/>
            <w:shd w:val="clear" w:color="auto" w:fill="F0F5FE"/>
          </w:tcPr>
          <w:p>
            <w:pPr>
              <w:spacing w:after="0"/>
              <w:rPr>
                <w:sz w:val="16"/>
                <w:szCs w:val="16"/>
                <w:color w:val="auto"/>
              </w:rPr>
            </w:pPr>
          </w:p>
        </w:tc>
        <w:tc>
          <w:tcPr>
            <w:tcW w:w="6720" w:type="dxa"/>
            <w:vAlign w:val="bottom"/>
          </w:tcPr>
          <w:p>
            <w:pPr>
              <w:ind w:left="100"/>
              <w:spacing w:after="0"/>
              <w:rPr>
                <w:sz w:val="20"/>
                <w:szCs w:val="20"/>
                <w:color w:val="auto"/>
              </w:rPr>
            </w:pPr>
            <w:r>
              <w:rPr>
                <w:rFonts w:ascii="Arial" w:cs="Arial" w:eastAsia="Arial" w:hAnsi="Arial"/>
                <w:sz w:val="14"/>
                <w:szCs w:val="14"/>
                <w:color w:val="auto"/>
              </w:rPr>
              <w:t>Company’s Board).</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0"/>
        </w:trPr>
        <w:tc>
          <w:tcPr>
            <w:tcW w:w="820" w:type="dxa"/>
            <w:vAlign w:val="bottom"/>
          </w:tcPr>
          <w:p>
            <w:pPr>
              <w:spacing w:after="0"/>
              <w:rPr>
                <w:sz w:val="8"/>
                <w:szCs w:val="8"/>
                <w:color w:val="auto"/>
              </w:rPr>
            </w:pPr>
          </w:p>
        </w:tc>
        <w:tc>
          <w:tcPr>
            <w:tcW w:w="120" w:type="dxa"/>
            <w:vAlign w:val="bottom"/>
            <w:tcBorders>
              <w:bottom w:val="single" w:sz="8" w:color="6D8CC3"/>
            </w:tcBorders>
            <w:shd w:val="clear" w:color="auto" w:fill="F0F5FE"/>
          </w:tcPr>
          <w:p>
            <w:pPr>
              <w:spacing w:after="0"/>
              <w:rPr>
                <w:sz w:val="8"/>
                <w:szCs w:val="8"/>
                <w:color w:val="auto"/>
              </w:rPr>
            </w:pPr>
          </w:p>
        </w:tc>
        <w:tc>
          <w:tcPr>
            <w:tcW w:w="2040" w:type="dxa"/>
            <w:vAlign w:val="bottom"/>
            <w:tcBorders>
              <w:bottom w:val="single" w:sz="8" w:color="6D8CC3"/>
            </w:tcBorders>
            <w:shd w:val="clear" w:color="auto" w:fill="F0F5FE"/>
          </w:tcPr>
          <w:p>
            <w:pPr>
              <w:spacing w:after="0"/>
              <w:rPr>
                <w:sz w:val="8"/>
                <w:szCs w:val="8"/>
                <w:color w:val="auto"/>
              </w:rPr>
            </w:pPr>
          </w:p>
        </w:tc>
        <w:tc>
          <w:tcPr>
            <w:tcW w:w="160" w:type="dxa"/>
            <w:vAlign w:val="bottom"/>
            <w:tcBorders>
              <w:bottom w:val="single" w:sz="8" w:color="6D8CC3"/>
            </w:tcBorders>
            <w:shd w:val="clear" w:color="auto" w:fill="F0F5FE"/>
          </w:tcPr>
          <w:p>
            <w:pPr>
              <w:spacing w:after="0"/>
              <w:rPr>
                <w:sz w:val="8"/>
                <w:szCs w:val="8"/>
                <w:color w:val="auto"/>
              </w:rPr>
            </w:pPr>
          </w:p>
        </w:tc>
        <w:tc>
          <w:tcPr>
            <w:tcW w:w="6720" w:type="dxa"/>
            <w:vAlign w:val="bottom"/>
            <w:tcBorders>
              <w:bottom w:val="single" w:sz="8" w:color="6D8CC3"/>
            </w:tcBorders>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820" w:type="dxa"/>
            <w:vAlign w:val="bottom"/>
          </w:tcPr>
          <w:p>
            <w:pPr>
              <w:spacing w:after="0"/>
              <w:rPr>
                <w:sz w:val="22"/>
                <w:szCs w:val="22"/>
                <w:color w:val="auto"/>
              </w:rPr>
            </w:pPr>
          </w:p>
        </w:tc>
        <w:tc>
          <w:tcPr>
            <w:tcW w:w="120" w:type="dxa"/>
            <w:vAlign w:val="bottom"/>
            <w:shd w:val="clear" w:color="auto" w:fill="F0F5FE"/>
          </w:tcPr>
          <w:p>
            <w:pPr>
              <w:spacing w:after="0"/>
              <w:rPr>
                <w:sz w:val="22"/>
                <w:szCs w:val="22"/>
                <w:color w:val="auto"/>
              </w:rPr>
            </w:pPr>
          </w:p>
        </w:tc>
        <w:tc>
          <w:tcPr>
            <w:tcW w:w="2040" w:type="dxa"/>
            <w:vAlign w:val="bottom"/>
            <w:vMerge w:val="restart"/>
            <w:shd w:val="clear" w:color="auto" w:fill="F0F5FE"/>
          </w:tcPr>
          <w:p>
            <w:pPr>
              <w:ind w:left="40"/>
              <w:spacing w:after="0"/>
              <w:rPr>
                <w:sz w:val="20"/>
                <w:szCs w:val="20"/>
                <w:color w:val="auto"/>
              </w:rPr>
            </w:pPr>
            <w:r>
              <w:rPr>
                <w:rFonts w:ascii="Arial" w:cs="Arial" w:eastAsia="Arial" w:hAnsi="Arial"/>
                <w:sz w:val="14"/>
                <w:szCs w:val="14"/>
                <w:b w:val="1"/>
                <w:bCs w:val="1"/>
                <w:color w:val="auto"/>
              </w:rPr>
              <w:t>Self</w:t>
            </w:r>
            <w:r>
              <w:rPr>
                <w:rFonts w:ascii="Arial" w:cs="Arial" w:eastAsia="Arial" w:hAnsi="Arial"/>
                <w:sz w:val="14"/>
                <w:szCs w:val="14"/>
                <w:color w:val="auto"/>
              </w:rPr>
              <w:t>​</w:t>
            </w:r>
            <w:r>
              <w:rPr>
                <w:rFonts w:ascii="Arial" w:cs="Arial" w:eastAsia="Arial" w:hAnsi="Arial"/>
                <w:sz w:val="14"/>
                <w:szCs w:val="14"/>
                <w:b w:val="1"/>
                <w:bCs w:val="1"/>
                <w:color w:val="auto"/>
              </w:rPr>
              <w:t>-evaluations</w:t>
            </w:r>
          </w:p>
        </w:tc>
        <w:tc>
          <w:tcPr>
            <w:tcW w:w="160" w:type="dxa"/>
            <w:vAlign w:val="bottom"/>
            <w:shd w:val="clear" w:color="auto" w:fill="F0F5FE"/>
          </w:tcPr>
          <w:p>
            <w:pPr>
              <w:spacing w:after="0"/>
              <w:rPr>
                <w:sz w:val="22"/>
                <w:szCs w:val="22"/>
                <w:color w:val="auto"/>
              </w:rPr>
            </w:pPr>
          </w:p>
        </w:tc>
        <w:tc>
          <w:tcPr>
            <w:tcW w:w="6720" w:type="dxa"/>
            <w:vAlign w:val="bottom"/>
          </w:tcPr>
          <w:p>
            <w:pPr>
              <w:ind w:left="100"/>
              <w:spacing w:after="0"/>
              <w:rPr>
                <w:sz w:val="20"/>
                <w:szCs w:val="20"/>
                <w:color w:val="auto"/>
              </w:rPr>
            </w:pPr>
            <w:r>
              <w:rPr>
                <w:rFonts w:ascii="Arial" w:cs="Arial" w:eastAsia="Arial" w:hAnsi="Arial"/>
                <w:sz w:val="14"/>
                <w:szCs w:val="14"/>
                <w:color w:val="auto"/>
              </w:rPr>
              <w:t>The Board and its committees engage in self-evaluation at least annually, including bi-annual individual</w:t>
            </w: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820" w:type="dxa"/>
            <w:vAlign w:val="bottom"/>
          </w:tcPr>
          <w:p>
            <w:pPr>
              <w:spacing w:after="0"/>
              <w:rPr>
                <w:sz w:val="9"/>
                <w:szCs w:val="9"/>
                <w:color w:val="auto"/>
              </w:rPr>
            </w:pPr>
          </w:p>
        </w:tc>
        <w:tc>
          <w:tcPr>
            <w:tcW w:w="120" w:type="dxa"/>
            <w:vAlign w:val="bottom"/>
            <w:shd w:val="clear" w:color="auto" w:fill="F0F5FE"/>
          </w:tcPr>
          <w:p>
            <w:pPr>
              <w:spacing w:after="0"/>
              <w:rPr>
                <w:sz w:val="9"/>
                <w:szCs w:val="9"/>
                <w:color w:val="auto"/>
              </w:rPr>
            </w:pPr>
          </w:p>
        </w:tc>
        <w:tc>
          <w:tcPr>
            <w:tcW w:w="2040" w:type="dxa"/>
            <w:vAlign w:val="bottom"/>
            <w:vMerge w:val="continue"/>
            <w:shd w:val="clear" w:color="auto" w:fill="F0F5FE"/>
          </w:tcPr>
          <w:p>
            <w:pPr>
              <w:spacing w:after="0"/>
              <w:rPr>
                <w:sz w:val="9"/>
                <w:szCs w:val="9"/>
                <w:color w:val="auto"/>
              </w:rPr>
            </w:pPr>
          </w:p>
        </w:tc>
        <w:tc>
          <w:tcPr>
            <w:tcW w:w="160" w:type="dxa"/>
            <w:vAlign w:val="bottom"/>
            <w:shd w:val="clear" w:color="auto" w:fill="F0F5FE"/>
          </w:tcPr>
          <w:p>
            <w:pPr>
              <w:spacing w:after="0"/>
              <w:rPr>
                <w:sz w:val="9"/>
                <w:szCs w:val="9"/>
                <w:color w:val="auto"/>
              </w:rPr>
            </w:pPr>
          </w:p>
        </w:tc>
        <w:tc>
          <w:tcPr>
            <w:tcW w:w="6720" w:type="dxa"/>
            <w:vAlign w:val="bottom"/>
            <w:vMerge w:val="restart"/>
          </w:tcPr>
          <w:p>
            <w:pPr>
              <w:ind w:left="100"/>
              <w:spacing w:after="0"/>
              <w:rPr>
                <w:sz w:val="20"/>
                <w:szCs w:val="20"/>
                <w:color w:val="auto"/>
              </w:rPr>
            </w:pPr>
            <w:r>
              <w:rPr>
                <w:rFonts w:ascii="Arial" w:cs="Arial" w:eastAsia="Arial" w:hAnsi="Arial"/>
                <w:sz w:val="14"/>
                <w:szCs w:val="14"/>
                <w:color w:val="auto"/>
              </w:rPr>
              <w:t>meetings between the Board Chair and each committee chair.</w:t>
            </w: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820" w:type="dxa"/>
            <w:vAlign w:val="bottom"/>
          </w:tcPr>
          <w:p>
            <w:pPr>
              <w:spacing w:after="0"/>
              <w:rPr>
                <w:sz w:val="4"/>
                <w:szCs w:val="4"/>
                <w:color w:val="auto"/>
              </w:rPr>
            </w:pPr>
          </w:p>
        </w:tc>
        <w:tc>
          <w:tcPr>
            <w:tcW w:w="120" w:type="dxa"/>
            <w:vAlign w:val="bottom"/>
            <w:shd w:val="clear" w:color="auto" w:fill="F0F5FE"/>
          </w:tcPr>
          <w:p>
            <w:pPr>
              <w:spacing w:after="0"/>
              <w:rPr>
                <w:sz w:val="4"/>
                <w:szCs w:val="4"/>
                <w:color w:val="auto"/>
              </w:rPr>
            </w:pPr>
          </w:p>
        </w:tc>
        <w:tc>
          <w:tcPr>
            <w:tcW w:w="2040" w:type="dxa"/>
            <w:vAlign w:val="bottom"/>
            <w:shd w:val="clear" w:color="auto" w:fill="F0F5FE"/>
          </w:tcPr>
          <w:p>
            <w:pPr>
              <w:spacing w:after="0"/>
              <w:rPr>
                <w:sz w:val="4"/>
                <w:szCs w:val="4"/>
                <w:color w:val="auto"/>
              </w:rPr>
            </w:pPr>
          </w:p>
        </w:tc>
        <w:tc>
          <w:tcPr>
            <w:tcW w:w="160" w:type="dxa"/>
            <w:vAlign w:val="bottom"/>
            <w:shd w:val="clear" w:color="auto" w:fill="F0F5FE"/>
          </w:tcPr>
          <w:p>
            <w:pPr>
              <w:spacing w:after="0"/>
              <w:rPr>
                <w:sz w:val="4"/>
                <w:szCs w:val="4"/>
                <w:color w:val="auto"/>
              </w:rPr>
            </w:pPr>
          </w:p>
        </w:tc>
        <w:tc>
          <w:tcPr>
            <w:tcW w:w="672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820" w:type="dxa"/>
            <w:vAlign w:val="bottom"/>
          </w:tcPr>
          <w:p>
            <w:pPr>
              <w:spacing w:after="0"/>
              <w:rPr>
                <w:sz w:val="5"/>
                <w:szCs w:val="5"/>
                <w:color w:val="auto"/>
              </w:rPr>
            </w:pPr>
          </w:p>
        </w:tc>
        <w:tc>
          <w:tcPr>
            <w:tcW w:w="120" w:type="dxa"/>
            <w:vAlign w:val="bottom"/>
            <w:tcBorders>
              <w:bottom w:val="single" w:sz="8" w:color="6D8CC3"/>
            </w:tcBorders>
            <w:shd w:val="clear" w:color="auto" w:fill="F0F5FE"/>
          </w:tcPr>
          <w:p>
            <w:pPr>
              <w:spacing w:after="0"/>
              <w:rPr>
                <w:sz w:val="5"/>
                <w:szCs w:val="5"/>
                <w:color w:val="auto"/>
              </w:rPr>
            </w:pPr>
          </w:p>
        </w:tc>
        <w:tc>
          <w:tcPr>
            <w:tcW w:w="2040" w:type="dxa"/>
            <w:vAlign w:val="bottom"/>
            <w:tcBorders>
              <w:bottom w:val="single" w:sz="8" w:color="6D8CC3"/>
            </w:tcBorders>
            <w:shd w:val="clear" w:color="auto" w:fill="F0F5FE"/>
          </w:tcPr>
          <w:p>
            <w:pPr>
              <w:spacing w:after="0"/>
              <w:rPr>
                <w:sz w:val="5"/>
                <w:szCs w:val="5"/>
                <w:color w:val="auto"/>
              </w:rPr>
            </w:pPr>
          </w:p>
        </w:tc>
        <w:tc>
          <w:tcPr>
            <w:tcW w:w="160" w:type="dxa"/>
            <w:vAlign w:val="bottom"/>
            <w:tcBorders>
              <w:bottom w:val="single" w:sz="8" w:color="6D8CC3"/>
            </w:tcBorders>
            <w:shd w:val="clear" w:color="auto" w:fill="F0F5FE"/>
          </w:tcPr>
          <w:p>
            <w:pPr>
              <w:spacing w:after="0"/>
              <w:rPr>
                <w:sz w:val="5"/>
                <w:szCs w:val="5"/>
                <w:color w:val="auto"/>
              </w:rPr>
            </w:pPr>
          </w:p>
        </w:tc>
        <w:tc>
          <w:tcPr>
            <w:tcW w:w="6720" w:type="dxa"/>
            <w:vAlign w:val="bottom"/>
            <w:tcBorders>
              <w:bottom w:val="single" w:sz="8" w:color="6D8CC3"/>
            </w:tcBorders>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2160" w:type="dxa"/>
            <w:vAlign w:val="bottom"/>
            <w:tcBorders>
              <w:bottom w:val="single" w:sz="8" w:color="6D8CC3"/>
            </w:tcBorders>
            <w:gridSpan w:val="2"/>
          </w:tcPr>
          <w:p>
            <w:pPr>
              <w:spacing w:after="0"/>
              <w:rPr>
                <w:sz w:val="17"/>
                <w:szCs w:val="17"/>
                <w:color w:val="auto"/>
              </w:rPr>
            </w:pPr>
          </w:p>
        </w:tc>
        <w:tc>
          <w:tcPr>
            <w:tcW w:w="6880" w:type="dxa"/>
            <w:vAlign w:val="bottom"/>
            <w:tcBorders>
              <w:bottom w:val="single" w:sz="8" w:color="6D8CC3"/>
            </w:tcBorders>
            <w:gridSpan w:val="2"/>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2980" w:type="dxa"/>
            <w:vAlign w:val="bottom"/>
            <w:gridSpan w:val="3"/>
          </w:tcPr>
          <w:p>
            <w:pPr>
              <w:ind w:left="820"/>
              <w:spacing w:after="0"/>
              <w:rPr>
                <w:sz w:val="20"/>
                <w:szCs w:val="20"/>
                <w:color w:val="auto"/>
              </w:rPr>
            </w:pPr>
            <w:r>
              <w:rPr>
                <w:rFonts w:ascii="Arial" w:cs="Arial" w:eastAsia="Arial" w:hAnsi="Arial"/>
                <w:sz w:val="14"/>
                <w:szCs w:val="14"/>
                <w:b w:val="1"/>
                <w:bCs w:val="1"/>
                <w:color w:val="292F72"/>
              </w:rPr>
              <w:t>16</w:t>
            </w:r>
            <w:r>
              <w:rPr>
                <w:rFonts w:ascii="Arial" w:cs="Arial" w:eastAsia="Arial" w:hAnsi="Arial"/>
                <w:sz w:val="14"/>
                <w:szCs w:val="14"/>
                <w:color w:val="292F72"/>
              </w:rPr>
              <w:t xml:space="preserve">     Bath &amp; Body Works, Inc.</w:t>
            </w:r>
            <w:r>
              <w:rPr>
                <w:rFonts w:ascii="Arial" w:cs="Arial" w:eastAsia="Arial" w:hAnsi="Arial"/>
                <w:sz w:val="14"/>
                <w:szCs w:val="14"/>
                <w:color w:val="6D8CC3"/>
              </w:rPr>
              <w:t xml:space="preserve">   | </w:t>
            </w:r>
          </w:p>
        </w:tc>
        <w:tc>
          <w:tcPr>
            <w:tcW w:w="6880" w:type="dxa"/>
            <w:vAlign w:val="bottom"/>
            <w:gridSpan w:val="2"/>
          </w:tcPr>
          <w:p>
            <w:pPr>
              <w:ind w:left="40"/>
              <w:spacing w:after="0"/>
              <w:rPr>
                <w:sz w:val="20"/>
                <w:szCs w:val="20"/>
                <w:color w:val="auto"/>
              </w:rPr>
            </w:pPr>
            <w:r>
              <w:rPr>
                <w:rFonts w:ascii="Arial" w:cs="Arial" w:eastAsia="Arial" w:hAnsi="Arial"/>
                <w:sz w:val="14"/>
                <w:szCs w:val="14"/>
                <w:color w:val="292F72"/>
              </w:rPr>
              <w:t>2026 Proxy Statement</w:t>
            </w: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7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700"/>
          </w:cols>
          <w:pgMar w:left="600" w:top="115" w:right="5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2" w:lineRule="exact"/>
        <w:rPr>
          <w:sz w:val="20"/>
          <w:szCs w:val="20"/>
          <w:color w:val="auto"/>
        </w:rPr>
      </w:pPr>
    </w:p>
    <w:p>
      <w:pPr>
        <w:ind w:left="7440"/>
        <w:spacing w:after="0"/>
        <w:rPr>
          <w:sz w:val="20"/>
          <w:szCs w:val="20"/>
          <w:color w:val="auto"/>
        </w:rPr>
      </w:pPr>
      <w:r>
        <w:rPr>
          <w:rFonts w:ascii="Arial" w:cs="Arial" w:eastAsia="Arial" w:hAnsi="Arial"/>
          <w:sz w:val="16"/>
          <w:szCs w:val="16"/>
          <w:color w:val="292F72"/>
        </w:rPr>
        <w:t>Corporate</w:t>
      </w:r>
    </w:p>
    <w:p>
      <w:pPr>
        <w:spacing w:after="0" w:line="14" w:lineRule="exact"/>
        <w:rPr>
          <w:sz w:val="20"/>
          <w:szCs w:val="20"/>
          <w:color w:val="auto"/>
        </w:rPr>
      </w:pPr>
    </w:p>
    <w:p>
      <w:pPr>
        <w:ind w:left="7440"/>
        <w:spacing w:after="0"/>
        <w:rPr>
          <w:sz w:val="20"/>
          <w:szCs w:val="20"/>
          <w:color w:val="auto"/>
        </w:rPr>
      </w:pPr>
      <w:r>
        <w:rPr>
          <w:rFonts w:ascii="Arial" w:cs="Arial" w:eastAsia="Arial" w:hAnsi="Arial"/>
          <w:sz w:val="16"/>
          <w:szCs w:val="16"/>
          <w:color w:val="292F72"/>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4717415</wp:posOffset>
            </wp:positionH>
            <wp:positionV relativeFrom="paragraph">
              <wp:posOffset>31750</wp:posOffset>
            </wp:positionV>
            <wp:extent cx="1024255" cy="330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024255" cy="3302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23"/>
          <w:szCs w:val="23"/>
          <w:b w:val="1"/>
          <w:bCs w:val="1"/>
          <w:color w:val="292F72"/>
        </w:rPr>
        <w:t>Board Leadership Structure</w:t>
      </w:r>
    </w:p>
    <w:p>
      <w:pPr>
        <w:spacing w:after="0" w:line="148" w:lineRule="exact"/>
        <w:rPr>
          <w:sz w:val="20"/>
          <w:szCs w:val="20"/>
          <w:color w:val="auto"/>
        </w:rPr>
      </w:pPr>
    </w:p>
    <w:p>
      <w:pPr>
        <w:spacing w:after="0" w:line="245" w:lineRule="auto"/>
        <w:rPr>
          <w:sz w:val="20"/>
          <w:szCs w:val="20"/>
          <w:color w:val="auto"/>
        </w:rPr>
      </w:pPr>
      <w:r>
        <w:rPr>
          <w:rFonts w:ascii="Arial" w:cs="Arial" w:eastAsia="Arial" w:hAnsi="Arial"/>
          <w:sz w:val="16"/>
          <w:szCs w:val="16"/>
          <w:color w:val="auto"/>
        </w:rPr>
        <w:t>Mr. Heaf serves as Chief Executive Officer and Ms. Nash serves as Board Chair. Ms. Nash, who has chaired our Board since May 2020, served as independent Board Chair throughout fiscal 2025. The charter of the Nominating &amp; Governance Committee provides that the positions of Board Chair and Chief Executive Officer will be held by different persons. If the Board Chair is not an independent director, our corporate governance principles further provide that an independent director will be appointed by the independent directors of the Board as the lead independent director (the “Lead Independent Director”). If a Lead Independent Director is appointed, the Lead Independent Director will have the following responsibilities:</w:t>
      </w:r>
    </w:p>
    <w:p>
      <w:pPr>
        <w:sectPr>
          <w:pgSz w:w="11900" w:h="16838" w:orient="portrait"/>
          <w:cols w:equalWidth="0" w:num="1">
            <w:col w:w="9040"/>
          </w:cols>
          <w:pgMar w:left="1420" w:top="115" w:right="1439" w:bottom="1440" w:gutter="0" w:footer="0" w:header="0"/>
        </w:sectPr>
      </w:pPr>
    </w:p>
    <w:p>
      <w:pPr>
        <w:spacing w:after="0" w:line="80" w:lineRule="exact"/>
        <w:rPr>
          <w:sz w:val="20"/>
          <w:szCs w:val="20"/>
          <w:color w:val="auto"/>
        </w:rPr>
      </w:pPr>
    </w:p>
    <w:p>
      <w:pPr>
        <w:ind w:left="180" w:right="60" w:hanging="176"/>
        <w:spacing w:after="0" w:line="254" w:lineRule="auto"/>
        <w:tabs>
          <w:tab w:leader="none" w:pos="180" w:val="left"/>
        </w:tabs>
        <w:numPr>
          <w:ilvl w:val="0"/>
          <w:numId w:val="41"/>
        </w:numPr>
        <w:rPr>
          <w:rFonts w:ascii="Arial" w:cs="Arial" w:eastAsia="Arial" w:hAnsi="Arial"/>
          <w:sz w:val="16"/>
          <w:szCs w:val="16"/>
          <w:color w:val="6D8CC3"/>
        </w:rPr>
      </w:pPr>
      <w:r>
        <w:rPr>
          <w:rFonts w:ascii="Arial" w:cs="Arial" w:eastAsia="Arial" w:hAnsi="Arial"/>
          <w:sz w:val="16"/>
          <w:szCs w:val="16"/>
          <w:color w:val="auto"/>
        </w:rPr>
        <w:t>preside at all meetings of the Board at which the Board Chair is not present, including executive sessions of the independent and non-management directors;</w:t>
      </w:r>
    </w:p>
    <w:p>
      <w:pPr>
        <w:spacing w:after="0" w:line="71" w:lineRule="exact"/>
        <w:rPr>
          <w:rFonts w:ascii="Arial" w:cs="Arial" w:eastAsia="Arial" w:hAnsi="Arial"/>
          <w:sz w:val="16"/>
          <w:szCs w:val="16"/>
          <w:color w:val="6D8CC3"/>
        </w:rPr>
      </w:pPr>
    </w:p>
    <w:p>
      <w:pPr>
        <w:ind w:left="180" w:right="320" w:hanging="176"/>
        <w:spacing w:after="0" w:line="268" w:lineRule="auto"/>
        <w:tabs>
          <w:tab w:leader="none" w:pos="180" w:val="left"/>
        </w:tabs>
        <w:numPr>
          <w:ilvl w:val="0"/>
          <w:numId w:val="41"/>
        </w:numPr>
        <w:rPr>
          <w:rFonts w:ascii="Arial" w:cs="Arial" w:eastAsia="Arial" w:hAnsi="Arial"/>
          <w:sz w:val="16"/>
          <w:szCs w:val="16"/>
          <w:color w:val="6D8CC3"/>
        </w:rPr>
      </w:pPr>
      <w:r>
        <w:rPr>
          <w:rFonts w:ascii="Arial" w:cs="Arial" w:eastAsia="Arial" w:hAnsi="Arial"/>
          <w:sz w:val="16"/>
          <w:szCs w:val="16"/>
          <w:color w:val="auto"/>
        </w:rPr>
        <w:t>serve as liaison between the Board Chair and the independent and non-management directors;</w:t>
      </w:r>
    </w:p>
    <w:p>
      <w:pPr>
        <w:spacing w:after="0" w:line="61" w:lineRule="exact"/>
        <w:rPr>
          <w:rFonts w:ascii="Arial" w:cs="Arial" w:eastAsia="Arial" w:hAnsi="Arial"/>
          <w:sz w:val="16"/>
          <w:szCs w:val="16"/>
          <w:color w:val="6D8CC3"/>
        </w:rPr>
      </w:pPr>
    </w:p>
    <w:p>
      <w:pPr>
        <w:ind w:left="180" w:hanging="176"/>
        <w:spacing w:after="0"/>
        <w:tabs>
          <w:tab w:leader="none" w:pos="180" w:val="left"/>
        </w:tabs>
        <w:numPr>
          <w:ilvl w:val="0"/>
          <w:numId w:val="41"/>
        </w:numPr>
        <w:rPr>
          <w:rFonts w:ascii="Arial" w:cs="Arial" w:eastAsia="Arial" w:hAnsi="Arial"/>
          <w:sz w:val="16"/>
          <w:szCs w:val="16"/>
          <w:color w:val="6D8CC3"/>
        </w:rPr>
      </w:pPr>
      <w:r>
        <w:rPr>
          <w:rFonts w:ascii="Arial" w:cs="Arial" w:eastAsia="Arial" w:hAnsi="Arial"/>
          <w:sz w:val="16"/>
          <w:szCs w:val="16"/>
          <w:color w:val="auto"/>
        </w:rPr>
        <w:t>approve information sent to the Board;</w:t>
      </w:r>
    </w:p>
    <w:p>
      <w:pPr>
        <w:spacing w:after="0" w:line="104" w:lineRule="exact"/>
        <w:rPr>
          <w:rFonts w:ascii="Arial" w:cs="Arial" w:eastAsia="Arial" w:hAnsi="Arial"/>
          <w:sz w:val="16"/>
          <w:szCs w:val="16"/>
          <w:color w:val="6D8CC3"/>
        </w:rPr>
      </w:pPr>
    </w:p>
    <w:p>
      <w:pPr>
        <w:ind w:left="180" w:hanging="176"/>
        <w:spacing w:after="0"/>
        <w:tabs>
          <w:tab w:leader="none" w:pos="180" w:val="left"/>
        </w:tabs>
        <w:numPr>
          <w:ilvl w:val="0"/>
          <w:numId w:val="41"/>
        </w:numPr>
        <w:rPr>
          <w:rFonts w:ascii="Arial" w:cs="Arial" w:eastAsia="Arial" w:hAnsi="Arial"/>
          <w:sz w:val="16"/>
          <w:szCs w:val="16"/>
          <w:color w:val="6D8CC3"/>
        </w:rPr>
      </w:pPr>
      <w:r>
        <w:rPr>
          <w:rFonts w:ascii="Arial" w:cs="Arial" w:eastAsia="Arial" w:hAnsi="Arial"/>
          <w:sz w:val="16"/>
          <w:szCs w:val="16"/>
          <w:color w:val="auto"/>
        </w:rPr>
        <w:t>collaborate with the Board Chair to set meeting agendas for the Board;</w:t>
      </w:r>
    </w:p>
    <w:p>
      <w:pPr>
        <w:spacing w:after="0" w:line="104" w:lineRule="exact"/>
        <w:rPr>
          <w:rFonts w:ascii="Arial" w:cs="Arial" w:eastAsia="Arial" w:hAnsi="Arial"/>
          <w:sz w:val="16"/>
          <w:szCs w:val="16"/>
          <w:color w:val="6D8CC3"/>
        </w:rPr>
      </w:pPr>
    </w:p>
    <w:p>
      <w:pPr>
        <w:ind w:left="180" w:right="620" w:hanging="176"/>
        <w:spacing w:after="0" w:line="268" w:lineRule="auto"/>
        <w:tabs>
          <w:tab w:leader="none" w:pos="180" w:val="left"/>
        </w:tabs>
        <w:numPr>
          <w:ilvl w:val="0"/>
          <w:numId w:val="41"/>
        </w:numPr>
        <w:rPr>
          <w:rFonts w:ascii="Arial" w:cs="Arial" w:eastAsia="Arial" w:hAnsi="Arial"/>
          <w:sz w:val="16"/>
          <w:szCs w:val="16"/>
          <w:color w:val="6D8CC3"/>
        </w:rPr>
      </w:pPr>
      <w:r>
        <w:rPr>
          <w:rFonts w:ascii="Arial" w:cs="Arial" w:eastAsia="Arial" w:hAnsi="Arial"/>
          <w:sz w:val="16"/>
          <w:szCs w:val="16"/>
          <w:color w:val="auto"/>
        </w:rPr>
        <w:t>approve meeting schedules to assure that there is sufficient time for discussion of all agenda items;</w:t>
      </w:r>
    </w:p>
    <w:p>
      <w:pPr>
        <w:spacing w:after="0" w:line="61" w:lineRule="exact"/>
        <w:rPr>
          <w:rFonts w:ascii="Arial" w:cs="Arial" w:eastAsia="Arial" w:hAnsi="Arial"/>
          <w:sz w:val="16"/>
          <w:szCs w:val="16"/>
          <w:color w:val="6D8CC3"/>
        </w:rPr>
      </w:pPr>
    </w:p>
    <w:p>
      <w:pPr>
        <w:ind w:left="180" w:hanging="176"/>
        <w:spacing w:after="0" w:line="268" w:lineRule="auto"/>
        <w:tabs>
          <w:tab w:leader="none" w:pos="180" w:val="left"/>
        </w:tabs>
        <w:numPr>
          <w:ilvl w:val="0"/>
          <w:numId w:val="41"/>
        </w:numPr>
        <w:rPr>
          <w:rFonts w:ascii="Arial" w:cs="Arial" w:eastAsia="Arial" w:hAnsi="Arial"/>
          <w:sz w:val="16"/>
          <w:szCs w:val="16"/>
          <w:color w:val="6D8CC3"/>
        </w:rPr>
      </w:pPr>
      <w:r>
        <w:rPr>
          <w:rFonts w:ascii="Arial" w:cs="Arial" w:eastAsia="Arial" w:hAnsi="Arial"/>
          <w:sz w:val="16"/>
          <w:szCs w:val="16"/>
          <w:color w:val="auto"/>
        </w:rPr>
        <w:t>have the authority to call meetings of the independent and non-management directors;</w:t>
      </w:r>
    </w:p>
    <w:p>
      <w:pPr>
        <w:spacing w:after="0" w:line="61" w:lineRule="exact"/>
        <w:rPr>
          <w:rFonts w:ascii="Arial" w:cs="Arial" w:eastAsia="Arial" w:hAnsi="Arial"/>
          <w:sz w:val="16"/>
          <w:szCs w:val="16"/>
          <w:color w:val="6D8CC3"/>
        </w:rPr>
      </w:pPr>
    </w:p>
    <w:p>
      <w:pPr>
        <w:ind w:left="180" w:right="280" w:hanging="176"/>
        <w:spacing w:after="0" w:line="268" w:lineRule="auto"/>
        <w:tabs>
          <w:tab w:leader="none" w:pos="180" w:val="left"/>
        </w:tabs>
        <w:numPr>
          <w:ilvl w:val="0"/>
          <w:numId w:val="41"/>
        </w:numPr>
        <w:rPr>
          <w:rFonts w:ascii="Arial" w:cs="Arial" w:eastAsia="Arial" w:hAnsi="Arial"/>
          <w:sz w:val="16"/>
          <w:szCs w:val="16"/>
          <w:color w:val="6D8CC3"/>
        </w:rPr>
      </w:pPr>
      <w:r>
        <w:rPr>
          <w:rFonts w:ascii="Arial" w:cs="Arial" w:eastAsia="Arial" w:hAnsi="Arial"/>
          <w:sz w:val="16"/>
          <w:szCs w:val="16"/>
          <w:color w:val="auto"/>
        </w:rPr>
        <w:t>if requested by major shareholders, ensure that he or she is available for consultation and direct communication;</w:t>
      </w:r>
    </w:p>
    <w:p>
      <w:pPr>
        <w:spacing w:after="0" w:line="61" w:lineRule="exact"/>
        <w:rPr>
          <w:rFonts w:ascii="Arial" w:cs="Arial" w:eastAsia="Arial" w:hAnsi="Arial"/>
          <w:sz w:val="16"/>
          <w:szCs w:val="16"/>
          <w:color w:val="6D8CC3"/>
        </w:rPr>
      </w:pPr>
    </w:p>
    <w:p>
      <w:pPr>
        <w:ind w:left="180" w:right="360" w:hanging="176"/>
        <w:spacing w:after="0" w:line="302" w:lineRule="auto"/>
        <w:tabs>
          <w:tab w:leader="none" w:pos="180" w:val="left"/>
        </w:tabs>
        <w:numPr>
          <w:ilvl w:val="0"/>
          <w:numId w:val="41"/>
        </w:numPr>
        <w:rPr>
          <w:rFonts w:ascii="Arial" w:cs="Arial" w:eastAsia="Arial" w:hAnsi="Arial"/>
          <w:sz w:val="15"/>
          <w:szCs w:val="15"/>
          <w:color w:val="6D8CC3"/>
        </w:rPr>
      </w:pPr>
      <w:r>
        <w:rPr>
          <w:rFonts w:ascii="Arial" w:cs="Arial" w:eastAsia="Arial" w:hAnsi="Arial"/>
          <w:sz w:val="15"/>
          <w:szCs w:val="15"/>
          <w:color w:val="auto"/>
        </w:rPr>
        <w:t>assist the Board Chair and the Board in assuring compliance with and implementation of the Company’s corporate governance principles; and</w:t>
      </w:r>
    </w:p>
    <w:p>
      <w:pPr>
        <w:spacing w:after="0" w:line="37" w:lineRule="exact"/>
        <w:rPr>
          <w:rFonts w:ascii="Arial" w:cs="Arial" w:eastAsia="Arial" w:hAnsi="Arial"/>
          <w:sz w:val="15"/>
          <w:szCs w:val="15"/>
          <w:color w:val="6D8CC3"/>
        </w:rPr>
      </w:pPr>
    </w:p>
    <w:p>
      <w:pPr>
        <w:ind w:left="180" w:right="140" w:hanging="176"/>
        <w:spacing w:after="0" w:line="268" w:lineRule="auto"/>
        <w:tabs>
          <w:tab w:leader="none" w:pos="180" w:val="left"/>
        </w:tabs>
        <w:numPr>
          <w:ilvl w:val="0"/>
          <w:numId w:val="41"/>
        </w:numPr>
        <w:rPr>
          <w:rFonts w:ascii="Arial" w:cs="Arial" w:eastAsia="Arial" w:hAnsi="Arial"/>
          <w:sz w:val="16"/>
          <w:szCs w:val="16"/>
          <w:color w:val="6D8CC3"/>
        </w:rPr>
      </w:pPr>
      <w:r>
        <w:rPr>
          <w:rFonts w:ascii="Arial" w:cs="Arial" w:eastAsia="Arial" w:hAnsi="Arial"/>
          <w:sz w:val="16"/>
          <w:szCs w:val="16"/>
          <w:color w:val="auto"/>
        </w:rPr>
        <w:t>perform any other duties that may be deemed appropriate or necessary by the Board.</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The Board believes that the separated roles of Board Chair and Chief Executive Officer, and the significant responsibilities of a Lead Independent Director if the Board Chair is not independent, provide an appropriate balance between leadership and independent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209550</wp:posOffset>
            </wp:positionV>
            <wp:extent cx="1939925" cy="12573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939925" cy="125730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Given</w:t>
      </w:r>
      <w:r>
        <w:rPr>
          <w:rFonts w:ascii="Arial" w:cs="Arial" w:eastAsia="Arial" w:hAnsi="Arial"/>
          <w:sz w:val="14"/>
          <w:szCs w:val="14"/>
          <w:color w:val="auto"/>
        </w:rPr>
        <w:t>​</w:t>
      </w:r>
      <w:r>
        <w:rPr>
          <w:rFonts w:ascii="Arial" w:cs="Arial" w:eastAsia="Arial" w:hAnsi="Arial"/>
          <w:sz w:val="18"/>
          <w:szCs w:val="18"/>
          <w:b w:val="1"/>
          <w:bCs w:val="1"/>
          <w:color w:val="auto"/>
        </w:rPr>
        <w:t xml:space="preserve"> that we currently have an</w:t>
      </w:r>
    </w:p>
    <w:p>
      <w:pPr>
        <w:spacing w:after="0" w:line="157" w:lineRule="exact"/>
        <w:rPr>
          <w:sz w:val="20"/>
          <w:szCs w:val="20"/>
          <w:color w:val="auto"/>
        </w:rPr>
      </w:pPr>
    </w:p>
    <w:p>
      <w:pPr>
        <w:ind w:left="240"/>
        <w:spacing w:after="0"/>
        <w:rPr>
          <w:sz w:val="20"/>
          <w:szCs w:val="20"/>
          <w:color w:val="auto"/>
        </w:rPr>
      </w:pPr>
      <w:r>
        <w:rPr>
          <w:rFonts w:ascii="Arial" w:cs="Arial" w:eastAsia="Arial" w:hAnsi="Arial"/>
          <w:sz w:val="31"/>
          <w:szCs w:val="31"/>
          <w:color w:val="6D8CC3"/>
        </w:rPr>
        <w:t>Independent</w:t>
      </w:r>
    </w:p>
    <w:p>
      <w:pPr>
        <w:spacing w:after="0" w:line="41" w:lineRule="exact"/>
        <w:rPr>
          <w:sz w:val="20"/>
          <w:szCs w:val="20"/>
          <w:color w:val="auto"/>
        </w:rPr>
      </w:pPr>
    </w:p>
    <w:p>
      <w:pPr>
        <w:ind w:left="240"/>
        <w:spacing w:after="0"/>
        <w:rPr>
          <w:sz w:val="20"/>
          <w:szCs w:val="20"/>
          <w:color w:val="auto"/>
        </w:rPr>
      </w:pPr>
      <w:r>
        <w:rPr>
          <w:rFonts w:ascii="Arial" w:cs="Arial" w:eastAsia="Arial" w:hAnsi="Arial"/>
          <w:sz w:val="31"/>
          <w:szCs w:val="31"/>
          <w:color w:val="6D8CC3"/>
        </w:rPr>
        <w:t>Board Chair,</w:t>
      </w:r>
    </w:p>
    <w:p>
      <w:pPr>
        <w:spacing w:after="0" w:line="141"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auto"/>
        </w:rPr>
        <w:t>we do not have a</w:t>
      </w:r>
    </w:p>
    <w:p>
      <w:pPr>
        <w:spacing w:after="0" w:line="11"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auto"/>
        </w:rPr>
        <w:t>Lead Independent Director.</w:t>
      </w:r>
    </w:p>
    <w:p>
      <w:pPr>
        <w:spacing w:after="0" w:line="475" w:lineRule="exact"/>
        <w:rPr>
          <w:sz w:val="20"/>
          <w:szCs w:val="20"/>
          <w:color w:val="auto"/>
        </w:rPr>
      </w:pPr>
    </w:p>
    <w:p>
      <w:pPr>
        <w:sectPr>
          <w:pgSz w:w="11900" w:h="16838" w:orient="portrait"/>
          <w:cols w:equalWidth="0" w:num="2">
            <w:col w:w="5500" w:space="480"/>
            <w:col w:w="3060"/>
          </w:cols>
          <w:pgMar w:left="1420" w:top="115" w:right="1439" w:bottom="1440" w:gutter="0" w:footer="0" w:header="0"/>
          <w:type w:val="continuous"/>
        </w:sectPr>
      </w:pPr>
    </w:p>
    <w:p>
      <w:pPr>
        <w:spacing w:after="0" w:line="105" w:lineRule="exact"/>
        <w:rPr>
          <w:sz w:val="20"/>
          <w:szCs w:val="20"/>
          <w:color w:val="auto"/>
        </w:rPr>
      </w:pPr>
    </w:p>
    <w:p>
      <w:pPr>
        <w:spacing w:after="0"/>
        <w:rPr>
          <w:sz w:val="20"/>
          <w:szCs w:val="20"/>
          <w:color w:val="auto"/>
        </w:rPr>
      </w:pPr>
      <w:r>
        <w:rPr>
          <w:rFonts w:ascii="Arial" w:cs="Arial" w:eastAsia="Arial" w:hAnsi="Arial"/>
          <w:sz w:val="23"/>
          <w:szCs w:val="23"/>
          <w:b w:val="1"/>
          <w:bCs w:val="1"/>
          <w:color w:val="292F72"/>
        </w:rPr>
        <w:t>Meeting Attendance</w:t>
      </w:r>
    </w:p>
    <w:p>
      <w:pPr>
        <w:spacing w:after="0" w:line="148"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During fiscal 2025, our Board held eight meetings and all of the then-current directors attended 75% or more of the total number of meetings of the Board and of the committees of the Board on which they served. Each director is expected to dedicate sufficient time, energy and attention to ensure the diligent performance of the director’s duties, including by attending meetings of the Board and the committees of which the director is a member.</w:t>
      </w:r>
    </w:p>
    <w:p>
      <w:pPr>
        <w:spacing w:after="0" w:line="141"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The Company does not have a formal policy regarding attendance by members of the Board at the Company’s annual meeting of shareholders. However, it encourages directors to attend and historically nearly all have done so. All of the then-current Board members attended the 2025 annual meeting of shareholders.</w:t>
      </w:r>
    </w:p>
    <w:p>
      <w:pPr>
        <w:spacing w:after="0" w:line="315" w:lineRule="exact"/>
        <w:rPr>
          <w:sz w:val="20"/>
          <w:szCs w:val="20"/>
          <w:color w:val="auto"/>
        </w:rPr>
      </w:pPr>
    </w:p>
    <w:p>
      <w:pPr>
        <w:spacing w:after="0"/>
        <w:rPr>
          <w:sz w:val="20"/>
          <w:szCs w:val="20"/>
          <w:color w:val="auto"/>
        </w:rPr>
      </w:pPr>
      <w:r>
        <w:rPr>
          <w:rFonts w:ascii="Arial" w:cs="Arial" w:eastAsia="Arial" w:hAnsi="Arial"/>
          <w:sz w:val="23"/>
          <w:szCs w:val="23"/>
          <w:b w:val="1"/>
          <w:bCs w:val="1"/>
          <w:color w:val="292F72"/>
        </w:rPr>
        <w:t>Committees of the Board</w:t>
      </w:r>
    </w:p>
    <w:p>
      <w:pPr>
        <w:spacing w:after="0" w:line="135" w:lineRule="exact"/>
        <w:rPr>
          <w:sz w:val="20"/>
          <w:szCs w:val="20"/>
          <w:color w:val="auto"/>
        </w:rPr>
      </w:pPr>
    </w:p>
    <w:p>
      <w:pPr>
        <w:ind w:right="80"/>
        <w:spacing w:after="0" w:line="244" w:lineRule="auto"/>
        <w:rPr>
          <w:sz w:val="20"/>
          <w:szCs w:val="20"/>
          <w:color w:val="auto"/>
        </w:rPr>
      </w:pPr>
      <w:r>
        <w:rPr>
          <w:rFonts w:ascii="Arial" w:cs="Arial" w:eastAsia="Arial" w:hAnsi="Arial"/>
          <w:sz w:val="16"/>
          <w:szCs w:val="16"/>
          <w:color w:val="auto"/>
        </w:rPr>
        <w:t xml:space="preserve">During fiscal 2025, the Board had a standing Audit Committee, Human Capital &amp; Compensation (“HCC”) Committee and Nominating &amp; Governance Committee. The charters for the Audit, HCC and Nominating &amp; Governance Committees are available on the Company’s website at </w:t>
      </w:r>
      <w:r>
        <w:rPr>
          <w:rFonts w:ascii="Arial" w:cs="Arial" w:eastAsia="Arial" w:hAnsi="Arial"/>
          <w:sz w:val="16"/>
          <w:szCs w:val="16"/>
          <w:i w:val="1"/>
          <w:iCs w:val="1"/>
          <w:color w:val="auto"/>
        </w:rPr>
        <w:t>www.bbwinc.com</w:t>
      </w:r>
      <w:r>
        <w:rPr>
          <w:rFonts w:ascii="Arial" w:cs="Arial" w:eastAsia="Arial" w:hAnsi="Arial"/>
          <w:sz w:val="16"/>
          <w:szCs w:val="16"/>
          <w:color w:val="auto"/>
        </w:rPr>
        <w:t xml:space="preserve"> (see the “Investors” link followed by the “Committee Charters and Governance Materials” link). The current members of our committees, the principal roles and responsibilities of each committee and the number of meetings each committee held during fiscal 2025 are reflected on the next page. Each member of each committee during fiscal 2025 was, and each current member continues to be, independent in accordance with the Company’s corporate governance principles and applicable NYSE standards and Commission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57372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737225" cy="8255"/>
                    </a:xfrm>
                    <a:prstGeom prst="rect">
                      <a:avLst/>
                    </a:prstGeom>
                    <a:noFill/>
                  </pic:spPr>
                </pic:pic>
              </a:graphicData>
            </a:graphic>
          </wp:anchor>
        </w:drawing>
      </w:r>
    </w:p>
    <w:p>
      <w:pPr>
        <w:spacing w:after="0" w:line="273" w:lineRule="exact"/>
        <w:rPr>
          <w:sz w:val="20"/>
          <w:szCs w:val="20"/>
          <w:color w:val="auto"/>
        </w:rPr>
      </w:pPr>
    </w:p>
    <w:p>
      <w:pPr>
        <w:jc w:val="right"/>
        <w:spacing w:after="0"/>
        <w:rPr>
          <w:sz w:val="20"/>
          <w:szCs w:val="20"/>
          <w:color w:val="auto"/>
        </w:rPr>
      </w:pPr>
      <w:r>
        <w:rPr>
          <w:rFonts w:ascii="Arial" w:cs="Arial" w:eastAsia="Arial" w:hAnsi="Arial"/>
          <w:sz w:val="14"/>
          <w:szCs w:val="14"/>
          <w:color w:val="292F72"/>
        </w:rPr>
        <w:t>Bath &amp; Body Works, Inc.</w:t>
      </w:r>
      <w:r>
        <w:rPr>
          <w:rFonts w:ascii="Arial" w:cs="Arial" w:eastAsia="Arial" w:hAnsi="Arial"/>
          <w:sz w:val="14"/>
          <w:szCs w:val="14"/>
          <w:color w:val="6D8CC3"/>
        </w:rPr>
        <w:t xml:space="preserve">   | </w:t>
      </w:r>
      <w:r>
        <w:rPr>
          <w:rFonts w:ascii="Arial" w:cs="Arial" w:eastAsia="Arial" w:hAnsi="Arial"/>
          <w:sz w:val="14"/>
          <w:szCs w:val="14"/>
          <w:color w:val="292F72"/>
        </w:rPr>
        <w:t xml:space="preserve">  2026 Proxy Statement     </w:t>
      </w:r>
      <w:r>
        <w:rPr>
          <w:rFonts w:ascii="Arial" w:cs="Arial" w:eastAsia="Arial" w:hAnsi="Arial"/>
          <w:sz w:val="14"/>
          <w:szCs w:val="14"/>
          <w:b w:val="1"/>
          <w:bCs w:val="1"/>
          <w:color w:val="292F72"/>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145415</wp:posOffset>
            </wp:positionV>
            <wp:extent cx="6795135" cy="165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795135" cy="16510"/>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203" w:lineRule="exact"/>
        <w:rPr>
          <w:sz w:val="20"/>
          <w:szCs w:val="20"/>
          <w:color w:val="auto"/>
        </w:rPr>
      </w:pPr>
    </w:p>
    <w:p>
      <w:pPr>
        <w:ind w:left="20"/>
        <w:spacing w:after="0"/>
        <w:rPr>
          <w:sz w:val="20"/>
          <w:szCs w:val="20"/>
          <w:color w:val="auto"/>
        </w:rPr>
      </w:pPr>
      <w:r>
        <w:rPr>
          <w:rFonts w:ascii="Arial" w:cs="Arial" w:eastAsia="Arial" w:hAnsi="Arial"/>
          <w:sz w:val="16"/>
          <w:szCs w:val="16"/>
          <w:color w:val="292F72"/>
        </w:rPr>
        <w:t>Corporate</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6"/>
          <w:szCs w:val="16"/>
          <w:color w:val="292F72"/>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1024255" cy="330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024255" cy="33020"/>
                    </a:xfrm>
                    <a:prstGeom prst="rect">
                      <a:avLst/>
                    </a:prstGeom>
                    <a:noFill/>
                  </pic:spPr>
                </pic:pic>
              </a:graphicData>
            </a:graphic>
          </wp:anchor>
        </w:drawing>
        <w:drawing>
          <wp:anchor simplePos="0" relativeHeight="251657728" behindDoc="1" locked="0" layoutInCell="0" allowOverlap="1">
            <wp:simplePos x="0" y="0"/>
            <wp:positionH relativeFrom="column">
              <wp:posOffset>3084830</wp:posOffset>
            </wp:positionH>
            <wp:positionV relativeFrom="paragraph">
              <wp:posOffset>356870</wp:posOffset>
            </wp:positionV>
            <wp:extent cx="265620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656205" cy="8255"/>
                    </a:xfrm>
                    <a:prstGeom prst="rect">
                      <a:avLst/>
                    </a:prstGeom>
                    <a:noFill/>
                  </pic:spPr>
                </pic:pic>
              </a:graphicData>
            </a:graphic>
          </wp:anchor>
        </w:drawing>
      </w:r>
    </w:p>
    <w:p>
      <w:pPr>
        <w:sectPr>
          <w:pgSz w:w="11900" w:h="16838" w:orient="portrait"/>
          <w:cols w:equalWidth="0" w:num="1">
            <w:col w:w="9039"/>
          </w:cols>
          <w:pgMar w:left="1420" w:top="115"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40"/>
        <w:spacing w:after="0"/>
        <w:rPr>
          <w:sz w:val="20"/>
          <w:szCs w:val="20"/>
          <w:color w:val="auto"/>
        </w:rPr>
      </w:pPr>
      <w:r>
        <w:rPr>
          <w:rFonts w:ascii="Arial" w:cs="Arial" w:eastAsia="Arial" w:hAnsi="Arial"/>
          <w:sz w:val="23"/>
          <w:szCs w:val="23"/>
          <w:b w:val="1"/>
          <w:bCs w:val="1"/>
          <w:color w:val="292F72"/>
        </w:rPr>
        <w:t>Audit</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292F72"/>
        </w:rPr>
        <w:t>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tabs>
          <w:tab w:leader="none" w:pos="2280" w:val="left"/>
        </w:tabs>
        <w:rPr>
          <w:sz w:val="20"/>
          <w:szCs w:val="20"/>
          <w:color w:val="auto"/>
        </w:rPr>
      </w:pPr>
      <w:r>
        <w:rPr>
          <w:rFonts w:ascii="Arial" w:cs="Arial" w:eastAsia="Arial" w:hAnsi="Arial"/>
          <w:sz w:val="16"/>
          <w:szCs w:val="16"/>
          <w:b w:val="1"/>
          <w:bCs w:val="1"/>
          <w:color w:val="6D8CC3"/>
        </w:rPr>
        <w:t>MEMBERS</w:t>
      </w:r>
      <w:r>
        <w:rPr>
          <w:rFonts w:ascii="Arial" w:cs="Arial" w:eastAsia="Arial" w:hAnsi="Arial"/>
          <w:sz w:val="16"/>
          <w:szCs w:val="16"/>
          <w:b w:val="1"/>
          <w:bCs w:val="1"/>
          <w:color w:val="292F72"/>
        </w:rPr>
        <w:t>:</w:t>
      </w:r>
      <w:r>
        <w:rPr>
          <w:sz w:val="20"/>
          <w:szCs w:val="20"/>
          <w:color w:val="auto"/>
        </w:rPr>
        <w:tab/>
      </w:r>
      <w:r>
        <w:rPr>
          <w:rFonts w:ascii="Arial" w:cs="Arial" w:eastAsia="Arial" w:hAnsi="Arial"/>
          <w:sz w:val="15"/>
          <w:szCs w:val="15"/>
          <w:b w:val="1"/>
          <w:bCs w:val="1"/>
          <w:color w:val="6D8CC3"/>
        </w:rPr>
        <w:t>NUMBER OF MEETINGS</w:t>
      </w:r>
    </w:p>
    <w:p>
      <w:pPr>
        <w:spacing w:after="0" w:line="15" w:lineRule="exact"/>
        <w:rPr>
          <w:sz w:val="20"/>
          <w:szCs w:val="20"/>
          <w:color w:val="auto"/>
        </w:rPr>
      </w:pPr>
    </w:p>
    <w:p>
      <w:pPr>
        <w:spacing w:after="0"/>
        <w:tabs>
          <w:tab w:leader="none" w:pos="2280" w:val="left"/>
        </w:tabs>
        <w:rPr>
          <w:sz w:val="20"/>
          <w:szCs w:val="20"/>
          <w:color w:val="auto"/>
        </w:rPr>
      </w:pPr>
      <w:r>
        <w:rPr>
          <w:rFonts w:ascii="Arial" w:cs="Arial" w:eastAsia="Arial" w:hAnsi="Arial"/>
          <w:sz w:val="16"/>
          <w:szCs w:val="16"/>
          <w:b w:val="1"/>
          <w:bCs w:val="1"/>
          <w:color w:val="292F72"/>
        </w:rPr>
        <w:t xml:space="preserve">Steven Voskuil </w:t>
      </w:r>
      <w:r>
        <w:rPr>
          <w:rFonts w:ascii="Arial" w:cs="Arial" w:eastAsia="Arial" w:hAnsi="Arial"/>
          <w:sz w:val="16"/>
          <w:szCs w:val="16"/>
          <w:b w:val="1"/>
          <w:bCs w:val="1"/>
          <w:color w:val="6D8CC3"/>
        </w:rPr>
        <w:t>(Chair)</w:t>
      </w:r>
      <w:r>
        <w:rPr>
          <w:sz w:val="20"/>
          <w:szCs w:val="20"/>
          <w:color w:val="auto"/>
        </w:rPr>
        <w:tab/>
      </w:r>
      <w:r>
        <w:rPr>
          <w:rFonts w:ascii="Arial" w:cs="Arial" w:eastAsia="Arial" w:hAnsi="Arial"/>
          <w:sz w:val="15"/>
          <w:szCs w:val="15"/>
          <w:b w:val="1"/>
          <w:bCs w:val="1"/>
          <w:color w:val="6D8CC3"/>
        </w:rPr>
        <w:t xml:space="preserve">IN FISCAL 2025: </w:t>
      </w:r>
      <w:r>
        <w:rPr>
          <w:rFonts w:ascii="Arial" w:cs="Arial" w:eastAsia="Arial" w:hAnsi="Arial"/>
          <w:sz w:val="15"/>
          <w:szCs w:val="15"/>
          <w:b w:val="1"/>
          <w:bCs w:val="1"/>
          <w:color w:val="292F72"/>
        </w:rPr>
        <w:t>8</w:t>
      </w:r>
    </w:p>
    <w:p>
      <w:pPr>
        <w:spacing w:after="0"/>
        <w:rPr>
          <w:sz w:val="20"/>
          <w:szCs w:val="20"/>
          <w:color w:val="auto"/>
        </w:rPr>
      </w:pPr>
      <w:r>
        <w:rPr>
          <w:rFonts w:ascii="Arial" w:cs="Arial" w:eastAsia="Arial" w:hAnsi="Arial"/>
          <w:sz w:val="16"/>
          <w:szCs w:val="16"/>
          <w:b w:val="1"/>
          <w:bCs w:val="1"/>
          <w:color w:val="292F72"/>
        </w:rPr>
        <w:t>Francis Hondal</w:t>
      </w:r>
    </w:p>
    <w:p>
      <w:pPr>
        <w:spacing w:after="0"/>
        <w:rPr>
          <w:sz w:val="20"/>
          <w:szCs w:val="20"/>
          <w:color w:val="auto"/>
        </w:rPr>
      </w:pPr>
      <w:r>
        <w:rPr>
          <w:rFonts w:ascii="Arial" w:cs="Arial" w:eastAsia="Arial" w:hAnsi="Arial"/>
          <w:sz w:val="16"/>
          <w:szCs w:val="16"/>
          <w:b w:val="1"/>
          <w:bCs w:val="1"/>
          <w:color w:val="292F72"/>
        </w:rPr>
        <w:t>Juan Rajlin</w:t>
      </w:r>
    </w:p>
    <w:p>
      <w:pPr>
        <w:spacing w:after="0"/>
        <w:rPr>
          <w:sz w:val="20"/>
          <w:szCs w:val="20"/>
          <w:color w:val="auto"/>
        </w:rPr>
      </w:pPr>
      <w:r>
        <w:rPr>
          <w:rFonts w:ascii="Arial" w:cs="Arial" w:eastAsia="Arial" w:hAnsi="Arial"/>
          <w:sz w:val="16"/>
          <w:szCs w:val="16"/>
          <w:b w:val="1"/>
          <w:bCs w:val="1"/>
          <w:color w:val="292F72"/>
        </w:rPr>
        <w:t>Stephen Steinour</w:t>
      </w:r>
    </w:p>
    <w:p>
      <w:pPr>
        <w:spacing w:after="0"/>
        <w:rPr>
          <w:sz w:val="20"/>
          <w:szCs w:val="20"/>
          <w:color w:val="auto"/>
        </w:rPr>
      </w:pPr>
      <w:r>
        <w:rPr>
          <w:rFonts w:ascii="Arial" w:cs="Arial" w:eastAsia="Arial" w:hAnsi="Arial"/>
          <w:sz w:val="16"/>
          <w:szCs w:val="16"/>
          <w:b w:val="1"/>
          <w:bCs w:val="1"/>
          <w:color w:val="292F72"/>
        </w:rPr>
        <w:t>J.K. Symancyk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-3081655</wp:posOffset>
            </wp:positionH>
            <wp:positionV relativeFrom="paragraph">
              <wp:posOffset>81915</wp:posOffset>
            </wp:positionV>
            <wp:extent cx="5737225" cy="16402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737225" cy="16402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40" w:space="720"/>
            <w:col w:w="4179"/>
          </w:cols>
          <w:pgMar w:left="1420" w:top="115" w:right="1440" w:bottom="1440" w:gutter="0" w:footer="0" w:header="0"/>
          <w:type w:val="continuous"/>
        </w:sectPr>
      </w:pPr>
    </w:p>
    <w:p>
      <w:pPr>
        <w:spacing w:after="0" w:line="5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6D8CC3"/>
        </w:rPr>
        <w:t>PRINCIPAL ROLES AND RESPONSIBILITIES</w:t>
      </w:r>
    </w:p>
    <w:p>
      <w:pPr>
        <w:spacing w:after="0" w:line="68"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4360" w:type="dxa"/>
            <w:vAlign w:val="bottom"/>
          </w:tcPr>
          <w:p>
            <w:pPr>
              <w:spacing w:after="0"/>
              <w:rPr>
                <w:sz w:val="20"/>
                <w:szCs w:val="20"/>
                <w:color w:val="auto"/>
              </w:rPr>
            </w:pPr>
            <w:r>
              <w:rPr>
                <w:rFonts w:ascii="Arial" w:cs="Arial" w:eastAsia="Arial" w:hAnsi="Arial"/>
                <w:sz w:val="15"/>
                <w:szCs w:val="15"/>
                <w:color w:val="6D8CC3"/>
              </w:rPr>
              <w:t>•</w:t>
            </w:r>
            <w:r>
              <w:rPr>
                <w:rFonts w:ascii="Arial" w:cs="Arial" w:eastAsia="Arial" w:hAnsi="Arial"/>
                <w:sz w:val="15"/>
                <w:szCs w:val="15"/>
                <w:color w:val="000000"/>
              </w:rPr>
              <w:t xml:space="preserve">  Oversees the integrity of the Company’s financial</w:t>
            </w:r>
          </w:p>
        </w:tc>
        <w:tc>
          <w:tcPr>
            <w:tcW w:w="4360" w:type="dxa"/>
            <w:vAlign w:val="bottom"/>
          </w:tcPr>
          <w:p>
            <w:pPr>
              <w:ind w:left="100"/>
              <w:spacing w:after="0"/>
              <w:rPr>
                <w:sz w:val="20"/>
                <w:szCs w:val="20"/>
                <w:color w:val="auto"/>
              </w:rPr>
            </w:pPr>
            <w:r>
              <w:rPr>
                <w:rFonts w:ascii="Arial" w:cs="Arial" w:eastAsia="Arial" w:hAnsi="Arial"/>
                <w:sz w:val="15"/>
                <w:szCs w:val="15"/>
                <w:color w:val="6D8CC3"/>
              </w:rPr>
              <w:t>•</w:t>
            </w:r>
            <w:r>
              <w:rPr>
                <w:rFonts w:ascii="Arial" w:cs="Arial" w:eastAsia="Arial" w:hAnsi="Arial"/>
                <w:sz w:val="15"/>
                <w:szCs w:val="15"/>
                <w:color w:val="000000"/>
              </w:rPr>
              <w:t>​  Reviews and evaluates the qualifications, independence and</w:t>
            </w:r>
          </w:p>
        </w:tc>
        <w:tc>
          <w:tcPr>
            <w:tcW w:w="0" w:type="dxa"/>
            <w:vAlign w:val="bottom"/>
          </w:tcPr>
          <w:p>
            <w:pPr>
              <w:spacing w:after="0"/>
              <w:rPr>
                <w:sz w:val="1"/>
                <w:szCs w:val="1"/>
                <w:color w:val="auto"/>
              </w:rPr>
            </w:pPr>
          </w:p>
        </w:tc>
      </w:tr>
      <w:tr>
        <w:trPr>
          <w:trHeight w:val="214"/>
        </w:trPr>
        <w:tc>
          <w:tcPr>
            <w:tcW w:w="4360" w:type="dxa"/>
            <w:vAlign w:val="bottom"/>
          </w:tcPr>
          <w:p>
            <w:pPr>
              <w:ind w:left="140"/>
              <w:spacing w:after="0"/>
              <w:rPr>
                <w:sz w:val="20"/>
                <w:szCs w:val="20"/>
                <w:color w:val="auto"/>
              </w:rPr>
            </w:pPr>
            <w:r>
              <w:rPr>
                <w:rFonts w:ascii="Arial" w:cs="Arial" w:eastAsia="Arial" w:hAnsi="Arial"/>
                <w:sz w:val="15"/>
                <w:szCs w:val="15"/>
                <w:color w:val="auto"/>
              </w:rPr>
              <w:t>statements and internal controls</w:t>
            </w:r>
          </w:p>
        </w:tc>
        <w:tc>
          <w:tcPr>
            <w:tcW w:w="4360" w:type="dxa"/>
            <w:vAlign w:val="bottom"/>
          </w:tcPr>
          <w:p>
            <w:pPr>
              <w:ind w:left="240"/>
              <w:spacing w:after="0"/>
              <w:rPr>
                <w:sz w:val="20"/>
                <w:szCs w:val="20"/>
                <w:color w:val="auto"/>
              </w:rPr>
            </w:pPr>
            <w:r>
              <w:rPr>
                <w:rFonts w:ascii="Arial" w:cs="Arial" w:eastAsia="Arial" w:hAnsi="Arial"/>
                <w:sz w:val="15"/>
                <w:szCs w:val="15"/>
                <w:color w:val="auto"/>
              </w:rPr>
              <w:t>performance of the Company’s independent auditors</w:t>
            </w:r>
          </w:p>
        </w:tc>
        <w:tc>
          <w:tcPr>
            <w:tcW w:w="0" w:type="dxa"/>
            <w:vAlign w:val="bottom"/>
          </w:tcPr>
          <w:p>
            <w:pPr>
              <w:spacing w:after="0"/>
              <w:rPr>
                <w:sz w:val="1"/>
                <w:szCs w:val="1"/>
                <w:color w:val="auto"/>
              </w:rPr>
            </w:pPr>
          </w:p>
        </w:tc>
      </w:tr>
      <w:tr>
        <w:trPr>
          <w:trHeight w:val="192"/>
        </w:trPr>
        <w:tc>
          <w:tcPr>
            <w:tcW w:w="4360" w:type="dxa"/>
            <w:vAlign w:val="bottom"/>
          </w:tcPr>
          <w:p>
            <w:pPr>
              <w:spacing w:after="0"/>
              <w:rPr>
                <w:sz w:val="20"/>
                <w:szCs w:val="20"/>
                <w:color w:val="auto"/>
              </w:rPr>
            </w:pPr>
            <w:r>
              <w:rPr>
                <w:rFonts w:ascii="Arial" w:cs="Arial" w:eastAsia="Arial" w:hAnsi="Arial"/>
                <w:sz w:val="15"/>
                <w:szCs w:val="15"/>
                <w:color w:val="6D8CC3"/>
              </w:rPr>
              <w:t>•</w:t>
            </w:r>
            <w:r>
              <w:rPr>
                <w:rFonts w:ascii="Arial" w:cs="Arial" w:eastAsia="Arial" w:hAnsi="Arial"/>
                <w:sz w:val="15"/>
                <w:szCs w:val="15"/>
                <w:color w:val="000000"/>
              </w:rPr>
              <w:t xml:space="preserve">  Assists the Board with overseeing the Company’s risk</w:t>
            </w:r>
          </w:p>
        </w:tc>
        <w:tc>
          <w:tcPr>
            <w:tcW w:w="4360" w:type="dxa"/>
            <w:vAlign w:val="bottom"/>
          </w:tcPr>
          <w:p>
            <w:pPr>
              <w:ind w:left="100"/>
              <w:spacing w:after="0"/>
              <w:rPr>
                <w:sz w:val="20"/>
                <w:szCs w:val="20"/>
                <w:color w:val="auto"/>
              </w:rPr>
            </w:pPr>
            <w:r>
              <w:rPr>
                <w:rFonts w:ascii="Arial" w:cs="Arial" w:eastAsia="Arial" w:hAnsi="Arial"/>
                <w:sz w:val="15"/>
                <w:szCs w:val="15"/>
                <w:color w:val="6D8CC3"/>
              </w:rPr>
              <w:t>•</w:t>
            </w:r>
            <w:r>
              <w:rPr>
                <w:rFonts w:ascii="Arial" w:cs="Arial" w:eastAsia="Arial" w:hAnsi="Arial"/>
                <w:sz w:val="15"/>
                <w:szCs w:val="15"/>
                <w:color w:val="000000"/>
              </w:rPr>
              <w:t xml:space="preserve">  Reviews and evaluates the performance of the Company’s</w:t>
            </w:r>
          </w:p>
        </w:tc>
        <w:tc>
          <w:tcPr>
            <w:tcW w:w="0" w:type="dxa"/>
            <w:vAlign w:val="bottom"/>
          </w:tcPr>
          <w:p>
            <w:pPr>
              <w:spacing w:after="0"/>
              <w:rPr>
                <w:sz w:val="1"/>
                <w:szCs w:val="1"/>
                <w:color w:val="auto"/>
              </w:rPr>
            </w:pPr>
          </w:p>
        </w:tc>
      </w:tr>
      <w:tr>
        <w:trPr>
          <w:trHeight w:val="170"/>
        </w:trPr>
        <w:tc>
          <w:tcPr>
            <w:tcW w:w="4360" w:type="dxa"/>
            <w:vAlign w:val="bottom"/>
          </w:tcPr>
          <w:p>
            <w:pPr>
              <w:ind w:left="140"/>
              <w:spacing w:after="0" w:line="171" w:lineRule="exact"/>
              <w:rPr>
                <w:sz w:val="20"/>
                <w:szCs w:val="20"/>
                <w:color w:val="auto"/>
              </w:rPr>
            </w:pPr>
            <w:r>
              <w:rPr>
                <w:rFonts w:ascii="Arial" w:cs="Arial" w:eastAsia="Arial" w:hAnsi="Arial"/>
                <w:sz w:val="15"/>
                <w:szCs w:val="15"/>
                <w:color w:val="auto"/>
              </w:rPr>
              <w:t>management framework, including reviewing the Company’s</w:t>
            </w:r>
          </w:p>
        </w:tc>
        <w:tc>
          <w:tcPr>
            <w:tcW w:w="4360" w:type="dxa"/>
            <w:vAlign w:val="bottom"/>
          </w:tcPr>
          <w:p>
            <w:pPr>
              <w:ind w:left="240"/>
              <w:spacing w:after="0" w:line="171" w:lineRule="exact"/>
              <w:rPr>
                <w:sz w:val="20"/>
                <w:szCs w:val="20"/>
                <w:color w:val="auto"/>
              </w:rPr>
            </w:pPr>
            <w:r>
              <w:rPr>
                <w:rFonts w:ascii="Arial" w:cs="Arial" w:eastAsia="Arial" w:hAnsi="Arial"/>
                <w:sz w:val="15"/>
                <w:szCs w:val="15"/>
                <w:color w:val="auto"/>
              </w:rPr>
              <w:t>internal audit function</w:t>
            </w:r>
          </w:p>
        </w:tc>
        <w:tc>
          <w:tcPr>
            <w:tcW w:w="0" w:type="dxa"/>
            <w:vAlign w:val="bottom"/>
          </w:tcPr>
          <w:p>
            <w:pPr>
              <w:spacing w:after="0"/>
              <w:rPr>
                <w:sz w:val="1"/>
                <w:szCs w:val="1"/>
                <w:color w:val="auto"/>
              </w:rPr>
            </w:pPr>
          </w:p>
        </w:tc>
      </w:tr>
      <w:tr>
        <w:trPr>
          <w:trHeight w:val="184"/>
        </w:trPr>
        <w:tc>
          <w:tcPr>
            <w:tcW w:w="4360" w:type="dxa"/>
            <w:vAlign w:val="bottom"/>
          </w:tcPr>
          <w:p>
            <w:pPr>
              <w:ind w:left="140"/>
              <w:spacing w:after="0"/>
              <w:rPr>
                <w:sz w:val="20"/>
                <w:szCs w:val="20"/>
                <w:color w:val="auto"/>
              </w:rPr>
            </w:pPr>
            <w:r>
              <w:rPr>
                <w:rFonts w:ascii="Arial" w:cs="Arial" w:eastAsia="Arial" w:hAnsi="Arial"/>
                <w:sz w:val="15"/>
                <w:szCs w:val="15"/>
                <w:color w:val="auto"/>
              </w:rPr>
              <w:t>policies and practices with respect to risk identification,</w:t>
            </w:r>
          </w:p>
        </w:tc>
        <w:tc>
          <w:tcPr>
            <w:tcW w:w="4360" w:type="dxa"/>
            <w:vAlign w:val="bottom"/>
            <w:vMerge w:val="restart"/>
          </w:tcPr>
          <w:p>
            <w:pPr>
              <w:ind w:left="100"/>
              <w:spacing w:after="0"/>
              <w:rPr>
                <w:sz w:val="20"/>
                <w:szCs w:val="20"/>
                <w:color w:val="auto"/>
              </w:rPr>
            </w:pPr>
            <w:r>
              <w:rPr>
                <w:rFonts w:ascii="Arial" w:cs="Arial" w:eastAsia="Arial" w:hAnsi="Arial"/>
                <w:sz w:val="15"/>
                <w:szCs w:val="15"/>
                <w:color w:val="6D8CC3"/>
              </w:rPr>
              <w:t>•</w:t>
            </w:r>
            <w:r>
              <w:rPr>
                <w:rFonts w:ascii="Arial" w:cs="Arial" w:eastAsia="Arial" w:hAnsi="Arial"/>
                <w:sz w:val="15"/>
                <w:szCs w:val="15"/>
                <w:color w:val="000000"/>
              </w:rPr>
              <w:t xml:space="preserve">  Oversees the Company’s compliance with legal and</w:t>
            </w:r>
          </w:p>
        </w:tc>
        <w:tc>
          <w:tcPr>
            <w:tcW w:w="0" w:type="dxa"/>
            <w:vAlign w:val="bottom"/>
          </w:tcPr>
          <w:p>
            <w:pPr>
              <w:spacing w:after="0"/>
              <w:rPr>
                <w:sz w:val="1"/>
                <w:szCs w:val="1"/>
                <w:color w:val="auto"/>
              </w:rPr>
            </w:pPr>
          </w:p>
        </w:tc>
      </w:tr>
      <w:tr>
        <w:trPr>
          <w:trHeight w:val="39"/>
        </w:trPr>
        <w:tc>
          <w:tcPr>
            <w:tcW w:w="4360" w:type="dxa"/>
            <w:vAlign w:val="bottom"/>
            <w:vMerge w:val="restart"/>
          </w:tcPr>
          <w:p>
            <w:pPr>
              <w:ind w:left="140"/>
              <w:spacing w:after="0"/>
              <w:rPr>
                <w:sz w:val="20"/>
                <w:szCs w:val="20"/>
                <w:color w:val="auto"/>
              </w:rPr>
            </w:pPr>
            <w:r>
              <w:rPr>
                <w:rFonts w:ascii="Arial" w:cs="Arial" w:eastAsia="Arial" w:hAnsi="Arial"/>
                <w:sz w:val="15"/>
                <w:szCs w:val="15"/>
                <w:color w:val="auto"/>
              </w:rPr>
              <w:t>assessment, mitigation and management, including review</w:t>
            </w:r>
          </w:p>
        </w:tc>
        <w:tc>
          <w:tcPr>
            <w:tcW w:w="43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3"/>
        </w:trPr>
        <w:tc>
          <w:tcPr>
            <w:tcW w:w="4360" w:type="dxa"/>
            <w:vAlign w:val="bottom"/>
            <w:vMerge w:val="continue"/>
          </w:tcPr>
          <w:p>
            <w:pPr>
              <w:spacing w:after="0"/>
              <w:rPr>
                <w:sz w:val="13"/>
                <w:szCs w:val="13"/>
                <w:color w:val="auto"/>
              </w:rPr>
            </w:pPr>
          </w:p>
        </w:tc>
        <w:tc>
          <w:tcPr>
            <w:tcW w:w="4360" w:type="dxa"/>
            <w:vAlign w:val="bottom"/>
          </w:tcPr>
          <w:p>
            <w:pPr>
              <w:ind w:left="240"/>
              <w:spacing w:after="0" w:line="154" w:lineRule="exact"/>
              <w:rPr>
                <w:sz w:val="20"/>
                <w:szCs w:val="20"/>
                <w:color w:val="auto"/>
              </w:rPr>
            </w:pPr>
            <w:r>
              <w:rPr>
                <w:rFonts w:ascii="Arial" w:cs="Arial" w:eastAsia="Arial" w:hAnsi="Arial"/>
                <w:sz w:val="15"/>
                <w:szCs w:val="15"/>
                <w:color w:val="auto"/>
              </w:rPr>
              <w:t>regulatory requirements, including oversight of the</w:t>
            </w:r>
          </w:p>
        </w:tc>
        <w:tc>
          <w:tcPr>
            <w:tcW w:w="0" w:type="dxa"/>
            <w:vAlign w:val="bottom"/>
          </w:tcPr>
          <w:p>
            <w:pPr>
              <w:spacing w:after="0"/>
              <w:rPr>
                <w:sz w:val="1"/>
                <w:szCs w:val="1"/>
                <w:color w:val="auto"/>
              </w:rPr>
            </w:pPr>
          </w:p>
        </w:tc>
      </w:tr>
      <w:tr>
        <w:trPr>
          <w:trHeight w:val="170"/>
        </w:trPr>
        <w:tc>
          <w:tcPr>
            <w:tcW w:w="4360" w:type="dxa"/>
            <w:vAlign w:val="bottom"/>
          </w:tcPr>
          <w:p>
            <w:pPr>
              <w:ind w:left="140"/>
              <w:spacing w:after="0" w:line="171" w:lineRule="exact"/>
              <w:rPr>
                <w:sz w:val="20"/>
                <w:szCs w:val="20"/>
                <w:color w:val="auto"/>
              </w:rPr>
            </w:pPr>
            <w:r>
              <w:rPr>
                <w:rFonts w:ascii="Arial" w:cs="Arial" w:eastAsia="Arial" w:hAnsi="Arial"/>
                <w:sz w:val="15"/>
                <w:szCs w:val="15"/>
                <w:color w:val="auto"/>
              </w:rPr>
              <w:t>of the Company’s policies and practices with respect to</w:t>
            </w:r>
          </w:p>
        </w:tc>
        <w:tc>
          <w:tcPr>
            <w:tcW w:w="4360" w:type="dxa"/>
            <w:vAlign w:val="bottom"/>
          </w:tcPr>
          <w:p>
            <w:pPr>
              <w:ind w:left="240"/>
              <w:spacing w:after="0" w:line="171" w:lineRule="exact"/>
              <w:rPr>
                <w:sz w:val="20"/>
                <w:szCs w:val="20"/>
                <w:color w:val="auto"/>
              </w:rPr>
            </w:pPr>
            <w:r>
              <w:rPr>
                <w:rFonts w:ascii="Arial" w:cs="Arial" w:eastAsia="Arial" w:hAnsi="Arial"/>
                <w:sz w:val="15"/>
                <w:szCs w:val="15"/>
                <w:color w:val="auto"/>
              </w:rPr>
              <w:t>Company’s Code of Conduct and the Company’s ethics and</w:t>
            </w:r>
          </w:p>
        </w:tc>
        <w:tc>
          <w:tcPr>
            <w:tcW w:w="0" w:type="dxa"/>
            <w:vAlign w:val="bottom"/>
          </w:tcPr>
          <w:p>
            <w:pPr>
              <w:spacing w:after="0"/>
              <w:rPr>
                <w:sz w:val="1"/>
                <w:szCs w:val="1"/>
                <w:color w:val="auto"/>
              </w:rPr>
            </w:pPr>
          </w:p>
        </w:tc>
      </w:tr>
      <w:tr>
        <w:trPr>
          <w:trHeight w:val="170"/>
        </w:trPr>
        <w:tc>
          <w:tcPr>
            <w:tcW w:w="4360" w:type="dxa"/>
            <w:vAlign w:val="bottom"/>
          </w:tcPr>
          <w:p>
            <w:pPr>
              <w:ind w:left="140"/>
              <w:spacing w:after="0" w:line="171" w:lineRule="exact"/>
              <w:rPr>
                <w:sz w:val="20"/>
                <w:szCs w:val="20"/>
                <w:color w:val="auto"/>
              </w:rPr>
            </w:pPr>
            <w:r>
              <w:rPr>
                <w:rFonts w:ascii="Arial" w:cs="Arial" w:eastAsia="Arial" w:hAnsi="Arial"/>
                <w:sz w:val="15"/>
                <w:szCs w:val="15"/>
                <w:color w:val="auto"/>
              </w:rPr>
              <w:t>cybersecurity, data security, technology, privacy and artificial</w:t>
            </w:r>
          </w:p>
        </w:tc>
        <w:tc>
          <w:tcPr>
            <w:tcW w:w="4360" w:type="dxa"/>
            <w:vAlign w:val="bottom"/>
          </w:tcPr>
          <w:p>
            <w:pPr>
              <w:ind w:left="240"/>
              <w:spacing w:after="0" w:line="171" w:lineRule="exact"/>
              <w:rPr>
                <w:sz w:val="20"/>
                <w:szCs w:val="20"/>
                <w:color w:val="auto"/>
              </w:rPr>
            </w:pPr>
            <w:r>
              <w:rPr>
                <w:rFonts w:ascii="Arial" w:cs="Arial" w:eastAsia="Arial" w:hAnsi="Arial"/>
                <w:sz w:val="15"/>
                <w:szCs w:val="15"/>
                <w:color w:val="auto"/>
              </w:rPr>
              <w:t>compliance function, including receiving at least quarterly</w:t>
            </w:r>
          </w:p>
        </w:tc>
        <w:tc>
          <w:tcPr>
            <w:tcW w:w="0" w:type="dxa"/>
            <w:vAlign w:val="bottom"/>
          </w:tcPr>
          <w:p>
            <w:pPr>
              <w:spacing w:after="0"/>
              <w:rPr>
                <w:sz w:val="1"/>
                <w:szCs w:val="1"/>
                <w:color w:val="auto"/>
              </w:rPr>
            </w:pPr>
          </w:p>
        </w:tc>
      </w:tr>
      <w:tr>
        <w:trPr>
          <w:trHeight w:val="218"/>
        </w:trPr>
        <w:tc>
          <w:tcPr>
            <w:tcW w:w="4360" w:type="dxa"/>
            <w:vAlign w:val="bottom"/>
          </w:tcPr>
          <w:p>
            <w:pPr>
              <w:ind w:left="140"/>
              <w:spacing w:after="0"/>
              <w:rPr>
                <w:sz w:val="20"/>
                <w:szCs w:val="20"/>
                <w:color w:val="auto"/>
              </w:rPr>
            </w:pPr>
            <w:r>
              <w:rPr>
                <w:rFonts w:ascii="Arial" w:cs="Arial" w:eastAsia="Arial" w:hAnsi="Arial"/>
                <w:sz w:val="15"/>
                <w:szCs w:val="15"/>
                <w:color w:val="auto"/>
              </w:rPr>
              <w:t>intelligence risk exposures</w:t>
            </w:r>
          </w:p>
        </w:tc>
        <w:tc>
          <w:tcPr>
            <w:tcW w:w="4360" w:type="dxa"/>
            <w:vAlign w:val="bottom"/>
          </w:tcPr>
          <w:p>
            <w:pPr>
              <w:ind w:left="240"/>
              <w:spacing w:after="0"/>
              <w:rPr>
                <w:sz w:val="20"/>
                <w:szCs w:val="20"/>
                <w:color w:val="auto"/>
              </w:rPr>
            </w:pPr>
            <w:r>
              <w:rPr>
                <w:rFonts w:ascii="Arial" w:cs="Arial" w:eastAsia="Arial" w:hAnsi="Arial"/>
                <w:sz w:val="15"/>
                <w:szCs w:val="15"/>
                <w:color w:val="auto"/>
              </w:rPr>
              <w:t>reports from such function</w:t>
            </w: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160" w:right="319"/>
        <w:spacing w:after="0" w:line="277" w:lineRule="auto"/>
        <w:rPr>
          <w:sz w:val="20"/>
          <w:szCs w:val="20"/>
          <w:color w:val="auto"/>
        </w:rPr>
      </w:pPr>
      <w:r>
        <w:rPr>
          <w:rFonts w:ascii="Arial" w:cs="Arial" w:eastAsia="Arial" w:hAnsi="Arial"/>
          <w:sz w:val="15"/>
          <w:szCs w:val="15"/>
          <w:color w:val="auto"/>
        </w:rPr>
        <w:t>The Board has determined that each of the Audit Committee members qualifies as an “audit committee financial expert” within the meaning of the regulations promulgated by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327660</wp:posOffset>
            </wp:positionV>
            <wp:extent cx="265620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656205" cy="8255"/>
                    </a:xfrm>
                    <a:prstGeom prst="rect">
                      <a:avLst/>
                    </a:prstGeom>
                    <a:noFill/>
                  </pic:spPr>
                </pic:pic>
              </a:graphicData>
            </a:graphic>
          </wp:anchor>
        </w:drawing>
      </w:r>
    </w:p>
    <w:p>
      <w:pPr>
        <w:sectPr>
          <w:pgSz w:w="11900" w:h="16838" w:orient="portrait"/>
          <w:cols w:equalWidth="0" w:num="1">
            <w:col w:w="9039"/>
          </w:cols>
          <w:pgMar w:left="1420" w:top="115" w:right="1440" w:bottom="1440" w:gutter="0" w:footer="0" w:header="0"/>
          <w:type w:val="continuous"/>
        </w:sectPr>
      </w:pPr>
    </w:p>
    <w:p>
      <w:pPr>
        <w:spacing w:after="0" w:line="200" w:lineRule="exact"/>
        <w:rPr>
          <w:sz w:val="20"/>
          <w:szCs w:val="20"/>
          <w:color w:val="auto"/>
        </w:rPr>
      </w:pPr>
    </w:p>
    <w:p>
      <w:pPr>
        <w:spacing w:after="0" w:line="337" w:lineRule="exact"/>
        <w:rPr>
          <w:sz w:val="20"/>
          <w:szCs w:val="20"/>
          <w:color w:val="auto"/>
        </w:rPr>
      </w:pPr>
    </w:p>
    <w:p>
      <w:pPr>
        <w:ind w:left="40"/>
        <w:spacing w:after="0"/>
        <w:rPr>
          <w:sz w:val="20"/>
          <w:szCs w:val="20"/>
          <w:color w:val="auto"/>
        </w:rPr>
      </w:pPr>
      <w:r>
        <w:rPr>
          <w:rFonts w:ascii="Arial" w:cs="Arial" w:eastAsia="Arial" w:hAnsi="Arial"/>
          <w:sz w:val="23"/>
          <w:szCs w:val="23"/>
          <w:b w:val="1"/>
          <w:bCs w:val="1"/>
          <w:color w:val="292F72"/>
        </w:rPr>
        <w:t>Human Capital</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292F72"/>
        </w:rPr>
        <w:t>&amp; Compensation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3" w:lineRule="exact"/>
        <w:rPr>
          <w:sz w:val="20"/>
          <w:szCs w:val="20"/>
          <w:color w:val="auto"/>
        </w:rPr>
      </w:pPr>
    </w:p>
    <w:p>
      <w:pPr>
        <w:spacing w:after="0"/>
        <w:tabs>
          <w:tab w:leader="none" w:pos="2280" w:val="left"/>
        </w:tabs>
        <w:rPr>
          <w:sz w:val="20"/>
          <w:szCs w:val="20"/>
          <w:color w:val="auto"/>
        </w:rPr>
      </w:pPr>
      <w:r>
        <w:rPr>
          <w:rFonts w:ascii="Arial" w:cs="Arial" w:eastAsia="Arial" w:hAnsi="Arial"/>
          <w:sz w:val="16"/>
          <w:szCs w:val="16"/>
          <w:b w:val="1"/>
          <w:bCs w:val="1"/>
          <w:color w:val="6D8CC3"/>
        </w:rPr>
        <w:t>MEMBERS</w:t>
      </w:r>
      <w:r>
        <w:rPr>
          <w:rFonts w:ascii="Arial" w:cs="Arial" w:eastAsia="Arial" w:hAnsi="Arial"/>
          <w:sz w:val="16"/>
          <w:szCs w:val="16"/>
          <w:b w:val="1"/>
          <w:bCs w:val="1"/>
          <w:color w:val="292F72"/>
        </w:rPr>
        <w:t>:</w:t>
      </w:r>
      <w:r>
        <w:rPr>
          <w:sz w:val="20"/>
          <w:szCs w:val="20"/>
          <w:color w:val="auto"/>
        </w:rPr>
        <w:tab/>
      </w:r>
      <w:r>
        <w:rPr>
          <w:rFonts w:ascii="Arial" w:cs="Arial" w:eastAsia="Arial" w:hAnsi="Arial"/>
          <w:sz w:val="15"/>
          <w:szCs w:val="15"/>
          <w:b w:val="1"/>
          <w:bCs w:val="1"/>
          <w:color w:val="6D8CC3"/>
        </w:rPr>
        <w:t>NUMBER OF MEETINGS</w:t>
      </w:r>
    </w:p>
    <w:p>
      <w:pPr>
        <w:spacing w:after="0" w:line="15" w:lineRule="exact"/>
        <w:rPr>
          <w:sz w:val="20"/>
          <w:szCs w:val="20"/>
          <w:color w:val="auto"/>
        </w:rPr>
      </w:pPr>
    </w:p>
    <w:p>
      <w:pPr>
        <w:spacing w:after="0"/>
        <w:tabs>
          <w:tab w:leader="none" w:pos="2280" w:val="left"/>
        </w:tabs>
        <w:rPr>
          <w:sz w:val="20"/>
          <w:szCs w:val="20"/>
          <w:color w:val="auto"/>
        </w:rPr>
      </w:pPr>
      <w:r>
        <w:rPr>
          <w:rFonts w:ascii="Arial" w:cs="Arial" w:eastAsia="Arial" w:hAnsi="Arial"/>
          <w:sz w:val="16"/>
          <w:szCs w:val="16"/>
          <w:b w:val="1"/>
          <w:bCs w:val="1"/>
          <w:color w:val="292F72"/>
        </w:rPr>
        <w:t xml:space="preserve">Francis Hondal </w:t>
      </w:r>
      <w:r>
        <w:rPr>
          <w:rFonts w:ascii="Arial" w:cs="Arial" w:eastAsia="Arial" w:hAnsi="Arial"/>
          <w:sz w:val="16"/>
          <w:szCs w:val="16"/>
          <w:b w:val="1"/>
          <w:bCs w:val="1"/>
          <w:color w:val="6D8CC3"/>
        </w:rPr>
        <w:t>(Chair)</w:t>
      </w:r>
      <w:r>
        <w:rPr>
          <w:sz w:val="20"/>
          <w:szCs w:val="20"/>
          <w:color w:val="auto"/>
        </w:rPr>
        <w:tab/>
      </w:r>
      <w:r>
        <w:rPr>
          <w:rFonts w:ascii="Arial" w:cs="Arial" w:eastAsia="Arial" w:hAnsi="Arial"/>
          <w:sz w:val="15"/>
          <w:szCs w:val="15"/>
          <w:b w:val="1"/>
          <w:bCs w:val="1"/>
          <w:color w:val="6D8CC3"/>
        </w:rPr>
        <w:t xml:space="preserve">IN FISCAL 2025: </w:t>
      </w:r>
      <w:r>
        <w:rPr>
          <w:rFonts w:ascii="Arial" w:cs="Arial" w:eastAsia="Arial" w:hAnsi="Arial"/>
          <w:sz w:val="15"/>
          <w:szCs w:val="15"/>
          <w:b w:val="1"/>
          <w:bCs w:val="1"/>
          <w:color w:val="292F72"/>
        </w:rPr>
        <w:t>7</w:t>
      </w:r>
    </w:p>
    <w:p>
      <w:pPr>
        <w:spacing w:after="0"/>
        <w:rPr>
          <w:sz w:val="20"/>
          <w:szCs w:val="20"/>
          <w:color w:val="auto"/>
        </w:rPr>
      </w:pPr>
      <w:r>
        <w:rPr>
          <w:rFonts w:ascii="Arial" w:cs="Arial" w:eastAsia="Arial" w:hAnsi="Arial"/>
          <w:sz w:val="16"/>
          <w:szCs w:val="16"/>
          <w:b w:val="1"/>
          <w:bCs w:val="1"/>
          <w:color w:val="292F72"/>
        </w:rPr>
        <w:t>Alessandro Bogliolo</w:t>
      </w:r>
    </w:p>
    <w:p>
      <w:pPr>
        <w:spacing w:after="0"/>
        <w:rPr>
          <w:sz w:val="20"/>
          <w:szCs w:val="20"/>
          <w:color w:val="auto"/>
        </w:rPr>
      </w:pPr>
      <w:r>
        <w:rPr>
          <w:rFonts w:ascii="Arial" w:cs="Arial" w:eastAsia="Arial" w:hAnsi="Arial"/>
          <w:sz w:val="16"/>
          <w:szCs w:val="16"/>
          <w:b w:val="1"/>
          <w:bCs w:val="1"/>
          <w:color w:val="292F72"/>
        </w:rPr>
        <w:t>Lucy Brady</w:t>
      </w:r>
    </w:p>
    <w:p>
      <w:pPr>
        <w:spacing w:after="0"/>
        <w:rPr>
          <w:sz w:val="20"/>
          <w:szCs w:val="20"/>
          <w:color w:val="auto"/>
        </w:rPr>
      </w:pPr>
      <w:r>
        <w:rPr>
          <w:rFonts w:ascii="Arial" w:cs="Arial" w:eastAsia="Arial" w:hAnsi="Arial"/>
          <w:sz w:val="16"/>
          <w:szCs w:val="16"/>
          <w:b w:val="1"/>
          <w:bCs w:val="1"/>
          <w:color w:val="292F72"/>
        </w:rPr>
        <w:t>Danielle Lee</w:t>
      </w:r>
    </w:p>
    <w:p>
      <w:pPr>
        <w:spacing w:after="0"/>
        <w:rPr>
          <w:sz w:val="20"/>
          <w:szCs w:val="20"/>
          <w:color w:val="auto"/>
        </w:rPr>
      </w:pPr>
      <w:r>
        <w:rPr>
          <w:rFonts w:ascii="Arial" w:cs="Arial" w:eastAsia="Arial" w:hAnsi="Arial"/>
          <w:sz w:val="16"/>
          <w:szCs w:val="16"/>
          <w:b w:val="1"/>
          <w:bCs w:val="1"/>
          <w:color w:val="292F72"/>
        </w:rPr>
        <w:t>Stephen Steinour</w:t>
      </w:r>
    </w:p>
    <w:p>
      <w:pPr>
        <w:spacing w:after="0"/>
        <w:rPr>
          <w:sz w:val="20"/>
          <w:szCs w:val="20"/>
          <w:color w:val="auto"/>
        </w:rPr>
      </w:pPr>
      <w:r>
        <w:rPr>
          <w:rFonts w:ascii="Arial" w:cs="Arial" w:eastAsia="Arial" w:hAnsi="Arial"/>
          <w:sz w:val="16"/>
          <w:szCs w:val="16"/>
          <w:b w:val="1"/>
          <w:bCs w:val="1"/>
          <w:color w:val="292F72"/>
        </w:rPr>
        <w:t>Steven Voskuil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-3081655</wp:posOffset>
            </wp:positionH>
            <wp:positionV relativeFrom="paragraph">
              <wp:posOffset>40005</wp:posOffset>
            </wp:positionV>
            <wp:extent cx="5737225" cy="33889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737225" cy="3388995"/>
                    </a:xfrm>
                    <a:prstGeom prst="rect">
                      <a:avLst/>
                    </a:prstGeom>
                    <a:noFill/>
                  </pic:spPr>
                </pic:pic>
              </a:graphicData>
            </a:graphic>
          </wp:anchor>
        </w:drawing>
      </w:r>
    </w:p>
    <w:p>
      <w:pPr>
        <w:spacing w:after="0" w:line="193" w:lineRule="exact"/>
        <w:rPr>
          <w:sz w:val="20"/>
          <w:szCs w:val="20"/>
          <w:color w:val="auto"/>
        </w:rPr>
      </w:pPr>
    </w:p>
    <w:p>
      <w:pPr>
        <w:sectPr>
          <w:pgSz w:w="11900" w:h="16838" w:orient="portrait"/>
          <w:cols w:equalWidth="0" w:num="2">
            <w:col w:w="4140" w:space="720"/>
            <w:col w:w="4179"/>
          </w:cols>
          <w:pgMar w:left="1420" w:top="115" w:right="1440" w:bottom="1440" w:gutter="0" w:footer="0" w:header="0"/>
          <w:type w:val="continuous"/>
        </w:sectPr>
      </w:pPr>
    </w:p>
    <w:p>
      <w:pPr>
        <w:ind w:left="160"/>
        <w:spacing w:after="0"/>
        <w:rPr>
          <w:sz w:val="20"/>
          <w:szCs w:val="20"/>
          <w:color w:val="auto"/>
        </w:rPr>
      </w:pPr>
      <w:r>
        <w:rPr>
          <w:rFonts w:ascii="Arial" w:cs="Arial" w:eastAsia="Arial" w:hAnsi="Arial"/>
          <w:sz w:val="16"/>
          <w:szCs w:val="16"/>
          <w:b w:val="1"/>
          <w:bCs w:val="1"/>
          <w:color w:val="6D8CC3"/>
        </w:rPr>
        <w:t>PRINCIPAL ROLES AND RESPONSIBILITIES</w:t>
      </w:r>
    </w:p>
    <w:p>
      <w:pPr>
        <w:spacing w:after="0" w:line="70" w:lineRule="exact"/>
        <w:rPr>
          <w:sz w:val="20"/>
          <w:szCs w:val="20"/>
          <w:color w:val="auto"/>
        </w:rPr>
      </w:pPr>
    </w:p>
    <w:p>
      <w:pPr>
        <w:ind w:left="300" w:hanging="130"/>
        <w:spacing w:after="0" w:line="252" w:lineRule="auto"/>
        <w:rPr>
          <w:sz w:val="20"/>
          <w:szCs w:val="20"/>
          <w:color w:val="auto"/>
        </w:rPr>
      </w:pPr>
      <w:r>
        <w:rPr>
          <w:rFonts w:ascii="Arial" w:cs="Arial" w:eastAsia="Arial" w:hAnsi="Arial"/>
          <w:sz w:val="15"/>
          <w:szCs w:val="15"/>
          <w:color w:val="6D8CC3"/>
        </w:rPr>
        <w:t>•</w:t>
      </w:r>
      <w:r>
        <w:rPr>
          <w:rFonts w:ascii="Arial" w:cs="Arial" w:eastAsia="Arial" w:hAnsi="Arial"/>
          <w:sz w:val="15"/>
          <w:szCs w:val="15"/>
          <w:color w:val="000000"/>
        </w:rPr>
        <w:t xml:space="preserve">  Oversees and assists the Board with the human capital</w:t>
      </w:r>
      <w:r>
        <w:rPr>
          <w:rFonts w:ascii="Arial" w:cs="Arial" w:eastAsia="Arial" w:hAnsi="Arial"/>
          <w:sz w:val="15"/>
          <w:szCs w:val="15"/>
          <w:color w:val="6D8CC3"/>
        </w:rPr>
        <w:t xml:space="preserve"> </w:t>
      </w:r>
      <w:r>
        <w:rPr>
          <w:rFonts w:ascii="Arial" w:cs="Arial" w:eastAsia="Arial" w:hAnsi="Arial"/>
          <w:sz w:val="15"/>
          <w:szCs w:val="15"/>
          <w:color w:val="000000"/>
        </w:rPr>
        <w:t>management of the Company, including organizational engagement and effectiveness, culture, leadership development and succession planning, talent attraction and retention strategies, and enterprise-wide employee engagement and development programs</w:t>
      </w:r>
    </w:p>
    <w:p>
      <w:pPr>
        <w:spacing w:after="0" w:line="15" w:lineRule="exact"/>
        <w:rPr>
          <w:sz w:val="20"/>
          <w:szCs w:val="20"/>
          <w:color w:val="auto"/>
        </w:rPr>
      </w:pPr>
    </w:p>
    <w:p>
      <w:pPr>
        <w:ind w:left="300" w:right="40" w:hanging="130"/>
        <w:spacing w:after="0" w:line="262" w:lineRule="auto"/>
        <w:rPr>
          <w:sz w:val="20"/>
          <w:szCs w:val="20"/>
          <w:color w:val="auto"/>
        </w:rPr>
      </w:pPr>
      <w:r>
        <w:rPr>
          <w:rFonts w:ascii="Arial" w:cs="Arial" w:eastAsia="Arial" w:hAnsi="Arial"/>
          <w:sz w:val="15"/>
          <w:szCs w:val="15"/>
          <w:color w:val="6D8CC3"/>
        </w:rPr>
        <w:t>•</w:t>
      </w:r>
      <w:r>
        <w:rPr>
          <w:rFonts w:ascii="Arial" w:cs="Arial" w:eastAsia="Arial" w:hAnsi="Arial"/>
          <w:sz w:val="15"/>
          <w:szCs w:val="15"/>
          <w:color w:val="000000"/>
        </w:rPr>
        <w:t xml:space="preserve">  Reviews and makes recommendations to the Board with</w:t>
      </w:r>
      <w:r>
        <w:rPr>
          <w:rFonts w:ascii="Arial" w:cs="Arial" w:eastAsia="Arial" w:hAnsi="Arial"/>
          <w:sz w:val="15"/>
          <w:szCs w:val="15"/>
          <w:color w:val="6D8CC3"/>
        </w:rPr>
        <w:t xml:space="preserve"> </w:t>
      </w:r>
      <w:r>
        <w:rPr>
          <w:rFonts w:ascii="Arial" w:cs="Arial" w:eastAsia="Arial" w:hAnsi="Arial"/>
          <w:sz w:val="15"/>
          <w:szCs w:val="15"/>
          <w:color w:val="000000"/>
        </w:rPr>
        <w:t>respect to succession plans for the Chief Executive Officer, executive officers and other members of senior management as designated by the HCC Committee</w:t>
      </w:r>
    </w:p>
    <w:p>
      <w:pPr>
        <w:spacing w:after="0" w:line="7" w:lineRule="exact"/>
        <w:rPr>
          <w:sz w:val="20"/>
          <w:szCs w:val="20"/>
          <w:color w:val="auto"/>
        </w:rPr>
      </w:pPr>
    </w:p>
    <w:p>
      <w:pPr>
        <w:ind w:left="300" w:right="120" w:hanging="130"/>
        <w:spacing w:after="0" w:line="282" w:lineRule="auto"/>
        <w:rPr>
          <w:sz w:val="20"/>
          <w:szCs w:val="20"/>
          <w:color w:val="auto"/>
        </w:rPr>
      </w:pPr>
      <w:r>
        <w:rPr>
          <w:rFonts w:ascii="Arial" w:cs="Arial" w:eastAsia="Arial" w:hAnsi="Arial"/>
          <w:sz w:val="15"/>
          <w:szCs w:val="15"/>
          <w:color w:val="6D8CC3"/>
        </w:rPr>
        <w:t>•</w:t>
      </w:r>
      <w:r>
        <w:rPr>
          <w:rFonts w:ascii="Arial" w:cs="Arial" w:eastAsia="Arial" w:hAnsi="Arial"/>
          <w:sz w:val="15"/>
          <w:szCs w:val="15"/>
          <w:color w:val="000000"/>
        </w:rPr>
        <w:t xml:space="preserve">  Reviews and approves the Company’s compensation and</w:t>
      </w:r>
      <w:r>
        <w:rPr>
          <w:rFonts w:ascii="Arial" w:cs="Arial" w:eastAsia="Arial" w:hAnsi="Arial"/>
          <w:sz w:val="15"/>
          <w:szCs w:val="15"/>
          <w:color w:val="6D8CC3"/>
        </w:rPr>
        <w:t xml:space="preserve"> </w:t>
      </w:r>
      <w:r>
        <w:rPr>
          <w:rFonts w:ascii="Arial" w:cs="Arial" w:eastAsia="Arial" w:hAnsi="Arial"/>
          <w:sz w:val="15"/>
          <w:szCs w:val="15"/>
          <w:color w:val="000000"/>
        </w:rPr>
        <w:t>benefits philosophy and policies</w:t>
      </w:r>
    </w:p>
    <w:p>
      <w:pPr>
        <w:spacing w:after="0" w:line="1" w:lineRule="exact"/>
        <w:rPr>
          <w:sz w:val="20"/>
          <w:szCs w:val="20"/>
          <w:color w:val="auto"/>
        </w:rPr>
      </w:pPr>
    </w:p>
    <w:p>
      <w:pPr>
        <w:ind w:left="300" w:right="260" w:hanging="130"/>
        <w:spacing w:after="0" w:line="256" w:lineRule="auto"/>
        <w:rPr>
          <w:sz w:val="20"/>
          <w:szCs w:val="20"/>
          <w:color w:val="auto"/>
        </w:rPr>
      </w:pPr>
      <w:r>
        <w:rPr>
          <w:rFonts w:ascii="Arial" w:cs="Arial" w:eastAsia="Arial" w:hAnsi="Arial"/>
          <w:sz w:val="15"/>
          <w:szCs w:val="15"/>
          <w:color w:val="6D8CC3"/>
        </w:rPr>
        <w:t>•</w:t>
      </w:r>
      <w:r>
        <w:rPr>
          <w:rFonts w:ascii="Arial" w:cs="Arial" w:eastAsia="Arial" w:hAnsi="Arial"/>
          <w:sz w:val="15"/>
          <w:szCs w:val="15"/>
          <w:color w:val="000000"/>
        </w:rPr>
        <w:t xml:space="preserve">  Approves corporate goals and objectives relevant to the</w:t>
      </w:r>
      <w:r>
        <w:rPr>
          <w:rFonts w:ascii="Arial" w:cs="Arial" w:eastAsia="Arial" w:hAnsi="Arial"/>
          <w:sz w:val="15"/>
          <w:szCs w:val="15"/>
          <w:color w:val="6D8CC3"/>
        </w:rPr>
        <w:t xml:space="preserve"> </w:t>
      </w:r>
      <w:r>
        <w:rPr>
          <w:rFonts w:ascii="Arial" w:cs="Arial" w:eastAsia="Arial" w:hAnsi="Arial"/>
          <w:sz w:val="15"/>
          <w:szCs w:val="15"/>
          <w:color w:val="000000"/>
        </w:rPr>
        <w:t>compensation of the Chief Executive Officer, executive officers and other members of senior management as designated by the HCC Committee</w:t>
      </w:r>
    </w:p>
    <w:p>
      <w:pPr>
        <w:spacing w:after="0" w:line="25" w:lineRule="exact"/>
        <w:rPr>
          <w:sz w:val="20"/>
          <w:szCs w:val="20"/>
          <w:color w:val="auto"/>
        </w:rPr>
      </w:pPr>
    </w:p>
    <w:p>
      <w:pPr>
        <w:ind w:left="300" w:hanging="130"/>
        <w:spacing w:after="0" w:line="266" w:lineRule="auto"/>
        <w:rPr>
          <w:sz w:val="20"/>
          <w:szCs w:val="20"/>
          <w:color w:val="auto"/>
        </w:rPr>
      </w:pPr>
      <w:r>
        <w:rPr>
          <w:rFonts w:ascii="Arial" w:cs="Arial" w:eastAsia="Arial" w:hAnsi="Arial"/>
          <w:sz w:val="15"/>
          <w:szCs w:val="15"/>
          <w:color w:val="6D8CC3"/>
        </w:rPr>
        <w:t>•</w:t>
      </w:r>
      <w:r>
        <w:rPr>
          <w:rFonts w:ascii="Arial" w:cs="Arial" w:eastAsia="Arial" w:hAnsi="Arial"/>
          <w:sz w:val="15"/>
          <w:szCs w:val="15"/>
          <w:color w:val="000000"/>
        </w:rPr>
        <w:t xml:space="preserve">  Evaluates the Chief Executive Officer’s performance in light</w:t>
      </w:r>
      <w:r>
        <w:rPr>
          <w:rFonts w:ascii="Arial" w:cs="Arial" w:eastAsia="Arial" w:hAnsi="Arial"/>
          <w:sz w:val="15"/>
          <w:szCs w:val="15"/>
          <w:color w:val="6D8CC3"/>
        </w:rPr>
        <w:t xml:space="preserve"> </w:t>
      </w:r>
      <w:r>
        <w:rPr>
          <w:rFonts w:ascii="Arial" w:cs="Arial" w:eastAsia="Arial" w:hAnsi="Arial"/>
          <w:sz w:val="15"/>
          <w:szCs w:val="15"/>
          <w:color w:val="000000"/>
        </w:rPr>
        <w:t>of the corporate goals and objectives, and sets the Chief Executive Officer’s compensation</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ind w:right="419" w:hanging="130"/>
        <w:spacing w:after="0" w:line="247" w:lineRule="auto"/>
        <w:rPr>
          <w:sz w:val="20"/>
          <w:szCs w:val="20"/>
          <w:color w:val="auto"/>
        </w:rPr>
      </w:pPr>
      <w:r>
        <w:rPr>
          <w:rFonts w:ascii="Arial" w:cs="Arial" w:eastAsia="Arial" w:hAnsi="Arial"/>
          <w:sz w:val="15"/>
          <w:szCs w:val="15"/>
          <w:color w:val="6D8CC3"/>
        </w:rPr>
        <w:t>•</w:t>
      </w:r>
      <w:r>
        <w:rPr>
          <w:rFonts w:ascii="Arial" w:cs="Arial" w:eastAsia="Arial" w:hAnsi="Arial"/>
          <w:sz w:val="15"/>
          <w:szCs w:val="15"/>
          <w:color w:val="000000"/>
        </w:rPr>
        <w:t xml:space="preserve">  Oversees the compensation structure for other executive</w:t>
      </w:r>
      <w:r>
        <w:rPr>
          <w:rFonts w:ascii="Arial" w:cs="Arial" w:eastAsia="Arial" w:hAnsi="Arial"/>
          <w:sz w:val="15"/>
          <w:szCs w:val="15"/>
          <w:color w:val="6D8CC3"/>
        </w:rPr>
        <w:t xml:space="preserve"> </w:t>
      </w:r>
      <w:r>
        <w:rPr>
          <w:rFonts w:ascii="Arial" w:cs="Arial" w:eastAsia="Arial" w:hAnsi="Arial"/>
          <w:sz w:val="15"/>
          <w:szCs w:val="15"/>
          <w:color w:val="000000"/>
        </w:rPr>
        <w:t>officers of the Company and other members of senior management as designated by the HCC Committee and, based on the recommendations of the Company’s Chief Executive Officer, approves such officers’ compensation</w:t>
      </w:r>
    </w:p>
    <w:p>
      <w:pPr>
        <w:spacing w:after="0" w:line="17" w:lineRule="exact"/>
        <w:rPr>
          <w:sz w:val="20"/>
          <w:szCs w:val="20"/>
          <w:color w:val="auto"/>
        </w:rPr>
      </w:pPr>
    </w:p>
    <w:p>
      <w:pPr>
        <w:ind w:right="619" w:hanging="130"/>
        <w:spacing w:after="0" w:line="273" w:lineRule="auto"/>
        <w:rPr>
          <w:sz w:val="20"/>
          <w:szCs w:val="20"/>
          <w:color w:val="auto"/>
        </w:rPr>
      </w:pPr>
      <w:r>
        <w:rPr>
          <w:rFonts w:ascii="Arial" w:cs="Arial" w:eastAsia="Arial" w:hAnsi="Arial"/>
          <w:sz w:val="15"/>
          <w:szCs w:val="15"/>
          <w:color w:val="6D8CC3"/>
        </w:rPr>
        <w:t>•</w:t>
      </w:r>
      <w:r>
        <w:rPr>
          <w:rFonts w:ascii="Arial" w:cs="Arial" w:eastAsia="Arial" w:hAnsi="Arial"/>
          <w:sz w:val="15"/>
          <w:szCs w:val="15"/>
          <w:color w:val="000000"/>
        </w:rPr>
        <w:t xml:space="preserve">  Evaluates and recommends for approval by the Board</w:t>
      </w:r>
      <w:r>
        <w:rPr>
          <w:rFonts w:ascii="Arial" w:cs="Arial" w:eastAsia="Arial" w:hAnsi="Arial"/>
          <w:sz w:val="15"/>
          <w:szCs w:val="15"/>
          <w:color w:val="6D8CC3"/>
        </w:rPr>
        <w:t xml:space="preserve"> </w:t>
      </w:r>
      <w:r>
        <w:rPr>
          <w:rFonts w:ascii="Arial" w:cs="Arial" w:eastAsia="Arial" w:hAnsi="Arial"/>
          <w:sz w:val="15"/>
          <w:szCs w:val="15"/>
          <w:color w:val="000000"/>
        </w:rPr>
        <w:t>compensation for the Company’s directors</w:t>
      </w:r>
    </w:p>
    <w:p>
      <w:pPr>
        <w:spacing w:after="0" w:line="1" w:lineRule="exact"/>
        <w:rPr>
          <w:sz w:val="20"/>
          <w:szCs w:val="20"/>
          <w:color w:val="auto"/>
        </w:rPr>
      </w:pPr>
    </w:p>
    <w:p>
      <w:pPr>
        <w:ind w:right="139" w:hanging="130"/>
        <w:spacing w:after="0" w:line="250" w:lineRule="auto"/>
        <w:rPr>
          <w:sz w:val="20"/>
          <w:szCs w:val="20"/>
          <w:color w:val="auto"/>
        </w:rPr>
      </w:pPr>
      <w:r>
        <w:rPr>
          <w:rFonts w:ascii="Arial" w:cs="Arial" w:eastAsia="Arial" w:hAnsi="Arial"/>
          <w:sz w:val="15"/>
          <w:szCs w:val="15"/>
          <w:color w:val="6D8CC3"/>
        </w:rPr>
        <w:t>•</w:t>
      </w:r>
      <w:r>
        <w:rPr>
          <w:rFonts w:ascii="Arial" w:cs="Arial" w:eastAsia="Arial" w:hAnsi="Arial"/>
          <w:sz w:val="15"/>
          <w:szCs w:val="15"/>
          <w:color w:val="000000"/>
        </w:rPr>
        <w:t xml:space="preserve">  Reviews, approves and oversees the stock ownership</w:t>
      </w:r>
      <w:r>
        <w:rPr>
          <w:rFonts w:ascii="Arial" w:cs="Arial" w:eastAsia="Arial" w:hAnsi="Arial"/>
          <w:sz w:val="15"/>
          <w:szCs w:val="15"/>
          <w:color w:val="6D8CC3"/>
        </w:rPr>
        <w:t xml:space="preserve"> </w:t>
      </w:r>
      <w:r>
        <w:rPr>
          <w:rFonts w:ascii="Arial" w:cs="Arial" w:eastAsia="Arial" w:hAnsi="Arial"/>
          <w:sz w:val="15"/>
          <w:szCs w:val="15"/>
          <w:color w:val="000000"/>
        </w:rPr>
        <w:t>guidelines for the Company’s executive officers and directors and any other associates of the Company as the HCC Committee deems appropriate</w:t>
      </w:r>
    </w:p>
    <w:p>
      <w:pPr>
        <w:spacing w:after="0" w:line="16" w:lineRule="exact"/>
        <w:rPr>
          <w:sz w:val="20"/>
          <w:szCs w:val="20"/>
          <w:color w:val="auto"/>
        </w:rPr>
      </w:pPr>
    </w:p>
    <w:p>
      <w:pPr>
        <w:ind w:right="279" w:hanging="130"/>
        <w:spacing w:after="0" w:line="273" w:lineRule="auto"/>
        <w:rPr>
          <w:sz w:val="20"/>
          <w:szCs w:val="20"/>
          <w:color w:val="auto"/>
        </w:rPr>
      </w:pPr>
      <w:r>
        <w:rPr>
          <w:rFonts w:ascii="Arial" w:cs="Arial" w:eastAsia="Arial" w:hAnsi="Arial"/>
          <w:sz w:val="15"/>
          <w:szCs w:val="15"/>
          <w:color w:val="6D8CC3"/>
        </w:rPr>
        <w:t>•</w:t>
      </w:r>
      <w:r>
        <w:rPr>
          <w:rFonts w:ascii="Arial" w:cs="Arial" w:eastAsia="Arial" w:hAnsi="Arial"/>
          <w:sz w:val="15"/>
          <w:szCs w:val="15"/>
          <w:color w:val="000000"/>
        </w:rPr>
        <w:t xml:space="preserve">  Administers any Company policies related to the clawback,</w:t>
      </w:r>
      <w:r>
        <w:rPr>
          <w:rFonts w:ascii="Arial" w:cs="Arial" w:eastAsia="Arial" w:hAnsi="Arial"/>
          <w:sz w:val="15"/>
          <w:szCs w:val="15"/>
          <w:color w:val="6D8CC3"/>
        </w:rPr>
        <w:t xml:space="preserve"> </w:t>
      </w:r>
      <w:r>
        <w:rPr>
          <w:rFonts w:ascii="Arial" w:cs="Arial" w:eastAsia="Arial" w:hAnsi="Arial"/>
          <w:sz w:val="15"/>
          <w:szCs w:val="15"/>
          <w:color w:val="000000"/>
        </w:rPr>
        <w:t>forfeiture, recoupment or recovery of compensation</w:t>
      </w:r>
    </w:p>
    <w:p>
      <w:pPr>
        <w:spacing w:after="0" w:line="1" w:lineRule="exact"/>
        <w:rPr>
          <w:sz w:val="20"/>
          <w:szCs w:val="20"/>
          <w:color w:val="auto"/>
        </w:rPr>
      </w:pPr>
    </w:p>
    <w:p>
      <w:pPr>
        <w:ind w:right="559" w:hanging="130"/>
        <w:spacing w:after="0" w:line="273" w:lineRule="auto"/>
        <w:rPr>
          <w:sz w:val="20"/>
          <w:szCs w:val="20"/>
          <w:color w:val="auto"/>
        </w:rPr>
      </w:pPr>
      <w:r>
        <w:rPr>
          <w:rFonts w:ascii="Arial" w:cs="Arial" w:eastAsia="Arial" w:hAnsi="Arial"/>
          <w:sz w:val="15"/>
          <w:szCs w:val="15"/>
          <w:color w:val="6D8CC3"/>
        </w:rPr>
        <w:t>•</w:t>
      </w:r>
      <w:r>
        <w:rPr>
          <w:rFonts w:ascii="Arial" w:cs="Arial" w:eastAsia="Arial" w:hAnsi="Arial"/>
          <w:sz w:val="15"/>
          <w:szCs w:val="15"/>
          <w:color w:val="000000"/>
        </w:rPr>
        <w:t xml:space="preserve">  Conducts an annual review and risk assessment of the</w:t>
      </w:r>
      <w:r>
        <w:rPr>
          <w:rFonts w:ascii="Arial" w:cs="Arial" w:eastAsia="Arial" w:hAnsi="Arial"/>
          <w:sz w:val="15"/>
          <w:szCs w:val="15"/>
          <w:color w:val="6D8CC3"/>
        </w:rPr>
        <w:t xml:space="preserve"> </w:t>
      </w:r>
      <w:r>
        <w:rPr>
          <w:rFonts w:ascii="Arial" w:cs="Arial" w:eastAsia="Arial" w:hAnsi="Arial"/>
          <w:sz w:val="15"/>
          <w:szCs w:val="15"/>
          <w:color w:val="000000"/>
        </w:rPr>
        <w:t>Company’s compensation policies and practices</w:t>
      </w:r>
    </w:p>
    <w:p>
      <w:pPr>
        <w:spacing w:after="0" w:line="1" w:lineRule="exact"/>
        <w:rPr>
          <w:sz w:val="20"/>
          <w:szCs w:val="20"/>
          <w:color w:val="auto"/>
        </w:rPr>
      </w:pPr>
    </w:p>
    <w:p>
      <w:pPr>
        <w:ind w:right="159" w:hanging="130"/>
        <w:spacing w:after="0" w:line="277" w:lineRule="auto"/>
        <w:rPr>
          <w:sz w:val="20"/>
          <w:szCs w:val="20"/>
          <w:color w:val="auto"/>
        </w:rPr>
      </w:pPr>
      <w:r>
        <w:rPr>
          <w:rFonts w:ascii="Arial" w:cs="Arial" w:eastAsia="Arial" w:hAnsi="Arial"/>
          <w:sz w:val="15"/>
          <w:szCs w:val="15"/>
          <w:color w:val="6D8CC3"/>
        </w:rPr>
        <w:t>•</w:t>
      </w:r>
      <w:r>
        <w:rPr>
          <w:rFonts w:ascii="Arial" w:cs="Arial" w:eastAsia="Arial" w:hAnsi="Arial"/>
          <w:sz w:val="15"/>
          <w:szCs w:val="15"/>
          <w:color w:val="000000"/>
        </w:rPr>
        <w:t xml:space="preserve">  Reviews the independence of the committee’s compensation</w:t>
      </w:r>
      <w:r>
        <w:rPr>
          <w:rFonts w:ascii="Arial" w:cs="Arial" w:eastAsia="Arial" w:hAnsi="Arial"/>
          <w:sz w:val="15"/>
          <w:szCs w:val="15"/>
          <w:color w:val="6D8CC3"/>
        </w:rPr>
        <w:t xml:space="preserve"> </w:t>
      </w:r>
      <w:r>
        <w:rPr>
          <w:rFonts w:ascii="Arial" w:cs="Arial" w:eastAsia="Arial" w:hAnsi="Arial"/>
          <w:sz w:val="15"/>
          <w:szCs w:val="15"/>
          <w:color w:val="000000"/>
        </w:rPr>
        <w:t>consultant</w:t>
      </w:r>
    </w:p>
    <w:p>
      <w:pPr>
        <w:spacing w:after="0" w:line="415" w:lineRule="exact"/>
        <w:rPr>
          <w:sz w:val="20"/>
          <w:szCs w:val="20"/>
          <w:color w:val="auto"/>
        </w:rPr>
      </w:pPr>
    </w:p>
    <w:p>
      <w:pPr>
        <w:sectPr>
          <w:pgSz w:w="11900" w:h="16838" w:orient="portrait"/>
          <w:cols w:equalWidth="0" w:num="2">
            <w:col w:w="4340" w:space="420"/>
            <w:col w:w="4279"/>
          </w:cols>
          <w:pgMar w:left="1420" w:top="115" w:right="1440" w:bottom="1440" w:gutter="0" w:footer="0" w:header="0"/>
          <w:type w:val="continuous"/>
        </w:sectPr>
      </w:pPr>
    </w:p>
    <w:p>
      <w:pPr>
        <w:ind w:left="160" w:right="119"/>
        <w:spacing w:after="0" w:line="243" w:lineRule="auto"/>
        <w:rPr>
          <w:sz w:val="20"/>
          <w:szCs w:val="20"/>
          <w:color w:val="auto"/>
        </w:rPr>
      </w:pPr>
      <w:r>
        <w:rPr>
          <w:rFonts w:ascii="Arial" w:cs="Arial" w:eastAsia="Arial" w:hAnsi="Arial"/>
          <w:sz w:val="15"/>
          <w:szCs w:val="15"/>
          <w:color w:val="auto"/>
        </w:rPr>
        <w:t>The HCC Committee may delegate its authority to subcommittees or the HCC Committee chair as it deems appropriate and in the best interests of the Company, provided that periodic reports by the parties receiving any such delegation are made to the full HCC Committee in accordance with the terms of the delegation. In accordance with its charter, the HCC Committee may also delegate to one or more Company officers its authority to make stock awards to any individual who is not an executive officer of the Company. The HCC Committee has delegated to our Chief Human Resources Officer the authority to make stock awards under the provisions of the Company’s 2020 Stock Option and Performance Incentive Plan (the “2020 Plan”) with a value up to $500,000 in any year to any associate who is not a Section 16 officer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187325</wp:posOffset>
            </wp:positionV>
            <wp:extent cx="57372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737225" cy="8255"/>
                    </a:xfrm>
                    <a:prstGeom prst="rect">
                      <a:avLst/>
                    </a:prstGeom>
                    <a:noFill/>
                  </pic:spPr>
                </pic:pic>
              </a:graphicData>
            </a:graphic>
          </wp:anchor>
        </w:drawing>
      </w:r>
    </w:p>
    <w:p>
      <w:pPr>
        <w:spacing w:after="0" w:line="370" w:lineRule="exact"/>
        <w:rPr>
          <w:sz w:val="20"/>
          <w:szCs w:val="20"/>
          <w:color w:val="auto"/>
        </w:rPr>
      </w:pPr>
    </w:p>
    <w:p>
      <w:pPr>
        <w:spacing w:after="0"/>
        <w:rPr>
          <w:sz w:val="20"/>
          <w:szCs w:val="20"/>
          <w:color w:val="auto"/>
        </w:rPr>
      </w:pPr>
      <w:r>
        <w:rPr>
          <w:rFonts w:ascii="Arial" w:cs="Arial" w:eastAsia="Arial" w:hAnsi="Arial"/>
          <w:sz w:val="14"/>
          <w:szCs w:val="14"/>
          <w:b w:val="1"/>
          <w:bCs w:val="1"/>
          <w:color w:val="292F72"/>
        </w:rPr>
        <w:t>18</w:t>
      </w:r>
      <w:r>
        <w:rPr>
          <w:rFonts w:ascii="Arial" w:cs="Arial" w:eastAsia="Arial" w:hAnsi="Arial"/>
          <w:sz w:val="14"/>
          <w:szCs w:val="14"/>
          <w:color w:val="292F72"/>
        </w:rPr>
        <w:t xml:space="preserve">     Bath &amp; Body Works, Inc.</w:t>
      </w:r>
      <w:r>
        <w:rPr>
          <w:rFonts w:ascii="Arial" w:cs="Arial" w:eastAsia="Arial" w:hAnsi="Arial"/>
          <w:sz w:val="14"/>
          <w:szCs w:val="14"/>
          <w:color w:val="6D8CC3"/>
        </w:rPr>
        <w:t xml:space="preserve">   | </w:t>
      </w:r>
      <w:r>
        <w:rPr>
          <w:rFonts w:ascii="Arial" w:cs="Arial" w:eastAsia="Arial" w:hAnsi="Arial"/>
          <w:sz w:val="14"/>
          <w:szCs w:val="14"/>
          <w:b w:val="1"/>
          <w:bCs w:val="1"/>
          <w:color w:val="292F72"/>
        </w:rPr>
        <w:t xml:space="preserve">  </w:t>
      </w:r>
      <w:r>
        <w:rPr>
          <w:rFonts w:ascii="Arial" w:cs="Arial" w:eastAsia="Arial" w:hAnsi="Arial"/>
          <w:sz w:val="14"/>
          <w:szCs w:val="14"/>
          <w:color w:val="292F72"/>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170180</wp:posOffset>
            </wp:positionV>
            <wp:extent cx="6795135" cy="165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795135" cy="16510"/>
                    </a:xfrm>
                    <a:prstGeom prst="rect">
                      <a:avLst/>
                    </a:prstGeom>
                    <a:noFill/>
                  </pic:spPr>
                </pic:pic>
              </a:graphicData>
            </a:graphic>
          </wp:anchor>
        </w:drawing>
      </w:r>
    </w:p>
    <w:p>
      <w:pPr>
        <w:sectPr>
          <w:pgSz w:w="11900" w:h="16838" w:orient="portrait"/>
          <w:cols w:equalWidth="0" w:num="1">
            <w:col w:w="9039"/>
          </w:cols>
          <w:pgMar w:left="1420" w:top="115" w:right="1440"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2" w:lineRule="exact"/>
        <w:rPr>
          <w:sz w:val="20"/>
          <w:szCs w:val="20"/>
          <w:color w:val="auto"/>
        </w:rPr>
      </w:pPr>
    </w:p>
    <w:p>
      <w:pPr>
        <w:ind w:left="7440"/>
        <w:spacing w:after="0"/>
        <w:rPr>
          <w:sz w:val="20"/>
          <w:szCs w:val="20"/>
          <w:color w:val="auto"/>
        </w:rPr>
      </w:pPr>
      <w:r>
        <w:rPr>
          <w:rFonts w:ascii="Arial" w:cs="Arial" w:eastAsia="Arial" w:hAnsi="Arial"/>
          <w:sz w:val="16"/>
          <w:szCs w:val="16"/>
          <w:color w:val="292F72"/>
        </w:rPr>
        <w:t>Corporate</w:t>
      </w:r>
    </w:p>
    <w:p>
      <w:pPr>
        <w:spacing w:after="0" w:line="14" w:lineRule="exact"/>
        <w:rPr>
          <w:sz w:val="20"/>
          <w:szCs w:val="20"/>
          <w:color w:val="auto"/>
        </w:rPr>
      </w:pPr>
    </w:p>
    <w:p>
      <w:pPr>
        <w:ind w:left="7440"/>
        <w:spacing w:after="0"/>
        <w:rPr>
          <w:sz w:val="20"/>
          <w:szCs w:val="20"/>
          <w:color w:val="auto"/>
        </w:rPr>
      </w:pPr>
      <w:r>
        <w:rPr>
          <w:rFonts w:ascii="Arial" w:cs="Arial" w:eastAsia="Arial" w:hAnsi="Arial"/>
          <w:sz w:val="15"/>
          <w:szCs w:val="15"/>
          <w:color w:val="292F72"/>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4717415</wp:posOffset>
            </wp:positionH>
            <wp:positionV relativeFrom="paragraph">
              <wp:posOffset>39370</wp:posOffset>
            </wp:positionV>
            <wp:extent cx="1024255" cy="330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024255" cy="33020"/>
                    </a:xfrm>
                    <a:prstGeom prst="rect">
                      <a:avLst/>
                    </a:prstGeom>
                    <a:noFill/>
                  </pic:spPr>
                </pic:pic>
              </a:graphicData>
            </a:graphic>
          </wp:anchor>
        </w:drawing>
        <w:drawing>
          <wp:anchor simplePos="0" relativeHeight="251657728" behindDoc="1" locked="0" layoutInCell="0" allowOverlap="1">
            <wp:simplePos x="0" y="0"/>
            <wp:positionH relativeFrom="column">
              <wp:posOffset>3084830</wp:posOffset>
            </wp:positionH>
            <wp:positionV relativeFrom="paragraph">
              <wp:posOffset>363855</wp:posOffset>
            </wp:positionV>
            <wp:extent cx="265620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656205" cy="8255"/>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0" w:right="1540"/>
        <w:spacing w:after="0" w:line="316" w:lineRule="auto"/>
        <w:rPr>
          <w:sz w:val="20"/>
          <w:szCs w:val="20"/>
          <w:color w:val="auto"/>
        </w:rPr>
      </w:pPr>
      <w:r>
        <w:rPr>
          <w:rFonts w:ascii="Arial" w:cs="Arial" w:eastAsia="Arial" w:hAnsi="Arial"/>
          <w:sz w:val="22"/>
          <w:szCs w:val="22"/>
          <w:b w:val="1"/>
          <w:bCs w:val="1"/>
          <w:color w:val="292F72"/>
        </w:rPr>
        <w:t>Nominating &amp; Governance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tabs>
          <w:tab w:leader="none" w:pos="2280" w:val="left"/>
        </w:tabs>
        <w:rPr>
          <w:sz w:val="20"/>
          <w:szCs w:val="20"/>
          <w:color w:val="auto"/>
        </w:rPr>
      </w:pPr>
      <w:r>
        <w:rPr>
          <w:rFonts w:ascii="Arial" w:cs="Arial" w:eastAsia="Arial" w:hAnsi="Arial"/>
          <w:sz w:val="16"/>
          <w:szCs w:val="16"/>
          <w:b w:val="1"/>
          <w:bCs w:val="1"/>
          <w:color w:val="6D8CC3"/>
        </w:rPr>
        <w:t>MEMBERS</w:t>
      </w:r>
      <w:r>
        <w:rPr>
          <w:rFonts w:ascii="Arial" w:cs="Arial" w:eastAsia="Arial" w:hAnsi="Arial"/>
          <w:sz w:val="16"/>
          <w:szCs w:val="16"/>
          <w:b w:val="1"/>
          <w:bCs w:val="1"/>
          <w:color w:val="292F72"/>
        </w:rPr>
        <w:t>:</w:t>
      </w:r>
      <w:r>
        <w:rPr>
          <w:sz w:val="20"/>
          <w:szCs w:val="20"/>
          <w:color w:val="auto"/>
        </w:rPr>
        <w:tab/>
      </w:r>
      <w:r>
        <w:rPr>
          <w:rFonts w:ascii="Arial" w:cs="Arial" w:eastAsia="Arial" w:hAnsi="Arial"/>
          <w:sz w:val="15"/>
          <w:szCs w:val="15"/>
          <w:b w:val="1"/>
          <w:bCs w:val="1"/>
          <w:color w:val="6D8CC3"/>
        </w:rPr>
        <w:t>NUMBER OF MEETINGS</w:t>
      </w:r>
    </w:p>
    <w:p>
      <w:pPr>
        <w:spacing w:after="0" w:line="15" w:lineRule="exact"/>
        <w:rPr>
          <w:sz w:val="20"/>
          <w:szCs w:val="20"/>
          <w:color w:val="auto"/>
        </w:rPr>
      </w:pPr>
    </w:p>
    <w:p>
      <w:pPr>
        <w:spacing w:after="0"/>
        <w:tabs>
          <w:tab w:leader="none" w:pos="2280" w:val="left"/>
        </w:tabs>
        <w:rPr>
          <w:sz w:val="20"/>
          <w:szCs w:val="20"/>
          <w:color w:val="auto"/>
        </w:rPr>
      </w:pPr>
      <w:r>
        <w:rPr>
          <w:rFonts w:ascii="Arial" w:cs="Arial" w:eastAsia="Arial" w:hAnsi="Arial"/>
          <w:sz w:val="16"/>
          <w:szCs w:val="16"/>
          <w:b w:val="1"/>
          <w:bCs w:val="1"/>
          <w:color w:val="292F72"/>
        </w:rPr>
        <w:t xml:space="preserve">Alessandro Bogliolo </w:t>
      </w:r>
      <w:r>
        <w:rPr>
          <w:rFonts w:ascii="Arial" w:cs="Arial" w:eastAsia="Arial" w:hAnsi="Arial"/>
          <w:sz w:val="16"/>
          <w:szCs w:val="16"/>
          <w:b w:val="1"/>
          <w:bCs w:val="1"/>
          <w:color w:val="6D8CC3"/>
        </w:rPr>
        <w:t>(Chair)</w:t>
      </w:r>
      <w:r>
        <w:rPr>
          <w:sz w:val="20"/>
          <w:szCs w:val="20"/>
          <w:color w:val="auto"/>
        </w:rPr>
        <w:tab/>
      </w:r>
      <w:r>
        <w:rPr>
          <w:rFonts w:ascii="Arial" w:cs="Arial" w:eastAsia="Arial" w:hAnsi="Arial"/>
          <w:sz w:val="15"/>
          <w:szCs w:val="15"/>
          <w:b w:val="1"/>
          <w:bCs w:val="1"/>
          <w:color w:val="6D8CC3"/>
        </w:rPr>
        <w:t xml:space="preserve">IN FISCAL 2025: </w:t>
      </w:r>
      <w:r>
        <w:rPr>
          <w:rFonts w:ascii="Arial" w:cs="Arial" w:eastAsia="Arial" w:hAnsi="Arial"/>
          <w:sz w:val="15"/>
          <w:szCs w:val="15"/>
          <w:b w:val="1"/>
          <w:bCs w:val="1"/>
          <w:color w:val="292F72"/>
        </w:rPr>
        <w:t>4</w:t>
      </w:r>
    </w:p>
    <w:p>
      <w:pPr>
        <w:spacing w:after="0"/>
        <w:rPr>
          <w:sz w:val="20"/>
          <w:szCs w:val="20"/>
          <w:color w:val="auto"/>
        </w:rPr>
      </w:pPr>
      <w:r>
        <w:rPr>
          <w:rFonts w:ascii="Arial" w:cs="Arial" w:eastAsia="Arial" w:hAnsi="Arial"/>
          <w:sz w:val="16"/>
          <w:szCs w:val="16"/>
          <w:b w:val="1"/>
          <w:bCs w:val="1"/>
          <w:color w:val="292F72"/>
        </w:rPr>
        <w:t>Lucy Brady</w:t>
      </w:r>
    </w:p>
    <w:p>
      <w:pPr>
        <w:spacing w:after="0"/>
        <w:rPr>
          <w:sz w:val="20"/>
          <w:szCs w:val="20"/>
          <w:color w:val="auto"/>
        </w:rPr>
      </w:pPr>
      <w:r>
        <w:rPr>
          <w:rFonts w:ascii="Arial" w:cs="Arial" w:eastAsia="Arial" w:hAnsi="Arial"/>
          <w:sz w:val="16"/>
          <w:szCs w:val="16"/>
          <w:b w:val="1"/>
          <w:bCs w:val="1"/>
          <w:color w:val="292F72"/>
        </w:rPr>
        <w:t>Danielle Lee</w:t>
      </w:r>
    </w:p>
    <w:p>
      <w:pPr>
        <w:spacing w:after="0"/>
        <w:rPr>
          <w:sz w:val="20"/>
          <w:szCs w:val="20"/>
          <w:color w:val="auto"/>
        </w:rPr>
      </w:pPr>
      <w:r>
        <w:rPr>
          <w:rFonts w:ascii="Arial" w:cs="Arial" w:eastAsia="Arial" w:hAnsi="Arial"/>
          <w:sz w:val="16"/>
          <w:szCs w:val="16"/>
          <w:b w:val="1"/>
          <w:bCs w:val="1"/>
          <w:color w:val="292F72"/>
        </w:rPr>
        <w:t>Juan Rajlin</w:t>
      </w:r>
    </w:p>
    <w:p>
      <w:pPr>
        <w:spacing w:after="0"/>
        <w:rPr>
          <w:sz w:val="20"/>
          <w:szCs w:val="20"/>
          <w:color w:val="auto"/>
        </w:rPr>
      </w:pPr>
      <w:r>
        <w:rPr>
          <w:rFonts w:ascii="Arial" w:cs="Arial" w:eastAsia="Arial" w:hAnsi="Arial"/>
          <w:sz w:val="16"/>
          <w:szCs w:val="16"/>
          <w:b w:val="1"/>
          <w:bCs w:val="1"/>
          <w:color w:val="292F72"/>
        </w:rPr>
        <w:t>J.K. Symancyk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-3081655</wp:posOffset>
            </wp:positionH>
            <wp:positionV relativeFrom="paragraph">
              <wp:posOffset>148590</wp:posOffset>
            </wp:positionV>
            <wp:extent cx="5737225" cy="239839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737225" cy="23983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40" w:space="720"/>
            <w:col w:w="4180"/>
          </w:cols>
          <w:pgMar w:left="1420" w:top="115" w:right="1439" w:bottom="1440" w:gutter="0" w:footer="0" w:header="0"/>
          <w:type w:val="continuous"/>
        </w:sectPr>
      </w:pPr>
    </w:p>
    <w:p>
      <w:pPr>
        <w:spacing w:after="0" w:line="177"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6D8CC3"/>
        </w:rPr>
        <w:t>PRINCIPAL ROLES AND RESPONSIBILITIES</w:t>
      </w:r>
    </w:p>
    <w:p>
      <w:pPr>
        <w:spacing w:after="0" w:line="83" w:lineRule="exact"/>
        <w:rPr>
          <w:sz w:val="20"/>
          <w:szCs w:val="20"/>
          <w:color w:val="auto"/>
        </w:rPr>
      </w:pPr>
    </w:p>
    <w:p>
      <w:pPr>
        <w:ind w:left="160"/>
        <w:spacing w:after="0"/>
        <w:rPr>
          <w:sz w:val="20"/>
          <w:szCs w:val="20"/>
          <w:color w:val="auto"/>
        </w:rPr>
      </w:pPr>
      <w:r>
        <w:rPr>
          <w:rFonts w:ascii="Arial" w:cs="Arial" w:eastAsia="Arial" w:hAnsi="Arial"/>
          <w:sz w:val="15"/>
          <w:szCs w:val="15"/>
          <w:color w:val="6D8CC3"/>
        </w:rPr>
        <w:t>•</w:t>
      </w:r>
      <w:r>
        <w:rPr>
          <w:rFonts w:ascii="Arial" w:cs="Arial" w:eastAsia="Arial" w:hAnsi="Arial"/>
          <w:sz w:val="15"/>
          <w:szCs w:val="15"/>
          <w:color w:val="000000"/>
        </w:rPr>
        <w:t xml:space="preserve">  Identifies individuals qualified to become Board members</w:t>
      </w:r>
    </w:p>
    <w:p>
      <w:pPr>
        <w:spacing w:after="0" w:line="64" w:lineRule="exact"/>
        <w:rPr>
          <w:sz w:val="20"/>
          <w:szCs w:val="20"/>
          <w:color w:val="auto"/>
        </w:rPr>
      </w:pPr>
    </w:p>
    <w:p>
      <w:pPr>
        <w:ind w:left="300" w:right="120" w:hanging="130"/>
        <w:spacing w:after="0" w:line="259" w:lineRule="auto"/>
        <w:rPr>
          <w:sz w:val="20"/>
          <w:szCs w:val="20"/>
          <w:color w:val="auto"/>
        </w:rPr>
      </w:pPr>
      <w:r>
        <w:rPr>
          <w:rFonts w:ascii="Arial" w:cs="Arial" w:eastAsia="Arial" w:hAnsi="Arial"/>
          <w:sz w:val="15"/>
          <w:szCs w:val="15"/>
          <w:color w:val="6D8CC3"/>
        </w:rPr>
        <w:t>•</w:t>
      </w:r>
      <w:r>
        <w:rPr>
          <w:rFonts w:ascii="Arial" w:cs="Arial" w:eastAsia="Arial" w:hAnsi="Arial"/>
          <w:sz w:val="15"/>
          <w:szCs w:val="15"/>
          <w:color w:val="000000"/>
        </w:rPr>
        <w:t xml:space="preserve">  Proposes a slate of candidates for election as directors at</w:t>
      </w:r>
      <w:r>
        <w:rPr>
          <w:rFonts w:ascii="Arial" w:cs="Arial" w:eastAsia="Arial" w:hAnsi="Arial"/>
          <w:sz w:val="15"/>
          <w:szCs w:val="15"/>
          <w:color w:val="6D8CC3"/>
        </w:rPr>
        <w:t xml:space="preserve"> </w:t>
      </w:r>
      <w:r>
        <w:rPr>
          <w:rFonts w:ascii="Arial" w:cs="Arial" w:eastAsia="Arial" w:hAnsi="Arial"/>
          <w:sz w:val="15"/>
          <w:szCs w:val="15"/>
          <w:color w:val="000000"/>
        </w:rPr>
        <w:t>each annual meeting or special meeting of shareholders at which directors are to be elected, to fill any vacancies or newly created directorships that may occur between such meetings, and to consider and review the qualifications of any individual nominated for election by shareholders</w:t>
      </w:r>
    </w:p>
    <w:p>
      <w:pPr>
        <w:spacing w:after="0" w:line="37" w:lineRule="exact"/>
        <w:rPr>
          <w:sz w:val="20"/>
          <w:szCs w:val="20"/>
          <w:color w:val="auto"/>
        </w:rPr>
      </w:pPr>
    </w:p>
    <w:p>
      <w:pPr>
        <w:ind w:left="300" w:hanging="130"/>
        <w:spacing w:after="0" w:line="256" w:lineRule="auto"/>
        <w:rPr>
          <w:sz w:val="20"/>
          <w:szCs w:val="20"/>
          <w:color w:val="auto"/>
        </w:rPr>
      </w:pPr>
      <w:r>
        <w:rPr>
          <w:rFonts w:ascii="Arial" w:cs="Arial" w:eastAsia="Arial" w:hAnsi="Arial"/>
          <w:sz w:val="15"/>
          <w:szCs w:val="15"/>
          <w:color w:val="6D8CC3"/>
        </w:rPr>
        <w:t>•</w:t>
      </w:r>
      <w:r>
        <w:rPr>
          <w:rFonts w:ascii="Arial" w:cs="Arial" w:eastAsia="Arial" w:hAnsi="Arial"/>
          <w:sz w:val="15"/>
          <w:szCs w:val="15"/>
          <w:color w:val="000000"/>
        </w:rPr>
        <w:t xml:space="preserve">  Provides oversight on governance issues relating to the</w:t>
      </w:r>
      <w:r>
        <w:rPr>
          <w:rFonts w:ascii="Arial" w:cs="Arial" w:eastAsia="Arial" w:hAnsi="Arial"/>
          <w:sz w:val="15"/>
          <w:szCs w:val="15"/>
          <w:color w:val="6D8CC3"/>
        </w:rPr>
        <w:t xml:space="preserve"> </w:t>
      </w:r>
      <w:r>
        <w:rPr>
          <w:rFonts w:ascii="Arial" w:cs="Arial" w:eastAsia="Arial" w:hAnsi="Arial"/>
          <w:sz w:val="15"/>
          <w:szCs w:val="15"/>
          <w:color w:val="000000"/>
        </w:rPr>
        <w:t>composition and operation of the Board, including recommending criteria for selection of candidates to the Board and its committees and, together with the Board Chair, recommends to the Board changes to the size and structure of the Board or its committees consistent with such criteria</w:t>
      </w:r>
    </w:p>
    <w:p>
      <w:pPr>
        <w:spacing w:after="0" w:line="221" w:lineRule="exact"/>
        <w:rPr>
          <w:sz w:val="20"/>
          <w:szCs w:val="20"/>
          <w:color w:val="auto"/>
        </w:rPr>
      </w:pPr>
    </w:p>
    <w:p>
      <w:pPr>
        <w:ind w:left="300" w:right="100" w:hanging="130"/>
        <w:spacing w:after="0" w:line="275" w:lineRule="auto"/>
        <w:rPr>
          <w:sz w:val="20"/>
          <w:szCs w:val="20"/>
          <w:color w:val="auto"/>
        </w:rPr>
      </w:pPr>
      <w:r>
        <w:rPr>
          <w:rFonts w:ascii="Arial" w:cs="Arial" w:eastAsia="Arial" w:hAnsi="Arial"/>
          <w:sz w:val="15"/>
          <w:szCs w:val="15"/>
          <w:color w:val="6D8CC3"/>
        </w:rPr>
        <w:t>•</w:t>
      </w:r>
      <w:r>
        <w:rPr>
          <w:rFonts w:ascii="Arial" w:cs="Arial" w:eastAsia="Arial" w:hAnsi="Arial"/>
          <w:sz w:val="15"/>
          <w:szCs w:val="15"/>
          <w:color w:val="000000"/>
        </w:rPr>
        <w:t xml:space="preserve">  Develops and recommends to the Board, and reviews from</w:t>
      </w:r>
      <w:r>
        <w:rPr>
          <w:rFonts w:ascii="Arial" w:cs="Arial" w:eastAsia="Arial" w:hAnsi="Arial"/>
          <w:sz w:val="15"/>
          <w:szCs w:val="15"/>
          <w:color w:val="6D8CC3"/>
        </w:rPr>
        <w:t xml:space="preserve"> </w:t>
      </w:r>
      <w:r>
        <w:rPr>
          <w:rFonts w:ascii="Arial" w:cs="Arial" w:eastAsia="Arial" w:hAnsi="Arial"/>
          <w:sz w:val="15"/>
          <w:szCs w:val="15"/>
          <w:color w:val="000000"/>
        </w:rPr>
        <w:t>time to time, the Company’s corporate governance principles and monitors compliance with such principles</w:t>
      </w:r>
    </w:p>
    <w:p>
      <w:pPr>
        <w:spacing w:after="0" w:line="355" w:lineRule="exact"/>
        <w:rPr>
          <w:sz w:val="20"/>
          <w:szCs w:val="20"/>
          <w:color w:val="auto"/>
        </w:rPr>
      </w:pPr>
    </w:p>
    <w:p>
      <w:pPr>
        <w:spacing w:after="0"/>
        <w:rPr>
          <w:sz w:val="20"/>
          <w:szCs w:val="20"/>
          <w:color w:val="auto"/>
        </w:rPr>
      </w:pPr>
      <w:r>
        <w:rPr>
          <w:rFonts w:ascii="Arial" w:cs="Arial" w:eastAsia="Arial" w:hAnsi="Arial"/>
          <w:sz w:val="23"/>
          <w:szCs w:val="23"/>
          <w:b w:val="1"/>
          <w:bCs w:val="1"/>
          <w:color w:val="292F72"/>
        </w:rPr>
        <w:t>Board and Committee Evaluations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jc w:val="both"/>
        <w:ind w:left="140" w:right="120" w:hanging="130"/>
        <w:spacing w:after="0" w:line="257" w:lineRule="auto"/>
        <w:rPr>
          <w:sz w:val="20"/>
          <w:szCs w:val="20"/>
          <w:color w:val="auto"/>
        </w:rPr>
      </w:pPr>
      <w:r>
        <w:rPr>
          <w:rFonts w:ascii="Arial" w:cs="Arial" w:eastAsia="Arial" w:hAnsi="Arial"/>
          <w:sz w:val="15"/>
          <w:szCs w:val="15"/>
          <w:color w:val="6D8CC3"/>
        </w:rPr>
        <w:t>•</w:t>
      </w:r>
      <w:r>
        <w:rPr>
          <w:rFonts w:ascii="Arial" w:cs="Arial" w:eastAsia="Arial" w:hAnsi="Arial"/>
          <w:sz w:val="15"/>
          <w:szCs w:val="15"/>
          <w:color w:val="000000"/>
        </w:rPr>
        <w:t xml:space="preserve">  Oversees the evaluation of the performance of the Board and</w:t>
      </w:r>
      <w:r>
        <w:rPr>
          <w:rFonts w:ascii="Arial" w:cs="Arial" w:eastAsia="Arial" w:hAnsi="Arial"/>
          <w:sz w:val="15"/>
          <w:szCs w:val="15"/>
          <w:color w:val="6D8CC3"/>
        </w:rPr>
        <w:t xml:space="preserve"> </w:t>
      </w:r>
      <w:r>
        <w:rPr>
          <w:rFonts w:ascii="Arial" w:cs="Arial" w:eastAsia="Arial" w:hAnsi="Arial"/>
          <w:sz w:val="15"/>
          <w:szCs w:val="15"/>
          <w:color w:val="000000"/>
        </w:rPr>
        <w:t>its committees and recommends ways to improve Board and committee performance</w:t>
      </w:r>
    </w:p>
    <w:p>
      <w:pPr>
        <w:spacing w:after="0" w:line="23" w:lineRule="exact"/>
        <w:rPr>
          <w:sz w:val="20"/>
          <w:szCs w:val="20"/>
          <w:color w:val="auto"/>
        </w:rPr>
      </w:pPr>
    </w:p>
    <w:p>
      <w:pPr>
        <w:ind w:left="140" w:right="360" w:hanging="130"/>
        <w:spacing w:after="0" w:line="247" w:lineRule="auto"/>
        <w:rPr>
          <w:sz w:val="20"/>
          <w:szCs w:val="20"/>
          <w:color w:val="auto"/>
        </w:rPr>
      </w:pPr>
      <w:r>
        <w:rPr>
          <w:rFonts w:ascii="Arial" w:cs="Arial" w:eastAsia="Arial" w:hAnsi="Arial"/>
          <w:sz w:val="15"/>
          <w:szCs w:val="15"/>
          <w:color w:val="6D8CC3"/>
        </w:rPr>
        <w:t>•</w:t>
      </w:r>
      <w:r>
        <w:rPr>
          <w:rFonts w:ascii="Arial" w:cs="Arial" w:eastAsia="Arial" w:hAnsi="Arial"/>
          <w:sz w:val="15"/>
          <w:szCs w:val="15"/>
          <w:color w:val="000000"/>
        </w:rPr>
        <w:t xml:space="preserve">  Reviews the Company’s actions in furtherance of its</w:t>
      </w:r>
      <w:r>
        <w:rPr>
          <w:rFonts w:ascii="Arial" w:cs="Arial" w:eastAsia="Arial" w:hAnsi="Arial"/>
          <w:sz w:val="15"/>
          <w:szCs w:val="15"/>
          <w:color w:val="6D8CC3"/>
        </w:rPr>
        <w:t xml:space="preserve"> </w:t>
      </w:r>
      <w:r>
        <w:rPr>
          <w:rFonts w:ascii="Arial" w:cs="Arial" w:eastAsia="Arial" w:hAnsi="Arial"/>
          <w:sz w:val="15"/>
          <w:szCs w:val="15"/>
          <w:color w:val="000000"/>
        </w:rPr>
        <w:t>corporate social responsibility, including sustainability and philanthropic initiatives, including the impact of Company procedures and processes on associates, citizens and communities</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6D8CC3"/>
        </w:rPr>
        <w:t>•</w:t>
      </w:r>
      <w:r>
        <w:rPr>
          <w:rFonts w:ascii="Arial" w:cs="Arial" w:eastAsia="Arial" w:hAnsi="Arial"/>
          <w:sz w:val="15"/>
          <w:szCs w:val="15"/>
          <w:color w:val="000000"/>
        </w:rPr>
        <w:t xml:space="preserve">  Reviews the independence of directors</w:t>
      </w:r>
    </w:p>
    <w:p>
      <w:pPr>
        <w:spacing w:after="0" w:line="64" w:lineRule="exact"/>
        <w:rPr>
          <w:sz w:val="20"/>
          <w:szCs w:val="20"/>
          <w:color w:val="auto"/>
        </w:rPr>
      </w:pPr>
    </w:p>
    <w:p>
      <w:pPr>
        <w:ind w:left="140" w:right="420" w:hanging="130"/>
        <w:spacing w:after="0" w:line="277" w:lineRule="auto"/>
        <w:rPr>
          <w:sz w:val="20"/>
          <w:szCs w:val="20"/>
          <w:color w:val="auto"/>
        </w:rPr>
      </w:pPr>
      <w:r>
        <w:rPr>
          <w:rFonts w:ascii="Arial" w:cs="Arial" w:eastAsia="Arial" w:hAnsi="Arial"/>
          <w:sz w:val="15"/>
          <w:szCs w:val="15"/>
          <w:color w:val="6D8CC3"/>
        </w:rPr>
        <w:t>•</w:t>
      </w:r>
      <w:r>
        <w:rPr>
          <w:rFonts w:ascii="Arial" w:cs="Arial" w:eastAsia="Arial" w:hAnsi="Arial"/>
          <w:sz w:val="15"/>
          <w:szCs w:val="15"/>
          <w:color w:val="000000"/>
        </w:rPr>
        <w:t xml:space="preserve">  Oversees orientation programs and continuing education</w:t>
      </w:r>
      <w:r>
        <w:rPr>
          <w:rFonts w:ascii="Arial" w:cs="Arial" w:eastAsia="Arial" w:hAnsi="Arial"/>
          <w:sz w:val="15"/>
          <w:szCs w:val="15"/>
          <w:color w:val="6D8CC3"/>
        </w:rPr>
        <w:t xml:space="preserve"> </w:t>
      </w:r>
      <w:r>
        <w:rPr>
          <w:rFonts w:ascii="Arial" w:cs="Arial" w:eastAsia="Arial" w:hAnsi="Arial"/>
          <w:sz w:val="15"/>
          <w:szCs w:val="15"/>
          <w:color w:val="000000"/>
        </w:rPr>
        <w:t>opportunities for directors</w:t>
      </w:r>
    </w:p>
    <w:p>
      <w:pPr>
        <w:spacing w:after="0" w:line="8" w:lineRule="exact"/>
        <w:rPr>
          <w:sz w:val="20"/>
          <w:szCs w:val="20"/>
          <w:color w:val="auto"/>
        </w:rPr>
      </w:pPr>
    </w:p>
    <w:p>
      <w:pPr>
        <w:ind w:left="140" w:right="480" w:hanging="130"/>
        <w:spacing w:after="0" w:line="277" w:lineRule="auto"/>
        <w:rPr>
          <w:sz w:val="20"/>
          <w:szCs w:val="20"/>
          <w:color w:val="auto"/>
        </w:rPr>
      </w:pPr>
      <w:r>
        <w:rPr>
          <w:rFonts w:ascii="Arial" w:cs="Arial" w:eastAsia="Arial" w:hAnsi="Arial"/>
          <w:sz w:val="15"/>
          <w:szCs w:val="15"/>
          <w:color w:val="6D8CC3"/>
        </w:rPr>
        <w:t>•</w:t>
      </w:r>
      <w:r>
        <w:rPr>
          <w:rFonts w:ascii="Arial" w:cs="Arial" w:eastAsia="Arial" w:hAnsi="Arial"/>
          <w:sz w:val="15"/>
          <w:szCs w:val="15"/>
          <w:color w:val="000000"/>
        </w:rPr>
        <w:t xml:space="preserve">  Stays abreast of developments in corporate governance</w:t>
      </w:r>
      <w:r>
        <w:rPr>
          <w:rFonts w:ascii="Arial" w:cs="Arial" w:eastAsia="Arial" w:hAnsi="Arial"/>
          <w:sz w:val="15"/>
          <w:szCs w:val="15"/>
          <w:color w:val="6D8CC3"/>
        </w:rPr>
        <w:t xml:space="preserve"> </w:t>
      </w:r>
      <w:r>
        <w:rPr>
          <w:rFonts w:ascii="Arial" w:cs="Arial" w:eastAsia="Arial" w:hAnsi="Arial"/>
          <w:sz w:val="15"/>
          <w:szCs w:val="15"/>
          <w:color w:val="000000"/>
        </w:rPr>
        <w:t>generally</w:t>
      </w:r>
    </w:p>
    <w:p>
      <w:pPr>
        <w:spacing w:after="0" w:line="1513" w:lineRule="exact"/>
        <w:rPr>
          <w:sz w:val="20"/>
          <w:szCs w:val="20"/>
          <w:color w:val="auto"/>
        </w:rPr>
      </w:pPr>
    </w:p>
    <w:p>
      <w:pPr>
        <w:sectPr>
          <w:pgSz w:w="11900" w:h="16838" w:orient="portrait"/>
          <w:cols w:equalWidth="0" w:num="2">
            <w:col w:w="4400" w:space="220"/>
            <w:col w:w="4420"/>
          </w:cols>
          <w:pgMar w:left="1420" w:top="115" w:right="1439" w:bottom="1440" w:gutter="0" w:footer="0" w:header="0"/>
          <w:type w:val="continuous"/>
        </w:sectPr>
      </w:pPr>
    </w:p>
    <w:p>
      <w:pPr>
        <w:ind w:right="40"/>
        <w:spacing w:after="0" w:line="245" w:lineRule="auto"/>
        <w:rPr>
          <w:sz w:val="20"/>
          <w:szCs w:val="20"/>
          <w:color w:val="auto"/>
        </w:rPr>
      </w:pPr>
      <w:r>
        <w:rPr>
          <w:rFonts w:ascii="Arial" w:cs="Arial" w:eastAsia="Arial" w:hAnsi="Arial"/>
          <w:sz w:val="16"/>
          <w:szCs w:val="16"/>
          <w:color w:val="auto"/>
        </w:rPr>
        <w:t>To ensure that the Board and its committees remain effective, the Nominating &amp; Governance Committee oversees a robust annual evaluation of the Board, the Audit Committee, the HCC Committee and the Nominating &amp; Governance Committee and recommends ways to improve performance. At least annually, each of the Audit Committee, the HCC Committee and the Nominating &amp; Governance Committee evaluates its own performance and reports to the Board on such evaluation. The full Board also engages in self-evaluation at least annually, including bi-annual individual meetings between the Board Chair and each committee chair.</w:t>
      </w:r>
    </w:p>
    <w:p>
      <w:pPr>
        <w:spacing w:after="0" w:line="323" w:lineRule="exact"/>
        <w:rPr>
          <w:sz w:val="20"/>
          <w:szCs w:val="20"/>
          <w:color w:val="auto"/>
        </w:rPr>
      </w:pPr>
    </w:p>
    <w:p>
      <w:pPr>
        <w:spacing w:after="0"/>
        <w:rPr>
          <w:sz w:val="20"/>
          <w:szCs w:val="20"/>
          <w:color w:val="auto"/>
        </w:rPr>
      </w:pPr>
      <w:r>
        <w:rPr>
          <w:rFonts w:ascii="Arial" w:cs="Arial" w:eastAsia="Arial" w:hAnsi="Arial"/>
          <w:sz w:val="23"/>
          <w:szCs w:val="23"/>
          <w:b w:val="1"/>
          <w:bCs w:val="1"/>
          <w:color w:val="292F72"/>
        </w:rPr>
        <w:t>Meetings of Independent Directors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The independent directors on the Board meet in regular executive sessions. Ms. Nash serves as the chair of those meetings.</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Mr. Heaf does not attend any meetings of the independent directors.</w:t>
      </w:r>
    </w:p>
    <w:p>
      <w:pPr>
        <w:spacing w:after="0" w:line="334" w:lineRule="exact"/>
        <w:rPr>
          <w:sz w:val="20"/>
          <w:szCs w:val="20"/>
          <w:color w:val="auto"/>
        </w:rPr>
      </w:pPr>
    </w:p>
    <w:p>
      <w:pPr>
        <w:spacing w:after="0"/>
        <w:rPr>
          <w:sz w:val="20"/>
          <w:szCs w:val="20"/>
          <w:color w:val="auto"/>
        </w:rPr>
      </w:pPr>
      <w:r>
        <w:rPr>
          <w:rFonts w:ascii="Arial" w:cs="Arial" w:eastAsia="Arial" w:hAnsi="Arial"/>
          <w:sz w:val="23"/>
          <w:szCs w:val="23"/>
          <w:b w:val="1"/>
          <w:bCs w:val="1"/>
          <w:color w:val="292F72"/>
        </w:rPr>
        <w:t>Board Role in Strategic Planning and Capital Structure</w:t>
      </w:r>
    </w:p>
    <w:p>
      <w:pPr>
        <w:spacing w:after="0" w:line="135" w:lineRule="exact"/>
        <w:rPr>
          <w:sz w:val="20"/>
          <w:szCs w:val="20"/>
          <w:color w:val="auto"/>
        </w:rPr>
      </w:pPr>
    </w:p>
    <w:p>
      <w:pPr>
        <w:spacing w:after="0" w:line="245" w:lineRule="auto"/>
        <w:rPr>
          <w:sz w:val="20"/>
          <w:szCs w:val="20"/>
          <w:color w:val="auto"/>
        </w:rPr>
      </w:pPr>
      <w:r>
        <w:rPr>
          <w:rFonts w:ascii="Arial" w:cs="Arial" w:eastAsia="Arial" w:hAnsi="Arial"/>
          <w:sz w:val="16"/>
          <w:szCs w:val="16"/>
          <w:color w:val="auto"/>
        </w:rPr>
        <w:t xml:space="preserve">Our Board plays an important role in the Company’s strategic planning process through dedicated strategy sessions that occur at least annually as well as active engagement with Company management regarding the Company’s strategy at each regular Board meeting. The Board regularly reviews the Company’s capital structure with a view toward long-term value creation for the Company’s shareholders. As discussed under the heading “Election of Directors—The Board’s 2026 Director Nominees,” beginning on page </w:t>
      </w:r>
      <w:r>
        <w:rPr>
          <w:rFonts w:ascii="Arial" w:cs="Arial" w:eastAsia="Arial" w:hAnsi="Arial"/>
          <w:sz w:val="16"/>
          <w:szCs w:val="16"/>
          <w:u w:val="single" w:color="auto"/>
          <w:color w:val="0000EE"/>
        </w:rPr>
        <w:t>6</w:t>
      </w:r>
      <w:r>
        <w:rPr>
          <w:rFonts w:ascii="Arial" w:cs="Arial" w:eastAsia="Arial" w:hAnsi="Arial"/>
          <w:sz w:val="16"/>
          <w:szCs w:val="16"/>
          <w:color w:val="auto"/>
        </w:rPr>
        <w:t xml:space="preserve"> of this proxy statement, our director nominees possess specific qualifications, skills and experience that support the Company’s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125095</wp:posOffset>
            </wp:positionV>
            <wp:extent cx="57372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737225" cy="8255"/>
                    </a:xfrm>
                    <a:prstGeom prst="rect">
                      <a:avLst/>
                    </a:prstGeom>
                    <a:noFill/>
                  </pic:spPr>
                </pic:pic>
              </a:graphicData>
            </a:graphic>
          </wp:anchor>
        </w:drawing>
      </w:r>
    </w:p>
    <w:p>
      <w:pPr>
        <w:spacing w:after="0" w:line="272" w:lineRule="exact"/>
        <w:rPr>
          <w:sz w:val="20"/>
          <w:szCs w:val="20"/>
          <w:color w:val="auto"/>
        </w:rPr>
      </w:pPr>
    </w:p>
    <w:p>
      <w:pPr>
        <w:jc w:val="right"/>
        <w:spacing w:after="0"/>
        <w:rPr>
          <w:sz w:val="20"/>
          <w:szCs w:val="20"/>
          <w:color w:val="auto"/>
        </w:rPr>
      </w:pPr>
      <w:r>
        <w:rPr>
          <w:rFonts w:ascii="Arial" w:cs="Arial" w:eastAsia="Arial" w:hAnsi="Arial"/>
          <w:sz w:val="14"/>
          <w:szCs w:val="14"/>
          <w:color w:val="292F72"/>
        </w:rPr>
        <w:t>Bath &amp; Body Works, Inc.</w:t>
      </w:r>
      <w:r>
        <w:rPr>
          <w:rFonts w:ascii="Arial" w:cs="Arial" w:eastAsia="Arial" w:hAnsi="Arial"/>
          <w:sz w:val="14"/>
          <w:szCs w:val="14"/>
          <w:color w:val="6D8CC3"/>
        </w:rPr>
        <w:t xml:space="preserve">   | </w:t>
      </w:r>
      <w:r>
        <w:rPr>
          <w:rFonts w:ascii="Arial" w:cs="Arial" w:eastAsia="Arial" w:hAnsi="Arial"/>
          <w:sz w:val="14"/>
          <w:szCs w:val="14"/>
          <w:color w:val="292F72"/>
        </w:rPr>
        <w:t xml:space="preserve">  2026 Proxy Statement     </w:t>
      </w:r>
      <w:r>
        <w:rPr>
          <w:rFonts w:ascii="Arial" w:cs="Arial" w:eastAsia="Arial" w:hAnsi="Arial"/>
          <w:sz w:val="14"/>
          <w:szCs w:val="14"/>
          <w:b w:val="1"/>
          <w:bCs w:val="1"/>
          <w:color w:val="292F72"/>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153670</wp:posOffset>
            </wp:positionV>
            <wp:extent cx="6795135" cy="165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795135" cy="16510"/>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6"/>
          <w:szCs w:val="16"/>
          <w:color w:val="292F72"/>
        </w:rPr>
        <w:t>Corporate</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6"/>
          <w:szCs w:val="16"/>
          <w:color w:val="292F72"/>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1024255" cy="330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024255" cy="3302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23"/>
          <w:szCs w:val="23"/>
          <w:b w:val="1"/>
          <w:bCs w:val="1"/>
          <w:color w:val="292F72"/>
        </w:rPr>
        <w:t>Board Role in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184785</wp:posOffset>
            </wp:positionV>
            <wp:extent cx="5720715" cy="592899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720715" cy="592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140970</wp:posOffset>
            </wp:positionV>
            <wp:extent cx="57372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737225" cy="8255"/>
                    </a:xfrm>
                    <a:prstGeom prst="rect">
                      <a:avLst/>
                    </a:prstGeom>
                    <a:noFill/>
                  </pic:spPr>
                </pic:pic>
              </a:graphicData>
            </a:graphic>
          </wp:anchor>
        </w:drawing>
      </w:r>
    </w:p>
    <w:p>
      <w:pPr>
        <w:spacing w:after="0" w:line="297" w:lineRule="exact"/>
        <w:rPr>
          <w:sz w:val="20"/>
          <w:szCs w:val="20"/>
          <w:color w:val="auto"/>
        </w:rPr>
      </w:pPr>
    </w:p>
    <w:p>
      <w:pPr>
        <w:spacing w:after="0"/>
        <w:rPr>
          <w:sz w:val="20"/>
          <w:szCs w:val="20"/>
          <w:color w:val="auto"/>
        </w:rPr>
      </w:pPr>
      <w:r>
        <w:rPr>
          <w:rFonts w:ascii="Arial" w:cs="Arial" w:eastAsia="Arial" w:hAnsi="Arial"/>
          <w:sz w:val="14"/>
          <w:szCs w:val="14"/>
          <w:b w:val="1"/>
          <w:bCs w:val="1"/>
          <w:color w:val="292F72"/>
        </w:rPr>
        <w:t>20</w:t>
      </w:r>
      <w:r>
        <w:rPr>
          <w:rFonts w:ascii="Arial" w:cs="Arial" w:eastAsia="Arial" w:hAnsi="Arial"/>
          <w:sz w:val="14"/>
          <w:szCs w:val="14"/>
          <w:color w:val="292F72"/>
        </w:rPr>
        <w:t xml:space="preserve">     Bath &amp; Body Works, Inc.</w:t>
      </w:r>
      <w:r>
        <w:rPr>
          <w:rFonts w:ascii="Arial" w:cs="Arial" w:eastAsia="Arial" w:hAnsi="Arial"/>
          <w:sz w:val="14"/>
          <w:szCs w:val="14"/>
          <w:color w:val="6D8CC3"/>
        </w:rPr>
        <w:t xml:space="preserve">   | </w:t>
      </w:r>
      <w:r>
        <w:rPr>
          <w:rFonts w:ascii="Arial" w:cs="Arial" w:eastAsia="Arial" w:hAnsi="Arial"/>
          <w:sz w:val="14"/>
          <w:szCs w:val="14"/>
          <w:b w:val="1"/>
          <w:bCs w:val="1"/>
          <w:color w:val="292F72"/>
        </w:rPr>
        <w:t xml:space="preserve">  </w:t>
      </w:r>
      <w:r>
        <w:rPr>
          <w:rFonts w:ascii="Arial" w:cs="Arial" w:eastAsia="Arial" w:hAnsi="Arial"/>
          <w:sz w:val="14"/>
          <w:szCs w:val="14"/>
          <w:color w:val="292F72"/>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178435</wp:posOffset>
            </wp:positionV>
            <wp:extent cx="6795135" cy="165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795135" cy="16510"/>
                    </a:xfrm>
                    <a:prstGeom prst="rect">
                      <a:avLst/>
                    </a:prstGeom>
                    <a:noFill/>
                  </pic:spPr>
                </pic:pic>
              </a:graphicData>
            </a:graphic>
          </wp:anchor>
        </w:drawing>
      </w:r>
    </w:p>
    <w:p>
      <w:pPr>
        <w:sectPr>
          <w:pgSz w:w="11900" w:h="16838" w:orient="portrait"/>
          <w:cols w:equalWidth="0" w:num="1">
            <w:col w:w="9039"/>
          </w:cols>
          <w:pgMar w:left="1420" w:top="115"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2" w:lineRule="exact"/>
        <w:rPr>
          <w:sz w:val="20"/>
          <w:szCs w:val="20"/>
          <w:color w:val="auto"/>
        </w:rPr>
      </w:pPr>
    </w:p>
    <w:p>
      <w:pPr>
        <w:ind w:left="7440"/>
        <w:spacing w:after="0"/>
        <w:rPr>
          <w:sz w:val="20"/>
          <w:szCs w:val="20"/>
          <w:color w:val="auto"/>
        </w:rPr>
      </w:pPr>
      <w:r>
        <w:rPr>
          <w:rFonts w:ascii="Arial" w:cs="Arial" w:eastAsia="Arial" w:hAnsi="Arial"/>
          <w:sz w:val="16"/>
          <w:szCs w:val="16"/>
          <w:color w:val="292F72"/>
        </w:rPr>
        <w:t>Corporate</w:t>
      </w:r>
    </w:p>
    <w:p>
      <w:pPr>
        <w:spacing w:after="0" w:line="14" w:lineRule="exact"/>
        <w:rPr>
          <w:sz w:val="20"/>
          <w:szCs w:val="20"/>
          <w:color w:val="auto"/>
        </w:rPr>
      </w:pPr>
    </w:p>
    <w:p>
      <w:pPr>
        <w:ind w:left="7440"/>
        <w:spacing w:after="0"/>
        <w:rPr>
          <w:sz w:val="20"/>
          <w:szCs w:val="20"/>
          <w:color w:val="auto"/>
        </w:rPr>
      </w:pPr>
      <w:r>
        <w:rPr>
          <w:rFonts w:ascii="Arial" w:cs="Arial" w:eastAsia="Arial" w:hAnsi="Arial"/>
          <w:sz w:val="16"/>
          <w:szCs w:val="16"/>
          <w:color w:val="292F72"/>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4717415</wp:posOffset>
            </wp:positionH>
            <wp:positionV relativeFrom="paragraph">
              <wp:posOffset>31750</wp:posOffset>
            </wp:positionV>
            <wp:extent cx="1024255" cy="330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024255" cy="33020"/>
                    </a:xfrm>
                    <a:prstGeom prst="rect">
                      <a:avLst/>
                    </a:prstGeom>
                    <a:noFill/>
                  </pic:spPr>
                </pic:pic>
              </a:graphicData>
            </a:graphic>
          </wp:anchor>
        </w:drawing>
      </w:r>
    </w:p>
    <w:p>
      <w:pPr>
        <w:spacing w:after="0" w:line="209" w:lineRule="exact"/>
        <w:rPr>
          <w:sz w:val="20"/>
          <w:szCs w:val="20"/>
          <w:color w:val="auto"/>
        </w:rPr>
      </w:pPr>
    </w:p>
    <w:p>
      <w:pPr>
        <w:ind w:right="1360"/>
        <w:spacing w:after="0" w:line="292" w:lineRule="auto"/>
        <w:rPr>
          <w:sz w:val="20"/>
          <w:szCs w:val="20"/>
          <w:color w:val="auto"/>
        </w:rPr>
      </w:pPr>
      <w:r>
        <w:rPr>
          <w:rFonts w:ascii="Arial" w:cs="Arial" w:eastAsia="Arial" w:hAnsi="Arial"/>
          <w:sz w:val="23"/>
          <w:szCs w:val="23"/>
          <w:b w:val="1"/>
          <w:bCs w:val="1"/>
          <w:color w:val="292F72"/>
        </w:rPr>
        <w:t>Code of Conduct, Insider Trading, Governance Documents and Related Person Transactions</w:t>
      </w:r>
    </w:p>
    <w:p>
      <w:pPr>
        <w:spacing w:after="0" w:line="44" w:lineRule="exact"/>
        <w:rPr>
          <w:sz w:val="20"/>
          <w:szCs w:val="20"/>
          <w:color w:val="auto"/>
        </w:rPr>
      </w:pPr>
    </w:p>
    <w:p>
      <w:pPr>
        <w:ind w:right="340"/>
        <w:spacing w:after="0" w:line="254" w:lineRule="auto"/>
        <w:rPr>
          <w:sz w:val="20"/>
          <w:szCs w:val="20"/>
          <w:color w:val="auto"/>
        </w:rPr>
      </w:pPr>
      <w:r>
        <w:rPr>
          <w:rFonts w:ascii="Arial" w:cs="Arial" w:eastAsia="Arial" w:hAnsi="Arial"/>
          <w:sz w:val="16"/>
          <w:szCs w:val="16"/>
          <w:color w:val="auto"/>
        </w:rPr>
        <w:t xml:space="preserve">The Company has a code of conduct that is applicable to all of our associates, officers and directors. Any amendments to the code or any waivers from any provisions of the code granted to executive officers or directors will be promptly disclosed to shareholders through posting on the Company’s website at </w:t>
      </w:r>
      <w:r>
        <w:rPr>
          <w:rFonts w:ascii="Arial" w:cs="Arial" w:eastAsia="Arial" w:hAnsi="Arial"/>
          <w:sz w:val="16"/>
          <w:szCs w:val="16"/>
          <w:i w:val="1"/>
          <w:iCs w:val="1"/>
          <w:color w:val="auto"/>
        </w:rPr>
        <w:t>www.bbwinc.com</w:t>
      </w:r>
      <w:r>
        <w:rPr>
          <w:rFonts w:ascii="Arial" w:cs="Arial" w:eastAsia="Arial" w:hAnsi="Arial"/>
          <w:sz w:val="16"/>
          <w:szCs w:val="16"/>
          <w:color w:val="auto"/>
        </w:rPr>
        <w:t>.</w:t>
      </w:r>
    </w:p>
    <w:p>
      <w:pPr>
        <w:spacing w:after="0" w:line="137"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 xml:space="preserve">The Company maintains an Insider Trading Policy governing all transactions in the Company’s securities by our directors and associates (including officers), as well as any other person designated by the Chief Legal Officer or Chief Financial Officer. The Insider Trading Policy is reasonably designed to promote compliance with insider trading laws, rules and regulations, and applicable listing standards. For further discussion on our Insider Trading Policy and practices related to compensation and equity, see “Compensation-related Matters—Compensation Discussion and Analysis—Executive Compensation Philosophy—Executive Compensation Best Practices” on page </w:t>
      </w:r>
      <w:r>
        <w:rPr>
          <w:rFonts w:ascii="Arial" w:cs="Arial" w:eastAsia="Arial" w:hAnsi="Arial"/>
          <w:sz w:val="16"/>
          <w:szCs w:val="16"/>
          <w:u w:val="single" w:color="auto"/>
          <w:color w:val="0000EE"/>
        </w:rPr>
        <w:t>32</w:t>
      </w:r>
      <w:r>
        <w:rPr>
          <w:rFonts w:ascii="Arial" w:cs="Arial" w:eastAsia="Arial" w:hAnsi="Arial"/>
          <w:sz w:val="16"/>
          <w:szCs w:val="16"/>
          <w:color w:val="auto"/>
        </w:rPr>
        <w:t xml:space="preserve"> of this proxy statement. A copy of our insider trading policy was filed as Exhibit 19 to the 2025 10-K.</w:t>
      </w:r>
    </w:p>
    <w:p>
      <w:pPr>
        <w:spacing w:after="0" w:line="146" w:lineRule="exact"/>
        <w:rPr>
          <w:sz w:val="20"/>
          <w:szCs w:val="20"/>
          <w:color w:val="auto"/>
        </w:rPr>
      </w:pPr>
    </w:p>
    <w:p>
      <w:pPr>
        <w:ind w:right="140"/>
        <w:spacing w:after="0" w:line="245" w:lineRule="auto"/>
        <w:rPr>
          <w:sz w:val="20"/>
          <w:szCs w:val="20"/>
          <w:color w:val="auto"/>
        </w:rPr>
      </w:pPr>
      <w:r>
        <w:rPr>
          <w:rFonts w:ascii="Arial" w:cs="Arial" w:eastAsia="Arial" w:hAnsi="Arial"/>
          <w:sz w:val="16"/>
          <w:szCs w:val="16"/>
          <w:color w:val="auto"/>
        </w:rPr>
        <w:t>Under the Company’s related person transaction policy, subject to certain exceptions, directors and executive officers of the Company are required to notify the Company’s Corporate Secretary of any potential financial or commercial transaction, agreement or relationship involving the Company in which a director or executive officer, a director nominee, a 5% beneficial owner of the Company’s common stock or any of their immediate family members has a direct or indirect material interest. Each such transaction must be approved by the Board or a committee consisting solely of independent directors after consideration of all material facts and circumstances.</w:t>
      </w:r>
    </w:p>
    <w:p>
      <w:pPr>
        <w:spacing w:after="0" w:line="158" w:lineRule="exact"/>
        <w:rPr>
          <w:sz w:val="20"/>
          <w:szCs w:val="20"/>
          <w:color w:val="auto"/>
        </w:rPr>
      </w:pPr>
    </w:p>
    <w:p>
      <w:pPr>
        <w:ind w:right="260"/>
        <w:spacing w:after="0" w:line="268" w:lineRule="auto"/>
        <w:rPr>
          <w:sz w:val="20"/>
          <w:szCs w:val="20"/>
          <w:color w:val="auto"/>
        </w:rPr>
      </w:pPr>
      <w:r>
        <w:rPr>
          <w:rFonts w:ascii="Arial" w:cs="Arial" w:eastAsia="Arial" w:hAnsi="Arial"/>
          <w:sz w:val="16"/>
          <w:szCs w:val="16"/>
          <w:color w:val="auto"/>
        </w:rPr>
        <w:t>Based on the information provided by the Company’s officers and directors and assessments by the Company’s management, there were no such related person transactions during fiscal 2025.</w:t>
      </w:r>
    </w:p>
    <w:p>
      <w:pPr>
        <w:spacing w:after="0" w:line="127"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color w:val="auto"/>
        </w:rPr>
        <w:t xml:space="preserve">The Company’s code of conduct, corporate governance principles and related person transaction policy, as well as the charters of the Audit Committee, HCC Committee and Nominating &amp; Governance Committee, are available on the Company’s website at </w:t>
      </w:r>
      <w:r>
        <w:rPr>
          <w:rFonts w:ascii="Arial" w:cs="Arial" w:eastAsia="Arial" w:hAnsi="Arial"/>
          <w:sz w:val="16"/>
          <w:szCs w:val="16"/>
          <w:i w:val="1"/>
          <w:iCs w:val="1"/>
          <w:color w:val="auto"/>
        </w:rPr>
        <w:t xml:space="preserve">www.bbwinc.com </w:t>
      </w:r>
      <w:r>
        <w:rPr>
          <w:rFonts w:ascii="Arial" w:cs="Arial" w:eastAsia="Arial" w:hAnsi="Arial"/>
          <w:sz w:val="16"/>
          <w:szCs w:val="16"/>
          <w:color w:val="auto"/>
        </w:rPr>
        <w:t>(see the “Investors” link followed by the “Committee Charters and Governance Materials” link). Shareholders</w:t>
      </w:r>
      <w:r>
        <w:rPr>
          <w:rFonts w:ascii="Arial" w:cs="Arial" w:eastAsia="Arial" w:hAnsi="Arial"/>
          <w:sz w:val="16"/>
          <w:szCs w:val="16"/>
          <w:i w:val="1"/>
          <w:iCs w:val="1"/>
          <w:color w:val="auto"/>
        </w:rPr>
        <w:t xml:space="preserve"> </w:t>
      </w:r>
      <w:r>
        <w:rPr>
          <w:rFonts w:ascii="Arial" w:cs="Arial" w:eastAsia="Arial" w:hAnsi="Arial"/>
          <w:sz w:val="16"/>
          <w:szCs w:val="16"/>
          <w:color w:val="auto"/>
        </w:rPr>
        <w:t>may also request a copy of any such document from: Bath &amp; Body Works, Inc., Attention: Corporate Secretary, Three Limited Parkway, Columbus, Ohio 43230.</w:t>
      </w:r>
    </w:p>
    <w:p>
      <w:pPr>
        <w:spacing w:after="0" w:line="323" w:lineRule="exact"/>
        <w:rPr>
          <w:sz w:val="20"/>
          <w:szCs w:val="20"/>
          <w:color w:val="auto"/>
        </w:rPr>
      </w:pPr>
    </w:p>
    <w:p>
      <w:pPr>
        <w:spacing w:after="0"/>
        <w:rPr>
          <w:sz w:val="20"/>
          <w:szCs w:val="20"/>
          <w:color w:val="auto"/>
        </w:rPr>
      </w:pPr>
      <w:r>
        <w:rPr>
          <w:rFonts w:ascii="Arial" w:cs="Arial" w:eastAsia="Arial" w:hAnsi="Arial"/>
          <w:sz w:val="23"/>
          <w:szCs w:val="23"/>
          <w:b w:val="1"/>
          <w:bCs w:val="1"/>
          <w:color w:val="292F72"/>
        </w:rPr>
        <w:t>Human Capital &amp; Compensation Committee Participation and Interlocks</w:t>
      </w:r>
    </w:p>
    <w:p>
      <w:pPr>
        <w:spacing w:after="0" w:line="135" w:lineRule="exact"/>
        <w:rPr>
          <w:sz w:val="20"/>
          <w:szCs w:val="20"/>
          <w:color w:val="auto"/>
        </w:rPr>
      </w:pPr>
    </w:p>
    <w:p>
      <w:pPr>
        <w:ind w:right="160"/>
        <w:spacing w:after="0" w:line="249" w:lineRule="auto"/>
        <w:rPr>
          <w:sz w:val="20"/>
          <w:szCs w:val="20"/>
          <w:color w:val="auto"/>
        </w:rPr>
      </w:pPr>
      <w:r>
        <w:rPr>
          <w:rFonts w:ascii="Arial" w:cs="Arial" w:eastAsia="Arial" w:hAnsi="Arial"/>
          <w:sz w:val="16"/>
          <w:szCs w:val="16"/>
          <w:color w:val="auto"/>
        </w:rPr>
        <w:t>No person who has served as a member of the HCC Committee during the last fiscal year is a former or current officer or associate of the Company or any of its subsidiaries. None of our executive officers serve as a member of a board of directors or compensation committee of any other company that has one or more executive officers who serve on our Board or the HCC Committee.</w:t>
      </w:r>
    </w:p>
    <w:p>
      <w:pPr>
        <w:sectPr>
          <w:pgSz w:w="11900" w:h="16838" w:orient="portrait"/>
          <w:cols w:equalWidth="0" w:num="1">
            <w:col w:w="9040"/>
          </w:cols>
          <w:pgMar w:left="1420" w:top="115" w:right="1439" w:bottom="1440" w:gutter="0" w:footer="0" w:header="0"/>
        </w:sectPr>
      </w:pPr>
    </w:p>
    <w:p>
      <w:pPr>
        <w:spacing w:after="0" w:line="319" w:lineRule="exact"/>
        <w:rPr>
          <w:sz w:val="20"/>
          <w:szCs w:val="20"/>
          <w:color w:val="auto"/>
        </w:rPr>
      </w:pPr>
    </w:p>
    <w:p>
      <w:pPr>
        <w:spacing w:after="0"/>
        <w:rPr>
          <w:sz w:val="20"/>
          <w:szCs w:val="20"/>
          <w:color w:val="auto"/>
        </w:rPr>
      </w:pPr>
      <w:r>
        <w:rPr>
          <w:rFonts w:ascii="Arial" w:cs="Arial" w:eastAsia="Arial" w:hAnsi="Arial"/>
          <w:sz w:val="23"/>
          <w:szCs w:val="23"/>
          <w:b w:val="1"/>
          <w:bCs w:val="1"/>
          <w:color w:val="292F72"/>
        </w:rPr>
        <w:t>Director Stock Ownership Guidelines</w:t>
      </w:r>
    </w:p>
    <w:p>
      <w:pPr>
        <w:spacing w:after="0" w:line="121" w:lineRule="exact"/>
        <w:rPr>
          <w:sz w:val="20"/>
          <w:szCs w:val="20"/>
          <w:color w:val="auto"/>
        </w:rPr>
      </w:pPr>
    </w:p>
    <w:p>
      <w:pPr>
        <w:ind w:right="60"/>
        <w:spacing w:after="0" w:line="243" w:lineRule="auto"/>
        <w:rPr>
          <w:sz w:val="20"/>
          <w:szCs w:val="20"/>
          <w:color w:val="auto"/>
        </w:rPr>
      </w:pPr>
      <w:r>
        <w:rPr>
          <w:rFonts w:ascii="Arial" w:cs="Arial" w:eastAsia="Arial" w:hAnsi="Arial"/>
          <w:sz w:val="16"/>
          <w:szCs w:val="16"/>
          <w:color w:val="auto"/>
        </w:rPr>
        <w:t xml:space="preserve">All independent directors are required to own Company common stock with a value equal to six times the amount of their annual cash retainer by October 2028. All members of our Board are either in compliance with the guidelines or are on track to comply with the guidelines within the required time frame. For a discussion of the stock ownership guidelines that apply to our executive officers, see “Compensation-related Matters—Compensation Discussion and Analysis—Compensation Governance—Executive Stock Ownership Guidelines” on page </w:t>
      </w:r>
      <w:r>
        <w:rPr>
          <w:rFonts w:ascii="Arial" w:cs="Arial" w:eastAsia="Arial" w:hAnsi="Arial"/>
          <w:sz w:val="16"/>
          <w:szCs w:val="16"/>
          <w:u w:val="single" w:color="auto"/>
          <w:color w:val="0000EE"/>
        </w:rPr>
        <w:t>43</w:t>
      </w:r>
      <w:r>
        <w:rPr>
          <w:rFonts w:ascii="Arial" w:cs="Arial" w:eastAsia="Arial" w:hAnsi="Arial"/>
          <w:sz w:val="16"/>
          <w:szCs w:val="16"/>
          <w:color w:val="auto"/>
        </w:rPr>
        <w:t xml:space="preserve"> of this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36"/>
          <w:szCs w:val="36"/>
          <w:color w:val="6D8CC3"/>
        </w:rPr>
        <w:t>6X</w:t>
      </w:r>
      <w:r>
        <w:rPr>
          <w:rFonts w:ascii="Arial" w:cs="Arial" w:eastAsia="Arial" w:hAnsi="Arial"/>
          <w:sz w:val="18"/>
          <w:szCs w:val="18"/>
          <w:b w:val="1"/>
          <w:bCs w:val="1"/>
          <w:color w:val="000000"/>
        </w:rPr>
        <w:t xml:space="preserve"> </w:t>
      </w:r>
      <w:r>
        <w:rPr>
          <w:rFonts w:ascii="Arial" w:cs="Arial" w:eastAsia="Arial" w:hAnsi="Arial"/>
          <w:sz w:val="36"/>
          <w:szCs w:val="36"/>
          <w:color w:val="6D8CC3"/>
        </w:rPr>
        <w:t xml:space="preserve"> </w:t>
      </w:r>
      <w:r>
        <w:rPr>
          <w:rFonts w:ascii="Arial" w:cs="Arial" w:eastAsia="Arial" w:hAnsi="Arial"/>
          <w:sz w:val="21"/>
          <w:szCs w:val="21"/>
          <w:b w:val="1"/>
          <w:bCs w:val="1"/>
          <w:color w:val="6D8CC3"/>
        </w:rPr>
        <w:t>ANNUAL CASH RETAINER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-441960</wp:posOffset>
            </wp:positionV>
            <wp:extent cx="2406650" cy="11741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406650" cy="1174115"/>
                    </a:xfrm>
                    <a:prstGeom prst="rect">
                      <a:avLst/>
                    </a:prstGeom>
                    <a:noFill/>
                  </pic:spPr>
                </pic:pic>
              </a:graphicData>
            </a:graphic>
          </wp:anchor>
        </w:drawing>
      </w:r>
    </w:p>
    <w:p>
      <w:pPr>
        <w:spacing w:after="0" w:line="40" w:lineRule="exact"/>
        <w:rPr>
          <w:sz w:val="20"/>
          <w:szCs w:val="20"/>
          <w:color w:val="auto"/>
        </w:rPr>
      </w:pPr>
    </w:p>
    <w:p>
      <w:pPr>
        <w:ind w:right="300"/>
        <w:spacing w:after="0"/>
        <w:rPr>
          <w:sz w:val="20"/>
          <w:szCs w:val="20"/>
          <w:color w:val="auto"/>
        </w:rPr>
      </w:pPr>
      <w:r>
        <w:rPr>
          <w:rFonts w:ascii="Arial" w:cs="Arial" w:eastAsia="Arial" w:hAnsi="Arial"/>
          <w:sz w:val="19"/>
          <w:szCs w:val="19"/>
          <w:b w:val="1"/>
          <w:bCs w:val="1"/>
          <w:color w:val="auto"/>
        </w:rPr>
        <w:t>We require our directors to own Company common stock with a value equal to 6X their annual cash retainer</w:t>
      </w:r>
    </w:p>
    <w:p>
      <w:pPr>
        <w:spacing w:after="0" w:line="233" w:lineRule="exact"/>
        <w:rPr>
          <w:sz w:val="20"/>
          <w:szCs w:val="20"/>
          <w:color w:val="auto"/>
        </w:rPr>
      </w:pPr>
    </w:p>
    <w:p>
      <w:pPr>
        <w:sectPr>
          <w:pgSz w:w="11900" w:h="16838" w:orient="portrait"/>
          <w:cols w:equalWidth="0" w:num="2">
            <w:col w:w="4820" w:space="720"/>
            <w:col w:w="3500"/>
          </w:cols>
          <w:pgMar w:left="1420" w:top="115" w:right="1439" w:bottom="1440" w:gutter="0" w:footer="0" w:header="0"/>
          <w:type w:val="continuous"/>
        </w:sectPr>
      </w:pPr>
    </w:p>
    <w:p>
      <w:pPr>
        <w:spacing w:after="0" w:line="111" w:lineRule="exact"/>
        <w:rPr>
          <w:sz w:val="20"/>
          <w:szCs w:val="20"/>
          <w:color w:val="auto"/>
        </w:rPr>
      </w:pPr>
    </w:p>
    <w:p>
      <w:pPr>
        <w:spacing w:after="0"/>
        <w:rPr>
          <w:sz w:val="20"/>
          <w:szCs w:val="20"/>
          <w:color w:val="auto"/>
        </w:rPr>
      </w:pPr>
      <w:r>
        <w:rPr>
          <w:rFonts w:ascii="Arial" w:cs="Arial" w:eastAsia="Arial" w:hAnsi="Arial"/>
          <w:sz w:val="23"/>
          <w:szCs w:val="23"/>
          <w:b w:val="1"/>
          <w:bCs w:val="1"/>
          <w:color w:val="292F72"/>
        </w:rPr>
        <w:t>Contacting the Board</w:t>
      </w:r>
    </w:p>
    <w:p>
      <w:pPr>
        <w:spacing w:after="0" w:line="148" w:lineRule="exact"/>
        <w:rPr>
          <w:sz w:val="20"/>
          <w:szCs w:val="20"/>
          <w:color w:val="auto"/>
        </w:rPr>
      </w:pPr>
    </w:p>
    <w:p>
      <w:pPr>
        <w:ind w:right="20"/>
        <w:spacing w:after="0" w:line="267" w:lineRule="auto"/>
        <w:rPr>
          <w:sz w:val="20"/>
          <w:szCs w:val="20"/>
          <w:color w:val="auto"/>
        </w:rPr>
      </w:pPr>
      <w:r>
        <w:rPr>
          <w:rFonts w:ascii="Arial" w:cs="Arial" w:eastAsia="Arial" w:hAnsi="Arial"/>
          <w:sz w:val="15"/>
          <w:szCs w:val="15"/>
          <w:color w:val="auto"/>
        </w:rPr>
        <w:t xml:space="preserve">The Board provides a process for interested parties to send communications to the full Board, the Board Chair, the independent directors and any committee of the Board. The Board, any Board committee or any individual director may be contacted by writing to the Board, committee or director, as applicable, c/o Bath &amp; Body Works, Inc., Three Limited Parkway, Columbus, Ohio 43230, Attention: Corporate Secretary, or by sending an email to </w:t>
      </w:r>
      <w:r>
        <w:rPr>
          <w:rFonts w:ascii="Arial" w:cs="Arial" w:eastAsia="Arial" w:hAnsi="Arial"/>
          <w:sz w:val="15"/>
          <w:szCs w:val="15"/>
          <w:b w:val="1"/>
          <w:bCs w:val="1"/>
          <w:color w:val="292F72"/>
        </w:rPr>
        <w:t>boardofdirectors@bbw.com</w:t>
      </w:r>
      <w:r>
        <w:rPr>
          <w:rFonts w:ascii="Arial" w:cs="Arial" w:eastAsia="Arial" w:hAnsi="Arial"/>
          <w:sz w:val="15"/>
          <w:szCs w:val="15"/>
          <w:color w:val="auto"/>
        </w:rPr>
        <w:t>. Communications that are not related to a director’s duties and responsibilities as a Board or committee member may be excluded by the Company,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114300</wp:posOffset>
            </wp:positionV>
            <wp:extent cx="57372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737225" cy="8255"/>
                    </a:xfrm>
                    <a:prstGeom prst="rect">
                      <a:avLst/>
                    </a:prstGeom>
                    <a:noFill/>
                  </pic:spPr>
                </pic:pic>
              </a:graphicData>
            </a:graphic>
          </wp:anchor>
        </w:drawing>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4"/>
          <w:szCs w:val="14"/>
          <w:color w:val="292F72"/>
        </w:rPr>
        <w:t>Bath &amp; Body Works, Inc.</w:t>
      </w:r>
      <w:r>
        <w:rPr>
          <w:rFonts w:ascii="Arial" w:cs="Arial" w:eastAsia="Arial" w:hAnsi="Arial"/>
          <w:sz w:val="14"/>
          <w:szCs w:val="14"/>
          <w:color w:val="6D8CC3"/>
        </w:rPr>
        <w:t xml:space="preserve">   | </w:t>
      </w:r>
      <w:r>
        <w:rPr>
          <w:rFonts w:ascii="Arial" w:cs="Arial" w:eastAsia="Arial" w:hAnsi="Arial"/>
          <w:sz w:val="14"/>
          <w:szCs w:val="14"/>
          <w:color w:val="292F72"/>
        </w:rPr>
        <w:t xml:space="preserve">  2026 Proxy Statement     </w:t>
      </w:r>
      <w:r>
        <w:rPr>
          <w:rFonts w:ascii="Arial" w:cs="Arial" w:eastAsia="Arial" w:hAnsi="Arial"/>
          <w:sz w:val="14"/>
          <w:szCs w:val="14"/>
          <w:b w:val="1"/>
          <w:bCs w:val="1"/>
          <w:color w:val="292F72"/>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145415</wp:posOffset>
            </wp:positionV>
            <wp:extent cx="6795135" cy="165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795135" cy="16510"/>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6"/>
          <w:szCs w:val="16"/>
          <w:color w:val="292F72"/>
        </w:rPr>
        <w:t>Corporate</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6"/>
          <w:szCs w:val="16"/>
          <w:color w:val="292F72"/>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1024255" cy="330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024255" cy="33020"/>
                    </a:xfrm>
                    <a:prstGeom prst="rect">
                      <a:avLst/>
                    </a:prstGeom>
                    <a:noFill/>
                  </pic:spPr>
                </pic:pic>
              </a:graphicData>
            </a:graphic>
          </wp:anchor>
        </w:drawing>
      </w:r>
    </w:p>
    <w:p>
      <w:pPr>
        <w:spacing w:after="0" w:line="175" w:lineRule="exact"/>
        <w:rPr>
          <w:sz w:val="20"/>
          <w:szCs w:val="20"/>
          <w:color w:val="auto"/>
        </w:rPr>
      </w:pPr>
    </w:p>
    <w:p>
      <w:pPr>
        <w:ind w:right="140"/>
        <w:spacing w:after="0" w:line="249" w:lineRule="auto"/>
        <w:rPr>
          <w:sz w:val="20"/>
          <w:szCs w:val="20"/>
          <w:color w:val="auto"/>
        </w:rPr>
      </w:pPr>
      <w:r>
        <w:rPr>
          <w:rFonts w:ascii="Arial" w:cs="Arial" w:eastAsia="Arial" w:hAnsi="Arial"/>
          <w:sz w:val="16"/>
          <w:szCs w:val="16"/>
          <w:color w:val="auto"/>
        </w:rPr>
        <w:t>without limitation, solicitations and advertisements; junk mail; product-related communications; job referral materials such as resumes; surveys; and any other material that is determined to be illegal or otherwise inappropriate. The directors to whom such information is addressed are informed that the information has been removed and that it will be made available to such directors upon request.</w:t>
      </w:r>
    </w:p>
    <w:p>
      <w:pPr>
        <w:spacing w:after="0" w:line="306" w:lineRule="exact"/>
        <w:rPr>
          <w:sz w:val="20"/>
          <w:szCs w:val="20"/>
          <w:color w:val="auto"/>
        </w:rPr>
      </w:pPr>
    </w:p>
    <w:p>
      <w:pPr>
        <w:spacing w:after="0"/>
        <w:rPr>
          <w:sz w:val="20"/>
          <w:szCs w:val="20"/>
          <w:color w:val="auto"/>
        </w:rPr>
      </w:pPr>
      <w:r>
        <w:rPr>
          <w:rFonts w:ascii="Arial" w:cs="Arial" w:eastAsia="Arial" w:hAnsi="Arial"/>
          <w:sz w:val="23"/>
          <w:szCs w:val="23"/>
          <w:b w:val="1"/>
          <w:bCs w:val="1"/>
          <w:color w:val="292F72"/>
        </w:rPr>
        <w:t>Fiscal 2025 Director Compensation</w:t>
      </w:r>
    </w:p>
    <w:p>
      <w:pPr>
        <w:spacing w:after="0" w:line="148" w:lineRule="exact"/>
        <w:rPr>
          <w:sz w:val="20"/>
          <w:szCs w:val="20"/>
          <w:color w:val="auto"/>
        </w:rPr>
      </w:pPr>
    </w:p>
    <w:p>
      <w:pPr>
        <w:ind w:right="120"/>
        <w:spacing w:after="0" w:line="254" w:lineRule="auto"/>
        <w:rPr>
          <w:sz w:val="20"/>
          <w:szCs w:val="20"/>
          <w:color w:val="auto"/>
        </w:rPr>
      </w:pPr>
      <w:r>
        <w:rPr>
          <w:rFonts w:ascii="Arial" w:cs="Arial" w:eastAsia="Arial" w:hAnsi="Arial"/>
          <w:sz w:val="16"/>
          <w:szCs w:val="16"/>
          <w:color w:val="auto"/>
        </w:rPr>
        <w:t>The HCC Committee’s independent compensation consultant conducts an annual comprehensive review of the Company’s non-employee director compensation program. This review includes benchmarking against the same peer company group used for executive compensation to ensure that director pay remains competitive and aligned with best practices.</w:t>
      </w:r>
    </w:p>
    <w:p>
      <w:pPr>
        <w:spacing w:after="0" w:line="137"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The following table sets forth compensation earned by the individuals who served as directors of the Company during fiscal 2025 (other than Mr. Heaf and Ms. Boswell, who, as a current and former Company associate, respectively, received no additional compensation for service on the Board).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3460" w:type="dxa"/>
            <w:vAlign w:val="bottom"/>
          </w:tcPr>
          <w:p>
            <w:pPr>
              <w:jc w:val="center"/>
              <w:ind w:left="2004"/>
              <w:spacing w:after="0"/>
              <w:rPr>
                <w:sz w:val="20"/>
                <w:szCs w:val="20"/>
                <w:color w:val="auto"/>
              </w:rPr>
            </w:pPr>
            <w:r>
              <w:rPr>
                <w:rFonts w:ascii="Arial" w:cs="Arial" w:eastAsia="Arial" w:hAnsi="Arial"/>
                <w:sz w:val="14"/>
                <w:szCs w:val="14"/>
                <w:b w:val="1"/>
                <w:bCs w:val="1"/>
                <w:color w:val="292F72"/>
                <w:w w:val="98"/>
              </w:rPr>
              <w:t>FEES EARNED</w:t>
            </w:r>
          </w:p>
        </w:tc>
        <w:tc>
          <w:tcPr>
            <w:tcW w:w="11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54"/>
        </w:trPr>
        <w:tc>
          <w:tcPr>
            <w:tcW w:w="3700" w:type="dxa"/>
            <w:vAlign w:val="bottom"/>
          </w:tcPr>
          <w:p>
            <w:pPr>
              <w:spacing w:after="0"/>
              <w:rPr>
                <w:sz w:val="13"/>
                <w:szCs w:val="13"/>
                <w:color w:val="auto"/>
              </w:rPr>
            </w:pPr>
          </w:p>
        </w:tc>
        <w:tc>
          <w:tcPr>
            <w:tcW w:w="3460" w:type="dxa"/>
            <w:vAlign w:val="bottom"/>
          </w:tcPr>
          <w:p>
            <w:pPr>
              <w:ind w:left="2280"/>
              <w:spacing w:after="0" w:line="154" w:lineRule="exact"/>
              <w:rPr>
                <w:sz w:val="20"/>
                <w:szCs w:val="20"/>
                <w:color w:val="auto"/>
              </w:rPr>
            </w:pPr>
            <w:r>
              <w:rPr>
                <w:rFonts w:ascii="Arial" w:cs="Arial" w:eastAsia="Arial" w:hAnsi="Arial"/>
                <w:sz w:val="14"/>
                <w:szCs w:val="14"/>
                <w:b w:val="1"/>
                <w:bCs w:val="1"/>
                <w:color w:val="292F72"/>
              </w:rPr>
              <w:t>OR PAID</w:t>
            </w:r>
          </w:p>
        </w:tc>
        <w:tc>
          <w:tcPr>
            <w:tcW w:w="1120" w:type="dxa"/>
            <w:vAlign w:val="bottom"/>
          </w:tcPr>
          <w:p>
            <w:pPr>
              <w:ind w:left="180"/>
              <w:spacing w:after="0" w:line="154" w:lineRule="exact"/>
              <w:rPr>
                <w:sz w:val="20"/>
                <w:szCs w:val="20"/>
                <w:color w:val="auto"/>
              </w:rPr>
            </w:pPr>
            <w:r>
              <w:rPr>
                <w:rFonts w:ascii="Arial" w:cs="Arial" w:eastAsia="Arial" w:hAnsi="Arial"/>
                <w:sz w:val="14"/>
                <w:szCs w:val="14"/>
                <w:b w:val="1"/>
                <w:bCs w:val="1"/>
                <w:color w:val="292F72"/>
              </w:rPr>
              <w:t>STOCK</w:t>
            </w:r>
          </w:p>
        </w:tc>
        <w:tc>
          <w:tcPr>
            <w:tcW w:w="760" w:type="dxa"/>
            <w:vAlign w:val="bottom"/>
          </w:tcPr>
          <w:p>
            <w:pPr>
              <w:spacing w:after="0"/>
              <w:rPr>
                <w:sz w:val="13"/>
                <w:szCs w:val="13"/>
                <w:color w:val="auto"/>
              </w:rPr>
            </w:pPr>
          </w:p>
        </w:tc>
      </w:tr>
      <w:tr>
        <w:trPr>
          <w:trHeight w:val="187"/>
        </w:trPr>
        <w:tc>
          <w:tcPr>
            <w:tcW w:w="3700" w:type="dxa"/>
            <w:vAlign w:val="bottom"/>
          </w:tcPr>
          <w:p>
            <w:pPr>
              <w:spacing w:after="0"/>
              <w:rPr>
                <w:sz w:val="16"/>
                <w:szCs w:val="16"/>
                <w:color w:val="auto"/>
              </w:rPr>
            </w:pPr>
          </w:p>
        </w:tc>
        <w:tc>
          <w:tcPr>
            <w:tcW w:w="3460" w:type="dxa"/>
            <w:vAlign w:val="bottom"/>
          </w:tcPr>
          <w:p>
            <w:pPr>
              <w:ind w:left="2280"/>
              <w:spacing w:after="0" w:line="187" w:lineRule="exact"/>
              <w:rPr>
                <w:sz w:val="20"/>
                <w:szCs w:val="20"/>
                <w:color w:val="auto"/>
              </w:rPr>
            </w:pPr>
            <w:r>
              <w:rPr>
                <w:rFonts w:ascii="Arial" w:cs="Arial" w:eastAsia="Arial" w:hAnsi="Arial"/>
                <w:sz w:val="13"/>
                <w:szCs w:val="13"/>
                <w:b w:val="1"/>
                <w:bCs w:val="1"/>
                <w:color w:val="292F72"/>
              </w:rPr>
              <w:t>IN CASH</w:t>
            </w:r>
            <w:r>
              <w:rPr>
                <w:rFonts w:ascii="Arial" w:cs="Arial" w:eastAsia="Arial" w:hAnsi="Arial"/>
                <w:sz w:val="21"/>
                <w:szCs w:val="21"/>
                <w:b w:val="1"/>
                <w:bCs w:val="1"/>
                <w:color w:val="292F72"/>
                <w:vertAlign w:val="superscript"/>
              </w:rPr>
              <w:t>(1)</w:t>
            </w:r>
          </w:p>
        </w:tc>
        <w:tc>
          <w:tcPr>
            <w:tcW w:w="1120" w:type="dxa"/>
            <w:vAlign w:val="bottom"/>
          </w:tcPr>
          <w:p>
            <w:pPr>
              <w:jc w:val="center"/>
              <w:spacing w:after="0" w:line="187" w:lineRule="exact"/>
              <w:rPr>
                <w:sz w:val="20"/>
                <w:szCs w:val="20"/>
                <w:color w:val="auto"/>
              </w:rPr>
            </w:pPr>
            <w:r>
              <w:rPr>
                <w:rFonts w:ascii="Arial" w:cs="Arial" w:eastAsia="Arial" w:hAnsi="Arial"/>
                <w:sz w:val="13"/>
                <w:szCs w:val="13"/>
                <w:b w:val="1"/>
                <w:bCs w:val="1"/>
                <w:color w:val="292F72"/>
              </w:rPr>
              <w:t>AWARDS</w:t>
            </w:r>
            <w:r>
              <w:rPr>
                <w:rFonts w:ascii="Arial" w:cs="Arial" w:eastAsia="Arial" w:hAnsi="Arial"/>
                <w:sz w:val="21"/>
                <w:szCs w:val="21"/>
                <w:b w:val="1"/>
                <w:bCs w:val="1"/>
                <w:color w:val="292F72"/>
                <w:vertAlign w:val="superscript"/>
              </w:rPr>
              <w:t>(2)</w:t>
            </w:r>
          </w:p>
        </w:tc>
        <w:tc>
          <w:tcPr>
            <w:tcW w:w="760" w:type="dxa"/>
            <w:vAlign w:val="bottom"/>
          </w:tcPr>
          <w:p>
            <w:pPr>
              <w:ind w:left="180"/>
              <w:spacing w:after="0"/>
              <w:rPr>
                <w:sz w:val="20"/>
                <w:szCs w:val="20"/>
                <w:color w:val="auto"/>
              </w:rPr>
            </w:pPr>
            <w:r>
              <w:rPr>
                <w:rFonts w:ascii="Arial" w:cs="Arial" w:eastAsia="Arial" w:hAnsi="Arial"/>
                <w:sz w:val="14"/>
                <w:szCs w:val="14"/>
                <w:b w:val="1"/>
                <w:bCs w:val="1"/>
                <w:color w:val="292F72"/>
              </w:rPr>
              <w:t>TOTAL</w:t>
            </w:r>
          </w:p>
        </w:tc>
      </w:tr>
      <w:tr>
        <w:trPr>
          <w:trHeight w:val="193"/>
        </w:trPr>
        <w:tc>
          <w:tcPr>
            <w:tcW w:w="3700" w:type="dxa"/>
            <w:vAlign w:val="bottom"/>
          </w:tcPr>
          <w:p>
            <w:pPr>
              <w:spacing w:after="0"/>
              <w:rPr>
                <w:sz w:val="16"/>
                <w:szCs w:val="16"/>
                <w:color w:val="auto"/>
              </w:rPr>
            </w:pPr>
          </w:p>
        </w:tc>
        <w:tc>
          <w:tcPr>
            <w:tcW w:w="3460" w:type="dxa"/>
            <w:vAlign w:val="bottom"/>
          </w:tcPr>
          <w:p>
            <w:pPr>
              <w:jc w:val="center"/>
              <w:ind w:left="2004"/>
              <w:spacing w:after="0"/>
              <w:rPr>
                <w:sz w:val="20"/>
                <w:szCs w:val="20"/>
                <w:color w:val="auto"/>
              </w:rPr>
            </w:pPr>
            <w:r>
              <w:rPr>
                <w:rFonts w:ascii="Arial" w:cs="Arial" w:eastAsia="Arial" w:hAnsi="Arial"/>
                <w:sz w:val="14"/>
                <w:szCs w:val="14"/>
                <w:b w:val="1"/>
                <w:bCs w:val="1"/>
                <w:color w:val="292F72"/>
              </w:rPr>
              <w:t>($)</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292F72"/>
                <w:w w:val="93"/>
              </w:rPr>
              <w:t>($)</w:t>
            </w:r>
          </w:p>
        </w:tc>
        <w:tc>
          <w:tcPr>
            <w:tcW w:w="760" w:type="dxa"/>
            <w:vAlign w:val="bottom"/>
          </w:tcPr>
          <w:p>
            <w:pPr>
              <w:ind w:left="360"/>
              <w:spacing w:after="0"/>
              <w:rPr>
                <w:sz w:val="20"/>
                <w:szCs w:val="20"/>
                <w:color w:val="auto"/>
              </w:rPr>
            </w:pPr>
            <w:r>
              <w:rPr>
                <w:rFonts w:ascii="Arial" w:cs="Arial" w:eastAsia="Arial" w:hAnsi="Arial"/>
                <w:sz w:val="14"/>
                <w:szCs w:val="14"/>
                <w:b w:val="1"/>
                <w:bCs w:val="1"/>
                <w:color w:val="292F72"/>
              </w:rPr>
              <w:t>($)</w:t>
            </w:r>
          </w:p>
        </w:tc>
      </w:tr>
      <w:tr>
        <w:trPr>
          <w:trHeight w:val="40"/>
        </w:trPr>
        <w:tc>
          <w:tcPr>
            <w:tcW w:w="3700" w:type="dxa"/>
            <w:vAlign w:val="bottom"/>
            <w:tcBorders>
              <w:bottom w:val="single" w:sz="8" w:color="292F72"/>
            </w:tcBorders>
          </w:tcPr>
          <w:p>
            <w:pPr>
              <w:spacing w:after="0"/>
              <w:rPr>
                <w:sz w:val="3"/>
                <w:szCs w:val="3"/>
                <w:color w:val="auto"/>
              </w:rPr>
            </w:pPr>
          </w:p>
        </w:tc>
        <w:tc>
          <w:tcPr>
            <w:tcW w:w="3460" w:type="dxa"/>
            <w:vAlign w:val="bottom"/>
            <w:tcBorders>
              <w:bottom w:val="single" w:sz="8" w:color="292F72"/>
            </w:tcBorders>
          </w:tcPr>
          <w:p>
            <w:pPr>
              <w:spacing w:after="0"/>
              <w:rPr>
                <w:sz w:val="3"/>
                <w:szCs w:val="3"/>
                <w:color w:val="auto"/>
              </w:rPr>
            </w:pPr>
          </w:p>
        </w:tc>
        <w:tc>
          <w:tcPr>
            <w:tcW w:w="1120" w:type="dxa"/>
            <w:vAlign w:val="bottom"/>
            <w:tcBorders>
              <w:bottom w:val="single" w:sz="8" w:color="292F72"/>
            </w:tcBorders>
          </w:tcPr>
          <w:p>
            <w:pPr>
              <w:spacing w:after="0"/>
              <w:rPr>
                <w:sz w:val="3"/>
                <w:szCs w:val="3"/>
                <w:color w:val="auto"/>
              </w:rPr>
            </w:pPr>
          </w:p>
        </w:tc>
        <w:tc>
          <w:tcPr>
            <w:tcW w:w="760" w:type="dxa"/>
            <w:vAlign w:val="bottom"/>
            <w:tcBorders>
              <w:bottom w:val="single" w:sz="8" w:color="292F72"/>
            </w:tcBorders>
          </w:tcPr>
          <w:p>
            <w:pPr>
              <w:spacing w:after="0"/>
              <w:rPr>
                <w:sz w:val="3"/>
                <w:szCs w:val="3"/>
                <w:color w:val="auto"/>
              </w:rPr>
            </w:pPr>
          </w:p>
        </w:tc>
      </w:tr>
      <w:tr>
        <w:trPr>
          <w:trHeight w:val="253"/>
        </w:trPr>
        <w:tc>
          <w:tcPr>
            <w:tcW w:w="3700" w:type="dxa"/>
            <w:vAlign w:val="bottom"/>
          </w:tcPr>
          <w:p>
            <w:pPr>
              <w:spacing w:after="0"/>
              <w:rPr>
                <w:sz w:val="20"/>
                <w:szCs w:val="20"/>
                <w:color w:val="auto"/>
              </w:rPr>
            </w:pPr>
            <w:r>
              <w:rPr>
                <w:rFonts w:ascii="Arial" w:cs="Arial" w:eastAsia="Arial" w:hAnsi="Arial"/>
                <w:sz w:val="16"/>
                <w:szCs w:val="16"/>
                <w:color w:val="auto"/>
              </w:rPr>
              <w:t>Bogliolo, Alessandro</w:t>
            </w:r>
          </w:p>
        </w:tc>
        <w:tc>
          <w:tcPr>
            <w:tcW w:w="3460" w:type="dxa"/>
            <w:vAlign w:val="bottom"/>
          </w:tcPr>
          <w:p>
            <w:pPr>
              <w:jc w:val="center"/>
              <w:ind w:left="1964"/>
              <w:spacing w:after="0"/>
              <w:rPr>
                <w:sz w:val="20"/>
                <w:szCs w:val="20"/>
                <w:color w:val="auto"/>
              </w:rPr>
            </w:pPr>
            <w:r>
              <w:rPr>
                <w:rFonts w:ascii="Arial" w:cs="Arial" w:eastAsia="Arial" w:hAnsi="Arial"/>
                <w:sz w:val="16"/>
                <w:szCs w:val="16"/>
                <w:color w:val="auto"/>
              </w:rPr>
              <w:t>165,000​</w:t>
            </w:r>
          </w:p>
        </w:tc>
        <w:tc>
          <w:tcPr>
            <w:tcW w:w="1120" w:type="dxa"/>
            <w:vAlign w:val="bottom"/>
          </w:tcPr>
          <w:p>
            <w:pPr>
              <w:jc w:val="center"/>
              <w:spacing w:after="0"/>
              <w:rPr>
                <w:sz w:val="20"/>
                <w:szCs w:val="20"/>
                <w:color w:val="auto"/>
              </w:rPr>
            </w:pPr>
            <w:r>
              <w:rPr>
                <w:rFonts w:ascii="Arial" w:cs="Arial" w:eastAsia="Arial" w:hAnsi="Arial"/>
                <w:sz w:val="16"/>
                <w:szCs w:val="16"/>
                <w:color w:val="auto"/>
                <w:w w:val="96"/>
              </w:rPr>
              <w:t>141,025​</w:t>
            </w:r>
          </w:p>
        </w:tc>
        <w:tc>
          <w:tcPr>
            <w:tcW w:w="760" w:type="dxa"/>
            <w:vAlign w:val="bottom"/>
          </w:tcPr>
          <w:p>
            <w:pPr>
              <w:ind w:left="180"/>
              <w:spacing w:after="0"/>
              <w:rPr>
                <w:sz w:val="20"/>
                <w:szCs w:val="20"/>
                <w:color w:val="auto"/>
              </w:rPr>
            </w:pPr>
            <w:r>
              <w:rPr>
                <w:rFonts w:ascii="Arial" w:cs="Arial" w:eastAsia="Arial" w:hAnsi="Arial"/>
                <w:sz w:val="16"/>
                <w:szCs w:val="16"/>
                <w:color w:val="auto"/>
                <w:w w:val="96"/>
              </w:rPr>
              <w:t>306,025​</w:t>
            </w:r>
          </w:p>
        </w:tc>
      </w:tr>
      <w:tr>
        <w:trPr>
          <w:trHeight w:val="55"/>
        </w:trPr>
        <w:tc>
          <w:tcPr>
            <w:tcW w:w="3700" w:type="dxa"/>
            <w:vAlign w:val="bottom"/>
            <w:tcBorders>
              <w:bottom w:val="single" w:sz="8" w:color="6D8CC3"/>
            </w:tcBorders>
          </w:tcPr>
          <w:p>
            <w:pPr>
              <w:spacing w:after="0"/>
              <w:rPr>
                <w:sz w:val="4"/>
                <w:szCs w:val="4"/>
                <w:color w:val="auto"/>
              </w:rPr>
            </w:pPr>
          </w:p>
        </w:tc>
        <w:tc>
          <w:tcPr>
            <w:tcW w:w="3460" w:type="dxa"/>
            <w:vAlign w:val="bottom"/>
            <w:tcBorders>
              <w:bottom w:val="single" w:sz="8" w:color="6D8CC3"/>
            </w:tcBorders>
          </w:tcPr>
          <w:p>
            <w:pPr>
              <w:spacing w:after="0"/>
              <w:rPr>
                <w:sz w:val="4"/>
                <w:szCs w:val="4"/>
                <w:color w:val="auto"/>
              </w:rPr>
            </w:pPr>
          </w:p>
        </w:tc>
        <w:tc>
          <w:tcPr>
            <w:tcW w:w="1120" w:type="dxa"/>
            <w:vAlign w:val="bottom"/>
            <w:tcBorders>
              <w:bottom w:val="single" w:sz="8" w:color="6D8CC3"/>
            </w:tcBorders>
          </w:tcPr>
          <w:p>
            <w:pPr>
              <w:spacing w:after="0"/>
              <w:rPr>
                <w:sz w:val="4"/>
                <w:szCs w:val="4"/>
                <w:color w:val="auto"/>
              </w:rPr>
            </w:pPr>
          </w:p>
        </w:tc>
        <w:tc>
          <w:tcPr>
            <w:tcW w:w="760" w:type="dxa"/>
            <w:vAlign w:val="bottom"/>
            <w:tcBorders>
              <w:bottom w:val="single" w:sz="8" w:color="6D8CC3"/>
            </w:tcBorders>
          </w:tcPr>
          <w:p>
            <w:pPr>
              <w:spacing w:after="0"/>
              <w:rPr>
                <w:sz w:val="4"/>
                <w:szCs w:val="4"/>
                <w:color w:val="auto"/>
              </w:rPr>
            </w:pPr>
          </w:p>
        </w:tc>
      </w:tr>
      <w:tr>
        <w:trPr>
          <w:trHeight w:val="240"/>
        </w:trPr>
        <w:tc>
          <w:tcPr>
            <w:tcW w:w="3700" w:type="dxa"/>
            <w:vAlign w:val="bottom"/>
          </w:tcPr>
          <w:p>
            <w:pPr>
              <w:spacing w:after="0"/>
              <w:rPr>
                <w:sz w:val="20"/>
                <w:szCs w:val="20"/>
                <w:color w:val="auto"/>
              </w:rPr>
            </w:pPr>
            <w:r>
              <w:rPr>
                <w:rFonts w:ascii="Arial" w:cs="Arial" w:eastAsia="Arial" w:hAnsi="Arial"/>
                <w:sz w:val="16"/>
                <w:szCs w:val="16"/>
                <w:color w:val="auto"/>
              </w:rPr>
              <w:t>Brady, Lucy</w:t>
            </w:r>
          </w:p>
        </w:tc>
        <w:tc>
          <w:tcPr>
            <w:tcW w:w="3460" w:type="dxa"/>
            <w:vAlign w:val="bottom"/>
          </w:tcPr>
          <w:p>
            <w:pPr>
              <w:jc w:val="center"/>
              <w:ind w:left="1964"/>
              <w:spacing w:after="0"/>
              <w:rPr>
                <w:sz w:val="20"/>
                <w:szCs w:val="20"/>
                <w:color w:val="auto"/>
              </w:rPr>
            </w:pPr>
            <w:r>
              <w:rPr>
                <w:rFonts w:ascii="Arial" w:cs="Arial" w:eastAsia="Arial" w:hAnsi="Arial"/>
                <w:sz w:val="16"/>
                <w:szCs w:val="16"/>
                <w:color w:val="auto"/>
              </w:rPr>
              <w:t>145,000​</w:t>
            </w:r>
          </w:p>
        </w:tc>
        <w:tc>
          <w:tcPr>
            <w:tcW w:w="1120" w:type="dxa"/>
            <w:vAlign w:val="bottom"/>
          </w:tcPr>
          <w:p>
            <w:pPr>
              <w:jc w:val="center"/>
              <w:spacing w:after="0"/>
              <w:rPr>
                <w:sz w:val="20"/>
                <w:szCs w:val="20"/>
                <w:color w:val="auto"/>
              </w:rPr>
            </w:pPr>
            <w:r>
              <w:rPr>
                <w:rFonts w:ascii="Arial" w:cs="Arial" w:eastAsia="Arial" w:hAnsi="Arial"/>
                <w:sz w:val="16"/>
                <w:szCs w:val="16"/>
                <w:color w:val="auto"/>
                <w:w w:val="96"/>
              </w:rPr>
              <w:t>141,025​</w:t>
            </w:r>
          </w:p>
        </w:tc>
        <w:tc>
          <w:tcPr>
            <w:tcW w:w="760" w:type="dxa"/>
            <w:vAlign w:val="bottom"/>
          </w:tcPr>
          <w:p>
            <w:pPr>
              <w:ind w:left="180"/>
              <w:spacing w:after="0"/>
              <w:rPr>
                <w:sz w:val="20"/>
                <w:szCs w:val="20"/>
                <w:color w:val="auto"/>
              </w:rPr>
            </w:pPr>
            <w:r>
              <w:rPr>
                <w:rFonts w:ascii="Arial" w:cs="Arial" w:eastAsia="Arial" w:hAnsi="Arial"/>
                <w:sz w:val="16"/>
                <w:szCs w:val="16"/>
                <w:color w:val="auto"/>
                <w:w w:val="96"/>
              </w:rPr>
              <w:t>286,025​</w:t>
            </w:r>
          </w:p>
        </w:tc>
      </w:tr>
      <w:tr>
        <w:trPr>
          <w:trHeight w:val="55"/>
        </w:trPr>
        <w:tc>
          <w:tcPr>
            <w:tcW w:w="3700" w:type="dxa"/>
            <w:vAlign w:val="bottom"/>
            <w:tcBorders>
              <w:bottom w:val="single" w:sz="8" w:color="6D8CC3"/>
            </w:tcBorders>
          </w:tcPr>
          <w:p>
            <w:pPr>
              <w:spacing w:after="0"/>
              <w:rPr>
                <w:sz w:val="4"/>
                <w:szCs w:val="4"/>
                <w:color w:val="auto"/>
              </w:rPr>
            </w:pPr>
          </w:p>
        </w:tc>
        <w:tc>
          <w:tcPr>
            <w:tcW w:w="3460" w:type="dxa"/>
            <w:vAlign w:val="bottom"/>
            <w:tcBorders>
              <w:bottom w:val="single" w:sz="8" w:color="6D8CC3"/>
            </w:tcBorders>
          </w:tcPr>
          <w:p>
            <w:pPr>
              <w:spacing w:after="0"/>
              <w:rPr>
                <w:sz w:val="4"/>
                <w:szCs w:val="4"/>
                <w:color w:val="auto"/>
              </w:rPr>
            </w:pPr>
          </w:p>
        </w:tc>
        <w:tc>
          <w:tcPr>
            <w:tcW w:w="1120" w:type="dxa"/>
            <w:vAlign w:val="bottom"/>
            <w:tcBorders>
              <w:bottom w:val="single" w:sz="8" w:color="6D8CC3"/>
            </w:tcBorders>
          </w:tcPr>
          <w:p>
            <w:pPr>
              <w:spacing w:after="0"/>
              <w:rPr>
                <w:sz w:val="4"/>
                <w:szCs w:val="4"/>
                <w:color w:val="auto"/>
              </w:rPr>
            </w:pPr>
          </w:p>
        </w:tc>
        <w:tc>
          <w:tcPr>
            <w:tcW w:w="760" w:type="dxa"/>
            <w:vAlign w:val="bottom"/>
            <w:tcBorders>
              <w:bottom w:val="single" w:sz="8" w:color="6D8CC3"/>
            </w:tcBorders>
          </w:tcPr>
          <w:p>
            <w:pPr>
              <w:spacing w:after="0"/>
              <w:rPr>
                <w:sz w:val="4"/>
                <w:szCs w:val="4"/>
                <w:color w:val="auto"/>
              </w:rPr>
            </w:pPr>
          </w:p>
        </w:tc>
      </w:tr>
      <w:tr>
        <w:trPr>
          <w:trHeight w:val="240"/>
        </w:trPr>
        <w:tc>
          <w:tcPr>
            <w:tcW w:w="3700" w:type="dxa"/>
            <w:vAlign w:val="bottom"/>
          </w:tcPr>
          <w:p>
            <w:pPr>
              <w:spacing w:after="0"/>
              <w:rPr>
                <w:sz w:val="20"/>
                <w:szCs w:val="20"/>
                <w:color w:val="auto"/>
              </w:rPr>
            </w:pPr>
            <w:r>
              <w:rPr>
                <w:rFonts w:ascii="Arial" w:cs="Arial" w:eastAsia="Arial" w:hAnsi="Arial"/>
                <w:sz w:val="16"/>
                <w:szCs w:val="16"/>
                <w:color w:val="auto"/>
              </w:rPr>
              <w:t>Hondal, Francis</w:t>
            </w:r>
          </w:p>
        </w:tc>
        <w:tc>
          <w:tcPr>
            <w:tcW w:w="3460" w:type="dxa"/>
            <w:vAlign w:val="bottom"/>
          </w:tcPr>
          <w:p>
            <w:pPr>
              <w:jc w:val="center"/>
              <w:ind w:left="1964"/>
              <w:spacing w:after="0"/>
              <w:rPr>
                <w:sz w:val="20"/>
                <w:szCs w:val="20"/>
                <w:color w:val="auto"/>
              </w:rPr>
            </w:pPr>
            <w:r>
              <w:rPr>
                <w:rFonts w:ascii="Arial" w:cs="Arial" w:eastAsia="Arial" w:hAnsi="Arial"/>
                <w:sz w:val="16"/>
                <w:szCs w:val="16"/>
                <w:color w:val="auto"/>
              </w:rPr>
              <w:t>175,000​</w:t>
            </w:r>
          </w:p>
        </w:tc>
        <w:tc>
          <w:tcPr>
            <w:tcW w:w="1120" w:type="dxa"/>
            <w:vAlign w:val="bottom"/>
          </w:tcPr>
          <w:p>
            <w:pPr>
              <w:jc w:val="center"/>
              <w:spacing w:after="0"/>
              <w:rPr>
                <w:sz w:val="20"/>
                <w:szCs w:val="20"/>
                <w:color w:val="auto"/>
              </w:rPr>
            </w:pPr>
            <w:r>
              <w:rPr>
                <w:rFonts w:ascii="Arial" w:cs="Arial" w:eastAsia="Arial" w:hAnsi="Arial"/>
                <w:sz w:val="16"/>
                <w:szCs w:val="16"/>
                <w:color w:val="auto"/>
                <w:w w:val="96"/>
              </w:rPr>
              <w:t>141,025​</w:t>
            </w:r>
          </w:p>
        </w:tc>
        <w:tc>
          <w:tcPr>
            <w:tcW w:w="760" w:type="dxa"/>
            <w:vAlign w:val="bottom"/>
          </w:tcPr>
          <w:p>
            <w:pPr>
              <w:ind w:left="180"/>
              <w:spacing w:after="0"/>
              <w:rPr>
                <w:sz w:val="20"/>
                <w:szCs w:val="20"/>
                <w:color w:val="auto"/>
              </w:rPr>
            </w:pPr>
            <w:r>
              <w:rPr>
                <w:rFonts w:ascii="Arial" w:cs="Arial" w:eastAsia="Arial" w:hAnsi="Arial"/>
                <w:sz w:val="16"/>
                <w:szCs w:val="16"/>
                <w:color w:val="auto"/>
                <w:w w:val="96"/>
              </w:rPr>
              <w:t>316,025​</w:t>
            </w:r>
          </w:p>
        </w:tc>
      </w:tr>
      <w:tr>
        <w:trPr>
          <w:trHeight w:val="55"/>
        </w:trPr>
        <w:tc>
          <w:tcPr>
            <w:tcW w:w="3700" w:type="dxa"/>
            <w:vAlign w:val="bottom"/>
            <w:tcBorders>
              <w:bottom w:val="single" w:sz="8" w:color="6D8CC3"/>
            </w:tcBorders>
          </w:tcPr>
          <w:p>
            <w:pPr>
              <w:spacing w:after="0"/>
              <w:rPr>
                <w:sz w:val="4"/>
                <w:szCs w:val="4"/>
                <w:color w:val="auto"/>
              </w:rPr>
            </w:pPr>
          </w:p>
        </w:tc>
        <w:tc>
          <w:tcPr>
            <w:tcW w:w="3460" w:type="dxa"/>
            <w:vAlign w:val="bottom"/>
            <w:tcBorders>
              <w:bottom w:val="single" w:sz="8" w:color="6D8CC3"/>
            </w:tcBorders>
          </w:tcPr>
          <w:p>
            <w:pPr>
              <w:spacing w:after="0"/>
              <w:rPr>
                <w:sz w:val="4"/>
                <w:szCs w:val="4"/>
                <w:color w:val="auto"/>
              </w:rPr>
            </w:pPr>
          </w:p>
        </w:tc>
        <w:tc>
          <w:tcPr>
            <w:tcW w:w="1120" w:type="dxa"/>
            <w:vAlign w:val="bottom"/>
            <w:tcBorders>
              <w:bottom w:val="single" w:sz="8" w:color="6D8CC3"/>
            </w:tcBorders>
          </w:tcPr>
          <w:p>
            <w:pPr>
              <w:spacing w:after="0"/>
              <w:rPr>
                <w:sz w:val="4"/>
                <w:szCs w:val="4"/>
                <w:color w:val="auto"/>
              </w:rPr>
            </w:pPr>
          </w:p>
        </w:tc>
        <w:tc>
          <w:tcPr>
            <w:tcW w:w="760" w:type="dxa"/>
            <w:vAlign w:val="bottom"/>
            <w:tcBorders>
              <w:bottom w:val="single" w:sz="8" w:color="6D8CC3"/>
            </w:tcBorders>
          </w:tcPr>
          <w:p>
            <w:pPr>
              <w:spacing w:after="0"/>
              <w:rPr>
                <w:sz w:val="4"/>
                <w:szCs w:val="4"/>
                <w:color w:val="auto"/>
              </w:rPr>
            </w:pPr>
          </w:p>
        </w:tc>
      </w:tr>
      <w:tr>
        <w:trPr>
          <w:trHeight w:val="240"/>
        </w:trPr>
        <w:tc>
          <w:tcPr>
            <w:tcW w:w="3700" w:type="dxa"/>
            <w:vAlign w:val="bottom"/>
          </w:tcPr>
          <w:p>
            <w:pPr>
              <w:spacing w:after="0"/>
              <w:rPr>
                <w:sz w:val="20"/>
                <w:szCs w:val="20"/>
                <w:color w:val="auto"/>
              </w:rPr>
            </w:pPr>
            <w:r>
              <w:rPr>
                <w:rFonts w:ascii="Arial" w:cs="Arial" w:eastAsia="Arial" w:hAnsi="Arial"/>
                <w:sz w:val="16"/>
                <w:szCs w:val="16"/>
                <w:color w:val="auto"/>
              </w:rPr>
              <w:t>Lee, Danielle</w:t>
            </w:r>
          </w:p>
        </w:tc>
        <w:tc>
          <w:tcPr>
            <w:tcW w:w="3460" w:type="dxa"/>
            <w:vAlign w:val="bottom"/>
          </w:tcPr>
          <w:p>
            <w:pPr>
              <w:jc w:val="center"/>
              <w:ind w:left="1964"/>
              <w:spacing w:after="0"/>
              <w:rPr>
                <w:sz w:val="20"/>
                <w:szCs w:val="20"/>
                <w:color w:val="auto"/>
              </w:rPr>
            </w:pPr>
            <w:r>
              <w:rPr>
                <w:rFonts w:ascii="Arial" w:cs="Arial" w:eastAsia="Arial" w:hAnsi="Arial"/>
                <w:sz w:val="16"/>
                <w:szCs w:val="16"/>
                <w:color w:val="auto"/>
              </w:rPr>
              <w:t>145,000​</w:t>
            </w:r>
          </w:p>
        </w:tc>
        <w:tc>
          <w:tcPr>
            <w:tcW w:w="1120" w:type="dxa"/>
            <w:vAlign w:val="bottom"/>
          </w:tcPr>
          <w:p>
            <w:pPr>
              <w:jc w:val="center"/>
              <w:spacing w:after="0"/>
              <w:rPr>
                <w:sz w:val="20"/>
                <w:szCs w:val="20"/>
                <w:color w:val="auto"/>
              </w:rPr>
            </w:pPr>
            <w:r>
              <w:rPr>
                <w:rFonts w:ascii="Arial" w:cs="Arial" w:eastAsia="Arial" w:hAnsi="Arial"/>
                <w:sz w:val="16"/>
                <w:szCs w:val="16"/>
                <w:color w:val="auto"/>
                <w:w w:val="96"/>
              </w:rPr>
              <w:t>141,025​</w:t>
            </w:r>
          </w:p>
        </w:tc>
        <w:tc>
          <w:tcPr>
            <w:tcW w:w="760" w:type="dxa"/>
            <w:vAlign w:val="bottom"/>
          </w:tcPr>
          <w:p>
            <w:pPr>
              <w:ind w:left="180"/>
              <w:spacing w:after="0"/>
              <w:rPr>
                <w:sz w:val="20"/>
                <w:szCs w:val="20"/>
                <w:color w:val="auto"/>
              </w:rPr>
            </w:pPr>
            <w:r>
              <w:rPr>
                <w:rFonts w:ascii="Arial" w:cs="Arial" w:eastAsia="Arial" w:hAnsi="Arial"/>
                <w:sz w:val="16"/>
                <w:szCs w:val="16"/>
                <w:color w:val="auto"/>
                <w:w w:val="96"/>
              </w:rPr>
              <w:t>286,025​</w:t>
            </w:r>
          </w:p>
        </w:tc>
      </w:tr>
      <w:tr>
        <w:trPr>
          <w:trHeight w:val="55"/>
        </w:trPr>
        <w:tc>
          <w:tcPr>
            <w:tcW w:w="3700" w:type="dxa"/>
            <w:vAlign w:val="bottom"/>
            <w:tcBorders>
              <w:bottom w:val="single" w:sz="8" w:color="6D8CC3"/>
            </w:tcBorders>
          </w:tcPr>
          <w:p>
            <w:pPr>
              <w:spacing w:after="0"/>
              <w:rPr>
                <w:sz w:val="4"/>
                <w:szCs w:val="4"/>
                <w:color w:val="auto"/>
              </w:rPr>
            </w:pPr>
          </w:p>
        </w:tc>
        <w:tc>
          <w:tcPr>
            <w:tcW w:w="3460" w:type="dxa"/>
            <w:vAlign w:val="bottom"/>
            <w:tcBorders>
              <w:bottom w:val="single" w:sz="8" w:color="6D8CC3"/>
            </w:tcBorders>
          </w:tcPr>
          <w:p>
            <w:pPr>
              <w:spacing w:after="0"/>
              <w:rPr>
                <w:sz w:val="4"/>
                <w:szCs w:val="4"/>
                <w:color w:val="auto"/>
              </w:rPr>
            </w:pPr>
          </w:p>
        </w:tc>
        <w:tc>
          <w:tcPr>
            <w:tcW w:w="1120" w:type="dxa"/>
            <w:vAlign w:val="bottom"/>
            <w:tcBorders>
              <w:bottom w:val="single" w:sz="8" w:color="6D8CC3"/>
            </w:tcBorders>
          </w:tcPr>
          <w:p>
            <w:pPr>
              <w:spacing w:after="0"/>
              <w:rPr>
                <w:sz w:val="4"/>
                <w:szCs w:val="4"/>
                <w:color w:val="auto"/>
              </w:rPr>
            </w:pPr>
          </w:p>
        </w:tc>
        <w:tc>
          <w:tcPr>
            <w:tcW w:w="760" w:type="dxa"/>
            <w:vAlign w:val="bottom"/>
            <w:tcBorders>
              <w:bottom w:val="single" w:sz="8" w:color="6D8CC3"/>
            </w:tcBorders>
          </w:tcPr>
          <w:p>
            <w:pPr>
              <w:spacing w:after="0"/>
              <w:rPr>
                <w:sz w:val="4"/>
                <w:szCs w:val="4"/>
                <w:color w:val="auto"/>
              </w:rPr>
            </w:pPr>
          </w:p>
        </w:tc>
      </w:tr>
      <w:tr>
        <w:trPr>
          <w:trHeight w:val="240"/>
        </w:trPr>
        <w:tc>
          <w:tcPr>
            <w:tcW w:w="3700" w:type="dxa"/>
            <w:vAlign w:val="bottom"/>
          </w:tcPr>
          <w:p>
            <w:pPr>
              <w:spacing w:after="0"/>
              <w:rPr>
                <w:sz w:val="20"/>
                <w:szCs w:val="20"/>
                <w:color w:val="auto"/>
              </w:rPr>
            </w:pPr>
            <w:r>
              <w:rPr>
                <w:rFonts w:ascii="Arial" w:cs="Arial" w:eastAsia="Arial" w:hAnsi="Arial"/>
                <w:sz w:val="16"/>
                <w:szCs w:val="16"/>
                <w:color w:val="auto"/>
              </w:rPr>
              <w:t>Nash, Sarah</w:t>
            </w:r>
          </w:p>
        </w:tc>
        <w:tc>
          <w:tcPr>
            <w:tcW w:w="3460" w:type="dxa"/>
            <w:vAlign w:val="bottom"/>
          </w:tcPr>
          <w:p>
            <w:pPr>
              <w:jc w:val="center"/>
              <w:ind w:left="1964"/>
              <w:spacing w:after="0"/>
              <w:rPr>
                <w:sz w:val="20"/>
                <w:szCs w:val="20"/>
                <w:color w:val="auto"/>
              </w:rPr>
            </w:pPr>
            <w:r>
              <w:rPr>
                <w:rFonts w:ascii="Arial" w:cs="Arial" w:eastAsia="Arial" w:hAnsi="Arial"/>
                <w:sz w:val="16"/>
                <w:szCs w:val="16"/>
                <w:color w:val="auto"/>
              </w:rPr>
              <w:t>250,000​</w:t>
            </w:r>
          </w:p>
        </w:tc>
        <w:tc>
          <w:tcPr>
            <w:tcW w:w="1120" w:type="dxa"/>
            <w:vAlign w:val="bottom"/>
          </w:tcPr>
          <w:p>
            <w:pPr>
              <w:jc w:val="center"/>
              <w:spacing w:after="0"/>
              <w:rPr>
                <w:sz w:val="20"/>
                <w:szCs w:val="20"/>
                <w:color w:val="auto"/>
              </w:rPr>
            </w:pPr>
            <w:r>
              <w:rPr>
                <w:rFonts w:ascii="Arial" w:cs="Arial" w:eastAsia="Arial" w:hAnsi="Arial"/>
                <w:sz w:val="16"/>
                <w:szCs w:val="16"/>
                <w:color w:val="auto"/>
                <w:w w:val="96"/>
              </w:rPr>
              <w:t>235,050​</w:t>
            </w:r>
          </w:p>
        </w:tc>
        <w:tc>
          <w:tcPr>
            <w:tcW w:w="760" w:type="dxa"/>
            <w:vAlign w:val="bottom"/>
          </w:tcPr>
          <w:p>
            <w:pPr>
              <w:ind w:left="180"/>
              <w:spacing w:after="0"/>
              <w:rPr>
                <w:sz w:val="20"/>
                <w:szCs w:val="20"/>
                <w:color w:val="auto"/>
              </w:rPr>
            </w:pPr>
            <w:r>
              <w:rPr>
                <w:rFonts w:ascii="Arial" w:cs="Arial" w:eastAsia="Arial" w:hAnsi="Arial"/>
                <w:sz w:val="16"/>
                <w:szCs w:val="16"/>
                <w:color w:val="auto"/>
                <w:w w:val="96"/>
              </w:rPr>
              <w:t>485,050​</w:t>
            </w:r>
          </w:p>
        </w:tc>
      </w:tr>
      <w:tr>
        <w:trPr>
          <w:trHeight w:val="55"/>
        </w:trPr>
        <w:tc>
          <w:tcPr>
            <w:tcW w:w="3700" w:type="dxa"/>
            <w:vAlign w:val="bottom"/>
            <w:tcBorders>
              <w:bottom w:val="single" w:sz="8" w:color="6D8CC3"/>
            </w:tcBorders>
          </w:tcPr>
          <w:p>
            <w:pPr>
              <w:spacing w:after="0"/>
              <w:rPr>
                <w:sz w:val="4"/>
                <w:szCs w:val="4"/>
                <w:color w:val="auto"/>
              </w:rPr>
            </w:pPr>
          </w:p>
        </w:tc>
        <w:tc>
          <w:tcPr>
            <w:tcW w:w="3460" w:type="dxa"/>
            <w:vAlign w:val="bottom"/>
            <w:tcBorders>
              <w:bottom w:val="single" w:sz="8" w:color="6D8CC3"/>
            </w:tcBorders>
          </w:tcPr>
          <w:p>
            <w:pPr>
              <w:spacing w:after="0"/>
              <w:rPr>
                <w:sz w:val="4"/>
                <w:szCs w:val="4"/>
                <w:color w:val="auto"/>
              </w:rPr>
            </w:pPr>
          </w:p>
        </w:tc>
        <w:tc>
          <w:tcPr>
            <w:tcW w:w="1120" w:type="dxa"/>
            <w:vAlign w:val="bottom"/>
            <w:tcBorders>
              <w:bottom w:val="single" w:sz="8" w:color="6D8CC3"/>
            </w:tcBorders>
          </w:tcPr>
          <w:p>
            <w:pPr>
              <w:spacing w:after="0"/>
              <w:rPr>
                <w:sz w:val="4"/>
                <w:szCs w:val="4"/>
                <w:color w:val="auto"/>
              </w:rPr>
            </w:pPr>
          </w:p>
        </w:tc>
        <w:tc>
          <w:tcPr>
            <w:tcW w:w="760" w:type="dxa"/>
            <w:vAlign w:val="bottom"/>
            <w:tcBorders>
              <w:bottom w:val="single" w:sz="8" w:color="6D8CC3"/>
            </w:tcBorders>
          </w:tcPr>
          <w:p>
            <w:pPr>
              <w:spacing w:after="0"/>
              <w:rPr>
                <w:sz w:val="4"/>
                <w:szCs w:val="4"/>
                <w:color w:val="auto"/>
              </w:rPr>
            </w:pPr>
          </w:p>
        </w:tc>
      </w:tr>
      <w:tr>
        <w:trPr>
          <w:trHeight w:val="240"/>
        </w:trPr>
        <w:tc>
          <w:tcPr>
            <w:tcW w:w="3700" w:type="dxa"/>
            <w:vAlign w:val="bottom"/>
          </w:tcPr>
          <w:p>
            <w:pPr>
              <w:spacing w:after="0"/>
              <w:rPr>
                <w:sz w:val="20"/>
                <w:szCs w:val="20"/>
                <w:color w:val="auto"/>
              </w:rPr>
            </w:pPr>
            <w:r>
              <w:rPr>
                <w:rFonts w:ascii="Arial" w:cs="Arial" w:eastAsia="Arial" w:hAnsi="Arial"/>
                <w:sz w:val="16"/>
                <w:szCs w:val="16"/>
                <w:color w:val="auto"/>
              </w:rPr>
              <w:t>Rajlin, Juan</w:t>
            </w:r>
          </w:p>
        </w:tc>
        <w:tc>
          <w:tcPr>
            <w:tcW w:w="3460" w:type="dxa"/>
            <w:vAlign w:val="bottom"/>
          </w:tcPr>
          <w:p>
            <w:pPr>
              <w:jc w:val="center"/>
              <w:ind w:left="1964"/>
              <w:spacing w:after="0"/>
              <w:rPr>
                <w:sz w:val="20"/>
                <w:szCs w:val="20"/>
                <w:color w:val="auto"/>
              </w:rPr>
            </w:pPr>
            <w:r>
              <w:rPr>
                <w:rFonts w:ascii="Arial" w:cs="Arial" w:eastAsia="Arial" w:hAnsi="Arial"/>
                <w:sz w:val="16"/>
                <w:szCs w:val="16"/>
                <w:color w:val="auto"/>
              </w:rPr>
              <w:t>145,000​</w:t>
            </w:r>
          </w:p>
        </w:tc>
        <w:tc>
          <w:tcPr>
            <w:tcW w:w="1120" w:type="dxa"/>
            <w:vAlign w:val="bottom"/>
          </w:tcPr>
          <w:p>
            <w:pPr>
              <w:jc w:val="center"/>
              <w:spacing w:after="0"/>
              <w:rPr>
                <w:sz w:val="20"/>
                <w:szCs w:val="20"/>
                <w:color w:val="auto"/>
              </w:rPr>
            </w:pPr>
            <w:r>
              <w:rPr>
                <w:rFonts w:ascii="Arial" w:cs="Arial" w:eastAsia="Arial" w:hAnsi="Arial"/>
                <w:sz w:val="16"/>
                <w:szCs w:val="16"/>
                <w:color w:val="auto"/>
                <w:w w:val="96"/>
              </w:rPr>
              <w:t>141,025​</w:t>
            </w:r>
          </w:p>
        </w:tc>
        <w:tc>
          <w:tcPr>
            <w:tcW w:w="760" w:type="dxa"/>
            <w:vAlign w:val="bottom"/>
          </w:tcPr>
          <w:p>
            <w:pPr>
              <w:ind w:left="180"/>
              <w:spacing w:after="0"/>
              <w:rPr>
                <w:sz w:val="20"/>
                <w:szCs w:val="20"/>
                <w:color w:val="auto"/>
              </w:rPr>
            </w:pPr>
            <w:r>
              <w:rPr>
                <w:rFonts w:ascii="Arial" w:cs="Arial" w:eastAsia="Arial" w:hAnsi="Arial"/>
                <w:sz w:val="16"/>
                <w:szCs w:val="16"/>
                <w:color w:val="auto"/>
                <w:w w:val="96"/>
              </w:rPr>
              <w:t>286,025​</w:t>
            </w:r>
          </w:p>
        </w:tc>
      </w:tr>
      <w:tr>
        <w:trPr>
          <w:trHeight w:val="55"/>
        </w:trPr>
        <w:tc>
          <w:tcPr>
            <w:tcW w:w="3700" w:type="dxa"/>
            <w:vAlign w:val="bottom"/>
            <w:tcBorders>
              <w:bottom w:val="single" w:sz="8" w:color="6D8CC3"/>
            </w:tcBorders>
          </w:tcPr>
          <w:p>
            <w:pPr>
              <w:spacing w:after="0"/>
              <w:rPr>
                <w:sz w:val="4"/>
                <w:szCs w:val="4"/>
                <w:color w:val="auto"/>
              </w:rPr>
            </w:pPr>
          </w:p>
        </w:tc>
        <w:tc>
          <w:tcPr>
            <w:tcW w:w="3460" w:type="dxa"/>
            <w:vAlign w:val="bottom"/>
            <w:tcBorders>
              <w:bottom w:val="single" w:sz="8" w:color="6D8CC3"/>
            </w:tcBorders>
          </w:tcPr>
          <w:p>
            <w:pPr>
              <w:spacing w:after="0"/>
              <w:rPr>
                <w:sz w:val="4"/>
                <w:szCs w:val="4"/>
                <w:color w:val="auto"/>
              </w:rPr>
            </w:pPr>
          </w:p>
        </w:tc>
        <w:tc>
          <w:tcPr>
            <w:tcW w:w="1120" w:type="dxa"/>
            <w:vAlign w:val="bottom"/>
            <w:tcBorders>
              <w:bottom w:val="single" w:sz="8" w:color="6D8CC3"/>
            </w:tcBorders>
          </w:tcPr>
          <w:p>
            <w:pPr>
              <w:spacing w:after="0"/>
              <w:rPr>
                <w:sz w:val="4"/>
                <w:szCs w:val="4"/>
                <w:color w:val="auto"/>
              </w:rPr>
            </w:pPr>
          </w:p>
        </w:tc>
        <w:tc>
          <w:tcPr>
            <w:tcW w:w="760" w:type="dxa"/>
            <w:vAlign w:val="bottom"/>
            <w:tcBorders>
              <w:bottom w:val="single" w:sz="8" w:color="6D8CC3"/>
            </w:tcBorders>
          </w:tcPr>
          <w:p>
            <w:pPr>
              <w:spacing w:after="0"/>
              <w:rPr>
                <w:sz w:val="4"/>
                <w:szCs w:val="4"/>
                <w:color w:val="auto"/>
              </w:rPr>
            </w:pPr>
          </w:p>
        </w:tc>
      </w:tr>
      <w:tr>
        <w:trPr>
          <w:trHeight w:val="240"/>
        </w:trPr>
        <w:tc>
          <w:tcPr>
            <w:tcW w:w="3700" w:type="dxa"/>
            <w:vAlign w:val="bottom"/>
          </w:tcPr>
          <w:p>
            <w:pPr>
              <w:spacing w:after="0"/>
              <w:rPr>
                <w:sz w:val="20"/>
                <w:szCs w:val="20"/>
                <w:color w:val="auto"/>
              </w:rPr>
            </w:pPr>
            <w:r>
              <w:rPr>
                <w:rFonts w:ascii="Arial" w:cs="Arial" w:eastAsia="Arial" w:hAnsi="Arial"/>
                <w:sz w:val="16"/>
                <w:szCs w:val="16"/>
                <w:color w:val="auto"/>
              </w:rPr>
              <w:t>Steinour, Stephen</w:t>
            </w:r>
          </w:p>
        </w:tc>
        <w:tc>
          <w:tcPr>
            <w:tcW w:w="3460" w:type="dxa"/>
            <w:vAlign w:val="bottom"/>
          </w:tcPr>
          <w:p>
            <w:pPr>
              <w:jc w:val="center"/>
              <w:ind w:left="1964"/>
              <w:spacing w:after="0"/>
              <w:rPr>
                <w:sz w:val="20"/>
                <w:szCs w:val="20"/>
                <w:color w:val="auto"/>
              </w:rPr>
            </w:pPr>
            <w:r>
              <w:rPr>
                <w:rFonts w:ascii="Arial" w:cs="Arial" w:eastAsia="Arial" w:hAnsi="Arial"/>
                <w:sz w:val="16"/>
                <w:szCs w:val="16"/>
                <w:color w:val="auto"/>
              </w:rPr>
              <w:t>150,000​</w:t>
            </w:r>
          </w:p>
        </w:tc>
        <w:tc>
          <w:tcPr>
            <w:tcW w:w="1120" w:type="dxa"/>
            <w:vAlign w:val="bottom"/>
          </w:tcPr>
          <w:p>
            <w:pPr>
              <w:jc w:val="center"/>
              <w:spacing w:after="0"/>
              <w:rPr>
                <w:sz w:val="20"/>
                <w:szCs w:val="20"/>
                <w:color w:val="auto"/>
              </w:rPr>
            </w:pPr>
            <w:r>
              <w:rPr>
                <w:rFonts w:ascii="Arial" w:cs="Arial" w:eastAsia="Arial" w:hAnsi="Arial"/>
                <w:sz w:val="16"/>
                <w:szCs w:val="16"/>
                <w:color w:val="auto"/>
                <w:w w:val="96"/>
              </w:rPr>
              <w:t>141,025​</w:t>
            </w:r>
          </w:p>
        </w:tc>
        <w:tc>
          <w:tcPr>
            <w:tcW w:w="760" w:type="dxa"/>
            <w:vAlign w:val="bottom"/>
          </w:tcPr>
          <w:p>
            <w:pPr>
              <w:ind w:left="180"/>
              <w:spacing w:after="0"/>
              <w:rPr>
                <w:sz w:val="20"/>
                <w:szCs w:val="20"/>
                <w:color w:val="auto"/>
              </w:rPr>
            </w:pPr>
            <w:r>
              <w:rPr>
                <w:rFonts w:ascii="Arial" w:cs="Arial" w:eastAsia="Arial" w:hAnsi="Arial"/>
                <w:sz w:val="16"/>
                <w:szCs w:val="16"/>
                <w:color w:val="auto"/>
                <w:w w:val="96"/>
              </w:rPr>
              <w:t>291,025​</w:t>
            </w:r>
          </w:p>
        </w:tc>
      </w:tr>
      <w:tr>
        <w:trPr>
          <w:trHeight w:val="55"/>
        </w:trPr>
        <w:tc>
          <w:tcPr>
            <w:tcW w:w="3700" w:type="dxa"/>
            <w:vAlign w:val="bottom"/>
            <w:tcBorders>
              <w:bottom w:val="single" w:sz="8" w:color="6D8CC3"/>
            </w:tcBorders>
          </w:tcPr>
          <w:p>
            <w:pPr>
              <w:spacing w:after="0"/>
              <w:rPr>
                <w:sz w:val="4"/>
                <w:szCs w:val="4"/>
                <w:color w:val="auto"/>
              </w:rPr>
            </w:pPr>
          </w:p>
        </w:tc>
        <w:tc>
          <w:tcPr>
            <w:tcW w:w="3460" w:type="dxa"/>
            <w:vAlign w:val="bottom"/>
            <w:tcBorders>
              <w:bottom w:val="single" w:sz="8" w:color="6D8CC3"/>
            </w:tcBorders>
          </w:tcPr>
          <w:p>
            <w:pPr>
              <w:spacing w:after="0"/>
              <w:rPr>
                <w:sz w:val="4"/>
                <w:szCs w:val="4"/>
                <w:color w:val="auto"/>
              </w:rPr>
            </w:pPr>
          </w:p>
        </w:tc>
        <w:tc>
          <w:tcPr>
            <w:tcW w:w="1120" w:type="dxa"/>
            <w:vAlign w:val="bottom"/>
            <w:tcBorders>
              <w:bottom w:val="single" w:sz="8" w:color="6D8CC3"/>
            </w:tcBorders>
          </w:tcPr>
          <w:p>
            <w:pPr>
              <w:spacing w:after="0"/>
              <w:rPr>
                <w:sz w:val="4"/>
                <w:szCs w:val="4"/>
                <w:color w:val="auto"/>
              </w:rPr>
            </w:pPr>
          </w:p>
        </w:tc>
        <w:tc>
          <w:tcPr>
            <w:tcW w:w="760" w:type="dxa"/>
            <w:vAlign w:val="bottom"/>
            <w:tcBorders>
              <w:bottom w:val="single" w:sz="8" w:color="6D8CC3"/>
            </w:tcBorders>
          </w:tcPr>
          <w:p>
            <w:pPr>
              <w:spacing w:after="0"/>
              <w:rPr>
                <w:sz w:val="4"/>
                <w:szCs w:val="4"/>
                <w:color w:val="auto"/>
              </w:rPr>
            </w:pPr>
          </w:p>
        </w:tc>
      </w:tr>
      <w:tr>
        <w:trPr>
          <w:trHeight w:val="240"/>
        </w:trPr>
        <w:tc>
          <w:tcPr>
            <w:tcW w:w="3700" w:type="dxa"/>
            <w:vAlign w:val="bottom"/>
          </w:tcPr>
          <w:p>
            <w:pPr>
              <w:spacing w:after="0"/>
              <w:rPr>
                <w:sz w:val="20"/>
                <w:szCs w:val="20"/>
                <w:color w:val="auto"/>
              </w:rPr>
            </w:pPr>
            <w:r>
              <w:rPr>
                <w:rFonts w:ascii="Arial" w:cs="Arial" w:eastAsia="Arial" w:hAnsi="Arial"/>
                <w:sz w:val="16"/>
                <w:szCs w:val="16"/>
                <w:color w:val="auto"/>
              </w:rPr>
              <w:t>Symancyk, J.K.</w:t>
            </w:r>
          </w:p>
        </w:tc>
        <w:tc>
          <w:tcPr>
            <w:tcW w:w="3460" w:type="dxa"/>
            <w:vAlign w:val="bottom"/>
          </w:tcPr>
          <w:p>
            <w:pPr>
              <w:jc w:val="center"/>
              <w:ind w:left="1964"/>
              <w:spacing w:after="0"/>
              <w:rPr>
                <w:sz w:val="20"/>
                <w:szCs w:val="20"/>
                <w:color w:val="auto"/>
              </w:rPr>
            </w:pPr>
            <w:r>
              <w:rPr>
                <w:rFonts w:ascii="Arial" w:cs="Arial" w:eastAsia="Arial" w:hAnsi="Arial"/>
                <w:sz w:val="16"/>
                <w:szCs w:val="16"/>
                <w:color w:val="auto"/>
              </w:rPr>
              <w:t>145,000​</w:t>
            </w:r>
          </w:p>
        </w:tc>
        <w:tc>
          <w:tcPr>
            <w:tcW w:w="1120" w:type="dxa"/>
            <w:vAlign w:val="bottom"/>
          </w:tcPr>
          <w:p>
            <w:pPr>
              <w:jc w:val="center"/>
              <w:spacing w:after="0"/>
              <w:rPr>
                <w:sz w:val="20"/>
                <w:szCs w:val="20"/>
                <w:color w:val="auto"/>
              </w:rPr>
            </w:pPr>
            <w:r>
              <w:rPr>
                <w:rFonts w:ascii="Arial" w:cs="Arial" w:eastAsia="Arial" w:hAnsi="Arial"/>
                <w:sz w:val="16"/>
                <w:szCs w:val="16"/>
                <w:color w:val="auto"/>
                <w:w w:val="96"/>
              </w:rPr>
              <w:t>141,025​</w:t>
            </w:r>
          </w:p>
        </w:tc>
        <w:tc>
          <w:tcPr>
            <w:tcW w:w="760" w:type="dxa"/>
            <w:vAlign w:val="bottom"/>
          </w:tcPr>
          <w:p>
            <w:pPr>
              <w:ind w:left="180"/>
              <w:spacing w:after="0"/>
              <w:rPr>
                <w:sz w:val="20"/>
                <w:szCs w:val="20"/>
                <w:color w:val="auto"/>
              </w:rPr>
            </w:pPr>
            <w:r>
              <w:rPr>
                <w:rFonts w:ascii="Arial" w:cs="Arial" w:eastAsia="Arial" w:hAnsi="Arial"/>
                <w:sz w:val="16"/>
                <w:szCs w:val="16"/>
                <w:color w:val="auto"/>
                <w:w w:val="96"/>
              </w:rPr>
              <w:t>286,025​</w:t>
            </w:r>
          </w:p>
        </w:tc>
      </w:tr>
      <w:tr>
        <w:trPr>
          <w:trHeight w:val="55"/>
        </w:trPr>
        <w:tc>
          <w:tcPr>
            <w:tcW w:w="3700" w:type="dxa"/>
            <w:vAlign w:val="bottom"/>
            <w:tcBorders>
              <w:bottom w:val="single" w:sz="8" w:color="6D8CC3"/>
            </w:tcBorders>
          </w:tcPr>
          <w:p>
            <w:pPr>
              <w:spacing w:after="0"/>
              <w:rPr>
                <w:sz w:val="4"/>
                <w:szCs w:val="4"/>
                <w:color w:val="auto"/>
              </w:rPr>
            </w:pPr>
          </w:p>
        </w:tc>
        <w:tc>
          <w:tcPr>
            <w:tcW w:w="3460" w:type="dxa"/>
            <w:vAlign w:val="bottom"/>
            <w:tcBorders>
              <w:bottom w:val="single" w:sz="8" w:color="6D8CC3"/>
            </w:tcBorders>
          </w:tcPr>
          <w:p>
            <w:pPr>
              <w:spacing w:after="0"/>
              <w:rPr>
                <w:sz w:val="4"/>
                <w:szCs w:val="4"/>
                <w:color w:val="auto"/>
              </w:rPr>
            </w:pPr>
          </w:p>
        </w:tc>
        <w:tc>
          <w:tcPr>
            <w:tcW w:w="1120" w:type="dxa"/>
            <w:vAlign w:val="bottom"/>
            <w:tcBorders>
              <w:bottom w:val="single" w:sz="8" w:color="6D8CC3"/>
            </w:tcBorders>
          </w:tcPr>
          <w:p>
            <w:pPr>
              <w:spacing w:after="0"/>
              <w:rPr>
                <w:sz w:val="4"/>
                <w:szCs w:val="4"/>
                <w:color w:val="auto"/>
              </w:rPr>
            </w:pPr>
          </w:p>
        </w:tc>
        <w:tc>
          <w:tcPr>
            <w:tcW w:w="760" w:type="dxa"/>
            <w:vAlign w:val="bottom"/>
            <w:tcBorders>
              <w:bottom w:val="single" w:sz="8" w:color="6D8CC3"/>
            </w:tcBorders>
          </w:tcPr>
          <w:p>
            <w:pPr>
              <w:spacing w:after="0"/>
              <w:rPr>
                <w:sz w:val="4"/>
                <w:szCs w:val="4"/>
                <w:color w:val="auto"/>
              </w:rPr>
            </w:pPr>
          </w:p>
        </w:tc>
      </w:tr>
      <w:tr>
        <w:trPr>
          <w:trHeight w:val="240"/>
        </w:trPr>
        <w:tc>
          <w:tcPr>
            <w:tcW w:w="3700" w:type="dxa"/>
            <w:vAlign w:val="bottom"/>
          </w:tcPr>
          <w:p>
            <w:pPr>
              <w:spacing w:after="0"/>
              <w:rPr>
                <w:sz w:val="20"/>
                <w:szCs w:val="20"/>
                <w:color w:val="auto"/>
              </w:rPr>
            </w:pPr>
            <w:r>
              <w:rPr>
                <w:rFonts w:ascii="Arial" w:cs="Arial" w:eastAsia="Arial" w:hAnsi="Arial"/>
                <w:sz w:val="16"/>
                <w:szCs w:val="16"/>
                <w:color w:val="auto"/>
              </w:rPr>
              <w:t>Voskuil, Steve</w:t>
            </w:r>
          </w:p>
        </w:tc>
        <w:tc>
          <w:tcPr>
            <w:tcW w:w="3460" w:type="dxa"/>
            <w:vAlign w:val="bottom"/>
          </w:tcPr>
          <w:p>
            <w:pPr>
              <w:jc w:val="center"/>
              <w:ind w:left="1964"/>
              <w:spacing w:after="0"/>
              <w:rPr>
                <w:sz w:val="20"/>
                <w:szCs w:val="20"/>
                <w:color w:val="auto"/>
              </w:rPr>
            </w:pPr>
            <w:r>
              <w:rPr>
                <w:rFonts w:ascii="Arial" w:cs="Arial" w:eastAsia="Arial" w:hAnsi="Arial"/>
                <w:sz w:val="16"/>
                <w:szCs w:val="16"/>
                <w:color w:val="auto"/>
              </w:rPr>
              <w:t>175,000​</w:t>
            </w:r>
          </w:p>
        </w:tc>
        <w:tc>
          <w:tcPr>
            <w:tcW w:w="1120" w:type="dxa"/>
            <w:vAlign w:val="bottom"/>
          </w:tcPr>
          <w:p>
            <w:pPr>
              <w:jc w:val="center"/>
              <w:spacing w:after="0"/>
              <w:rPr>
                <w:sz w:val="20"/>
                <w:szCs w:val="20"/>
                <w:color w:val="auto"/>
              </w:rPr>
            </w:pPr>
            <w:r>
              <w:rPr>
                <w:rFonts w:ascii="Arial" w:cs="Arial" w:eastAsia="Arial" w:hAnsi="Arial"/>
                <w:sz w:val="16"/>
                <w:szCs w:val="16"/>
                <w:color w:val="auto"/>
                <w:w w:val="96"/>
              </w:rPr>
              <w:t>141,025​</w:t>
            </w:r>
          </w:p>
        </w:tc>
        <w:tc>
          <w:tcPr>
            <w:tcW w:w="760" w:type="dxa"/>
            <w:vAlign w:val="bottom"/>
          </w:tcPr>
          <w:p>
            <w:pPr>
              <w:ind w:left="180"/>
              <w:spacing w:after="0"/>
              <w:rPr>
                <w:sz w:val="20"/>
                <w:szCs w:val="20"/>
                <w:color w:val="auto"/>
              </w:rPr>
            </w:pPr>
            <w:r>
              <w:rPr>
                <w:rFonts w:ascii="Arial" w:cs="Arial" w:eastAsia="Arial" w:hAnsi="Arial"/>
                <w:sz w:val="16"/>
                <w:szCs w:val="16"/>
                <w:color w:val="auto"/>
                <w:w w:val="96"/>
              </w:rPr>
              <w:t>316,025​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26670</wp:posOffset>
            </wp:positionV>
            <wp:extent cx="57372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737225" cy="8255"/>
                    </a:xfrm>
                    <a:prstGeom prst="rect">
                      <a:avLst/>
                    </a:prstGeom>
                    <a:noFill/>
                  </pic:spPr>
                </pic:pic>
              </a:graphicData>
            </a:graphic>
          </wp:anchor>
        </w:drawing>
      </w:r>
    </w:p>
    <w:p>
      <w:pPr>
        <w:spacing w:after="0" w:line="91" w:lineRule="exact"/>
        <w:rPr>
          <w:sz w:val="20"/>
          <w:szCs w:val="20"/>
          <w:color w:val="auto"/>
        </w:rPr>
      </w:pPr>
    </w:p>
    <w:p>
      <w:pPr>
        <w:jc w:val="both"/>
        <w:ind w:left="260" w:right="320" w:hanging="256"/>
        <w:spacing w:after="0" w:line="246" w:lineRule="auto"/>
        <w:tabs>
          <w:tab w:leader="none" w:pos="2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Directors (other than the Board Chair) received an annual cash retainer of $100,000. Ms. Nash, as Board Chair, received an annual cash retainer of $250,000. Directors received an additional annual cash retainer of $25,000 for membership on the Audit Committee and HCC Committee and $20,000 for membership on the Nominating &amp; Governance Committee. The Audit Committee and HCC Committee chairs received an additional $25,000. The Nominating &amp; Governance Committee chair received an additional $20,000.</w:t>
      </w:r>
    </w:p>
    <w:p>
      <w:pPr>
        <w:spacing w:after="0" w:line="34" w:lineRule="exact"/>
        <w:rPr>
          <w:rFonts w:ascii="Arial" w:cs="Arial" w:eastAsia="Arial" w:hAnsi="Arial"/>
          <w:sz w:val="14"/>
          <w:szCs w:val="14"/>
          <w:color w:val="auto"/>
        </w:rPr>
      </w:pPr>
    </w:p>
    <w:p>
      <w:pPr>
        <w:ind w:left="260" w:right="40" w:hanging="256"/>
        <w:spacing w:after="0" w:line="239" w:lineRule="auto"/>
        <w:tabs>
          <w:tab w:leader="none" w:pos="2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Directors (other than the Board Chair) received an annual stock retainer of $150,000. Ms. Nash, as Board Chair, received an annual stock retainer of $250,000. Stock retainers were granted under the 2020 Plan and vest one year following the grant date, generally subject to the director’s continued service on the Board through the vesting date. The number of RSUs granted was calculated based on the fair market value of the Company’s common stock on the date the RSUs were granted. The value of stock awards reflects the aggregate grant date fair value, excluding estimated forfeitures, computed in accordance with Accounting Standards Codification (“ASC”) Topic 718 Compensation— Stock Compensation, for each award. See Note 14 to the Company’s consolidated financial statements filed in the Company’s 2025 10-K for a discussion of the Company’s assumptions in determining the aggregate grant date fair value of these awards. As of January 31, 2026, each individual listed in the table held 5,641 outstanding RSUs, other than Ms. Nash, who held 9,402 outstanding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123825</wp:posOffset>
            </wp:positionV>
            <wp:extent cx="57372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737225" cy="8255"/>
                    </a:xfrm>
                    <a:prstGeom prst="rect">
                      <a:avLst/>
                    </a:prstGeom>
                    <a:noFill/>
                  </pic:spPr>
                </pic:pic>
              </a:graphicData>
            </a:graphic>
          </wp:anchor>
        </w:drawing>
      </w: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b w:val="1"/>
          <w:bCs w:val="1"/>
          <w:color w:val="292F72"/>
        </w:rPr>
        <w:t>22</w:t>
      </w:r>
      <w:r>
        <w:rPr>
          <w:rFonts w:ascii="Arial" w:cs="Arial" w:eastAsia="Arial" w:hAnsi="Arial"/>
          <w:sz w:val="14"/>
          <w:szCs w:val="14"/>
          <w:color w:val="292F72"/>
        </w:rPr>
        <w:t xml:space="preserve">     Bath &amp; Body Works, Inc.</w:t>
      </w:r>
      <w:r>
        <w:rPr>
          <w:rFonts w:ascii="Arial" w:cs="Arial" w:eastAsia="Arial" w:hAnsi="Arial"/>
          <w:sz w:val="14"/>
          <w:szCs w:val="14"/>
          <w:color w:val="6D8CC3"/>
        </w:rPr>
        <w:t xml:space="preserve">   | </w:t>
      </w:r>
      <w:r>
        <w:rPr>
          <w:rFonts w:ascii="Arial" w:cs="Arial" w:eastAsia="Arial" w:hAnsi="Arial"/>
          <w:sz w:val="14"/>
          <w:szCs w:val="14"/>
          <w:b w:val="1"/>
          <w:bCs w:val="1"/>
          <w:color w:val="292F72"/>
        </w:rPr>
        <w:t xml:space="preserve">  </w:t>
      </w:r>
      <w:r>
        <w:rPr>
          <w:rFonts w:ascii="Arial" w:cs="Arial" w:eastAsia="Arial" w:hAnsi="Arial"/>
          <w:sz w:val="14"/>
          <w:szCs w:val="14"/>
          <w:color w:val="292F72"/>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178435</wp:posOffset>
            </wp:positionV>
            <wp:extent cx="6795135" cy="165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795135" cy="16510"/>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7" w:lineRule="exact"/>
        <w:rPr>
          <w:sz w:val="20"/>
          <w:szCs w:val="20"/>
          <w:color w:val="auto"/>
        </w:rPr>
      </w:pPr>
    </w:p>
    <w:p>
      <w:pPr>
        <w:ind w:right="1120"/>
        <w:spacing w:after="0" w:line="264" w:lineRule="auto"/>
        <w:rPr>
          <w:sz w:val="20"/>
          <w:szCs w:val="20"/>
          <w:color w:val="auto"/>
        </w:rPr>
      </w:pPr>
      <w:r>
        <w:rPr>
          <w:rFonts w:ascii="Arial" w:cs="Arial" w:eastAsia="Arial" w:hAnsi="Arial"/>
          <w:sz w:val="38"/>
          <w:szCs w:val="38"/>
          <w:color w:val="292F72"/>
        </w:rPr>
        <w:t>Ratification of the Appointment of Independent Registered Public Accounting Firm (Item 2 on the Proxy Card)</w:t>
      </w:r>
    </w:p>
    <w:p>
      <w:pPr>
        <w:spacing w:after="0" w:line="73"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The Audit Committee has appointed Ernst &amp; Young LLP to serve as the Company’s independent registered public accounting firm for the fiscal year ending January 30, 2027. Ernst &amp; Young LLP has been retained as the Company’s independent registered public accounting firm continuously since 2003.</w:t>
      </w:r>
    </w:p>
    <w:p>
      <w:pPr>
        <w:spacing w:after="0" w:line="137"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auto"/>
        </w:rPr>
        <w:t>The Audit Committee is responsible for the appointment, compensation, retention and oversight of the Company’s independent registered public accounting firm. The Audit Committee is also responsible for approving the fees associated with the Company’s retention of Ernst &amp; Young LLP. In accordance with the Commission’s rules, Ernst &amp; Young LLP’s lead engagement partner rotates every five years. The Audit Committee is directly involved in the selection of Ernst &amp; Young LLP’s lead engagement partner. In addition, the Audit Committee evaluates Ernst &amp; Young LLP’s qualifications, performance and independence and presents its conclusions on these matters to the Board on at least an annual basis, and annually considers whether to continue its engagement of Ernst &amp; Young LLP.</w:t>
      </w:r>
    </w:p>
    <w:p>
      <w:pPr>
        <w:spacing w:after="0" w:line="146"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The members of the Audit Committee and the Board believe that the continued retention of Ernst &amp; Young LLP to serve as the Company’s independent registered public accounting firm is in the best interests of the Company and its shareholders. We are asking you to ratify Ernst &amp; Young LLP’s appointment, although your ratification is not required. The Audit Committee intends to carefully consider the results of the vote. If the shareholders do not ratify the appointment of Ernst &amp; Young LLP, the Audit Committee will reconsider Ernst &amp; Young LLP’s selection. Even if the selection is ratified, the Audit Committee, in its discretion, may select a different independent registered public accounting firm at any time during the year if the Audit Committee determines that such a change would be in the best interests of the Company and its shareholders. A representative of Ernst &amp; Young LLP will be present at the annual meeting, will have the opportunity to make a statement and will be available to respond to appropriate questions.</w:t>
      </w:r>
    </w:p>
    <w:p>
      <w:pPr>
        <w:spacing w:after="0" w:line="159"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color w:val="auto"/>
        </w:rPr>
        <w:t xml:space="preserve">Additional information concerning the Company’s engagement of Ernst &amp; Young LLP is included under the heading “Independent Registered Public Accounting Firm’s Fees” on page </w:t>
      </w:r>
      <w:r>
        <w:rPr>
          <w:rFonts w:ascii="Arial" w:cs="Arial" w:eastAsia="Arial" w:hAnsi="Arial"/>
          <w:sz w:val="16"/>
          <w:szCs w:val="16"/>
          <w:u w:val="single" w:color="auto"/>
          <w:color w:val="0000EE"/>
        </w:rPr>
        <w:t>25</w:t>
      </w:r>
      <w:r>
        <w:rPr>
          <w:rFonts w:ascii="Arial" w:cs="Arial" w:eastAsia="Arial" w:hAnsi="Arial"/>
          <w:sz w:val="16"/>
          <w:szCs w:val="16"/>
          <w:color w:val="auto"/>
        </w:rPr>
        <w:t xml:space="preserve">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5737225" cy="67437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737225" cy="674370"/>
                    </a:xfrm>
                    <a:prstGeom prst="rect">
                      <a:avLst/>
                    </a:prstGeom>
                    <a:noFill/>
                  </pic:spPr>
                </pic:pic>
              </a:graphicData>
            </a:graphic>
          </wp:anchor>
        </w:drawing>
      </w:r>
    </w:p>
    <w:p>
      <w:pPr>
        <w:spacing w:after="0" w:line="154" w:lineRule="exact"/>
        <w:rPr>
          <w:sz w:val="20"/>
          <w:szCs w:val="20"/>
          <w:color w:val="auto"/>
        </w:rPr>
      </w:pPr>
    </w:p>
    <w:p>
      <w:pPr>
        <w:ind w:left="840"/>
        <w:spacing w:after="0"/>
        <w:rPr>
          <w:sz w:val="20"/>
          <w:szCs w:val="20"/>
          <w:color w:val="auto"/>
        </w:rPr>
      </w:pPr>
      <w:r>
        <w:rPr>
          <w:rFonts w:ascii="Arial" w:cs="Arial" w:eastAsia="Arial" w:hAnsi="Arial"/>
          <w:sz w:val="23"/>
          <w:szCs w:val="23"/>
          <w:b w:val="1"/>
          <w:bCs w:val="1"/>
          <w:color w:val="292F72"/>
        </w:rPr>
        <w:t xml:space="preserve">WE RECOMMEND THAT YOU VOTE </w:t>
      </w:r>
      <w:r>
        <w:rPr>
          <w:rFonts w:ascii="Arial" w:cs="Arial" w:eastAsia="Arial" w:hAnsi="Arial"/>
          <w:sz w:val="23"/>
          <w:szCs w:val="23"/>
          <w:b w:val="1"/>
          <w:bCs w:val="1"/>
          <w:color w:val="6D8CC3"/>
        </w:rPr>
        <w:t>“FOR”</w:t>
      </w:r>
      <w:r>
        <w:rPr>
          <w:rFonts w:ascii="Arial" w:cs="Arial" w:eastAsia="Arial" w:hAnsi="Arial"/>
          <w:sz w:val="23"/>
          <w:szCs w:val="23"/>
          <w:b w:val="1"/>
          <w:bCs w:val="1"/>
          <w:color w:val="292F72"/>
        </w:rPr>
        <w:t xml:space="preserve"> THE RATIFICATION OF THE</w:t>
      </w:r>
    </w:p>
    <w:p>
      <w:pPr>
        <w:spacing w:after="0" w:line="33" w:lineRule="exact"/>
        <w:rPr>
          <w:sz w:val="20"/>
          <w:szCs w:val="20"/>
          <w:color w:val="auto"/>
        </w:rPr>
      </w:pPr>
    </w:p>
    <w:p>
      <w:pPr>
        <w:ind w:left="840" w:right="1400" w:hanging="676"/>
        <w:spacing w:after="0" w:line="210" w:lineRule="auto"/>
        <w:tabs>
          <w:tab w:leader="none" w:pos="840" w:val="left"/>
        </w:tabs>
        <w:numPr>
          <w:ilvl w:val="0"/>
          <w:numId w:val="43"/>
        </w:numPr>
        <w:rPr>
          <w:rFonts w:ascii="Arial" w:cs="Arial" w:eastAsia="Arial" w:hAnsi="Arial"/>
          <w:sz w:val="34"/>
          <w:szCs w:val="34"/>
          <w:color w:val="auto"/>
          <w:vertAlign w:val="subscript"/>
        </w:rPr>
      </w:pPr>
      <w:r>
        <w:rPr>
          <w:rFonts w:ascii="Arial" w:cs="Arial" w:eastAsia="Arial" w:hAnsi="Arial"/>
          <w:sz w:val="22"/>
          <w:szCs w:val="22"/>
          <w:b w:val="1"/>
          <w:bCs w:val="1"/>
          <w:color w:val="292F72"/>
        </w:rPr>
        <w:t>APPOINTMENT OF ERNST &amp; YOUNG LLP AS THE COMPANY’S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172720</wp:posOffset>
            </wp:positionV>
            <wp:extent cx="57372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737225" cy="8255"/>
                    </a:xfrm>
                    <a:prstGeom prst="rect">
                      <a:avLst/>
                    </a:prstGeom>
                    <a:noFill/>
                  </pic:spPr>
                </pic:pic>
              </a:graphicData>
            </a:graphic>
          </wp:anchor>
        </w:drawing>
      </w:r>
    </w:p>
    <w:p>
      <w:pPr>
        <w:spacing w:after="0" w:line="347" w:lineRule="exact"/>
        <w:rPr>
          <w:sz w:val="20"/>
          <w:szCs w:val="20"/>
          <w:color w:val="auto"/>
        </w:rPr>
      </w:pPr>
    </w:p>
    <w:p>
      <w:pPr>
        <w:jc w:val="right"/>
        <w:spacing w:after="0"/>
        <w:rPr>
          <w:sz w:val="20"/>
          <w:szCs w:val="20"/>
          <w:color w:val="auto"/>
        </w:rPr>
      </w:pPr>
      <w:r>
        <w:rPr>
          <w:rFonts w:ascii="Arial" w:cs="Arial" w:eastAsia="Arial" w:hAnsi="Arial"/>
          <w:sz w:val="14"/>
          <w:szCs w:val="14"/>
          <w:color w:val="292F72"/>
        </w:rPr>
        <w:t>Bath &amp; Body Works, Inc.</w:t>
      </w:r>
      <w:r>
        <w:rPr>
          <w:rFonts w:ascii="Arial" w:cs="Arial" w:eastAsia="Arial" w:hAnsi="Arial"/>
          <w:sz w:val="14"/>
          <w:szCs w:val="14"/>
          <w:color w:val="6D8CC3"/>
        </w:rPr>
        <w:t xml:space="preserve">   | </w:t>
      </w:r>
      <w:r>
        <w:rPr>
          <w:rFonts w:ascii="Arial" w:cs="Arial" w:eastAsia="Arial" w:hAnsi="Arial"/>
          <w:sz w:val="14"/>
          <w:szCs w:val="14"/>
          <w:color w:val="292F72"/>
        </w:rPr>
        <w:t xml:space="preserve">  2026 Proxy Statement     </w:t>
      </w:r>
      <w:r>
        <w:rPr>
          <w:rFonts w:ascii="Arial" w:cs="Arial" w:eastAsia="Arial" w:hAnsi="Arial"/>
          <w:sz w:val="14"/>
          <w:szCs w:val="14"/>
          <w:b w:val="1"/>
          <w:bCs w:val="1"/>
          <w:color w:val="292F72"/>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145415</wp:posOffset>
            </wp:positionV>
            <wp:extent cx="6795135" cy="165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795135" cy="16510"/>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8" w:lineRule="exact"/>
        <w:rPr>
          <w:sz w:val="20"/>
          <w:szCs w:val="20"/>
          <w:color w:val="auto"/>
        </w:rPr>
      </w:pPr>
    </w:p>
    <w:p>
      <w:pPr>
        <w:spacing w:after="0"/>
        <w:rPr>
          <w:sz w:val="20"/>
          <w:szCs w:val="20"/>
          <w:color w:val="auto"/>
        </w:rPr>
      </w:pPr>
      <w:r>
        <w:rPr>
          <w:rFonts w:ascii="Arial" w:cs="Arial" w:eastAsia="Arial" w:hAnsi="Arial"/>
          <w:sz w:val="38"/>
          <w:szCs w:val="38"/>
          <w:color w:val="292F72"/>
        </w:rPr>
        <w:t>Report of the Audit Committee</w:t>
      </w:r>
    </w:p>
    <w:p>
      <w:pPr>
        <w:spacing w:after="0" w:line="186" w:lineRule="exact"/>
        <w:rPr>
          <w:sz w:val="20"/>
          <w:szCs w:val="20"/>
          <w:color w:val="auto"/>
        </w:rPr>
      </w:pPr>
    </w:p>
    <w:p>
      <w:pPr>
        <w:ind w:right="159"/>
        <w:spacing w:after="0" w:line="249" w:lineRule="auto"/>
        <w:rPr>
          <w:sz w:val="20"/>
          <w:szCs w:val="20"/>
          <w:color w:val="auto"/>
        </w:rPr>
      </w:pPr>
      <w:r>
        <w:rPr>
          <w:rFonts w:ascii="Arial" w:cs="Arial" w:eastAsia="Arial" w:hAnsi="Arial"/>
          <w:sz w:val="16"/>
          <w:szCs w:val="16"/>
          <w:color w:val="auto"/>
        </w:rPr>
        <w:t>As provided in our written charter, the Audit Committee is instrumental in the Board’s fulfillment of its oversight responsibilities relating to (i) the integrity of the Company’s financial statements and internal controls, (ii) the Company’s compliance with legal and regulatory requirements, (iii) the qualifications, independence and performance of the Company’s independent auditors and (iv) the performance of the Company’s internal audit function.</w:t>
      </w:r>
    </w:p>
    <w:p>
      <w:pPr>
        <w:spacing w:after="0" w:line="141" w:lineRule="exact"/>
        <w:rPr>
          <w:sz w:val="20"/>
          <w:szCs w:val="20"/>
          <w:color w:val="auto"/>
        </w:rPr>
      </w:pPr>
    </w:p>
    <w:p>
      <w:pPr>
        <w:ind w:right="19"/>
        <w:spacing w:after="0" w:line="246" w:lineRule="auto"/>
        <w:rPr>
          <w:sz w:val="20"/>
          <w:szCs w:val="20"/>
          <w:color w:val="auto"/>
        </w:rPr>
      </w:pPr>
      <w:r>
        <w:rPr>
          <w:rFonts w:ascii="Arial" w:cs="Arial" w:eastAsia="Arial" w:hAnsi="Arial"/>
          <w:sz w:val="16"/>
          <w:szCs w:val="16"/>
          <w:color w:val="auto"/>
        </w:rPr>
        <w:t>It is not the duty of the Audit Committee to plan or conduct audits or to determine that the Company’s financial statements are complete and accurate and are in accordance with generally accepted accounting principles (“GAAP”). This is the responsibility of management and the independent auditors. Furthermore, while we are responsible for reviewing the Company’s policies and practices with respect to risk assessment and risk management, it is the responsibility of the Chief Executive Officer and senior management to determine the appropriate level of the Company’s exposure to risk.</w:t>
      </w:r>
    </w:p>
    <w:p>
      <w:pPr>
        <w:spacing w:after="0" w:line="145" w:lineRule="exact"/>
        <w:rPr>
          <w:sz w:val="20"/>
          <w:szCs w:val="20"/>
          <w:color w:val="auto"/>
        </w:rPr>
      </w:pPr>
    </w:p>
    <w:p>
      <w:pPr>
        <w:ind w:right="179"/>
        <w:spacing w:after="0" w:line="245" w:lineRule="auto"/>
        <w:rPr>
          <w:sz w:val="20"/>
          <w:szCs w:val="20"/>
          <w:color w:val="auto"/>
        </w:rPr>
      </w:pPr>
      <w:r>
        <w:rPr>
          <w:rFonts w:ascii="Arial" w:cs="Arial" w:eastAsia="Arial" w:hAnsi="Arial"/>
          <w:sz w:val="16"/>
          <w:szCs w:val="16"/>
          <w:color w:val="auto"/>
        </w:rPr>
        <w:t>We have reviewed and discussed the Company’s audited financial statements as of and for the year ended January 31, 2026, and met with both management and the Company’s independent auditors to discuss the financial statements. Management has represented to us that the financial statements were prepared in accordance with GAAP. We have reviewed with the internal auditors and independent auditors the overall scope and plans for their respective audits. We also met with the internal auditors and independent auditors, with and without management present, to discuss the results of their examinations and their evaluations of the Company’s internal controls.</w:t>
      </w:r>
    </w:p>
    <w:p>
      <w:pPr>
        <w:spacing w:after="0" w:line="158" w:lineRule="exact"/>
        <w:rPr>
          <w:sz w:val="20"/>
          <w:szCs w:val="20"/>
          <w:color w:val="auto"/>
        </w:rPr>
      </w:pPr>
    </w:p>
    <w:p>
      <w:pPr>
        <w:ind w:right="19"/>
        <w:spacing w:after="0" w:line="245" w:lineRule="auto"/>
        <w:rPr>
          <w:sz w:val="20"/>
          <w:szCs w:val="20"/>
          <w:color w:val="auto"/>
        </w:rPr>
      </w:pPr>
      <w:r>
        <w:rPr>
          <w:rFonts w:ascii="Arial" w:cs="Arial" w:eastAsia="Arial" w:hAnsi="Arial"/>
          <w:sz w:val="16"/>
          <w:szCs w:val="16"/>
          <w:color w:val="auto"/>
        </w:rPr>
        <w:t>We have also discussed with the independent auditors the matters required to be discussed by the applicable requirements of the Public Company Accounting Oversight Board (the “PCAOB”) and the Commission. The Company’s independent auditors also provided to us the written disclosures and the letter required by applicable requirements of the PCAOB regarding the independent auditor’s communications with the Audit Committee concerning independence, and we discussed with the independent auditors their independence from the Company. We considered whether the provision of non-audit services by the independent auditors to the Company is compatible with maintaining their independence.</w:t>
      </w:r>
    </w:p>
    <w:p>
      <w:pPr>
        <w:spacing w:after="0" w:line="145" w:lineRule="exact"/>
        <w:rPr>
          <w:sz w:val="20"/>
          <w:szCs w:val="20"/>
          <w:color w:val="auto"/>
        </w:rPr>
      </w:pPr>
    </w:p>
    <w:p>
      <w:pPr>
        <w:ind w:right="199"/>
        <w:spacing w:after="0" w:line="254" w:lineRule="auto"/>
        <w:rPr>
          <w:sz w:val="20"/>
          <w:szCs w:val="20"/>
          <w:color w:val="auto"/>
        </w:rPr>
      </w:pPr>
      <w:r>
        <w:rPr>
          <w:rFonts w:ascii="Arial" w:cs="Arial" w:eastAsia="Arial" w:hAnsi="Arial"/>
          <w:sz w:val="16"/>
          <w:szCs w:val="16"/>
          <w:color w:val="auto"/>
        </w:rPr>
        <w:t>Based on the reviews and discussions summarized in this Report, and subject to the limitations on our role and responsibilities, certain of which are referred to above and in the Audit Committee charter, we recommended to the Board that the Company’s audited financial statements be included in the Company’s 2025 10-K for filing with the Commission.</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We have appointed Ernst &amp; Young LLP as the Company’s independent registered public accounting firm.</w:t>
      </w: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Audit Committee</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6D8CC3"/>
        </w:rPr>
        <w:t>Steven Voskuil, Chair</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6D8CC3"/>
        </w:rPr>
        <w:t>Francis Hondal</w:t>
      </w:r>
    </w:p>
    <w:p>
      <w:pPr>
        <w:spacing w:after="0"/>
        <w:rPr>
          <w:sz w:val="20"/>
          <w:szCs w:val="20"/>
          <w:color w:val="auto"/>
        </w:rPr>
      </w:pPr>
      <w:r>
        <w:rPr>
          <w:rFonts w:ascii="Arial" w:cs="Arial" w:eastAsia="Arial" w:hAnsi="Arial"/>
          <w:sz w:val="16"/>
          <w:szCs w:val="16"/>
          <w:color w:val="6D8CC3"/>
        </w:rPr>
        <w:t>Juan Rajlin</w:t>
      </w:r>
    </w:p>
    <w:p>
      <w:pPr>
        <w:spacing w:after="0"/>
        <w:rPr>
          <w:sz w:val="20"/>
          <w:szCs w:val="20"/>
          <w:color w:val="auto"/>
        </w:rPr>
      </w:pPr>
      <w:r>
        <w:rPr>
          <w:rFonts w:ascii="Arial" w:cs="Arial" w:eastAsia="Arial" w:hAnsi="Arial"/>
          <w:sz w:val="16"/>
          <w:szCs w:val="16"/>
          <w:color w:val="6D8CC3"/>
        </w:rPr>
        <w:t>Stephen Steinour</w:t>
      </w:r>
    </w:p>
    <w:p>
      <w:pPr>
        <w:spacing w:after="0"/>
        <w:rPr>
          <w:sz w:val="20"/>
          <w:szCs w:val="20"/>
          <w:color w:val="auto"/>
        </w:rPr>
      </w:pPr>
      <w:r>
        <w:rPr>
          <w:rFonts w:ascii="Arial" w:cs="Arial" w:eastAsia="Arial" w:hAnsi="Arial"/>
          <w:sz w:val="16"/>
          <w:szCs w:val="16"/>
          <w:color w:val="6D8CC3"/>
        </w:rPr>
        <w:t>J.K. Symancyk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132080</wp:posOffset>
            </wp:positionV>
            <wp:extent cx="57372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737225" cy="8255"/>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Arial" w:cs="Arial" w:eastAsia="Arial" w:hAnsi="Arial"/>
          <w:sz w:val="14"/>
          <w:szCs w:val="14"/>
          <w:b w:val="1"/>
          <w:bCs w:val="1"/>
          <w:color w:val="292F72"/>
        </w:rPr>
        <w:t>24</w:t>
      </w:r>
      <w:r>
        <w:rPr>
          <w:rFonts w:ascii="Arial" w:cs="Arial" w:eastAsia="Arial" w:hAnsi="Arial"/>
          <w:sz w:val="14"/>
          <w:szCs w:val="14"/>
          <w:color w:val="292F72"/>
        </w:rPr>
        <w:t xml:space="preserve">     Bath &amp; Body Works, Inc.</w:t>
      </w:r>
      <w:r>
        <w:rPr>
          <w:rFonts w:ascii="Arial" w:cs="Arial" w:eastAsia="Arial" w:hAnsi="Arial"/>
          <w:sz w:val="14"/>
          <w:szCs w:val="14"/>
          <w:color w:val="6D8CC3"/>
        </w:rPr>
        <w:t xml:space="preserve">   | </w:t>
      </w:r>
      <w:r>
        <w:rPr>
          <w:rFonts w:ascii="Arial" w:cs="Arial" w:eastAsia="Arial" w:hAnsi="Arial"/>
          <w:sz w:val="14"/>
          <w:szCs w:val="14"/>
          <w:b w:val="1"/>
          <w:bCs w:val="1"/>
          <w:color w:val="292F72"/>
        </w:rPr>
        <w:t xml:space="preserve">  </w:t>
      </w:r>
      <w:r>
        <w:rPr>
          <w:rFonts w:ascii="Arial" w:cs="Arial" w:eastAsia="Arial" w:hAnsi="Arial"/>
          <w:sz w:val="14"/>
          <w:szCs w:val="14"/>
          <w:color w:val="292F72"/>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170180</wp:posOffset>
            </wp:positionV>
            <wp:extent cx="6795135" cy="165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795135" cy="16510"/>
                    </a:xfrm>
                    <a:prstGeom prst="rect">
                      <a:avLst/>
                    </a:prstGeom>
                    <a:noFill/>
                  </pic:spPr>
                </pic:pic>
              </a:graphicData>
            </a:graphic>
          </wp:anchor>
        </w:drawing>
      </w:r>
    </w:p>
    <w:p>
      <w:pPr>
        <w:sectPr>
          <w:pgSz w:w="11900" w:h="16838" w:orient="portrait"/>
          <w:cols w:equalWidth="0" w:num="1">
            <w:col w:w="9039"/>
          </w:cols>
          <w:pgMar w:left="1420" w:top="115"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7" w:lineRule="exact"/>
        <w:rPr>
          <w:sz w:val="20"/>
          <w:szCs w:val="20"/>
          <w:color w:val="auto"/>
        </w:rPr>
      </w:pPr>
    </w:p>
    <w:p>
      <w:pPr>
        <w:ind w:right="1760"/>
        <w:spacing w:after="0" w:line="285" w:lineRule="auto"/>
        <w:rPr>
          <w:sz w:val="20"/>
          <w:szCs w:val="20"/>
          <w:color w:val="auto"/>
        </w:rPr>
      </w:pPr>
      <w:r>
        <w:rPr>
          <w:rFonts w:ascii="Arial" w:cs="Arial" w:eastAsia="Arial" w:hAnsi="Arial"/>
          <w:sz w:val="38"/>
          <w:szCs w:val="38"/>
          <w:color w:val="292F72"/>
        </w:rPr>
        <w:t>Independent Registered Public Accounting Firm’s Fees</w:t>
      </w:r>
    </w:p>
    <w:p>
      <w:pPr>
        <w:spacing w:after="0" w:line="31" w:lineRule="exact"/>
        <w:rPr>
          <w:sz w:val="20"/>
          <w:szCs w:val="20"/>
          <w:color w:val="auto"/>
        </w:rPr>
      </w:pPr>
    </w:p>
    <w:p>
      <w:pPr>
        <w:ind w:right="420"/>
        <w:spacing w:after="0" w:line="249" w:lineRule="auto"/>
        <w:rPr>
          <w:sz w:val="20"/>
          <w:szCs w:val="20"/>
          <w:color w:val="auto"/>
        </w:rPr>
      </w:pPr>
      <w:r>
        <w:rPr>
          <w:rFonts w:ascii="Arial" w:cs="Arial" w:eastAsia="Arial" w:hAnsi="Arial"/>
          <w:sz w:val="16"/>
          <w:szCs w:val="16"/>
          <w:color w:val="auto"/>
        </w:rPr>
        <w:t>During fiscal 2025, Ernst &amp; Young LLP served as the Company’s independent registered public accounting firm and, in that capacity, rendered an opinion on our consolidated financial statements as of and for the fiscal year ended January 31, 2026. The Audit Committee has selected Ernst &amp; Young LLP as the Company’s independent registered public accounting firm for fiscal 2026.</w:t>
      </w:r>
    </w:p>
    <w:p>
      <w:pPr>
        <w:spacing w:after="0" w:line="306" w:lineRule="exact"/>
        <w:rPr>
          <w:sz w:val="20"/>
          <w:szCs w:val="20"/>
          <w:color w:val="auto"/>
        </w:rPr>
      </w:pPr>
    </w:p>
    <w:p>
      <w:pPr>
        <w:spacing w:after="0"/>
        <w:rPr>
          <w:sz w:val="20"/>
          <w:szCs w:val="20"/>
          <w:color w:val="auto"/>
        </w:rPr>
      </w:pPr>
      <w:r>
        <w:rPr>
          <w:rFonts w:ascii="Arial" w:cs="Arial" w:eastAsia="Arial" w:hAnsi="Arial"/>
          <w:sz w:val="23"/>
          <w:szCs w:val="23"/>
          <w:b w:val="1"/>
          <w:bCs w:val="1"/>
          <w:color w:val="292F72"/>
        </w:rPr>
        <w:t>Audit and Other Fees</w:t>
      </w:r>
    </w:p>
    <w:p>
      <w:pPr>
        <w:spacing w:after="0" w:line="148" w:lineRule="exact"/>
        <w:rPr>
          <w:sz w:val="20"/>
          <w:szCs w:val="20"/>
          <w:color w:val="auto"/>
        </w:rPr>
      </w:pPr>
    </w:p>
    <w:p>
      <w:pPr>
        <w:ind w:right="220"/>
        <w:spacing w:after="0" w:line="268" w:lineRule="auto"/>
        <w:rPr>
          <w:sz w:val="20"/>
          <w:szCs w:val="20"/>
          <w:color w:val="auto"/>
        </w:rPr>
      </w:pPr>
      <w:r>
        <w:rPr>
          <w:rFonts w:ascii="Arial" w:cs="Arial" w:eastAsia="Arial" w:hAnsi="Arial"/>
          <w:sz w:val="16"/>
          <w:szCs w:val="16"/>
          <w:color w:val="auto"/>
        </w:rPr>
        <w:t>The following table presents fees billed or expected to be billed for services rendered by Ernst &amp; Young LLP for fiscal 2025 and 2024 (amounts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3740" w:type="dxa"/>
            <w:vAlign w:val="bottom"/>
            <w:gridSpan w:val="2"/>
          </w:tcPr>
          <w:p>
            <w:pPr>
              <w:ind w:left="2620"/>
              <w:spacing w:after="0"/>
              <w:rPr>
                <w:sz w:val="20"/>
                <w:szCs w:val="20"/>
                <w:color w:val="auto"/>
              </w:rPr>
            </w:pPr>
            <w:r>
              <w:rPr>
                <w:rFonts w:ascii="Arial" w:cs="Arial" w:eastAsia="Arial" w:hAnsi="Arial"/>
                <w:sz w:val="14"/>
                <w:szCs w:val="14"/>
                <w:b w:val="1"/>
                <w:bCs w:val="1"/>
                <w:color w:val="292F72"/>
              </w:rPr>
              <w:t>FISCAL 2025</w:t>
            </w: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292F72"/>
              </w:rPr>
              <w:t>FISCAL 2024</w:t>
            </w:r>
          </w:p>
        </w:tc>
      </w:tr>
      <w:tr>
        <w:trPr>
          <w:trHeight w:val="193"/>
        </w:trPr>
        <w:tc>
          <w:tcPr>
            <w:tcW w:w="416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800" w:type="dxa"/>
            <w:vAlign w:val="bottom"/>
          </w:tcPr>
          <w:p>
            <w:pPr>
              <w:jc w:val="right"/>
              <w:ind w:right="524"/>
              <w:spacing w:after="0"/>
              <w:rPr>
                <w:sz w:val="20"/>
                <w:szCs w:val="20"/>
                <w:color w:val="auto"/>
              </w:rPr>
            </w:pPr>
            <w:r>
              <w:rPr>
                <w:rFonts w:ascii="Arial" w:cs="Arial" w:eastAsia="Arial" w:hAnsi="Arial"/>
                <w:sz w:val="14"/>
                <w:szCs w:val="14"/>
                <w:b w:val="1"/>
                <w:bCs w:val="1"/>
                <w:color w:val="292F72"/>
              </w:rPr>
              <w:t>($)</w:t>
            </w:r>
          </w:p>
        </w:tc>
        <w:tc>
          <w:tcPr>
            <w:tcW w:w="580" w:type="dxa"/>
            <w:vAlign w:val="bottom"/>
          </w:tcPr>
          <w:p>
            <w:pPr>
              <w:spacing w:after="0"/>
              <w:rPr>
                <w:sz w:val="16"/>
                <w:szCs w:val="16"/>
                <w:color w:val="auto"/>
              </w:rPr>
            </w:pPr>
          </w:p>
        </w:tc>
        <w:tc>
          <w:tcPr>
            <w:tcW w:w="560" w:type="dxa"/>
            <w:vAlign w:val="bottom"/>
          </w:tcPr>
          <w:p>
            <w:pPr>
              <w:jc w:val="right"/>
              <w:ind w:right="284"/>
              <w:spacing w:after="0"/>
              <w:rPr>
                <w:sz w:val="20"/>
                <w:szCs w:val="20"/>
                <w:color w:val="auto"/>
              </w:rPr>
            </w:pPr>
            <w:r>
              <w:rPr>
                <w:rFonts w:ascii="Arial" w:cs="Arial" w:eastAsia="Arial" w:hAnsi="Arial"/>
                <w:sz w:val="14"/>
                <w:szCs w:val="14"/>
                <w:b w:val="1"/>
                <w:bCs w:val="1"/>
                <w:color w:val="292F72"/>
              </w:rPr>
              <w:t>($)</w:t>
            </w:r>
          </w:p>
        </w:tc>
      </w:tr>
      <w:tr>
        <w:trPr>
          <w:trHeight w:val="40"/>
        </w:trPr>
        <w:tc>
          <w:tcPr>
            <w:tcW w:w="4160" w:type="dxa"/>
            <w:vAlign w:val="bottom"/>
            <w:tcBorders>
              <w:bottom w:val="single" w:sz="8" w:color="292F72"/>
            </w:tcBorders>
          </w:tcPr>
          <w:p>
            <w:pPr>
              <w:spacing w:after="0"/>
              <w:rPr>
                <w:sz w:val="3"/>
                <w:szCs w:val="3"/>
                <w:color w:val="auto"/>
              </w:rPr>
            </w:pPr>
          </w:p>
        </w:tc>
        <w:tc>
          <w:tcPr>
            <w:tcW w:w="3740" w:type="dxa"/>
            <w:vAlign w:val="bottom"/>
            <w:tcBorders>
              <w:bottom w:val="single" w:sz="8" w:color="292F72"/>
            </w:tcBorders>
            <w:gridSpan w:val="2"/>
          </w:tcPr>
          <w:p>
            <w:pPr>
              <w:spacing w:after="0"/>
              <w:rPr>
                <w:sz w:val="3"/>
                <w:szCs w:val="3"/>
                <w:color w:val="auto"/>
              </w:rPr>
            </w:pPr>
          </w:p>
        </w:tc>
        <w:tc>
          <w:tcPr>
            <w:tcW w:w="1140" w:type="dxa"/>
            <w:vAlign w:val="bottom"/>
            <w:tcBorders>
              <w:bottom w:val="single" w:sz="8" w:color="292F72"/>
            </w:tcBorders>
            <w:gridSpan w:val="2"/>
          </w:tcPr>
          <w:p>
            <w:pPr>
              <w:spacing w:after="0"/>
              <w:rPr>
                <w:sz w:val="3"/>
                <w:szCs w:val="3"/>
                <w:color w:val="auto"/>
              </w:rPr>
            </w:pPr>
          </w:p>
        </w:tc>
      </w:tr>
      <w:tr>
        <w:trPr>
          <w:trHeight w:val="347"/>
        </w:trPr>
        <w:tc>
          <w:tcPr>
            <w:tcW w:w="4160" w:type="dxa"/>
            <w:vAlign w:val="bottom"/>
            <w:tcBorders>
              <w:bottom w:val="single" w:sz="8" w:color="6D8CC3"/>
            </w:tcBorders>
          </w:tcPr>
          <w:p>
            <w:pPr>
              <w:spacing w:after="0"/>
              <w:rPr>
                <w:sz w:val="20"/>
                <w:szCs w:val="20"/>
                <w:color w:val="auto"/>
              </w:rPr>
            </w:pPr>
            <w:r>
              <w:rPr>
                <w:rFonts w:ascii="Arial" w:cs="Arial" w:eastAsia="Arial" w:hAnsi="Arial"/>
                <w:sz w:val="16"/>
                <w:szCs w:val="16"/>
                <w:b w:val="1"/>
                <w:bCs w:val="1"/>
                <w:color w:val="auto"/>
              </w:rPr>
              <w:t>Audit Fees</w:t>
            </w:r>
            <w:r>
              <w:rPr>
                <w:rFonts w:ascii="Arial" w:cs="Arial" w:eastAsia="Arial" w:hAnsi="Arial"/>
                <w:sz w:val="26"/>
                <w:szCs w:val="26"/>
                <w:b w:val="1"/>
                <w:bCs w:val="1"/>
                <w:color w:val="auto"/>
                <w:vertAlign w:val="superscript"/>
              </w:rPr>
              <w:t>(1)</w:t>
            </w:r>
          </w:p>
        </w:tc>
        <w:tc>
          <w:tcPr>
            <w:tcW w:w="3740" w:type="dxa"/>
            <w:vAlign w:val="bottom"/>
            <w:tcBorders>
              <w:bottom w:val="single" w:sz="8" w:color="6D8CC3"/>
            </w:tcBorders>
            <w:gridSpan w:val="2"/>
          </w:tcPr>
          <w:p>
            <w:pPr>
              <w:ind w:left="2840"/>
              <w:spacing w:after="0"/>
              <w:rPr>
                <w:sz w:val="20"/>
                <w:szCs w:val="20"/>
                <w:color w:val="auto"/>
              </w:rPr>
            </w:pPr>
            <w:r>
              <w:rPr>
                <w:rFonts w:ascii="Arial" w:cs="Arial" w:eastAsia="Arial" w:hAnsi="Arial"/>
                <w:sz w:val="16"/>
                <w:szCs w:val="16"/>
                <w:color w:val="auto"/>
              </w:rPr>
              <w:t>3,998</w:t>
            </w:r>
          </w:p>
        </w:tc>
        <w:tc>
          <w:tcPr>
            <w:tcW w:w="1140" w:type="dxa"/>
            <w:vAlign w:val="bottom"/>
            <w:tcBorders>
              <w:bottom w:val="single" w:sz="8" w:color="6D8CC3"/>
            </w:tcBorders>
            <w:gridSpan w:val="2"/>
          </w:tcPr>
          <w:p>
            <w:pPr>
              <w:jc w:val="right"/>
              <w:ind w:right="164"/>
              <w:spacing w:after="0"/>
              <w:rPr>
                <w:sz w:val="20"/>
                <w:szCs w:val="20"/>
                <w:color w:val="auto"/>
              </w:rPr>
            </w:pPr>
            <w:r>
              <w:rPr>
                <w:rFonts w:ascii="Arial" w:cs="Arial" w:eastAsia="Arial" w:hAnsi="Arial"/>
                <w:sz w:val="16"/>
                <w:szCs w:val="16"/>
                <w:color w:val="auto"/>
              </w:rPr>
              <w:t>3,869</w:t>
            </w:r>
          </w:p>
        </w:tc>
      </w:tr>
      <w:tr>
        <w:trPr>
          <w:trHeight w:val="334"/>
        </w:trPr>
        <w:tc>
          <w:tcPr>
            <w:tcW w:w="4160" w:type="dxa"/>
            <w:vAlign w:val="bottom"/>
            <w:tcBorders>
              <w:bottom w:val="single" w:sz="8" w:color="6D8CC3"/>
            </w:tcBorders>
          </w:tcPr>
          <w:p>
            <w:pPr>
              <w:spacing w:after="0"/>
              <w:rPr>
                <w:sz w:val="20"/>
                <w:szCs w:val="20"/>
                <w:color w:val="auto"/>
              </w:rPr>
            </w:pPr>
            <w:r>
              <w:rPr>
                <w:rFonts w:ascii="Arial" w:cs="Arial" w:eastAsia="Arial" w:hAnsi="Arial"/>
                <w:sz w:val="16"/>
                <w:szCs w:val="16"/>
                <w:b w:val="1"/>
                <w:bCs w:val="1"/>
                <w:color w:val="auto"/>
              </w:rPr>
              <w:t>Audit-related Fees</w:t>
            </w:r>
            <w:r>
              <w:rPr>
                <w:rFonts w:ascii="Arial" w:cs="Arial" w:eastAsia="Arial" w:hAnsi="Arial"/>
                <w:sz w:val="26"/>
                <w:szCs w:val="26"/>
                <w:b w:val="1"/>
                <w:bCs w:val="1"/>
                <w:color w:val="auto"/>
                <w:vertAlign w:val="superscript"/>
              </w:rPr>
              <w:t>(2)</w:t>
            </w:r>
          </w:p>
        </w:tc>
        <w:tc>
          <w:tcPr>
            <w:tcW w:w="2940" w:type="dxa"/>
            <w:vAlign w:val="bottom"/>
            <w:tcBorders>
              <w:bottom w:val="single" w:sz="8" w:color="6D8CC3"/>
            </w:tcBorders>
          </w:tcPr>
          <w:p>
            <w:pPr>
              <w:ind w:left="28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6D8CC3"/>
            </w:tcBorders>
          </w:tcPr>
          <w:p>
            <w:pPr>
              <w:jc w:val="right"/>
              <w:ind w:right="424"/>
              <w:spacing w:after="0"/>
              <w:rPr>
                <w:sz w:val="20"/>
                <w:szCs w:val="20"/>
                <w:color w:val="auto"/>
              </w:rPr>
            </w:pPr>
            <w:r>
              <w:rPr>
                <w:rFonts w:ascii="Arial" w:cs="Arial" w:eastAsia="Arial" w:hAnsi="Arial"/>
                <w:sz w:val="16"/>
                <w:szCs w:val="16"/>
                <w:color w:val="auto"/>
              </w:rPr>
              <w:t>15</w:t>
            </w:r>
          </w:p>
        </w:tc>
        <w:tc>
          <w:tcPr>
            <w:tcW w:w="580" w:type="dxa"/>
            <w:vAlign w:val="bottom"/>
            <w:tcBorders>
              <w:bottom w:val="single" w:sz="8" w:color="6D8CC3"/>
            </w:tcBorders>
          </w:tcPr>
          <w:p>
            <w:pPr>
              <w:spacing w:after="0"/>
              <w:rPr>
                <w:sz w:val="24"/>
                <w:szCs w:val="24"/>
                <w:color w:val="auto"/>
              </w:rPr>
            </w:pPr>
          </w:p>
        </w:tc>
        <w:tc>
          <w:tcPr>
            <w:tcW w:w="560" w:type="dxa"/>
            <w:vAlign w:val="bottom"/>
            <w:tcBorders>
              <w:bottom w:val="single" w:sz="8" w:color="6D8CC3"/>
            </w:tcBorders>
          </w:tcPr>
          <w:p>
            <w:pPr>
              <w:jc w:val="right"/>
              <w:ind w:right="164"/>
              <w:spacing w:after="0"/>
              <w:rPr>
                <w:sz w:val="20"/>
                <w:szCs w:val="20"/>
                <w:color w:val="auto"/>
              </w:rPr>
            </w:pPr>
            <w:r>
              <w:rPr>
                <w:rFonts w:ascii="Arial" w:cs="Arial" w:eastAsia="Arial" w:hAnsi="Arial"/>
                <w:sz w:val="16"/>
                <w:szCs w:val="16"/>
                <w:color w:val="auto"/>
              </w:rPr>
              <w:t>133</w:t>
            </w:r>
          </w:p>
        </w:tc>
      </w:tr>
      <w:tr>
        <w:trPr>
          <w:trHeight w:val="334"/>
        </w:trPr>
        <w:tc>
          <w:tcPr>
            <w:tcW w:w="4160" w:type="dxa"/>
            <w:vAlign w:val="bottom"/>
            <w:tcBorders>
              <w:bottom w:val="single" w:sz="8" w:color="6D8CC3"/>
            </w:tcBorders>
          </w:tcPr>
          <w:p>
            <w:pPr>
              <w:spacing w:after="0"/>
              <w:rPr>
                <w:sz w:val="20"/>
                <w:szCs w:val="20"/>
                <w:color w:val="auto"/>
              </w:rPr>
            </w:pPr>
            <w:r>
              <w:rPr>
                <w:rFonts w:ascii="Arial" w:cs="Arial" w:eastAsia="Arial" w:hAnsi="Arial"/>
                <w:sz w:val="16"/>
                <w:szCs w:val="16"/>
                <w:b w:val="1"/>
                <w:bCs w:val="1"/>
                <w:color w:val="auto"/>
              </w:rPr>
              <w:t>Tax Fees</w:t>
            </w:r>
            <w:r>
              <w:rPr>
                <w:rFonts w:ascii="Arial" w:cs="Arial" w:eastAsia="Arial" w:hAnsi="Arial"/>
                <w:sz w:val="26"/>
                <w:szCs w:val="26"/>
                <w:b w:val="1"/>
                <w:bCs w:val="1"/>
                <w:color w:val="auto"/>
                <w:vertAlign w:val="superscript"/>
              </w:rPr>
              <w:t>(3)</w:t>
            </w:r>
          </w:p>
        </w:tc>
        <w:tc>
          <w:tcPr>
            <w:tcW w:w="2940" w:type="dxa"/>
            <w:vAlign w:val="bottom"/>
            <w:tcBorders>
              <w:bottom w:val="single" w:sz="8" w:color="6D8CC3"/>
            </w:tcBorders>
          </w:tcPr>
          <w:p>
            <w:pPr>
              <w:ind w:left="28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6D8CC3"/>
            </w:tcBorders>
          </w:tcPr>
          <w:p>
            <w:pPr>
              <w:jc w:val="right"/>
              <w:ind w:right="424"/>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6D8CC3"/>
            </w:tcBorders>
          </w:tcPr>
          <w:p>
            <w:pPr>
              <w:ind w:left="50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6D8CC3"/>
            </w:tcBorders>
          </w:tcPr>
          <w:p>
            <w:pPr>
              <w:jc w:val="right"/>
              <w:ind w:right="164"/>
              <w:spacing w:after="0"/>
              <w:rPr>
                <w:sz w:val="20"/>
                <w:szCs w:val="20"/>
                <w:color w:val="auto"/>
              </w:rPr>
            </w:pPr>
            <w:r>
              <w:rPr>
                <w:rFonts w:ascii="Arial" w:cs="Arial" w:eastAsia="Arial" w:hAnsi="Arial"/>
                <w:sz w:val="16"/>
                <w:szCs w:val="16"/>
                <w:color w:val="auto"/>
              </w:rPr>
              <w:t>—</w:t>
            </w:r>
          </w:p>
        </w:tc>
      </w:tr>
      <w:tr>
        <w:trPr>
          <w:trHeight w:val="248"/>
        </w:trPr>
        <w:tc>
          <w:tcPr>
            <w:tcW w:w="4160" w:type="dxa"/>
            <w:vAlign w:val="bottom"/>
          </w:tcPr>
          <w:p>
            <w:pPr>
              <w:spacing w:after="0"/>
              <w:rPr>
                <w:sz w:val="20"/>
                <w:szCs w:val="20"/>
                <w:color w:val="auto"/>
              </w:rPr>
            </w:pPr>
            <w:r>
              <w:rPr>
                <w:rFonts w:ascii="Arial" w:cs="Arial" w:eastAsia="Arial" w:hAnsi="Arial"/>
                <w:sz w:val="16"/>
                <w:szCs w:val="16"/>
                <w:b w:val="1"/>
                <w:bCs w:val="1"/>
                <w:color w:val="auto"/>
              </w:rPr>
              <w:t>All Other Fees</w:t>
            </w:r>
          </w:p>
        </w:tc>
        <w:tc>
          <w:tcPr>
            <w:tcW w:w="2940" w:type="dxa"/>
            <w:vAlign w:val="bottom"/>
          </w:tcPr>
          <w:p>
            <w:pPr>
              <w:ind w:left="284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24"/>
              <w:spacing w:after="0"/>
              <w:rPr>
                <w:sz w:val="20"/>
                <w:szCs w:val="20"/>
                <w:color w:val="auto"/>
              </w:rPr>
            </w:pPr>
            <w:r>
              <w:rPr>
                <w:rFonts w:ascii="Arial" w:cs="Arial" w:eastAsia="Arial" w:hAnsi="Arial"/>
                <w:sz w:val="16"/>
                <w:szCs w:val="16"/>
                <w:color w:val="auto"/>
              </w:rPr>
              <w:t>—</w:t>
            </w:r>
          </w:p>
        </w:tc>
        <w:tc>
          <w:tcPr>
            <w:tcW w:w="580" w:type="dxa"/>
            <w:vAlign w:val="bottom"/>
          </w:tcPr>
          <w:p>
            <w:pPr>
              <w:ind w:left="500"/>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64"/>
              <w:spacing w:after="0"/>
              <w:rPr>
                <w:sz w:val="20"/>
                <w:szCs w:val="20"/>
                <w:color w:val="auto"/>
              </w:rPr>
            </w:pPr>
            <w:r>
              <w:rPr>
                <w:rFonts w:ascii="Arial" w:cs="Arial" w:eastAsia="Arial" w:hAnsi="Arial"/>
                <w:sz w:val="16"/>
                <w:szCs w:val="16"/>
                <w:color w:val="auto"/>
              </w:rPr>
              <w:t>—</w:t>
            </w:r>
          </w:p>
        </w:tc>
      </w:tr>
      <w:tr>
        <w:trPr>
          <w:trHeight w:val="47"/>
        </w:trPr>
        <w:tc>
          <w:tcPr>
            <w:tcW w:w="4160" w:type="dxa"/>
            <w:vAlign w:val="bottom"/>
            <w:tcBorders>
              <w:bottom w:val="single" w:sz="8" w:color="6D8CC3"/>
            </w:tcBorders>
          </w:tcPr>
          <w:p>
            <w:pPr>
              <w:spacing w:after="0"/>
              <w:rPr>
                <w:sz w:val="4"/>
                <w:szCs w:val="4"/>
                <w:color w:val="auto"/>
              </w:rPr>
            </w:pPr>
          </w:p>
        </w:tc>
        <w:tc>
          <w:tcPr>
            <w:tcW w:w="3740" w:type="dxa"/>
            <w:vAlign w:val="bottom"/>
            <w:tcBorders>
              <w:bottom w:val="single" w:sz="8" w:color="6D8CC3"/>
            </w:tcBorders>
            <w:gridSpan w:val="2"/>
          </w:tcPr>
          <w:p>
            <w:pPr>
              <w:spacing w:after="0"/>
              <w:rPr>
                <w:sz w:val="4"/>
                <w:szCs w:val="4"/>
                <w:color w:val="auto"/>
              </w:rPr>
            </w:pPr>
          </w:p>
        </w:tc>
        <w:tc>
          <w:tcPr>
            <w:tcW w:w="1140" w:type="dxa"/>
            <w:vAlign w:val="bottom"/>
            <w:tcBorders>
              <w:bottom w:val="single" w:sz="8" w:color="6D8CC3"/>
            </w:tcBorders>
            <w:gridSpan w:val="2"/>
          </w:tcPr>
          <w:p>
            <w:pPr>
              <w:spacing w:after="0"/>
              <w:rPr>
                <w:sz w:val="4"/>
                <w:szCs w:val="4"/>
                <w:color w:val="auto"/>
              </w:rPr>
            </w:pPr>
          </w:p>
        </w:tc>
      </w:tr>
      <w:tr>
        <w:trPr>
          <w:trHeight w:val="248"/>
        </w:trPr>
        <w:tc>
          <w:tcPr>
            <w:tcW w:w="4160" w:type="dxa"/>
            <w:vAlign w:val="bottom"/>
          </w:tcPr>
          <w:p>
            <w:pPr>
              <w:spacing w:after="0"/>
              <w:rPr>
                <w:sz w:val="20"/>
                <w:szCs w:val="20"/>
                <w:color w:val="auto"/>
              </w:rPr>
            </w:pPr>
            <w:r>
              <w:rPr>
                <w:rFonts w:ascii="Arial" w:cs="Arial" w:eastAsia="Arial" w:hAnsi="Arial"/>
                <w:sz w:val="16"/>
                <w:szCs w:val="16"/>
                <w:b w:val="1"/>
                <w:bCs w:val="1"/>
                <w:color w:val="auto"/>
              </w:rPr>
              <w:t>Total Fees</w:t>
            </w:r>
          </w:p>
        </w:tc>
        <w:tc>
          <w:tcPr>
            <w:tcW w:w="3740" w:type="dxa"/>
            <w:vAlign w:val="bottom"/>
            <w:gridSpan w:val="2"/>
          </w:tcPr>
          <w:p>
            <w:pPr>
              <w:ind w:left="2840"/>
              <w:spacing w:after="0"/>
              <w:rPr>
                <w:sz w:val="20"/>
                <w:szCs w:val="20"/>
                <w:color w:val="auto"/>
              </w:rPr>
            </w:pPr>
            <w:r>
              <w:rPr>
                <w:rFonts w:ascii="Arial" w:cs="Arial" w:eastAsia="Arial" w:hAnsi="Arial"/>
                <w:sz w:val="16"/>
                <w:szCs w:val="16"/>
                <w:color w:val="auto"/>
              </w:rPr>
              <w:t>4,013</w:t>
            </w:r>
          </w:p>
        </w:tc>
        <w:tc>
          <w:tcPr>
            <w:tcW w:w="1140" w:type="dxa"/>
            <w:vAlign w:val="bottom"/>
            <w:gridSpan w:val="2"/>
          </w:tcPr>
          <w:p>
            <w:pPr>
              <w:jc w:val="right"/>
              <w:ind w:right="164"/>
              <w:spacing w:after="0"/>
              <w:rPr>
                <w:sz w:val="20"/>
                <w:szCs w:val="20"/>
                <w:color w:val="auto"/>
              </w:rPr>
            </w:pPr>
            <w:r>
              <w:rPr>
                <w:rFonts w:ascii="Arial" w:cs="Arial" w:eastAsia="Arial" w:hAnsi="Arial"/>
                <w:sz w:val="16"/>
                <w:szCs w:val="16"/>
                <w:color w:val="auto"/>
              </w:rPr>
              <w:t>4,002</w:t>
            </w:r>
          </w:p>
        </w:tc>
      </w:tr>
      <w:tr>
        <w:trPr>
          <w:trHeight w:val="34"/>
        </w:trPr>
        <w:tc>
          <w:tcPr>
            <w:tcW w:w="4160" w:type="dxa"/>
            <w:vAlign w:val="bottom"/>
            <w:tcBorders>
              <w:bottom w:val="single" w:sz="8" w:color="6D8CC3"/>
            </w:tcBorders>
          </w:tcPr>
          <w:p>
            <w:pPr>
              <w:spacing w:after="0"/>
              <w:rPr>
                <w:sz w:val="2"/>
                <w:szCs w:val="2"/>
                <w:color w:val="auto"/>
              </w:rPr>
            </w:pPr>
          </w:p>
        </w:tc>
        <w:tc>
          <w:tcPr>
            <w:tcW w:w="2940" w:type="dxa"/>
            <w:vAlign w:val="bottom"/>
            <w:tcBorders>
              <w:bottom w:val="single" w:sz="8" w:color="6D8CC3"/>
            </w:tcBorders>
          </w:tcPr>
          <w:p>
            <w:pPr>
              <w:spacing w:after="0"/>
              <w:rPr>
                <w:sz w:val="2"/>
                <w:szCs w:val="2"/>
                <w:color w:val="auto"/>
              </w:rPr>
            </w:pPr>
          </w:p>
        </w:tc>
        <w:tc>
          <w:tcPr>
            <w:tcW w:w="800" w:type="dxa"/>
            <w:vAlign w:val="bottom"/>
            <w:tcBorders>
              <w:bottom w:val="single" w:sz="8" w:color="6D8CC3"/>
            </w:tcBorders>
          </w:tcPr>
          <w:p>
            <w:pPr>
              <w:spacing w:after="0"/>
              <w:rPr>
                <w:sz w:val="2"/>
                <w:szCs w:val="2"/>
                <w:color w:val="auto"/>
              </w:rPr>
            </w:pPr>
          </w:p>
        </w:tc>
        <w:tc>
          <w:tcPr>
            <w:tcW w:w="580" w:type="dxa"/>
            <w:vAlign w:val="bottom"/>
            <w:tcBorders>
              <w:bottom w:val="single" w:sz="8" w:color="6D8CC3"/>
            </w:tcBorders>
          </w:tcPr>
          <w:p>
            <w:pPr>
              <w:spacing w:after="0"/>
              <w:rPr>
                <w:sz w:val="2"/>
                <w:szCs w:val="2"/>
                <w:color w:val="auto"/>
              </w:rPr>
            </w:pPr>
          </w:p>
        </w:tc>
        <w:tc>
          <w:tcPr>
            <w:tcW w:w="560" w:type="dxa"/>
            <w:vAlign w:val="bottom"/>
            <w:tcBorders>
              <w:bottom w:val="single" w:sz="8" w:color="6D8CC3"/>
            </w:tcBorders>
          </w:tcPr>
          <w:p>
            <w:pPr>
              <w:spacing w:after="0"/>
              <w:rPr>
                <w:sz w:val="2"/>
                <w:szCs w:val="2"/>
                <w:color w:val="auto"/>
              </w:rPr>
            </w:pPr>
          </w:p>
        </w:tc>
      </w:tr>
    </w:tbl>
    <w:p>
      <w:pPr>
        <w:spacing w:after="0" w:line="69" w:lineRule="exact"/>
        <w:rPr>
          <w:sz w:val="20"/>
          <w:szCs w:val="20"/>
          <w:color w:val="auto"/>
        </w:rPr>
      </w:pPr>
    </w:p>
    <w:p>
      <w:pPr>
        <w:ind w:left="260" w:right="40" w:hanging="256"/>
        <w:spacing w:after="0" w:line="243" w:lineRule="auto"/>
        <w:tabs>
          <w:tab w:leader="none" w:pos="2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“Audit Fees” consist of fees for professional services rendered by Ernst &amp; Young LLP in connection with the audit of our consolidated financial statements and reviews of our unaudited consolidated interim financial statements, as well as fees for services that generally only the independent auditor can reasonably be expected to provide, including comfort letters and consultations regarding financial accounting and/or reporting standards. These amounts also include fees for services rendered in connection with the audit of our internal control over financial reporting and fees for services rendered in connection with statutory audits of our international subsidiaries’ financial statements.</w:t>
      </w:r>
    </w:p>
    <w:p>
      <w:pPr>
        <w:spacing w:after="0" w:line="37" w:lineRule="exact"/>
        <w:rPr>
          <w:rFonts w:ascii="Arial" w:cs="Arial" w:eastAsia="Arial" w:hAnsi="Arial"/>
          <w:sz w:val="14"/>
          <w:szCs w:val="14"/>
          <w:color w:val="auto"/>
        </w:rPr>
      </w:pPr>
    </w:p>
    <w:p>
      <w:pPr>
        <w:ind w:left="260" w:right="140" w:hanging="256"/>
        <w:spacing w:after="0" w:line="269" w:lineRule="auto"/>
        <w:tabs>
          <w:tab w:leader="none" w:pos="2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“Audit-related Fees” consist of assurance and related services that are traditionally performed by the independent auditor and include audits of employee benefit plans, agreed upon procedures and other attest engagements not required by statute or regulation.</w:t>
      </w:r>
    </w:p>
    <w:p>
      <w:pPr>
        <w:spacing w:after="0" w:line="19" w:lineRule="exact"/>
        <w:rPr>
          <w:rFonts w:ascii="Arial" w:cs="Arial" w:eastAsia="Arial" w:hAnsi="Arial"/>
          <w:sz w:val="14"/>
          <w:szCs w:val="14"/>
          <w:color w:val="auto"/>
        </w:rPr>
      </w:pPr>
    </w:p>
    <w:p>
      <w:pPr>
        <w:ind w:left="260" w:hanging="256"/>
        <w:spacing w:after="0"/>
        <w:tabs>
          <w:tab w:leader="none" w:pos="2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“Tax Fees” consist of tax compliance and advisory services.</w:t>
      </w:r>
    </w:p>
    <w:p>
      <w:pPr>
        <w:spacing w:after="0" w:line="342" w:lineRule="exact"/>
        <w:rPr>
          <w:sz w:val="20"/>
          <w:szCs w:val="20"/>
          <w:color w:val="auto"/>
        </w:rPr>
      </w:pPr>
    </w:p>
    <w:p>
      <w:pPr>
        <w:spacing w:after="0"/>
        <w:rPr>
          <w:sz w:val="20"/>
          <w:szCs w:val="20"/>
          <w:color w:val="auto"/>
        </w:rPr>
      </w:pPr>
      <w:r>
        <w:rPr>
          <w:rFonts w:ascii="Arial" w:cs="Arial" w:eastAsia="Arial" w:hAnsi="Arial"/>
          <w:sz w:val="23"/>
          <w:szCs w:val="23"/>
          <w:b w:val="1"/>
          <w:bCs w:val="1"/>
          <w:color w:val="292F72"/>
        </w:rPr>
        <w:t>Pre-approval Policies and Procedures</w:t>
      </w:r>
    </w:p>
    <w:p>
      <w:pPr>
        <w:spacing w:after="0" w:line="135" w:lineRule="exact"/>
        <w:rPr>
          <w:sz w:val="20"/>
          <w:szCs w:val="20"/>
          <w:color w:val="auto"/>
        </w:rPr>
      </w:pPr>
    </w:p>
    <w:p>
      <w:pPr>
        <w:ind w:right="40"/>
        <w:spacing w:after="0" w:line="244" w:lineRule="auto"/>
        <w:rPr>
          <w:sz w:val="20"/>
          <w:szCs w:val="20"/>
          <w:color w:val="auto"/>
        </w:rPr>
      </w:pPr>
      <w:r>
        <w:rPr>
          <w:rFonts w:ascii="Arial" w:cs="Arial" w:eastAsia="Arial" w:hAnsi="Arial"/>
          <w:sz w:val="16"/>
          <w:szCs w:val="16"/>
          <w:color w:val="auto"/>
        </w:rPr>
        <w:t>Our Audit Committee is required to pre-approve the audit and non-audit services performed by Ernst &amp; Young LLP to ensure that these services do not impair Ernst &amp; Young LLP’s independence from us. We maintain an auditor independence policy that, among other things, mandates that our Audit Committee annually pre-approves all audit and permitted non-audit services expected to be performed each year by Ernst &amp; Young LLP and the related fees. This policy also mandates that we may not enter into engagements with Ernst &amp; Young LLP for other permissible non-audit services without the express pre-approval of the Audit Committee. In accordance with this policy, the Audit Committee pre-approved all services performed by Ernst &amp; Young LLP in fiscal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57372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737225" cy="8255"/>
                    </a:xfrm>
                    <a:prstGeom prst="rect">
                      <a:avLst/>
                    </a:prstGeom>
                    <a:noFill/>
                  </pic:spPr>
                </pic:pic>
              </a:graphicData>
            </a:graphic>
          </wp:anchor>
        </w:drawing>
      </w:r>
    </w:p>
    <w:p>
      <w:pPr>
        <w:spacing w:after="0" w:line="273" w:lineRule="exact"/>
        <w:rPr>
          <w:sz w:val="20"/>
          <w:szCs w:val="20"/>
          <w:color w:val="auto"/>
        </w:rPr>
      </w:pPr>
    </w:p>
    <w:p>
      <w:pPr>
        <w:jc w:val="right"/>
        <w:spacing w:after="0"/>
        <w:rPr>
          <w:sz w:val="20"/>
          <w:szCs w:val="20"/>
          <w:color w:val="auto"/>
        </w:rPr>
      </w:pPr>
      <w:r>
        <w:rPr>
          <w:rFonts w:ascii="Arial" w:cs="Arial" w:eastAsia="Arial" w:hAnsi="Arial"/>
          <w:sz w:val="14"/>
          <w:szCs w:val="14"/>
          <w:color w:val="292F72"/>
        </w:rPr>
        <w:t>Bath &amp; Body Works, Inc.</w:t>
      </w:r>
      <w:r>
        <w:rPr>
          <w:rFonts w:ascii="Arial" w:cs="Arial" w:eastAsia="Arial" w:hAnsi="Arial"/>
          <w:sz w:val="14"/>
          <w:szCs w:val="14"/>
          <w:color w:val="6D8CC3"/>
        </w:rPr>
        <w:t xml:space="preserve">   | </w:t>
      </w:r>
      <w:r>
        <w:rPr>
          <w:rFonts w:ascii="Arial" w:cs="Arial" w:eastAsia="Arial" w:hAnsi="Arial"/>
          <w:sz w:val="14"/>
          <w:szCs w:val="14"/>
          <w:color w:val="292F72"/>
        </w:rPr>
        <w:t xml:space="preserve">  2026 Proxy Statement     </w:t>
      </w:r>
      <w:r>
        <w:rPr>
          <w:rFonts w:ascii="Arial" w:cs="Arial" w:eastAsia="Arial" w:hAnsi="Arial"/>
          <w:sz w:val="14"/>
          <w:szCs w:val="14"/>
          <w:b w:val="1"/>
          <w:bCs w:val="1"/>
          <w:color w:val="292F72"/>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153670</wp:posOffset>
            </wp:positionV>
            <wp:extent cx="6795135" cy="165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795135" cy="16510"/>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7" w:lineRule="exact"/>
        <w:rPr>
          <w:sz w:val="20"/>
          <w:szCs w:val="20"/>
          <w:color w:val="auto"/>
        </w:rPr>
      </w:pPr>
    </w:p>
    <w:p>
      <w:pPr>
        <w:spacing w:after="0"/>
        <w:rPr>
          <w:sz w:val="20"/>
          <w:szCs w:val="20"/>
          <w:color w:val="auto"/>
        </w:rPr>
      </w:pPr>
      <w:r>
        <w:rPr>
          <w:rFonts w:ascii="Arial" w:cs="Arial" w:eastAsia="Arial" w:hAnsi="Arial"/>
          <w:sz w:val="38"/>
          <w:szCs w:val="38"/>
          <w:color w:val="292F72"/>
        </w:rPr>
        <w:t>Information About Our Executive Officers</w:t>
      </w:r>
    </w:p>
    <w:p>
      <w:pPr>
        <w:spacing w:after="0" w:line="186" w:lineRule="exact"/>
        <w:rPr>
          <w:sz w:val="20"/>
          <w:szCs w:val="20"/>
          <w:color w:val="auto"/>
        </w:rPr>
      </w:pPr>
    </w:p>
    <w:p>
      <w:pPr>
        <w:ind w:right="39"/>
        <w:spacing w:after="0" w:line="254" w:lineRule="auto"/>
        <w:rPr>
          <w:sz w:val="20"/>
          <w:szCs w:val="20"/>
          <w:color w:val="auto"/>
        </w:rPr>
      </w:pPr>
      <w:r>
        <w:rPr>
          <w:rFonts w:ascii="Arial" w:cs="Arial" w:eastAsia="Arial" w:hAnsi="Arial"/>
          <w:sz w:val="16"/>
          <w:szCs w:val="16"/>
          <w:color w:val="auto"/>
        </w:rPr>
        <w:t xml:space="preserve">Set forth below is the name, age (as of April 28, 2026) and certain information regarding each of our executive officers, other than Mr. Heaf whose biographical information is presented on page </w:t>
      </w:r>
      <w:r>
        <w:rPr>
          <w:rFonts w:ascii="Arial" w:cs="Arial" w:eastAsia="Arial" w:hAnsi="Arial"/>
          <w:sz w:val="16"/>
          <w:szCs w:val="16"/>
          <w:u w:val="single" w:color="auto"/>
          <w:color w:val="0000EE"/>
        </w:rPr>
        <w:t>9</w:t>
      </w:r>
      <w:r>
        <w:rPr>
          <w:rFonts w:ascii="Arial" w:cs="Arial" w:eastAsia="Arial" w:hAnsi="Arial"/>
          <w:sz w:val="16"/>
          <w:szCs w:val="16"/>
          <w:color w:val="auto"/>
        </w:rPr>
        <w:t xml:space="preserve"> of this proxy statement under the heading “Election of Directors —The Board’s 2026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120015</wp:posOffset>
            </wp:positionV>
            <wp:extent cx="1198880" cy="13658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198880" cy="1365885"/>
                    </a:xfrm>
                    <a:prstGeom prst="rect">
                      <a:avLst/>
                    </a:prstGeom>
                    <a:noFill/>
                  </pic:spPr>
                </pic:pic>
              </a:graphicData>
            </a:graphic>
          </wp:anchor>
        </w:drawing>
        <w:drawing>
          <wp:anchor simplePos="0" relativeHeight="251657728" behindDoc="1" locked="0" layoutInCell="0" allowOverlap="1">
            <wp:simplePos x="0" y="0"/>
            <wp:positionH relativeFrom="column">
              <wp:posOffset>2802255</wp:posOffset>
            </wp:positionH>
            <wp:positionV relativeFrom="paragraph">
              <wp:posOffset>53340</wp:posOffset>
            </wp:positionV>
            <wp:extent cx="1407160" cy="613727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407160" cy="6137275"/>
                    </a:xfrm>
                    <a:prstGeom prst="rect">
                      <a:avLst/>
                    </a:prstGeom>
                    <a:noFill/>
                  </pic:spPr>
                </pic:pic>
              </a:graphicData>
            </a:graphic>
          </wp:anchor>
        </w:drawing>
      </w:r>
    </w:p>
    <w:p>
      <w:pPr>
        <w:sectPr>
          <w:pgSz w:w="11900" w:h="16838" w:orient="portrait"/>
          <w:cols w:equalWidth="0" w:num="1">
            <w:col w:w="9039"/>
          </w:cols>
          <w:pgMar w:left="1420" w:top="115" w:right="1440" w:bottom="1440" w:gutter="0" w:footer="0" w:header="0"/>
        </w:sectPr>
      </w:pPr>
    </w:p>
    <w:p>
      <w:pPr>
        <w:spacing w:after="0" w:line="370" w:lineRule="exact"/>
        <w:rPr>
          <w:sz w:val="20"/>
          <w:szCs w:val="20"/>
          <w:color w:val="auto"/>
        </w:rPr>
      </w:pPr>
    </w:p>
    <w:p>
      <w:pPr>
        <w:ind w:left="2340"/>
        <w:spacing w:after="0"/>
        <w:rPr>
          <w:sz w:val="20"/>
          <w:szCs w:val="20"/>
          <w:color w:val="auto"/>
        </w:rPr>
      </w:pPr>
      <w:r>
        <w:rPr>
          <w:rFonts w:ascii="Arial" w:cs="Arial" w:eastAsia="Arial" w:hAnsi="Arial"/>
          <w:sz w:val="21"/>
          <w:szCs w:val="21"/>
          <w:b w:val="1"/>
          <w:bCs w:val="1"/>
          <w:color w:val="292F72"/>
        </w:rPr>
        <w:t>Eva Boratto</w:t>
      </w:r>
    </w:p>
    <w:p>
      <w:pPr>
        <w:spacing w:after="0" w:line="118" w:lineRule="exact"/>
        <w:rPr>
          <w:sz w:val="20"/>
          <w:szCs w:val="20"/>
          <w:color w:val="auto"/>
        </w:rPr>
      </w:pPr>
    </w:p>
    <w:p>
      <w:pPr>
        <w:ind w:left="2340"/>
        <w:spacing w:after="0"/>
        <w:rPr>
          <w:sz w:val="20"/>
          <w:szCs w:val="20"/>
          <w:color w:val="auto"/>
        </w:rPr>
      </w:pPr>
      <w:r>
        <w:rPr>
          <w:rFonts w:ascii="Arial" w:cs="Arial" w:eastAsia="Arial" w:hAnsi="Arial"/>
          <w:sz w:val="14"/>
          <w:szCs w:val="14"/>
          <w:b w:val="1"/>
          <w:bCs w:val="1"/>
          <w:color w:val="6D8CC3"/>
        </w:rPr>
        <w:t>CHIEF FINANCIAL</w:t>
      </w:r>
    </w:p>
    <w:p>
      <w:pPr>
        <w:spacing w:after="0" w:line="23" w:lineRule="exact"/>
        <w:rPr>
          <w:sz w:val="20"/>
          <w:szCs w:val="20"/>
          <w:color w:val="auto"/>
        </w:rPr>
      </w:pPr>
    </w:p>
    <w:p>
      <w:pPr>
        <w:ind w:left="2340"/>
        <w:spacing w:after="0"/>
        <w:rPr>
          <w:sz w:val="20"/>
          <w:szCs w:val="20"/>
          <w:color w:val="auto"/>
        </w:rPr>
      </w:pPr>
      <w:r>
        <w:rPr>
          <w:rFonts w:ascii="Arial" w:cs="Arial" w:eastAsia="Arial" w:hAnsi="Arial"/>
          <w:sz w:val="14"/>
          <w:szCs w:val="14"/>
          <w:b w:val="1"/>
          <w:bCs w:val="1"/>
          <w:color w:val="6D8CC3"/>
        </w:rPr>
        <w:t>OFFICER</w:t>
      </w:r>
    </w:p>
    <w:p>
      <w:pPr>
        <w:spacing w:after="0" w:line="100" w:lineRule="exact"/>
        <w:rPr>
          <w:sz w:val="20"/>
          <w:szCs w:val="20"/>
          <w:color w:val="auto"/>
        </w:rPr>
      </w:pPr>
    </w:p>
    <w:p>
      <w:pPr>
        <w:ind w:left="2340"/>
        <w:spacing w:after="0"/>
        <w:rPr>
          <w:sz w:val="20"/>
          <w:szCs w:val="20"/>
          <w:color w:val="auto"/>
        </w:rPr>
      </w:pPr>
      <w:r>
        <w:rPr>
          <w:rFonts w:ascii="Arial" w:cs="Arial" w:eastAsia="Arial" w:hAnsi="Arial"/>
          <w:sz w:val="14"/>
          <w:szCs w:val="14"/>
          <w:b w:val="1"/>
          <w:bCs w:val="1"/>
          <w:color w:val="292F72"/>
        </w:rPr>
        <w:t xml:space="preserve">Age: </w:t>
      </w:r>
      <w:r>
        <w:rPr>
          <w:rFonts w:ascii="Arial" w:cs="Arial" w:eastAsia="Arial" w:hAnsi="Arial"/>
          <w:sz w:val="14"/>
          <w:szCs w:val="14"/>
          <w:color w:val="000000"/>
        </w:rPr>
        <w:t>59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  </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292F72"/>
        </w:rPr>
        <w:t>Career Highlights</w:t>
      </w:r>
    </w:p>
    <w:p>
      <w:pPr>
        <w:spacing w:after="0" w:line="107" w:lineRule="exact"/>
        <w:rPr>
          <w:sz w:val="20"/>
          <w:szCs w:val="20"/>
          <w:color w:val="auto"/>
        </w:rPr>
      </w:pPr>
    </w:p>
    <w:p>
      <w:pPr>
        <w:ind w:left="180" w:right="140" w:hanging="133"/>
        <w:spacing w:after="0" w:line="267" w:lineRule="auto"/>
        <w:rPr>
          <w:sz w:val="20"/>
          <w:szCs w:val="20"/>
          <w:color w:val="auto"/>
        </w:rPr>
      </w:pPr>
      <w:r>
        <w:rPr>
          <w:rFonts w:ascii="Arial" w:cs="Arial" w:eastAsia="Arial" w:hAnsi="Arial"/>
          <w:sz w:val="15"/>
          <w:szCs w:val="15"/>
          <w:color w:val="6D8CC3"/>
        </w:rPr>
        <w:t>•</w:t>
      </w:r>
      <w:r>
        <w:rPr>
          <w:rFonts w:ascii="Arial" w:cs="Arial" w:eastAsia="Arial" w:hAnsi="Arial"/>
          <w:sz w:val="15"/>
          <w:szCs w:val="15"/>
          <w:color w:val="000000"/>
        </w:rPr>
        <w:t xml:space="preserve">  Chief Financial Officer (August 2023 to present).</w:t>
      </w:r>
      <w:r>
        <w:rPr>
          <w:rFonts w:ascii="Arial" w:cs="Arial" w:eastAsia="Arial" w:hAnsi="Arial"/>
          <w:sz w:val="15"/>
          <w:szCs w:val="15"/>
          <w:color w:val="6D8CC3"/>
        </w:rPr>
        <w:t xml:space="preserve"> </w:t>
      </w:r>
      <w:r>
        <w:rPr>
          <w:rFonts w:ascii="Arial" w:cs="Arial" w:eastAsia="Arial" w:hAnsi="Arial"/>
          <w:sz w:val="15"/>
          <w:szCs w:val="15"/>
          <w:color w:val="000000"/>
        </w:rPr>
        <w:t>Ms. Boratto, a seasoned executive with over three decades of financial and operational experience at both public and private companies, oversees the Company’s global finance organization and real estate group.</w:t>
      </w:r>
    </w:p>
    <w:p>
      <w:pPr>
        <w:spacing w:after="0" w:line="63" w:lineRule="exact"/>
        <w:rPr>
          <w:sz w:val="20"/>
          <w:szCs w:val="20"/>
          <w:color w:val="auto"/>
        </w:rPr>
      </w:pPr>
    </w:p>
    <w:p>
      <w:pPr>
        <w:ind w:left="180" w:right="220" w:hanging="133"/>
        <w:spacing w:after="0" w:line="254" w:lineRule="auto"/>
        <w:rPr>
          <w:sz w:val="20"/>
          <w:szCs w:val="20"/>
          <w:color w:val="auto"/>
        </w:rPr>
      </w:pPr>
      <w:r>
        <w:rPr>
          <w:rFonts w:ascii="Arial" w:cs="Arial" w:eastAsia="Arial" w:hAnsi="Arial"/>
          <w:sz w:val="16"/>
          <w:szCs w:val="16"/>
          <w:color w:val="6D8CC3"/>
        </w:rPr>
        <w:t>•</w:t>
      </w:r>
      <w:r>
        <w:rPr>
          <w:rFonts w:ascii="Arial" w:cs="Arial" w:eastAsia="Arial" w:hAnsi="Arial"/>
          <w:sz w:val="16"/>
          <w:szCs w:val="16"/>
          <w:color w:val="000000"/>
        </w:rPr>
        <w:t xml:space="preserve">  Chief Financial Officer (February 2022 to July 2023) of</w:t>
      </w:r>
      <w:r>
        <w:rPr>
          <w:rFonts w:ascii="Arial" w:cs="Arial" w:eastAsia="Arial" w:hAnsi="Arial"/>
          <w:sz w:val="16"/>
          <w:szCs w:val="16"/>
          <w:color w:val="6D8CC3"/>
        </w:rPr>
        <w:t xml:space="preserve"> </w:t>
      </w:r>
      <w:r>
        <w:rPr>
          <w:rFonts w:ascii="Arial" w:cs="Arial" w:eastAsia="Arial" w:hAnsi="Arial"/>
          <w:sz w:val="16"/>
          <w:szCs w:val="16"/>
          <w:color w:val="000000"/>
        </w:rPr>
        <w:t>Opentrons Labworks, Inc., a privately held life sciences company.</w:t>
      </w:r>
    </w:p>
    <w:p>
      <w:pPr>
        <w:spacing w:after="0" w:line="72" w:lineRule="exact"/>
        <w:rPr>
          <w:sz w:val="20"/>
          <w:szCs w:val="20"/>
          <w:color w:val="auto"/>
        </w:rPr>
      </w:pPr>
    </w:p>
    <w:p>
      <w:pPr>
        <w:ind w:left="180" w:hanging="133"/>
        <w:spacing w:after="0" w:line="259" w:lineRule="auto"/>
        <w:rPr>
          <w:sz w:val="20"/>
          <w:szCs w:val="20"/>
          <w:color w:val="auto"/>
        </w:rPr>
      </w:pPr>
      <w:r>
        <w:rPr>
          <w:rFonts w:ascii="Arial" w:cs="Arial" w:eastAsia="Arial" w:hAnsi="Arial"/>
          <w:sz w:val="15"/>
          <w:szCs w:val="15"/>
          <w:color w:val="6D8CC3"/>
        </w:rPr>
        <w:t>•</w:t>
      </w:r>
      <w:r>
        <w:rPr>
          <w:rFonts w:ascii="Arial" w:cs="Arial" w:eastAsia="Arial" w:hAnsi="Arial"/>
          <w:sz w:val="15"/>
          <w:szCs w:val="15"/>
          <w:color w:val="000000"/>
        </w:rPr>
        <w:t xml:space="preserve">  Executive Vice President and Chief Financial Officer</w:t>
      </w:r>
      <w:r>
        <w:rPr>
          <w:rFonts w:ascii="Arial" w:cs="Arial" w:eastAsia="Arial" w:hAnsi="Arial"/>
          <w:sz w:val="15"/>
          <w:szCs w:val="15"/>
          <w:color w:val="6D8CC3"/>
        </w:rPr>
        <w:t xml:space="preserve"> </w:t>
      </w:r>
      <w:r>
        <w:rPr>
          <w:rFonts w:ascii="Arial" w:cs="Arial" w:eastAsia="Arial" w:hAnsi="Arial"/>
          <w:sz w:val="15"/>
          <w:szCs w:val="15"/>
          <w:color w:val="000000"/>
        </w:rPr>
        <w:t>(November 2018 to May 2021); Executive Vice President, Controller and Chief Accounting Officer (2017 to 2018); Senior Vice President and Chief Accounting Officer (2013 to 2017); and Senior Vice President for Pharmacy Benefit Management Finance (2010 to 2013) with CVS Health Corporation (“CVS Health”), a leading health solutions company with more than 300,000 employees and over 9,000 retail locations. During her tenure at CVS Health, Ms. Boratto held roles with increasing responsibility and was critical to the development of the company’s growth plan, including investment in digitization efforts and new businesses, and supporting the integration of CVS Health’s transformative acquisition of Aetna.</w:t>
      </w:r>
    </w:p>
    <w:p>
      <w:pPr>
        <w:spacing w:after="0" w:line="69" w:lineRule="exact"/>
        <w:rPr>
          <w:sz w:val="20"/>
          <w:szCs w:val="20"/>
          <w:color w:val="auto"/>
        </w:rPr>
      </w:pPr>
    </w:p>
    <w:p>
      <w:pPr>
        <w:ind w:left="180" w:right="120" w:hanging="133"/>
        <w:spacing w:after="0" w:line="254" w:lineRule="auto"/>
        <w:rPr>
          <w:sz w:val="20"/>
          <w:szCs w:val="20"/>
          <w:color w:val="auto"/>
        </w:rPr>
      </w:pPr>
      <w:r>
        <w:rPr>
          <w:rFonts w:ascii="Arial" w:cs="Arial" w:eastAsia="Arial" w:hAnsi="Arial"/>
          <w:sz w:val="16"/>
          <w:szCs w:val="16"/>
          <w:color w:val="6D8CC3"/>
        </w:rPr>
        <w:t>•</w:t>
      </w:r>
      <w:r>
        <w:rPr>
          <w:rFonts w:ascii="Arial" w:cs="Arial" w:eastAsia="Arial" w:hAnsi="Arial"/>
          <w:sz w:val="16"/>
          <w:szCs w:val="16"/>
          <w:color w:val="000000"/>
        </w:rPr>
        <w:t xml:space="preserve">  Earlier in her career, she spent 20 years at</w:t>
      </w:r>
      <w:r>
        <w:rPr>
          <w:rFonts w:ascii="Arial" w:cs="Arial" w:eastAsia="Arial" w:hAnsi="Arial"/>
          <w:sz w:val="16"/>
          <w:szCs w:val="16"/>
          <w:color w:val="6D8CC3"/>
        </w:rPr>
        <w:t xml:space="preserve"> </w:t>
      </w:r>
      <w:r>
        <w:rPr>
          <w:rFonts w:ascii="Arial" w:cs="Arial" w:eastAsia="Arial" w:hAnsi="Arial"/>
          <w:sz w:val="16"/>
          <w:szCs w:val="16"/>
          <w:color w:val="000000"/>
        </w:rPr>
        <w:t>Merck &amp; Co., Inc. in a number of leadership roles, including vice president and U.S. market finance leader.</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292F72"/>
        </w:rPr>
        <w:t>Public Company Boards</w:t>
      </w:r>
    </w:p>
    <w:p>
      <w:pPr>
        <w:spacing w:after="0" w:line="107" w:lineRule="exact"/>
        <w:rPr>
          <w:sz w:val="20"/>
          <w:szCs w:val="20"/>
          <w:color w:val="auto"/>
        </w:rPr>
      </w:pPr>
    </w:p>
    <w:p>
      <w:pPr>
        <w:ind w:left="40" w:right="260"/>
        <w:spacing w:after="0" w:line="268" w:lineRule="auto"/>
        <w:rPr>
          <w:sz w:val="20"/>
          <w:szCs w:val="20"/>
          <w:color w:val="auto"/>
        </w:rPr>
      </w:pPr>
      <w:r>
        <w:rPr>
          <w:rFonts w:ascii="Arial" w:cs="Arial" w:eastAsia="Arial" w:hAnsi="Arial"/>
          <w:sz w:val="16"/>
          <w:szCs w:val="16"/>
          <w:color w:val="auto"/>
        </w:rPr>
        <w:t>United Parcel Service Inc. (“UPS”), including as chair of UPS’s audit committee, since 2020.</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292F72"/>
        </w:rPr>
        <w:t>Education</w:t>
      </w:r>
    </w:p>
    <w:p>
      <w:pPr>
        <w:spacing w:after="0" w:line="107" w:lineRule="exact"/>
        <w:rPr>
          <w:sz w:val="20"/>
          <w:szCs w:val="20"/>
          <w:color w:val="auto"/>
        </w:rPr>
      </w:pPr>
    </w:p>
    <w:p>
      <w:pPr>
        <w:ind w:left="40" w:right="220"/>
        <w:spacing w:after="0" w:line="254" w:lineRule="auto"/>
        <w:rPr>
          <w:sz w:val="20"/>
          <w:szCs w:val="20"/>
          <w:color w:val="auto"/>
        </w:rPr>
      </w:pPr>
      <w:r>
        <w:rPr>
          <w:rFonts w:ascii="Arial" w:cs="Arial" w:eastAsia="Arial" w:hAnsi="Arial"/>
          <w:sz w:val="16"/>
          <w:szCs w:val="16"/>
          <w:color w:val="auto"/>
        </w:rPr>
        <w:t>Ms. Boratto earned a B.S. in Accounting and Economics from Rutgers University and an M.B.A. from Drexel University.</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ind w:left="2200"/>
        <w:spacing w:after="0"/>
        <w:rPr>
          <w:sz w:val="20"/>
          <w:szCs w:val="20"/>
          <w:color w:val="auto"/>
        </w:rPr>
      </w:pPr>
      <w:r>
        <w:rPr>
          <w:rFonts w:ascii="Arial" w:cs="Arial" w:eastAsia="Arial" w:hAnsi="Arial"/>
          <w:sz w:val="21"/>
          <w:szCs w:val="21"/>
          <w:b w:val="1"/>
          <w:bCs w:val="1"/>
          <w:color w:val="292F72"/>
        </w:rPr>
        <w:t>Tom Mazurek</w:t>
      </w:r>
    </w:p>
    <w:p>
      <w:pPr>
        <w:spacing w:after="0" w:line="118" w:lineRule="exact"/>
        <w:rPr>
          <w:sz w:val="20"/>
          <w:szCs w:val="20"/>
          <w:color w:val="auto"/>
        </w:rPr>
      </w:pPr>
    </w:p>
    <w:p>
      <w:pPr>
        <w:ind w:left="2200" w:right="619"/>
        <w:spacing w:after="0" w:line="301" w:lineRule="auto"/>
        <w:rPr>
          <w:sz w:val="20"/>
          <w:szCs w:val="20"/>
          <w:color w:val="auto"/>
        </w:rPr>
      </w:pPr>
      <w:r>
        <w:rPr>
          <w:rFonts w:ascii="Arial" w:cs="Arial" w:eastAsia="Arial" w:hAnsi="Arial"/>
          <w:sz w:val="14"/>
          <w:szCs w:val="14"/>
          <w:b w:val="1"/>
          <w:bCs w:val="1"/>
          <w:color w:val="6D8CC3"/>
        </w:rPr>
        <w:t>CHIEF SUPPLY CHAIN OFFICER</w:t>
      </w:r>
    </w:p>
    <w:p>
      <w:pPr>
        <w:spacing w:after="0" w:line="42" w:lineRule="exact"/>
        <w:rPr>
          <w:sz w:val="20"/>
          <w:szCs w:val="20"/>
          <w:color w:val="auto"/>
        </w:rPr>
      </w:pPr>
    </w:p>
    <w:p>
      <w:pPr>
        <w:ind w:left="2200"/>
        <w:spacing w:after="0"/>
        <w:rPr>
          <w:sz w:val="20"/>
          <w:szCs w:val="20"/>
          <w:color w:val="auto"/>
        </w:rPr>
      </w:pPr>
      <w:r>
        <w:rPr>
          <w:rFonts w:ascii="Arial" w:cs="Arial" w:eastAsia="Arial" w:hAnsi="Arial"/>
          <w:sz w:val="14"/>
          <w:szCs w:val="14"/>
          <w:b w:val="1"/>
          <w:bCs w:val="1"/>
          <w:color w:val="292F72"/>
        </w:rPr>
        <w:t xml:space="preserve">Age: </w:t>
      </w:r>
      <w:r>
        <w:rPr>
          <w:rFonts w:ascii="Arial" w:cs="Arial" w:eastAsia="Arial" w:hAnsi="Arial"/>
          <w:sz w:val="14"/>
          <w:szCs w:val="14"/>
          <w:color w:val="000000"/>
        </w:rPr>
        <w:t>59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292F72"/>
        </w:rPr>
        <w:t>Career Highlights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6D8CC3"/>
        </w:rPr>
        <w:t>•</w:t>
      </w:r>
      <w:r>
        <w:rPr>
          <w:rFonts w:ascii="Arial" w:cs="Arial" w:eastAsia="Arial" w:hAnsi="Arial"/>
          <w:sz w:val="16"/>
          <w:szCs w:val="16"/>
          <w:color w:val="000000"/>
        </w:rPr>
        <w:t xml:space="preserve">  Chief Supply Chain Officer (May 2022 to present).</w:t>
      </w:r>
    </w:p>
    <w:p>
      <w:pPr>
        <w:spacing w:after="0" w:line="14" w:lineRule="exact"/>
        <w:rPr>
          <w:sz w:val="20"/>
          <w:szCs w:val="20"/>
          <w:color w:val="auto"/>
        </w:rPr>
      </w:pPr>
    </w:p>
    <w:p>
      <w:pPr>
        <w:ind w:left="140" w:right="99"/>
        <w:spacing w:after="0"/>
        <w:rPr>
          <w:sz w:val="20"/>
          <w:szCs w:val="20"/>
          <w:color w:val="auto"/>
        </w:rPr>
      </w:pPr>
      <w:r>
        <w:rPr>
          <w:rFonts w:ascii="Arial" w:cs="Arial" w:eastAsia="Arial" w:hAnsi="Arial"/>
          <w:sz w:val="16"/>
          <w:szCs w:val="16"/>
          <w:color w:val="auto"/>
        </w:rPr>
        <w:t>Mr. Mazurek has more than two decades of experience in product development, production and manufacturing and leads teams responsible for collaborating with merchants and the design function to bring products to life. He also manages all commercial product development including R&amp;D and engineering, in addition to all manufacturing and sourcing across a diverse global base of supply, and leads the Company’s enterprise sustainability strategies and initiatives.</w:t>
      </w:r>
    </w:p>
    <w:p>
      <w:pPr>
        <w:spacing w:after="0" w:line="87" w:lineRule="exact"/>
        <w:rPr>
          <w:sz w:val="20"/>
          <w:szCs w:val="20"/>
          <w:color w:val="auto"/>
        </w:rPr>
      </w:pPr>
    </w:p>
    <w:p>
      <w:pPr>
        <w:ind w:left="140" w:right="19" w:hanging="133"/>
        <w:spacing w:after="0" w:line="244" w:lineRule="auto"/>
        <w:rPr>
          <w:sz w:val="20"/>
          <w:szCs w:val="20"/>
          <w:color w:val="auto"/>
        </w:rPr>
      </w:pPr>
      <w:r>
        <w:rPr>
          <w:rFonts w:ascii="Arial" w:cs="Arial" w:eastAsia="Arial" w:hAnsi="Arial"/>
          <w:sz w:val="16"/>
          <w:szCs w:val="16"/>
          <w:color w:val="6D8CC3"/>
        </w:rPr>
        <w:t>•</w:t>
      </w:r>
      <w:r>
        <w:rPr>
          <w:rFonts w:ascii="Arial" w:cs="Arial" w:eastAsia="Arial" w:hAnsi="Arial"/>
          <w:sz w:val="16"/>
          <w:szCs w:val="16"/>
          <w:color w:val="000000"/>
        </w:rPr>
        <w:t xml:space="preserve">  Mr. Mazurek joined the Company in 2000 and throughout</w:t>
      </w:r>
      <w:r>
        <w:rPr>
          <w:rFonts w:ascii="Arial" w:cs="Arial" w:eastAsia="Arial" w:hAnsi="Arial"/>
          <w:sz w:val="16"/>
          <w:szCs w:val="16"/>
          <w:color w:val="6D8CC3"/>
        </w:rPr>
        <w:t xml:space="preserve"> </w:t>
      </w:r>
      <w:r>
        <w:rPr>
          <w:rFonts w:ascii="Arial" w:cs="Arial" w:eastAsia="Arial" w:hAnsi="Arial"/>
          <w:sz w:val="16"/>
          <w:szCs w:val="16"/>
          <w:color w:val="000000"/>
        </w:rPr>
        <w:t>his tenure, he has taken on progressively larger roles and initiatives, including being a key contributor to Beauty Park, a business park that includes several of the Company’s key manufacturing partners within close proximity to the Company’s central Ohio distribution centers and headquarters.</w:t>
      </w:r>
    </w:p>
    <w:p>
      <w:pPr>
        <w:spacing w:after="0" w:line="81" w:lineRule="exact"/>
        <w:rPr>
          <w:sz w:val="20"/>
          <w:szCs w:val="20"/>
          <w:color w:val="auto"/>
        </w:rPr>
      </w:pPr>
    </w:p>
    <w:p>
      <w:pPr>
        <w:ind w:left="140" w:right="319" w:hanging="133"/>
        <w:spacing w:after="0" w:line="268" w:lineRule="auto"/>
        <w:rPr>
          <w:sz w:val="20"/>
          <w:szCs w:val="20"/>
          <w:color w:val="auto"/>
        </w:rPr>
      </w:pPr>
      <w:r>
        <w:rPr>
          <w:rFonts w:ascii="Arial" w:cs="Arial" w:eastAsia="Arial" w:hAnsi="Arial"/>
          <w:sz w:val="16"/>
          <w:szCs w:val="16"/>
          <w:color w:val="6D8CC3"/>
        </w:rPr>
        <w:t>•</w:t>
      </w:r>
      <w:r>
        <w:rPr>
          <w:rFonts w:ascii="Arial" w:cs="Arial" w:eastAsia="Arial" w:hAnsi="Arial"/>
          <w:sz w:val="16"/>
          <w:szCs w:val="16"/>
          <w:color w:val="000000"/>
        </w:rPr>
        <w:t xml:space="preserve">  Earlier in his career, Mr. Mazurek worked in operational</w:t>
      </w:r>
      <w:r>
        <w:rPr>
          <w:rFonts w:ascii="Arial" w:cs="Arial" w:eastAsia="Arial" w:hAnsi="Arial"/>
          <w:sz w:val="16"/>
          <w:szCs w:val="16"/>
          <w:color w:val="6D8CC3"/>
        </w:rPr>
        <w:t xml:space="preserve"> </w:t>
      </w:r>
      <w:r>
        <w:rPr>
          <w:rFonts w:ascii="Arial" w:cs="Arial" w:eastAsia="Arial" w:hAnsi="Arial"/>
          <w:sz w:val="16"/>
          <w:szCs w:val="16"/>
          <w:color w:val="000000"/>
        </w:rPr>
        <w:t>roles with Hasbro and Mattel.</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292F72"/>
        </w:rPr>
        <w:t>Education</w:t>
      </w:r>
    </w:p>
    <w:p>
      <w:pPr>
        <w:spacing w:after="0" w:line="107" w:lineRule="exact"/>
        <w:rPr>
          <w:sz w:val="20"/>
          <w:szCs w:val="20"/>
          <w:color w:val="auto"/>
        </w:rPr>
      </w:pPr>
    </w:p>
    <w:p>
      <w:pPr>
        <w:ind w:right="119"/>
        <w:spacing w:after="0" w:line="254" w:lineRule="auto"/>
        <w:rPr>
          <w:sz w:val="20"/>
          <w:szCs w:val="20"/>
          <w:color w:val="auto"/>
        </w:rPr>
      </w:pPr>
      <w:r>
        <w:rPr>
          <w:rFonts w:ascii="Arial" w:cs="Arial" w:eastAsia="Arial" w:hAnsi="Arial"/>
          <w:sz w:val="16"/>
          <w:szCs w:val="16"/>
          <w:color w:val="auto"/>
        </w:rPr>
        <w:t>Mr. Mazurek earned a B.S. degree from Fordham University in New York City and an M.B.A. from The University at Buffalo.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1460500</wp:posOffset>
            </wp:positionV>
            <wp:extent cx="573722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737225" cy="8255"/>
                    </a:xfrm>
                    <a:prstGeom prst="rect">
                      <a:avLst/>
                    </a:prstGeom>
                    <a:noFill/>
                  </pic:spPr>
                </pic:pic>
              </a:graphicData>
            </a:graphic>
          </wp:anchor>
        </w:drawing>
      </w:r>
    </w:p>
    <w:p>
      <w:pPr>
        <w:spacing w:after="0" w:line="2245" w:lineRule="exact"/>
        <w:rPr>
          <w:sz w:val="20"/>
          <w:szCs w:val="20"/>
          <w:color w:val="auto"/>
        </w:rPr>
      </w:pPr>
    </w:p>
    <w:p>
      <w:pPr>
        <w:sectPr>
          <w:pgSz w:w="11900" w:h="16838" w:orient="portrait"/>
          <w:cols w:equalWidth="0" w:num="2">
            <w:col w:w="4180" w:space="560"/>
            <w:col w:w="4299"/>
          </w:cols>
          <w:pgMar w:left="1420" w:top="115" w:right="1440" w:bottom="1440" w:gutter="0" w:footer="0" w:header="0"/>
          <w:type w:val="continuous"/>
        </w:sectPr>
      </w:pP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292F72"/>
        </w:rPr>
        <w:t>26</w:t>
      </w:r>
      <w:r>
        <w:rPr>
          <w:rFonts w:ascii="Arial" w:cs="Arial" w:eastAsia="Arial" w:hAnsi="Arial"/>
          <w:sz w:val="14"/>
          <w:szCs w:val="14"/>
          <w:color w:val="292F72"/>
        </w:rPr>
        <w:t xml:space="preserve">     Bath &amp; Body Works, Inc.</w:t>
      </w:r>
      <w:r>
        <w:rPr>
          <w:rFonts w:ascii="Arial" w:cs="Arial" w:eastAsia="Arial" w:hAnsi="Arial"/>
          <w:sz w:val="14"/>
          <w:szCs w:val="14"/>
          <w:color w:val="6D8CC3"/>
        </w:rPr>
        <w:t xml:space="preserve">   | </w:t>
      </w:r>
      <w:r>
        <w:rPr>
          <w:rFonts w:ascii="Arial" w:cs="Arial" w:eastAsia="Arial" w:hAnsi="Arial"/>
          <w:sz w:val="14"/>
          <w:szCs w:val="14"/>
          <w:b w:val="1"/>
          <w:bCs w:val="1"/>
          <w:color w:val="292F72"/>
        </w:rPr>
        <w:t xml:space="preserve">  </w:t>
      </w:r>
      <w:r>
        <w:rPr>
          <w:rFonts w:ascii="Arial" w:cs="Arial" w:eastAsia="Arial" w:hAnsi="Arial"/>
          <w:sz w:val="14"/>
          <w:szCs w:val="14"/>
          <w:color w:val="292F72"/>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170180</wp:posOffset>
            </wp:positionV>
            <wp:extent cx="6795135" cy="165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795135" cy="16510"/>
                    </a:xfrm>
                    <a:prstGeom prst="rect">
                      <a:avLst/>
                    </a:prstGeom>
                    <a:noFill/>
                  </pic:spPr>
                </pic:pic>
              </a:graphicData>
            </a:graphic>
          </wp:anchor>
        </w:drawing>
      </w:r>
    </w:p>
    <w:p>
      <w:pPr>
        <w:sectPr>
          <w:pgSz w:w="11900" w:h="16838" w:orient="portrait"/>
          <w:cols w:equalWidth="0" w:num="1">
            <w:col w:w="9039"/>
          </w:cols>
          <w:pgMar w:left="1420" w:top="115" w:right="1440"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7" w:lineRule="exact"/>
        <w:rPr>
          <w:sz w:val="20"/>
          <w:szCs w:val="20"/>
          <w:color w:val="auto"/>
        </w:rPr>
      </w:pPr>
    </w:p>
    <w:p>
      <w:pPr>
        <w:ind w:right="360"/>
        <w:spacing w:after="0" w:line="255" w:lineRule="auto"/>
        <w:rPr>
          <w:sz w:val="20"/>
          <w:szCs w:val="20"/>
          <w:color w:val="auto"/>
        </w:rPr>
      </w:pPr>
      <w:r>
        <w:rPr>
          <w:rFonts w:ascii="Arial" w:cs="Arial" w:eastAsia="Arial" w:hAnsi="Arial"/>
          <w:sz w:val="38"/>
          <w:szCs w:val="38"/>
          <w:color w:val="292F72"/>
        </w:rPr>
        <w:t>Advisory Vote to Approve Named Executive Officer Compensation</w:t>
      </w:r>
    </w:p>
    <w:p>
      <w:pPr>
        <w:spacing w:after="0" w:line="1" w:lineRule="exact"/>
        <w:rPr>
          <w:sz w:val="20"/>
          <w:szCs w:val="20"/>
          <w:color w:val="auto"/>
        </w:rPr>
      </w:pPr>
    </w:p>
    <w:p>
      <w:pPr>
        <w:spacing w:after="0"/>
        <w:rPr>
          <w:sz w:val="20"/>
          <w:szCs w:val="20"/>
          <w:color w:val="auto"/>
        </w:rPr>
      </w:pPr>
      <w:r>
        <w:rPr>
          <w:rFonts w:ascii="Arial" w:cs="Arial" w:eastAsia="Arial" w:hAnsi="Arial"/>
          <w:sz w:val="38"/>
          <w:szCs w:val="38"/>
          <w:color w:val="292F72"/>
        </w:rPr>
        <w:t>(Item 3 on the Proxy Card)</w:t>
      </w:r>
    </w:p>
    <w:p>
      <w:pPr>
        <w:spacing w:after="0" w:line="148" w:lineRule="exact"/>
        <w:rPr>
          <w:sz w:val="20"/>
          <w:szCs w:val="20"/>
          <w:color w:val="auto"/>
        </w:rPr>
      </w:pPr>
    </w:p>
    <w:p>
      <w:pPr>
        <w:ind w:right="60"/>
        <w:spacing w:after="0" w:line="271" w:lineRule="auto"/>
        <w:rPr>
          <w:sz w:val="20"/>
          <w:szCs w:val="20"/>
          <w:color w:val="auto"/>
        </w:rPr>
      </w:pPr>
      <w:r>
        <w:rPr>
          <w:rFonts w:ascii="Arial" w:cs="Arial" w:eastAsia="Arial" w:hAnsi="Arial"/>
          <w:sz w:val="15"/>
          <w:szCs w:val="15"/>
          <w:color w:val="auto"/>
        </w:rPr>
        <w:t>We are providing our shareholders with the opportunity to vote to approve, on an advisory, non-binding basis, the compensation of our NEOs as disclosed in this proxy statement in accordance with the Commission’s rules. This proposal, which is commonly referred to as the “say-on-pay” proposal, is required by the Dodd-Frank Wall Street Reform and Consumer Protection Act of 2010 (the “Dodd-Frank Act”), which added Section 14A to the Securities Exchange Act of 1934, as amended (the “Exchange Act”).</w:t>
      </w:r>
    </w:p>
    <w:p>
      <w:pPr>
        <w:spacing w:after="0" w:line="126" w:lineRule="exact"/>
        <w:rPr>
          <w:sz w:val="20"/>
          <w:szCs w:val="20"/>
          <w:color w:val="auto"/>
        </w:rPr>
      </w:pPr>
    </w:p>
    <w:p>
      <w:pPr>
        <w:ind w:right="120"/>
        <w:spacing w:after="0" w:line="267" w:lineRule="auto"/>
        <w:rPr>
          <w:sz w:val="20"/>
          <w:szCs w:val="20"/>
          <w:color w:val="auto"/>
        </w:rPr>
      </w:pPr>
      <w:r>
        <w:rPr>
          <w:rFonts w:ascii="Arial" w:cs="Arial" w:eastAsia="Arial" w:hAnsi="Arial"/>
          <w:sz w:val="15"/>
          <w:szCs w:val="15"/>
          <w:color w:val="auto"/>
        </w:rPr>
        <w:t>We conduct our “say-on-pay” advisory vote on an annual basis to provide our shareholders with the ability to regularly express a view on our executive compensation program and practices. Accordingly, we are providing our shareholders with the opportunity to cast an advisory vote on the fiscal 2025 compensation of our NEOs as disclosed in this proxy statement, including the Compensation Discussion and Analysis and the compensation tables and other related disclosures. The next advisory vote to approve the compensation of our named executive officers will be at our 2027 annual meeting of shareholders.</w:t>
      </w:r>
    </w:p>
    <w:p>
      <w:pPr>
        <w:spacing w:after="0" w:line="129" w:lineRule="exact"/>
        <w:rPr>
          <w:sz w:val="20"/>
          <w:szCs w:val="20"/>
          <w:color w:val="auto"/>
        </w:rPr>
      </w:pPr>
    </w:p>
    <w:p>
      <w:pPr>
        <w:ind w:right="180"/>
        <w:spacing w:after="0" w:line="302" w:lineRule="auto"/>
        <w:rPr>
          <w:sz w:val="20"/>
          <w:szCs w:val="20"/>
          <w:color w:val="auto"/>
        </w:rPr>
      </w:pPr>
      <w:r>
        <w:rPr>
          <w:rFonts w:ascii="Arial" w:cs="Arial" w:eastAsia="Arial" w:hAnsi="Arial"/>
          <w:sz w:val="15"/>
          <w:szCs w:val="15"/>
          <w:color w:val="auto"/>
        </w:rPr>
        <w:t>The Board is asking our shareholders to approve a non-binding advisory vote on the following resolution. While this vote is advisory and therefore not binding on the Company, the Board and the HCC Committee value the opinions of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5737225" cy="67437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737225" cy="674370"/>
                    </a:xfrm>
                    <a:prstGeom prst="rect">
                      <a:avLst/>
                    </a:prstGeom>
                    <a:noFill/>
                  </pic:spPr>
                </pic:pic>
              </a:graphicData>
            </a:graphic>
          </wp:anchor>
        </w:drawing>
      </w:r>
    </w:p>
    <w:p>
      <w:pPr>
        <w:spacing w:after="0" w:line="143" w:lineRule="exact"/>
        <w:rPr>
          <w:sz w:val="20"/>
          <w:szCs w:val="20"/>
          <w:color w:val="auto"/>
        </w:rPr>
      </w:pPr>
    </w:p>
    <w:p>
      <w:pPr>
        <w:ind w:left="840"/>
        <w:spacing w:after="0"/>
        <w:rPr>
          <w:sz w:val="20"/>
          <w:szCs w:val="20"/>
          <w:color w:val="auto"/>
        </w:rPr>
      </w:pPr>
      <w:r>
        <w:rPr>
          <w:rFonts w:ascii="Arial" w:cs="Arial" w:eastAsia="Arial" w:hAnsi="Arial"/>
          <w:sz w:val="23"/>
          <w:szCs w:val="23"/>
          <w:b w:val="1"/>
          <w:bCs w:val="1"/>
          <w:color w:val="292F72"/>
        </w:rPr>
        <w:t>THERE IS ALIGNMENT BETWEEN OUR PERFORMANCE, OUR</w:t>
      </w:r>
    </w:p>
    <w:p>
      <w:pPr>
        <w:spacing w:after="0" w:line="33" w:lineRule="exact"/>
        <w:rPr>
          <w:sz w:val="20"/>
          <w:szCs w:val="20"/>
          <w:color w:val="auto"/>
        </w:rPr>
      </w:pPr>
    </w:p>
    <w:p>
      <w:pPr>
        <w:ind w:left="840" w:right="500" w:hanging="676"/>
        <w:spacing w:after="0" w:line="203" w:lineRule="auto"/>
        <w:tabs>
          <w:tab w:leader="none" w:pos="840" w:val="left"/>
        </w:tabs>
        <w:numPr>
          <w:ilvl w:val="0"/>
          <w:numId w:val="45"/>
        </w:numPr>
        <w:rPr>
          <w:rFonts w:ascii="Arial" w:cs="Arial" w:eastAsia="Arial" w:hAnsi="Arial"/>
          <w:sz w:val="35"/>
          <w:szCs w:val="35"/>
          <w:color w:val="auto"/>
          <w:vertAlign w:val="subscript"/>
        </w:rPr>
      </w:pPr>
      <w:r>
        <w:rPr>
          <w:rFonts w:ascii="Arial" w:cs="Arial" w:eastAsia="Arial" w:hAnsi="Arial"/>
          <w:sz w:val="23"/>
          <w:szCs w:val="23"/>
          <w:b w:val="1"/>
          <w:bCs w:val="1"/>
          <w:color w:val="292F72"/>
        </w:rPr>
        <w:t xml:space="preserve">SHAREHOLDERS’ INTERESTS AND OUR NEOS’ PAY; THEREFORE, WE RECOMMEND THAT YOU VOTE </w:t>
      </w:r>
      <w:r>
        <w:rPr>
          <w:rFonts w:ascii="Arial" w:cs="Arial" w:eastAsia="Arial" w:hAnsi="Arial"/>
          <w:sz w:val="23"/>
          <w:szCs w:val="23"/>
          <w:b w:val="1"/>
          <w:bCs w:val="1"/>
          <w:color w:val="6D8CC3"/>
        </w:rPr>
        <w:t>“FOR”</w:t>
      </w:r>
      <w:r>
        <w:rPr>
          <w:rFonts w:ascii="Arial" w:cs="Arial" w:eastAsia="Arial" w:hAnsi="Arial"/>
          <w:sz w:val="23"/>
          <w:szCs w:val="23"/>
          <w:b w:val="1"/>
          <w:bCs w:val="1"/>
          <w:color w:val="292F72"/>
        </w:rPr>
        <w:t xml:space="preserve">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172085</wp:posOffset>
            </wp:positionV>
            <wp:extent cx="57372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737225" cy="8255"/>
                    </a:xfrm>
                    <a:prstGeom prst="rect">
                      <a:avLst/>
                    </a:prstGeom>
                    <a:noFill/>
                  </pic:spPr>
                </pic:pic>
              </a:graphicData>
            </a:graphic>
          </wp:anchor>
        </w:drawing>
      </w:r>
    </w:p>
    <w:p>
      <w:pPr>
        <w:spacing w:after="0" w:line="347" w:lineRule="exact"/>
        <w:rPr>
          <w:sz w:val="20"/>
          <w:szCs w:val="20"/>
          <w:color w:val="auto"/>
        </w:rPr>
      </w:pPr>
    </w:p>
    <w:p>
      <w:pPr>
        <w:jc w:val="right"/>
        <w:spacing w:after="0"/>
        <w:rPr>
          <w:sz w:val="20"/>
          <w:szCs w:val="20"/>
          <w:color w:val="auto"/>
        </w:rPr>
      </w:pPr>
      <w:r>
        <w:rPr>
          <w:rFonts w:ascii="Arial" w:cs="Arial" w:eastAsia="Arial" w:hAnsi="Arial"/>
          <w:sz w:val="14"/>
          <w:szCs w:val="14"/>
          <w:color w:val="292F72"/>
        </w:rPr>
        <w:t>Bath &amp; Body Works, Inc.</w:t>
      </w:r>
      <w:r>
        <w:rPr>
          <w:rFonts w:ascii="Arial" w:cs="Arial" w:eastAsia="Arial" w:hAnsi="Arial"/>
          <w:sz w:val="14"/>
          <w:szCs w:val="14"/>
          <w:color w:val="6D8CC3"/>
        </w:rPr>
        <w:t xml:space="preserve">   | </w:t>
      </w:r>
      <w:r>
        <w:rPr>
          <w:rFonts w:ascii="Arial" w:cs="Arial" w:eastAsia="Arial" w:hAnsi="Arial"/>
          <w:sz w:val="14"/>
          <w:szCs w:val="14"/>
          <w:color w:val="292F72"/>
        </w:rPr>
        <w:t xml:space="preserve">  2026 Proxy Statement     </w:t>
      </w:r>
      <w:r>
        <w:rPr>
          <w:rFonts w:ascii="Arial" w:cs="Arial" w:eastAsia="Arial" w:hAnsi="Arial"/>
          <w:sz w:val="14"/>
          <w:szCs w:val="14"/>
          <w:b w:val="1"/>
          <w:bCs w:val="1"/>
          <w:color w:val="292F72"/>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145415</wp:posOffset>
            </wp:positionV>
            <wp:extent cx="6795135" cy="165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795135" cy="16510"/>
                    </a:xfrm>
                    <a:prstGeom prst="rect">
                      <a:avLst/>
                    </a:prstGeom>
                    <a:noFill/>
                  </pic:spPr>
                </pic:pic>
              </a:graphicData>
            </a:graphic>
          </wp:anchor>
        </w:drawing>
      </w:r>
    </w:p>
    <w:p>
      <w:pPr>
        <w:sectPr>
          <w:pgSz w:w="11900" w:h="16838" w:orient="portrait"/>
          <w:cols w:equalWidth="0" w:num="1">
            <w:col w:w="9040"/>
          </w:cols>
          <w:pgMar w:left="1420" w:top="116" w:right="1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113030</wp:posOffset>
            </wp:positionV>
            <wp:extent cx="6803390" cy="879348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03390" cy="8793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840"/>
        <w:spacing w:after="0"/>
        <w:rPr>
          <w:sz w:val="20"/>
          <w:szCs w:val="20"/>
          <w:color w:val="auto"/>
        </w:rPr>
      </w:pPr>
      <w:r>
        <w:rPr>
          <w:rFonts w:ascii="Arial" w:cs="Arial" w:eastAsia="Arial" w:hAnsi="Arial"/>
          <w:sz w:val="38"/>
          <w:szCs w:val="38"/>
          <w:color w:val="FFFFFF"/>
        </w:rPr>
        <w:t>Compensation-Related Matters</w:t>
      </w:r>
    </w:p>
    <w:p>
      <w:pPr>
        <w:spacing w:after="0" w:line="219" w:lineRule="exact"/>
        <w:rPr>
          <w:sz w:val="20"/>
          <w:szCs w:val="20"/>
          <w:color w:val="auto"/>
        </w:rPr>
      </w:pPr>
    </w:p>
    <w:p>
      <w:pPr>
        <w:ind w:left="840"/>
        <w:spacing w:after="0"/>
        <w:rPr>
          <w:sz w:val="20"/>
          <w:szCs w:val="20"/>
          <w:color w:val="auto"/>
        </w:rPr>
      </w:pPr>
      <w:r>
        <w:rPr>
          <w:rFonts w:ascii="Arial" w:cs="Arial" w:eastAsia="Arial" w:hAnsi="Arial"/>
          <w:sz w:val="28"/>
          <w:szCs w:val="28"/>
          <w:color w:val="FFFFFF"/>
        </w:rPr>
        <w:t>In this Section</w:t>
      </w:r>
    </w:p>
    <w:p>
      <w:pPr>
        <w:spacing w:after="0" w:line="344" w:lineRule="exact"/>
        <w:rPr>
          <w:sz w:val="20"/>
          <w:szCs w:val="20"/>
          <w:color w:val="auto"/>
        </w:rPr>
      </w:pPr>
    </w:p>
    <w:p>
      <w:pPr>
        <w:ind w:left="1200" w:right="6079" w:hanging="350"/>
        <w:spacing w:after="0" w:line="269" w:lineRule="auto"/>
        <w:tabs>
          <w:tab w:leader="none" w:pos="1200" w:val="left"/>
        </w:tabs>
        <w:numPr>
          <w:ilvl w:val="0"/>
          <w:numId w:val="46"/>
        </w:numPr>
        <w:rPr>
          <w:rFonts w:ascii="Arial" w:cs="Arial" w:eastAsia="Arial" w:hAnsi="Arial"/>
          <w:sz w:val="19"/>
          <w:szCs w:val="19"/>
          <w:u w:val="single" w:color="auto"/>
          <w:color w:val="0000EE"/>
        </w:rPr>
      </w:pPr>
      <w:r>
        <w:rPr>
          <w:rFonts w:ascii="Arial" w:cs="Arial" w:eastAsia="Arial" w:hAnsi="Arial"/>
          <w:sz w:val="19"/>
          <w:szCs w:val="19"/>
          <w:u w:val="single" w:color="auto"/>
          <w:color w:val="0000EE"/>
        </w:rPr>
        <w:t>Compensation Discussion and Analysis</w:t>
      </w:r>
    </w:p>
    <w:p>
      <w:pPr>
        <w:spacing w:after="0" w:line="258" w:lineRule="exact"/>
        <w:rPr>
          <w:sz w:val="20"/>
          <w:szCs w:val="20"/>
          <w:color w:val="auto"/>
        </w:rPr>
      </w:pPr>
    </w:p>
    <w:p>
      <w:pPr>
        <w:ind w:left="860"/>
        <w:spacing w:after="0"/>
        <w:rPr>
          <w:sz w:val="20"/>
          <w:szCs w:val="20"/>
          <w:color w:val="auto"/>
        </w:rPr>
      </w:pPr>
      <w:r>
        <w:rPr>
          <w:rFonts w:ascii="Arial" w:cs="Arial" w:eastAsia="Arial" w:hAnsi="Arial"/>
          <w:sz w:val="19"/>
          <w:szCs w:val="19"/>
          <w:u w:val="single" w:color="auto"/>
          <w:color w:val="0000EE"/>
        </w:rPr>
        <w:t>45  2025 Summary Compensation Table</w:t>
      </w:r>
    </w:p>
    <w:p>
      <w:pPr>
        <w:spacing w:after="0" w:line="319" w:lineRule="exact"/>
        <w:rPr>
          <w:sz w:val="20"/>
          <w:szCs w:val="20"/>
          <w:color w:val="auto"/>
        </w:rPr>
      </w:pPr>
    </w:p>
    <w:p>
      <w:pPr>
        <w:ind w:left="1200" w:right="5899" w:hanging="350"/>
        <w:spacing w:after="0" w:line="269" w:lineRule="auto"/>
        <w:tabs>
          <w:tab w:leader="none" w:pos="1200" w:val="left"/>
        </w:tabs>
        <w:numPr>
          <w:ilvl w:val="0"/>
          <w:numId w:val="47"/>
        </w:numPr>
        <w:rPr>
          <w:rFonts w:ascii="Arial" w:cs="Arial" w:eastAsia="Arial" w:hAnsi="Arial"/>
          <w:sz w:val="19"/>
          <w:szCs w:val="19"/>
          <w:u w:val="single" w:color="auto"/>
          <w:color w:val="0000EE"/>
        </w:rPr>
      </w:pPr>
      <w:r>
        <w:rPr>
          <w:rFonts w:ascii="Arial" w:cs="Arial" w:eastAsia="Arial" w:hAnsi="Arial"/>
          <w:sz w:val="19"/>
          <w:szCs w:val="19"/>
          <w:u w:val="single" w:color="auto"/>
          <w:color w:val="0000EE"/>
        </w:rPr>
        <w:t>Grants of Plan-based Awards for Fiscal 2025</w:t>
      </w:r>
    </w:p>
    <w:p>
      <w:pPr>
        <w:spacing w:after="0" w:line="257" w:lineRule="exact"/>
        <w:rPr>
          <w:rFonts w:ascii="Arial" w:cs="Arial" w:eastAsia="Arial" w:hAnsi="Arial"/>
          <w:sz w:val="19"/>
          <w:szCs w:val="19"/>
          <w:u w:val="single" w:color="auto"/>
          <w:color w:val="0000EE"/>
        </w:rPr>
      </w:pPr>
    </w:p>
    <w:p>
      <w:pPr>
        <w:ind w:left="1200" w:right="6159" w:hanging="350"/>
        <w:spacing w:after="0" w:line="269" w:lineRule="auto"/>
        <w:tabs>
          <w:tab w:leader="none" w:pos="1200" w:val="left"/>
        </w:tabs>
        <w:numPr>
          <w:ilvl w:val="0"/>
          <w:numId w:val="47"/>
        </w:numPr>
        <w:rPr>
          <w:rFonts w:ascii="Arial" w:cs="Arial" w:eastAsia="Arial" w:hAnsi="Arial"/>
          <w:sz w:val="19"/>
          <w:szCs w:val="19"/>
          <w:u w:val="single" w:color="auto"/>
          <w:color w:val="0000EE"/>
        </w:rPr>
      </w:pPr>
      <w:r>
        <w:rPr>
          <w:rFonts w:ascii="Arial" w:cs="Arial" w:eastAsia="Arial" w:hAnsi="Arial"/>
          <w:sz w:val="19"/>
          <w:szCs w:val="19"/>
          <w:u w:val="single" w:color="auto"/>
          <w:color w:val="0000EE"/>
        </w:rPr>
        <w:t>Outstanding Equity Awards at Fiscal Year-end 2025</w:t>
      </w:r>
    </w:p>
    <w:p>
      <w:pPr>
        <w:spacing w:after="0" w:line="257" w:lineRule="exact"/>
        <w:rPr>
          <w:rFonts w:ascii="Arial" w:cs="Arial" w:eastAsia="Arial" w:hAnsi="Arial"/>
          <w:sz w:val="19"/>
          <w:szCs w:val="19"/>
          <w:u w:val="single" w:color="auto"/>
          <w:color w:val="0000EE"/>
        </w:rPr>
      </w:pPr>
    </w:p>
    <w:p>
      <w:pPr>
        <w:ind w:left="1200" w:right="5679" w:hanging="350"/>
        <w:spacing w:after="0" w:line="269" w:lineRule="auto"/>
        <w:tabs>
          <w:tab w:leader="none" w:pos="1200" w:val="left"/>
        </w:tabs>
        <w:numPr>
          <w:ilvl w:val="0"/>
          <w:numId w:val="47"/>
        </w:numPr>
        <w:rPr>
          <w:rFonts w:ascii="Arial" w:cs="Arial" w:eastAsia="Arial" w:hAnsi="Arial"/>
          <w:sz w:val="19"/>
          <w:szCs w:val="19"/>
          <w:u w:val="single" w:color="auto"/>
          <w:color w:val="0000EE"/>
        </w:rPr>
      </w:pPr>
      <w:r>
        <w:rPr>
          <w:rFonts w:ascii="Arial" w:cs="Arial" w:eastAsia="Arial" w:hAnsi="Arial"/>
          <w:sz w:val="19"/>
          <w:szCs w:val="19"/>
          <w:u w:val="single" w:color="auto"/>
          <w:color w:val="0000EE"/>
        </w:rPr>
        <w:t>Option Exercises and Stock Vested Information for Fiscal 2025</w:t>
      </w:r>
    </w:p>
    <w:p>
      <w:pPr>
        <w:spacing w:after="0" w:line="257" w:lineRule="exact"/>
        <w:rPr>
          <w:rFonts w:ascii="Arial" w:cs="Arial" w:eastAsia="Arial" w:hAnsi="Arial"/>
          <w:sz w:val="19"/>
          <w:szCs w:val="19"/>
          <w:u w:val="single" w:color="auto"/>
          <w:color w:val="0000EE"/>
        </w:rPr>
      </w:pPr>
    </w:p>
    <w:p>
      <w:pPr>
        <w:ind w:left="1200" w:right="5859" w:hanging="350"/>
        <w:spacing w:after="0" w:line="269" w:lineRule="auto"/>
        <w:tabs>
          <w:tab w:leader="none" w:pos="1200" w:val="left"/>
        </w:tabs>
        <w:numPr>
          <w:ilvl w:val="0"/>
          <w:numId w:val="47"/>
        </w:numPr>
        <w:rPr>
          <w:rFonts w:ascii="Arial" w:cs="Arial" w:eastAsia="Arial" w:hAnsi="Arial"/>
          <w:sz w:val="19"/>
          <w:szCs w:val="19"/>
          <w:u w:val="single" w:color="auto"/>
          <w:color w:val="0000EE"/>
        </w:rPr>
      </w:pPr>
      <w:r>
        <w:rPr>
          <w:rFonts w:ascii="Arial" w:cs="Arial" w:eastAsia="Arial" w:hAnsi="Arial"/>
          <w:sz w:val="19"/>
          <w:szCs w:val="19"/>
          <w:u w:val="single" w:color="auto"/>
          <w:color w:val="0000EE"/>
        </w:rPr>
        <w:t>Potential Payments Upon Termination or Change in Control</w:t>
      </w:r>
    </w:p>
    <w:p>
      <w:pPr>
        <w:spacing w:after="0" w:line="258" w:lineRule="exact"/>
        <w:rPr>
          <w:sz w:val="20"/>
          <w:szCs w:val="20"/>
          <w:color w:val="auto"/>
        </w:rPr>
      </w:pPr>
    </w:p>
    <w:p>
      <w:pPr>
        <w:ind w:left="1200" w:hanging="350"/>
        <w:spacing w:after="0"/>
        <w:tabs>
          <w:tab w:leader="none" w:pos="1200" w:val="left"/>
        </w:tabs>
        <w:numPr>
          <w:ilvl w:val="0"/>
          <w:numId w:val="48"/>
        </w:numPr>
        <w:rPr>
          <w:rFonts w:ascii="Arial" w:cs="Arial" w:eastAsia="Arial" w:hAnsi="Arial"/>
          <w:sz w:val="19"/>
          <w:szCs w:val="19"/>
          <w:u w:val="single" w:color="auto"/>
          <w:color w:val="0000EE"/>
        </w:rPr>
      </w:pPr>
      <w:r>
        <w:rPr>
          <w:rFonts w:ascii="Arial" w:cs="Arial" w:eastAsia="Arial" w:hAnsi="Arial"/>
          <w:sz w:val="19"/>
          <w:szCs w:val="19"/>
          <w:u w:val="single" w:color="auto"/>
          <w:color w:val="0000EE"/>
        </w:rPr>
        <w:t>2025 Pay Ratio Disclosure</w:t>
      </w:r>
    </w:p>
    <w:p>
      <w:pPr>
        <w:spacing w:after="0" w:line="319" w:lineRule="exact"/>
        <w:rPr>
          <w:rFonts w:ascii="Arial" w:cs="Arial" w:eastAsia="Arial" w:hAnsi="Arial"/>
          <w:sz w:val="19"/>
          <w:szCs w:val="19"/>
          <w:u w:val="single" w:color="auto"/>
          <w:color w:val="0000EE"/>
        </w:rPr>
      </w:pPr>
    </w:p>
    <w:p>
      <w:pPr>
        <w:ind w:left="1200" w:right="6079" w:hanging="350"/>
        <w:spacing w:after="0" w:line="269" w:lineRule="auto"/>
        <w:tabs>
          <w:tab w:leader="none" w:pos="1200" w:val="left"/>
        </w:tabs>
        <w:numPr>
          <w:ilvl w:val="0"/>
          <w:numId w:val="48"/>
        </w:numPr>
        <w:rPr>
          <w:rFonts w:ascii="Arial" w:cs="Arial" w:eastAsia="Arial" w:hAnsi="Arial"/>
          <w:sz w:val="19"/>
          <w:szCs w:val="19"/>
          <w:u w:val="single" w:color="auto"/>
          <w:color w:val="0000EE"/>
        </w:rPr>
      </w:pPr>
      <w:r>
        <w:rPr>
          <w:rFonts w:ascii="Arial" w:cs="Arial" w:eastAsia="Arial" w:hAnsi="Arial"/>
          <w:sz w:val="19"/>
          <w:szCs w:val="19"/>
          <w:u w:val="single" w:color="auto"/>
          <w:color w:val="0000EE"/>
        </w:rPr>
        <w:t>2025 Pay Versus Performance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840"/>
        <w:spacing w:after="0"/>
        <w:rPr>
          <w:sz w:val="20"/>
          <w:szCs w:val="20"/>
          <w:color w:val="auto"/>
        </w:rPr>
      </w:pPr>
      <w:r>
        <w:rPr>
          <w:rFonts w:ascii="Arial" w:cs="Arial" w:eastAsia="Arial" w:hAnsi="Arial"/>
          <w:sz w:val="14"/>
          <w:szCs w:val="14"/>
          <w:b w:val="1"/>
          <w:bCs w:val="1"/>
          <w:color w:val="292F72"/>
        </w:rPr>
        <w:t>28</w:t>
      </w:r>
      <w:r>
        <w:rPr>
          <w:rFonts w:ascii="Arial" w:cs="Arial" w:eastAsia="Arial" w:hAnsi="Arial"/>
          <w:sz w:val="14"/>
          <w:szCs w:val="14"/>
          <w:color w:val="292F72"/>
        </w:rPr>
        <w:t xml:space="preserve">     Bath &amp; Body Works, Inc.</w:t>
      </w:r>
      <w:r>
        <w:rPr>
          <w:rFonts w:ascii="Arial" w:cs="Arial" w:eastAsia="Arial" w:hAnsi="Arial"/>
          <w:sz w:val="14"/>
          <w:szCs w:val="14"/>
          <w:color w:val="6D8CC3"/>
        </w:rPr>
        <w:t xml:space="preserve">   | </w:t>
      </w:r>
      <w:r>
        <w:rPr>
          <w:rFonts w:ascii="Arial" w:cs="Arial" w:eastAsia="Arial" w:hAnsi="Arial"/>
          <w:sz w:val="14"/>
          <w:szCs w:val="14"/>
          <w:b w:val="1"/>
          <w:bCs w:val="1"/>
          <w:color w:val="292F72"/>
        </w:rPr>
        <w:t xml:space="preserve">  </w:t>
      </w:r>
      <w:r>
        <w:rPr>
          <w:rFonts w:ascii="Arial" w:cs="Arial" w:eastAsia="Arial" w:hAnsi="Arial"/>
          <w:sz w:val="14"/>
          <w:szCs w:val="14"/>
          <w:color w:val="292F72"/>
        </w:rPr>
        <w:t>2026 Proxy Statement</w:t>
      </w:r>
    </w:p>
    <w:p>
      <w:pPr>
        <w:sectPr>
          <w:pgSz w:w="11900" w:h="16838" w:orient="portrait"/>
          <w:cols w:equalWidth="0" w:num="1">
            <w:col w:w="9879"/>
          </w:cols>
          <w:pgMar w:left="580" w:top="115"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2" w:lineRule="exact"/>
        <w:rPr>
          <w:sz w:val="20"/>
          <w:szCs w:val="20"/>
          <w:color w:val="auto"/>
        </w:rPr>
      </w:pPr>
    </w:p>
    <w:p>
      <w:pPr>
        <w:ind w:left="6840"/>
        <w:spacing w:after="0"/>
        <w:rPr>
          <w:sz w:val="20"/>
          <w:szCs w:val="20"/>
          <w:color w:val="auto"/>
        </w:rPr>
      </w:pPr>
      <w:r>
        <w:rPr>
          <w:rFonts w:ascii="Arial" w:cs="Arial" w:eastAsia="Arial" w:hAnsi="Arial"/>
          <w:sz w:val="15"/>
          <w:szCs w:val="15"/>
          <w:color w:val="292F72"/>
        </w:rPr>
        <w:t>Compensation-Related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48260</wp:posOffset>
            </wp:positionV>
            <wp:extent cx="1407160" cy="330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407160" cy="33020"/>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Arial" w:cs="Arial" w:eastAsia="Arial" w:hAnsi="Arial"/>
          <w:sz w:val="23"/>
          <w:szCs w:val="23"/>
          <w:b w:val="1"/>
          <w:bCs w:val="1"/>
          <w:color w:val="292F72"/>
        </w:rPr>
        <w:t>Compensation Discussion and Analysis</w:t>
      </w:r>
    </w:p>
    <w:p>
      <w:pPr>
        <w:spacing w:after="0" w:line="135" w:lineRule="exact"/>
        <w:rPr>
          <w:sz w:val="20"/>
          <w:szCs w:val="20"/>
          <w:color w:val="auto"/>
        </w:rPr>
      </w:pPr>
    </w:p>
    <w:p>
      <w:pPr>
        <w:ind w:right="220"/>
        <w:spacing w:after="0" w:line="260" w:lineRule="auto"/>
        <w:rPr>
          <w:sz w:val="20"/>
          <w:szCs w:val="20"/>
          <w:color w:val="auto"/>
        </w:rPr>
      </w:pPr>
      <w:r>
        <w:rPr>
          <w:rFonts w:ascii="Arial" w:cs="Arial" w:eastAsia="Arial" w:hAnsi="Arial"/>
          <w:sz w:val="15"/>
          <w:szCs w:val="15"/>
          <w:color w:val="auto"/>
        </w:rPr>
        <w:t>This Compensation Discussion and Analysis section (referred to as the “CD&amp;A”) summarizes our general philosophy regarding the compensation of our NEOs for fiscal 2025 and describes in detail the compensation paid to our NEOs for fiscal 2025. The CD&amp;A provides context for the executive compensation disclosures presented throughout in both tabular and narrative forms.</w:t>
      </w:r>
    </w:p>
    <w:p>
      <w:pPr>
        <w:spacing w:after="0" w:line="294" w:lineRule="exact"/>
        <w:rPr>
          <w:sz w:val="20"/>
          <w:szCs w:val="20"/>
          <w:color w:val="auto"/>
        </w:rPr>
      </w:pPr>
    </w:p>
    <w:p>
      <w:pPr>
        <w:spacing w:after="0"/>
        <w:rPr>
          <w:sz w:val="20"/>
          <w:szCs w:val="20"/>
          <w:color w:val="auto"/>
        </w:rPr>
      </w:pPr>
      <w:r>
        <w:rPr>
          <w:rFonts w:ascii="Arial" w:cs="Arial" w:eastAsia="Arial" w:hAnsi="Arial"/>
          <w:sz w:val="19"/>
          <w:szCs w:val="19"/>
          <w:b w:val="1"/>
          <w:bCs w:val="1"/>
          <w:color w:val="292F72"/>
        </w:rPr>
        <w:t>Executive Summary</w:t>
      </w:r>
    </w:p>
    <w:p>
      <w:pPr>
        <w:spacing w:after="0" w:line="121"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auto"/>
        </w:rPr>
        <w:t>We are a global leader in personal care and home fragrance, driven by the belief that everybody deserves to feel good. For over 35 years, the brand’s beloved and iconic scents have been expertly crafted for exceptional performance and a luxury fragrance experience. Formulated with thoughtfully chosen ingredients, our body care products are available in multiple forms including fine fragrance mist, body cream, lotion, eau de parfum, body wash, hand soap, sanitizer and more, as well as our famous 3-wick candles. Consumers can shop Bath &amp; Body Works anytime and anywhere they choose, from welcoming, in store experiences at 1,927 company-operated stores in the United States and Canada, and 573 international stores, as well as 34 e-commerce sites in more than 45 other countries, and on Amazon.</w:t>
      </w:r>
    </w:p>
    <w:p>
      <w:pPr>
        <w:spacing w:after="0" w:line="159"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Our executive compensation program has remained committed to aligning executive compensation with performance and making decisions to help drive our business goals and promote shareholder value. Over the past couple of years, our say-on-pay advisory vote results have reflected the evolution and strength of our compensation program, with 96.05% approval in 2024 and 98.8% approval in 2025.</w:t>
      </w:r>
    </w:p>
    <w:p>
      <w:pPr>
        <w:spacing w:after="0" w:line="141" w:lineRule="exact"/>
        <w:rPr>
          <w:sz w:val="20"/>
          <w:szCs w:val="20"/>
          <w:color w:val="auto"/>
        </w:rPr>
      </w:pPr>
    </w:p>
    <w:p>
      <w:pPr>
        <w:ind w:right="20"/>
        <w:spacing w:after="0" w:line="263" w:lineRule="auto"/>
        <w:rPr>
          <w:sz w:val="20"/>
          <w:szCs w:val="20"/>
          <w:color w:val="auto"/>
        </w:rPr>
      </w:pPr>
      <w:r>
        <w:rPr>
          <w:rFonts w:ascii="Arial" w:cs="Arial" w:eastAsia="Arial" w:hAnsi="Arial"/>
          <w:sz w:val="15"/>
          <w:szCs w:val="15"/>
          <w:color w:val="auto"/>
        </w:rPr>
        <w:t>Fiscal 2025 was a year of significant transition for the Company, as we welcomed Daniel Heaf, our Chief Executive Officer. Under Mr. Heaf’s leadership, the Company launched our new growth strategy in the third quarter of fiscal 2025 – the Consumer First Formula - putting the consumer at the center of everything that we do, with focus on our four largest revenue driving opportunities to: (1) create disruptive and innovative products; (2) reignite the brand; (3) win in the marketplace; and (4) operate with speed and efficiency. This transformative plan is intended to revitalize the Company across brand, product and marketplace to try and attract new, younger consumers, which we expect will help us unlock our next era of sustainable growth. In 2026, we will continue to evolve our executive compensation program to help support the Company’s new strategy and drive durable, top-line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183515</wp:posOffset>
            </wp:positionV>
            <wp:extent cx="5737225" cy="26644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737225" cy="2664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right"/>
        <w:spacing w:after="0"/>
        <w:rPr>
          <w:sz w:val="20"/>
          <w:szCs w:val="20"/>
          <w:color w:val="auto"/>
        </w:rPr>
      </w:pPr>
      <w:r>
        <w:rPr>
          <w:rFonts w:ascii="Arial" w:cs="Arial" w:eastAsia="Arial" w:hAnsi="Arial"/>
          <w:sz w:val="14"/>
          <w:szCs w:val="14"/>
          <w:color w:val="292F72"/>
        </w:rPr>
        <w:t>Bath &amp; Body Works, Inc.</w:t>
      </w:r>
      <w:r>
        <w:rPr>
          <w:rFonts w:ascii="Arial" w:cs="Arial" w:eastAsia="Arial" w:hAnsi="Arial"/>
          <w:sz w:val="14"/>
          <w:szCs w:val="14"/>
          <w:color w:val="6D8CC3"/>
        </w:rPr>
        <w:t xml:space="preserve">   | </w:t>
      </w:r>
      <w:r>
        <w:rPr>
          <w:rFonts w:ascii="Arial" w:cs="Arial" w:eastAsia="Arial" w:hAnsi="Arial"/>
          <w:sz w:val="14"/>
          <w:szCs w:val="14"/>
          <w:color w:val="292F72"/>
        </w:rPr>
        <w:t xml:space="preserve">  2026 Proxy Statement     </w:t>
      </w:r>
      <w:r>
        <w:rPr>
          <w:rFonts w:ascii="Arial" w:cs="Arial" w:eastAsia="Arial" w:hAnsi="Arial"/>
          <w:sz w:val="14"/>
          <w:szCs w:val="14"/>
          <w:b w:val="1"/>
          <w:bCs w:val="1"/>
          <w:color w:val="292F72"/>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145415</wp:posOffset>
            </wp:positionV>
            <wp:extent cx="6795135" cy="165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795135" cy="16510"/>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6"/>
          <w:szCs w:val="16"/>
          <w:color w:val="292F72"/>
        </w:rPr>
        <w:t>Compensation-Related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40640</wp:posOffset>
            </wp:positionV>
            <wp:extent cx="1407160" cy="330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407160" cy="3302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b w:val="1"/>
          <w:bCs w:val="1"/>
          <w:color w:val="292F72"/>
        </w:rPr>
        <w:t>Fiscal 2025 Financial and Business Overview</w:t>
      </w:r>
    </w:p>
    <w:p>
      <w:pPr>
        <w:spacing w:after="0" w:line="134" w:lineRule="exact"/>
        <w:rPr>
          <w:sz w:val="20"/>
          <w:szCs w:val="20"/>
          <w:color w:val="auto"/>
        </w:rPr>
      </w:pPr>
    </w:p>
    <w:p>
      <w:pPr>
        <w:ind w:right="140"/>
        <w:spacing w:after="0" w:line="262" w:lineRule="auto"/>
        <w:rPr>
          <w:sz w:val="20"/>
          <w:szCs w:val="20"/>
          <w:color w:val="auto"/>
        </w:rPr>
      </w:pPr>
      <w:r>
        <w:rPr>
          <w:rFonts w:ascii="Arial" w:cs="Arial" w:eastAsia="Arial" w:hAnsi="Arial"/>
          <w:sz w:val="16"/>
          <w:szCs w:val="16"/>
          <w:color w:val="auto"/>
        </w:rPr>
        <w:t>In 2025, performance was impacted significantly by consumer sentiment as consumers remained cautious and value seeking throughout the year, and by tariffs (which we did not adjust performance targets for). Our performance reinforces the Company’s need for change, and the necessity and urgency of the Consumer First Formula.</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393"/>
        </w:trPr>
        <w:tc>
          <w:tcPr>
            <w:tcW w:w="1620" w:type="dxa"/>
            <w:vAlign w:val="bottom"/>
            <w:shd w:val="clear" w:color="auto" w:fill="F0F5FE"/>
          </w:tcPr>
          <w:p>
            <w:pPr>
              <w:ind w:left="240"/>
              <w:spacing w:after="0"/>
              <w:rPr>
                <w:sz w:val="20"/>
                <w:szCs w:val="20"/>
                <w:color w:val="auto"/>
              </w:rPr>
            </w:pPr>
            <w:r>
              <w:rPr>
                <w:rFonts w:ascii="Arial" w:cs="Arial" w:eastAsia="Arial" w:hAnsi="Arial"/>
                <w:sz w:val="21"/>
                <w:szCs w:val="21"/>
                <w:b w:val="1"/>
                <w:bCs w:val="1"/>
                <w:color w:val="292F72"/>
              </w:rPr>
              <w:t>Net</w:t>
            </w:r>
          </w:p>
        </w:tc>
        <w:tc>
          <w:tcPr>
            <w:tcW w:w="2700" w:type="dxa"/>
            <w:vAlign w:val="bottom"/>
            <w:shd w:val="clear" w:color="auto" w:fill="F0F5FE"/>
          </w:tcPr>
          <w:p>
            <w:pPr>
              <w:ind w:left="820"/>
              <w:spacing w:after="0"/>
              <w:rPr>
                <w:sz w:val="20"/>
                <w:szCs w:val="20"/>
                <w:color w:val="auto"/>
              </w:rPr>
            </w:pPr>
            <w:r>
              <w:rPr>
                <w:rFonts w:ascii="Arial" w:cs="Arial" w:eastAsia="Arial" w:hAnsi="Arial"/>
                <w:sz w:val="21"/>
                <w:szCs w:val="21"/>
                <w:b w:val="1"/>
                <w:bCs w:val="1"/>
                <w:color w:val="292F72"/>
              </w:rPr>
              <w:t>Operating</w:t>
            </w:r>
          </w:p>
        </w:tc>
        <w:tc>
          <w:tcPr>
            <w:tcW w:w="760" w:type="dxa"/>
            <w:vAlign w:val="bottom"/>
            <w:shd w:val="clear" w:color="auto" w:fill="F0F5FE"/>
          </w:tcPr>
          <w:p>
            <w:pPr>
              <w:ind w:left="400"/>
              <w:spacing w:after="0"/>
              <w:rPr>
                <w:sz w:val="20"/>
                <w:szCs w:val="20"/>
                <w:color w:val="auto"/>
              </w:rPr>
            </w:pPr>
            <w:r>
              <w:rPr>
                <w:rFonts w:ascii="Arial" w:cs="Arial" w:eastAsia="Arial" w:hAnsi="Arial"/>
                <w:sz w:val="21"/>
                <w:szCs w:val="21"/>
                <w:b w:val="1"/>
                <w:bCs w:val="1"/>
                <w:color w:val="292F72"/>
              </w:rPr>
              <w:t>Net​</w:t>
            </w:r>
          </w:p>
        </w:tc>
        <w:tc>
          <w:tcPr>
            <w:tcW w:w="1640" w:type="dxa"/>
            <w:vAlign w:val="bottom"/>
            <w:shd w:val="clear" w:color="auto" w:fill="F0F5FE"/>
          </w:tcPr>
          <w:p>
            <w:pPr>
              <w:ind w:left="40"/>
              <w:spacing w:after="0"/>
              <w:rPr>
                <w:sz w:val="20"/>
                <w:szCs w:val="20"/>
                <w:color w:val="auto"/>
              </w:rPr>
            </w:pPr>
            <w:r>
              <w:rPr>
                <w:rFonts w:ascii="Arial" w:cs="Arial" w:eastAsia="Arial" w:hAnsi="Arial"/>
                <w:sz w:val="21"/>
                <w:szCs w:val="21"/>
                <w:b w:val="1"/>
                <w:bCs w:val="1"/>
                <w:color w:val="292F72"/>
              </w:rPr>
              <w:t>Income</w:t>
            </w:r>
          </w:p>
        </w:tc>
        <w:tc>
          <w:tcPr>
            <w:tcW w:w="2320" w:type="dxa"/>
            <w:vAlign w:val="bottom"/>
            <w:shd w:val="clear" w:color="auto" w:fill="F0F5FE"/>
          </w:tcPr>
          <w:p>
            <w:pPr>
              <w:ind w:left="280"/>
              <w:spacing w:after="0"/>
              <w:rPr>
                <w:sz w:val="20"/>
                <w:szCs w:val="20"/>
                <w:color w:val="auto"/>
              </w:rPr>
            </w:pPr>
            <w:r>
              <w:rPr>
                <w:rFonts w:ascii="Arial" w:cs="Arial" w:eastAsia="Arial" w:hAnsi="Arial"/>
                <w:sz w:val="21"/>
                <w:szCs w:val="21"/>
                <w:b w:val="1"/>
                <w:bCs w:val="1"/>
                <w:color w:val="292F72"/>
              </w:rPr>
              <w:t>Free</w:t>
            </w:r>
          </w:p>
        </w:tc>
      </w:tr>
      <w:tr>
        <w:trPr>
          <w:trHeight w:val="407"/>
        </w:trPr>
        <w:tc>
          <w:tcPr>
            <w:tcW w:w="1620" w:type="dxa"/>
            <w:vAlign w:val="bottom"/>
            <w:tcBorders>
              <w:bottom w:val="single" w:sz="8" w:color="auto"/>
            </w:tcBorders>
            <w:shd w:val="clear" w:color="auto" w:fill="F0F5FE"/>
          </w:tcPr>
          <w:p>
            <w:pPr>
              <w:ind w:left="240"/>
              <w:spacing w:after="0"/>
              <w:rPr>
                <w:sz w:val="20"/>
                <w:szCs w:val="20"/>
                <w:color w:val="auto"/>
              </w:rPr>
            </w:pPr>
            <w:r>
              <w:rPr>
                <w:rFonts w:ascii="Arial" w:cs="Arial" w:eastAsia="Arial" w:hAnsi="Arial"/>
                <w:sz w:val="21"/>
                <w:szCs w:val="21"/>
                <w:b w:val="1"/>
                <w:bCs w:val="1"/>
                <w:color w:val="292F72"/>
              </w:rPr>
              <w:t>Sales</w:t>
            </w:r>
          </w:p>
        </w:tc>
        <w:tc>
          <w:tcPr>
            <w:tcW w:w="2700" w:type="dxa"/>
            <w:vAlign w:val="bottom"/>
            <w:tcBorders>
              <w:bottom w:val="single" w:sz="8" w:color="auto"/>
            </w:tcBorders>
            <w:shd w:val="clear" w:color="auto" w:fill="F0F5FE"/>
          </w:tcPr>
          <w:p>
            <w:pPr>
              <w:ind w:left="820"/>
              <w:spacing w:after="0"/>
              <w:rPr>
                <w:sz w:val="20"/>
                <w:szCs w:val="20"/>
                <w:color w:val="auto"/>
              </w:rPr>
            </w:pPr>
            <w:r>
              <w:rPr>
                <w:rFonts w:ascii="Arial" w:cs="Arial" w:eastAsia="Arial" w:hAnsi="Arial"/>
                <w:sz w:val="21"/>
                <w:szCs w:val="21"/>
                <w:b w:val="1"/>
                <w:bCs w:val="1"/>
                <w:color w:val="292F72"/>
              </w:rPr>
              <w:t>Income Margin</w:t>
            </w:r>
          </w:p>
        </w:tc>
        <w:tc>
          <w:tcPr>
            <w:tcW w:w="760" w:type="dxa"/>
            <w:vAlign w:val="bottom"/>
            <w:tcBorders>
              <w:bottom w:val="single" w:sz="8" w:color="auto"/>
            </w:tcBorders>
            <w:shd w:val="clear" w:color="auto" w:fill="F0F5FE"/>
          </w:tcPr>
          <w:p>
            <w:pPr>
              <w:ind w:left="400"/>
              <w:spacing w:after="0"/>
              <w:rPr>
                <w:sz w:val="20"/>
                <w:szCs w:val="20"/>
                <w:color w:val="auto"/>
              </w:rPr>
            </w:pPr>
            <w:r>
              <w:rPr>
                <w:rFonts w:ascii="Arial" w:cs="Arial" w:eastAsia="Arial" w:hAnsi="Arial"/>
                <w:sz w:val="21"/>
                <w:szCs w:val="21"/>
                <w:b w:val="1"/>
                <w:bCs w:val="1"/>
                <w:color w:val="292F72"/>
              </w:rPr>
              <w:t>Per</w:t>
            </w:r>
          </w:p>
        </w:tc>
        <w:tc>
          <w:tcPr>
            <w:tcW w:w="1640" w:type="dxa"/>
            <w:vAlign w:val="bottom"/>
            <w:tcBorders>
              <w:bottom w:val="single" w:sz="8" w:color="auto"/>
            </w:tcBorders>
            <w:shd w:val="clear" w:color="auto" w:fill="F0F5FE"/>
          </w:tcPr>
          <w:p>
            <w:pPr>
              <w:ind w:left="40"/>
              <w:spacing w:after="0"/>
              <w:rPr>
                <w:sz w:val="20"/>
                <w:szCs w:val="20"/>
                <w:color w:val="auto"/>
              </w:rPr>
            </w:pPr>
            <w:r>
              <w:rPr>
                <w:rFonts w:ascii="Arial" w:cs="Arial" w:eastAsia="Arial" w:hAnsi="Arial"/>
                <w:sz w:val="21"/>
                <w:szCs w:val="21"/>
                <w:b w:val="1"/>
                <w:bCs w:val="1"/>
                <w:color w:val="292F72"/>
              </w:rPr>
              <w:t>Diluted Share</w:t>
            </w:r>
          </w:p>
        </w:tc>
        <w:tc>
          <w:tcPr>
            <w:tcW w:w="2320" w:type="dxa"/>
            <w:vAlign w:val="bottom"/>
            <w:tcBorders>
              <w:bottom w:val="single" w:sz="8" w:color="auto"/>
            </w:tcBorders>
            <w:shd w:val="clear" w:color="auto" w:fill="F0F5FE"/>
          </w:tcPr>
          <w:p>
            <w:pPr>
              <w:ind w:left="280"/>
              <w:spacing w:after="0"/>
              <w:rPr>
                <w:sz w:val="20"/>
                <w:szCs w:val="20"/>
                <w:color w:val="auto"/>
              </w:rPr>
            </w:pPr>
            <w:r>
              <w:rPr>
                <w:rFonts w:ascii="Arial" w:cs="Arial" w:eastAsia="Arial" w:hAnsi="Arial"/>
                <w:sz w:val="21"/>
                <w:szCs w:val="21"/>
                <w:b w:val="1"/>
                <w:bCs w:val="1"/>
                <w:color w:val="292F72"/>
              </w:rPr>
              <w:t>Cash Flow</w:t>
            </w:r>
            <w:r>
              <w:rPr>
                <w:rFonts w:ascii="Arial" w:cs="Arial" w:eastAsia="Arial" w:hAnsi="Arial"/>
                <w:sz w:val="34"/>
                <w:szCs w:val="34"/>
                <w:b w:val="1"/>
                <w:bCs w:val="1"/>
                <w:color w:val="292F72"/>
                <w:vertAlign w:val="superscript"/>
              </w:rPr>
              <w:t>(1)</w:t>
            </w: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563"/>
        </w:trPr>
        <w:tc>
          <w:tcPr>
            <w:tcW w:w="2240" w:type="dxa"/>
            <w:vAlign w:val="bottom"/>
            <w:tcBorders>
              <w:right w:val="single" w:sz="8" w:color="6D8CC3"/>
            </w:tcBorders>
          </w:tcPr>
          <w:p>
            <w:pPr>
              <w:ind w:left="240"/>
              <w:spacing w:after="0"/>
              <w:rPr>
                <w:sz w:val="20"/>
                <w:szCs w:val="20"/>
                <w:color w:val="auto"/>
              </w:rPr>
            </w:pPr>
            <w:r>
              <w:rPr>
                <w:rFonts w:ascii="Arial" w:cs="Arial" w:eastAsia="Arial" w:hAnsi="Arial"/>
                <w:sz w:val="38"/>
                <w:szCs w:val="38"/>
                <w:color w:val="6D8CC3"/>
              </w:rPr>
              <w:t>$7.3B</w:t>
            </w:r>
          </w:p>
        </w:tc>
        <w:tc>
          <w:tcPr>
            <w:tcW w:w="2280" w:type="dxa"/>
            <w:vAlign w:val="bottom"/>
            <w:tcBorders>
              <w:right w:val="single" w:sz="8" w:color="6D8CC3"/>
            </w:tcBorders>
          </w:tcPr>
          <w:p>
            <w:pPr>
              <w:ind w:left="200"/>
              <w:spacing w:after="0"/>
              <w:rPr>
                <w:sz w:val="20"/>
                <w:szCs w:val="20"/>
                <w:color w:val="auto"/>
              </w:rPr>
            </w:pPr>
            <w:r>
              <w:rPr>
                <w:rFonts w:ascii="Arial" w:cs="Arial" w:eastAsia="Arial" w:hAnsi="Arial"/>
                <w:sz w:val="38"/>
                <w:szCs w:val="38"/>
                <w:color w:val="6D8CC3"/>
              </w:rPr>
              <w:t>15.4%</w:t>
            </w:r>
          </w:p>
        </w:tc>
        <w:tc>
          <w:tcPr>
            <w:tcW w:w="2280" w:type="dxa"/>
            <w:vAlign w:val="bottom"/>
            <w:tcBorders>
              <w:right w:val="single" w:sz="8" w:color="6D8CC3"/>
            </w:tcBorders>
          </w:tcPr>
          <w:p>
            <w:pPr>
              <w:ind w:left="200"/>
              <w:spacing w:after="0"/>
              <w:rPr>
                <w:sz w:val="20"/>
                <w:szCs w:val="20"/>
                <w:color w:val="auto"/>
              </w:rPr>
            </w:pPr>
            <w:r>
              <w:rPr>
                <w:rFonts w:ascii="Arial" w:cs="Arial" w:eastAsia="Arial" w:hAnsi="Arial"/>
                <w:sz w:val="38"/>
                <w:szCs w:val="38"/>
                <w:color w:val="6D8CC3"/>
              </w:rPr>
              <w:t>$3.11</w:t>
            </w:r>
          </w:p>
        </w:tc>
        <w:tc>
          <w:tcPr>
            <w:tcW w:w="2240" w:type="dxa"/>
            <w:vAlign w:val="bottom"/>
          </w:tcPr>
          <w:p>
            <w:pPr>
              <w:ind w:left="200"/>
              <w:spacing w:after="0"/>
              <w:rPr>
                <w:sz w:val="20"/>
                <w:szCs w:val="20"/>
                <w:color w:val="auto"/>
              </w:rPr>
            </w:pPr>
            <w:r>
              <w:rPr>
                <w:rFonts w:ascii="Arial" w:cs="Arial" w:eastAsia="Arial" w:hAnsi="Arial"/>
                <w:sz w:val="38"/>
                <w:szCs w:val="38"/>
                <w:color w:val="6D8CC3"/>
              </w:rPr>
              <w:t>$865M</w:t>
            </w:r>
          </w:p>
        </w:tc>
        <w:tc>
          <w:tcPr>
            <w:tcW w:w="0" w:type="dxa"/>
            <w:vAlign w:val="bottom"/>
          </w:tcPr>
          <w:p>
            <w:pPr>
              <w:spacing w:after="0"/>
              <w:rPr>
                <w:sz w:val="1"/>
                <w:szCs w:val="1"/>
                <w:color w:val="auto"/>
              </w:rPr>
            </w:pPr>
          </w:p>
        </w:tc>
      </w:tr>
      <w:tr>
        <w:trPr>
          <w:trHeight w:val="276"/>
        </w:trPr>
        <w:tc>
          <w:tcPr>
            <w:tcW w:w="2240" w:type="dxa"/>
            <w:vAlign w:val="bottom"/>
            <w:tcBorders>
              <w:right w:val="single" w:sz="8" w:color="6D8CC3"/>
            </w:tcBorders>
          </w:tcPr>
          <w:p>
            <w:pPr>
              <w:ind w:left="240"/>
              <w:spacing w:after="0"/>
              <w:rPr>
                <w:sz w:val="20"/>
                <w:szCs w:val="20"/>
                <w:color w:val="auto"/>
              </w:rPr>
            </w:pPr>
            <w:r>
              <w:rPr>
                <w:rFonts w:ascii="Arial" w:cs="Arial" w:eastAsia="Arial" w:hAnsi="Arial"/>
                <w:sz w:val="19"/>
                <w:szCs w:val="19"/>
                <w:b w:val="1"/>
                <w:bCs w:val="1"/>
                <w:color w:val="auto"/>
              </w:rPr>
              <w:t>(0.2%) to LY</w:t>
            </w:r>
          </w:p>
        </w:tc>
        <w:tc>
          <w:tcPr>
            <w:tcW w:w="2280" w:type="dxa"/>
            <w:vAlign w:val="bottom"/>
            <w:tcBorders>
              <w:right w:val="single" w:sz="8" w:color="6D8CC3"/>
            </w:tcBorders>
            <w:vMerge w:val="restart"/>
          </w:tcPr>
          <w:p>
            <w:pPr>
              <w:ind w:left="200"/>
              <w:spacing w:after="0"/>
              <w:rPr>
                <w:sz w:val="20"/>
                <w:szCs w:val="20"/>
                <w:color w:val="auto"/>
              </w:rPr>
            </w:pPr>
            <w:r>
              <w:rPr>
                <w:rFonts w:ascii="Arial" w:cs="Arial" w:eastAsia="Arial" w:hAnsi="Arial"/>
                <w:sz w:val="19"/>
                <w:szCs w:val="19"/>
                <w:b w:val="1"/>
                <w:bCs w:val="1"/>
                <w:color w:val="auto"/>
              </w:rPr>
              <w:t>GAAP</w:t>
            </w:r>
          </w:p>
        </w:tc>
        <w:tc>
          <w:tcPr>
            <w:tcW w:w="2280" w:type="dxa"/>
            <w:vAlign w:val="bottom"/>
            <w:tcBorders>
              <w:right w:val="single" w:sz="8" w:color="6D8CC3"/>
            </w:tcBorders>
            <w:vMerge w:val="restart"/>
          </w:tcPr>
          <w:p>
            <w:pPr>
              <w:ind w:left="200"/>
              <w:spacing w:after="0"/>
              <w:rPr>
                <w:sz w:val="20"/>
                <w:szCs w:val="20"/>
                <w:color w:val="auto"/>
              </w:rPr>
            </w:pPr>
            <w:r>
              <w:rPr>
                <w:rFonts w:ascii="Arial" w:cs="Arial" w:eastAsia="Arial" w:hAnsi="Arial"/>
                <w:sz w:val="19"/>
                <w:szCs w:val="19"/>
                <w:b w:val="1"/>
                <w:bCs w:val="1"/>
                <w:color w:val="auto"/>
              </w:rPr>
              <w:t>GAAP</w:t>
            </w:r>
          </w:p>
        </w:tc>
        <w:tc>
          <w:tcPr>
            <w:tcW w:w="2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240" w:type="dxa"/>
            <w:vAlign w:val="bottom"/>
            <w:tcBorders>
              <w:right w:val="single" w:sz="8" w:color="6D8CC3"/>
            </w:tcBorders>
          </w:tcPr>
          <w:p>
            <w:pPr>
              <w:spacing w:after="0"/>
              <w:rPr>
                <w:sz w:val="9"/>
                <w:szCs w:val="9"/>
                <w:color w:val="auto"/>
              </w:rPr>
            </w:pPr>
          </w:p>
        </w:tc>
        <w:tc>
          <w:tcPr>
            <w:tcW w:w="2280" w:type="dxa"/>
            <w:vAlign w:val="bottom"/>
            <w:tcBorders>
              <w:right w:val="single" w:sz="8" w:color="6D8CC3"/>
            </w:tcBorders>
            <w:vMerge w:val="continue"/>
          </w:tcPr>
          <w:p>
            <w:pPr>
              <w:spacing w:after="0"/>
              <w:rPr>
                <w:sz w:val="9"/>
                <w:szCs w:val="9"/>
                <w:color w:val="auto"/>
              </w:rPr>
            </w:pPr>
          </w:p>
        </w:tc>
        <w:tc>
          <w:tcPr>
            <w:tcW w:w="2280" w:type="dxa"/>
            <w:vAlign w:val="bottom"/>
            <w:tcBorders>
              <w:right w:val="single" w:sz="8" w:color="6D8CC3"/>
            </w:tcBorders>
            <w:vMerge w:val="continue"/>
          </w:tcPr>
          <w:p>
            <w:pPr>
              <w:spacing w:after="0"/>
              <w:rPr>
                <w:sz w:val="9"/>
                <w:szCs w:val="9"/>
                <w:color w:val="auto"/>
              </w:rPr>
            </w:pPr>
          </w:p>
        </w:tc>
        <w:tc>
          <w:tcPr>
            <w:tcW w:w="2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4"/>
        </w:trPr>
        <w:tc>
          <w:tcPr>
            <w:tcW w:w="2240" w:type="dxa"/>
            <w:vAlign w:val="bottom"/>
            <w:tcBorders>
              <w:right w:val="single" w:sz="8" w:color="6D8CC3"/>
            </w:tcBorders>
          </w:tcPr>
          <w:p>
            <w:pPr>
              <w:spacing w:after="0"/>
              <w:rPr>
                <w:sz w:val="24"/>
                <w:szCs w:val="24"/>
                <w:color w:val="auto"/>
              </w:rPr>
            </w:pPr>
          </w:p>
        </w:tc>
        <w:tc>
          <w:tcPr>
            <w:tcW w:w="2280" w:type="dxa"/>
            <w:vAlign w:val="bottom"/>
            <w:tcBorders>
              <w:right w:val="single" w:sz="8" w:color="6D8CC3"/>
            </w:tcBorders>
          </w:tcPr>
          <w:p>
            <w:pPr>
              <w:ind w:left="200"/>
              <w:spacing w:after="0"/>
              <w:rPr>
                <w:sz w:val="20"/>
                <w:szCs w:val="20"/>
                <w:color w:val="auto"/>
              </w:rPr>
            </w:pPr>
            <w:r>
              <w:rPr>
                <w:rFonts w:ascii="Arial" w:cs="Arial" w:eastAsia="Arial" w:hAnsi="Arial"/>
                <w:sz w:val="38"/>
                <w:szCs w:val="38"/>
                <w:color w:val="6D8CC3"/>
              </w:rPr>
              <w:t>15.9%</w:t>
            </w:r>
          </w:p>
        </w:tc>
        <w:tc>
          <w:tcPr>
            <w:tcW w:w="2280" w:type="dxa"/>
            <w:vAlign w:val="bottom"/>
            <w:tcBorders>
              <w:right w:val="single" w:sz="8" w:color="6D8CC3"/>
            </w:tcBorders>
          </w:tcPr>
          <w:p>
            <w:pPr>
              <w:ind w:left="200"/>
              <w:spacing w:after="0"/>
              <w:rPr>
                <w:sz w:val="20"/>
                <w:szCs w:val="20"/>
                <w:color w:val="auto"/>
              </w:rPr>
            </w:pPr>
            <w:r>
              <w:rPr>
                <w:rFonts w:ascii="Arial" w:cs="Arial" w:eastAsia="Arial" w:hAnsi="Arial"/>
                <w:sz w:val="38"/>
                <w:szCs w:val="38"/>
                <w:color w:val="6D8CC3"/>
              </w:rPr>
              <w:t>$3.21</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8"/>
        </w:trPr>
        <w:tc>
          <w:tcPr>
            <w:tcW w:w="2240" w:type="dxa"/>
            <w:vAlign w:val="bottom"/>
            <w:tcBorders>
              <w:bottom w:val="single" w:sz="8" w:color="6D8CC3"/>
              <w:right w:val="single" w:sz="8" w:color="6D8CC3"/>
            </w:tcBorders>
          </w:tcPr>
          <w:p>
            <w:pPr>
              <w:spacing w:after="0"/>
              <w:rPr>
                <w:sz w:val="24"/>
                <w:szCs w:val="24"/>
                <w:color w:val="auto"/>
              </w:rPr>
            </w:pPr>
          </w:p>
        </w:tc>
        <w:tc>
          <w:tcPr>
            <w:tcW w:w="2280" w:type="dxa"/>
            <w:vAlign w:val="bottom"/>
            <w:tcBorders>
              <w:bottom w:val="single" w:sz="8" w:color="6D8CC3"/>
              <w:right w:val="single" w:sz="8" w:color="6D8CC3"/>
            </w:tcBorders>
          </w:tcPr>
          <w:p>
            <w:pPr>
              <w:ind w:left="200"/>
              <w:spacing w:after="0"/>
              <w:rPr>
                <w:sz w:val="20"/>
                <w:szCs w:val="20"/>
                <w:color w:val="auto"/>
              </w:rPr>
            </w:pPr>
            <w:r>
              <w:rPr>
                <w:rFonts w:ascii="Arial" w:cs="Arial" w:eastAsia="Arial" w:hAnsi="Arial"/>
                <w:sz w:val="19"/>
                <w:szCs w:val="19"/>
                <w:b w:val="1"/>
                <w:bCs w:val="1"/>
                <w:color w:val="auto"/>
              </w:rPr>
              <w:t>ADJUSTED</w:t>
            </w:r>
            <w:r>
              <w:rPr>
                <w:rFonts w:ascii="Arial" w:cs="Arial" w:eastAsia="Arial" w:hAnsi="Arial"/>
                <w:sz w:val="32"/>
                <w:szCs w:val="32"/>
                <w:b w:val="1"/>
                <w:bCs w:val="1"/>
                <w:color w:val="auto"/>
                <w:vertAlign w:val="superscript"/>
              </w:rPr>
              <w:t>(1)</w:t>
            </w:r>
          </w:p>
        </w:tc>
        <w:tc>
          <w:tcPr>
            <w:tcW w:w="2280" w:type="dxa"/>
            <w:vAlign w:val="bottom"/>
            <w:tcBorders>
              <w:bottom w:val="single" w:sz="8" w:color="6D8CC3"/>
              <w:right w:val="single" w:sz="8" w:color="6D8CC3"/>
            </w:tcBorders>
          </w:tcPr>
          <w:p>
            <w:pPr>
              <w:ind w:left="200"/>
              <w:spacing w:after="0"/>
              <w:rPr>
                <w:sz w:val="20"/>
                <w:szCs w:val="20"/>
                <w:color w:val="auto"/>
              </w:rPr>
            </w:pPr>
            <w:r>
              <w:rPr>
                <w:rFonts w:ascii="Arial" w:cs="Arial" w:eastAsia="Arial" w:hAnsi="Arial"/>
                <w:sz w:val="19"/>
                <w:szCs w:val="19"/>
                <w:b w:val="1"/>
                <w:bCs w:val="1"/>
                <w:color w:val="auto"/>
              </w:rPr>
              <w:t>ADJUSTED</w:t>
            </w:r>
            <w:r>
              <w:rPr>
                <w:rFonts w:ascii="Arial" w:cs="Arial" w:eastAsia="Arial" w:hAnsi="Arial"/>
                <w:sz w:val="32"/>
                <w:szCs w:val="32"/>
                <w:b w:val="1"/>
                <w:bCs w:val="1"/>
                <w:color w:val="auto"/>
                <w:vertAlign w:val="superscript"/>
              </w:rPr>
              <w:t>(1)</w:t>
            </w:r>
          </w:p>
        </w:tc>
        <w:tc>
          <w:tcPr>
            <w:tcW w:w="2240" w:type="dxa"/>
            <w:vAlign w:val="bottom"/>
            <w:tcBorders>
              <w:bottom w:val="single" w:sz="8" w:color="6D8CC3"/>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260" w:right="360" w:hanging="256"/>
        <w:spacing w:after="0" w:line="308" w:lineRule="auto"/>
        <w:tabs>
          <w:tab w:leader="none" w:pos="260" w:val="left"/>
        </w:tabs>
        <w:numPr>
          <w:ilvl w:val="0"/>
          <w:numId w:val="49"/>
        </w:numPr>
        <w:rPr>
          <w:rFonts w:ascii="Arial" w:cs="Arial" w:eastAsia="Arial" w:hAnsi="Arial"/>
          <w:sz w:val="13"/>
          <w:szCs w:val="13"/>
          <w:color w:val="auto"/>
        </w:rPr>
      </w:pPr>
      <w:r>
        <w:rPr>
          <w:rFonts w:ascii="Arial" w:cs="Arial" w:eastAsia="Arial" w:hAnsi="Arial"/>
          <w:sz w:val="13"/>
          <w:szCs w:val="13"/>
          <w:color w:val="auto"/>
        </w:rPr>
        <w:t>Adjusted Operating Income Margin, Adjusted Net Income Per Diluted Share, and Free Cash Flow, are all non-GAAP financial measures. Attached as Appendix A are reconciliations of these non-GAAP financial measures relative to reported GAAP financial measures.</w:t>
      </w:r>
    </w:p>
    <w:p>
      <w:pPr>
        <w:spacing w:after="0" w:line="258" w:lineRule="exact"/>
        <w:rPr>
          <w:sz w:val="20"/>
          <w:szCs w:val="20"/>
          <w:color w:val="auto"/>
        </w:rPr>
      </w:pPr>
    </w:p>
    <w:p>
      <w:pPr>
        <w:spacing w:after="0"/>
        <w:rPr>
          <w:sz w:val="20"/>
          <w:szCs w:val="20"/>
          <w:color w:val="auto"/>
        </w:rPr>
      </w:pPr>
      <w:r>
        <w:rPr>
          <w:rFonts w:ascii="Arial" w:cs="Arial" w:eastAsia="Arial" w:hAnsi="Arial"/>
          <w:sz w:val="19"/>
          <w:szCs w:val="19"/>
          <w:b w:val="1"/>
          <w:bCs w:val="1"/>
          <w:color w:val="292F72"/>
        </w:rPr>
        <w:t>Named Executive Officers</w:t>
      </w:r>
    </w:p>
    <w:p>
      <w:pPr>
        <w:spacing w:after="0" w:line="134" w:lineRule="exact"/>
        <w:rPr>
          <w:sz w:val="20"/>
          <w:szCs w:val="20"/>
          <w:color w:val="auto"/>
        </w:rPr>
      </w:pPr>
    </w:p>
    <w:p>
      <w:pPr>
        <w:ind w:right="520"/>
        <w:spacing w:after="0" w:line="268" w:lineRule="auto"/>
        <w:rPr>
          <w:sz w:val="20"/>
          <w:szCs w:val="20"/>
          <w:color w:val="auto"/>
        </w:rPr>
      </w:pPr>
      <w:r>
        <w:rPr>
          <w:rFonts w:ascii="Arial" w:cs="Arial" w:eastAsia="Arial" w:hAnsi="Arial"/>
          <w:sz w:val="16"/>
          <w:szCs w:val="16"/>
          <w:color w:val="auto"/>
        </w:rPr>
        <w:t>Our success is built on the leadership of our executive team with significant industry experience. Our fiscal 2025 NEOs are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420" w:type="dxa"/>
            <w:vAlign w:val="bottom"/>
          </w:tcPr>
          <w:p>
            <w:pPr>
              <w:spacing w:after="0"/>
              <w:rPr>
                <w:sz w:val="20"/>
                <w:szCs w:val="20"/>
                <w:color w:val="auto"/>
              </w:rPr>
            </w:pPr>
            <w:r>
              <w:rPr>
                <w:rFonts w:ascii="Arial" w:cs="Arial" w:eastAsia="Arial" w:hAnsi="Arial"/>
                <w:sz w:val="14"/>
                <w:szCs w:val="14"/>
                <w:b w:val="1"/>
                <w:bCs w:val="1"/>
                <w:color w:val="292F72"/>
              </w:rPr>
              <w:t>NAMED EXECUTIVE OFFICER</w:t>
            </w:r>
          </w:p>
        </w:tc>
        <w:tc>
          <w:tcPr>
            <w:tcW w:w="5620" w:type="dxa"/>
            <w:vAlign w:val="bottom"/>
          </w:tcPr>
          <w:p>
            <w:pPr>
              <w:ind w:left="1420"/>
              <w:spacing w:after="0"/>
              <w:rPr>
                <w:sz w:val="20"/>
                <w:szCs w:val="20"/>
                <w:color w:val="auto"/>
              </w:rPr>
            </w:pPr>
            <w:r>
              <w:rPr>
                <w:rFonts w:ascii="Arial" w:cs="Arial" w:eastAsia="Arial" w:hAnsi="Arial"/>
                <w:sz w:val="14"/>
                <w:szCs w:val="14"/>
                <w:b w:val="1"/>
                <w:bCs w:val="1"/>
                <w:color w:val="292F72"/>
              </w:rPr>
              <w:t>TITLE</w:t>
            </w:r>
          </w:p>
        </w:tc>
      </w:tr>
      <w:tr>
        <w:trPr>
          <w:trHeight w:val="40"/>
        </w:trPr>
        <w:tc>
          <w:tcPr>
            <w:tcW w:w="3420" w:type="dxa"/>
            <w:vAlign w:val="bottom"/>
            <w:tcBorders>
              <w:bottom w:val="single" w:sz="8" w:color="292F72"/>
            </w:tcBorders>
          </w:tcPr>
          <w:p>
            <w:pPr>
              <w:spacing w:after="0"/>
              <w:rPr>
                <w:sz w:val="3"/>
                <w:szCs w:val="3"/>
                <w:color w:val="auto"/>
              </w:rPr>
            </w:pPr>
          </w:p>
        </w:tc>
        <w:tc>
          <w:tcPr>
            <w:tcW w:w="5620" w:type="dxa"/>
            <w:vAlign w:val="bottom"/>
            <w:tcBorders>
              <w:bottom w:val="single" w:sz="8" w:color="292F72"/>
            </w:tcBorders>
          </w:tcPr>
          <w:p>
            <w:pPr>
              <w:spacing w:after="0"/>
              <w:rPr>
                <w:sz w:val="3"/>
                <w:szCs w:val="3"/>
                <w:color w:val="auto"/>
              </w:rPr>
            </w:pPr>
          </w:p>
        </w:tc>
      </w:tr>
      <w:tr>
        <w:trPr>
          <w:trHeight w:val="248"/>
        </w:trPr>
        <w:tc>
          <w:tcPr>
            <w:tcW w:w="3420" w:type="dxa"/>
            <w:vAlign w:val="bottom"/>
          </w:tcPr>
          <w:p>
            <w:pPr>
              <w:spacing w:after="0"/>
              <w:rPr>
                <w:sz w:val="20"/>
                <w:szCs w:val="20"/>
                <w:color w:val="auto"/>
              </w:rPr>
            </w:pPr>
            <w:r>
              <w:rPr>
                <w:rFonts w:ascii="Arial" w:cs="Arial" w:eastAsia="Arial" w:hAnsi="Arial"/>
                <w:sz w:val="16"/>
                <w:szCs w:val="16"/>
                <w:b w:val="1"/>
                <w:bCs w:val="1"/>
                <w:color w:val="auto"/>
              </w:rPr>
              <w:t>Daniel Heaf</w:t>
            </w:r>
          </w:p>
        </w:tc>
        <w:tc>
          <w:tcPr>
            <w:tcW w:w="5620" w:type="dxa"/>
            <w:vAlign w:val="bottom"/>
          </w:tcPr>
          <w:p>
            <w:pPr>
              <w:ind w:left="1420"/>
              <w:spacing w:after="0"/>
              <w:rPr>
                <w:sz w:val="20"/>
                <w:szCs w:val="20"/>
                <w:color w:val="auto"/>
              </w:rPr>
            </w:pPr>
            <w:r>
              <w:rPr>
                <w:rFonts w:ascii="Arial" w:cs="Arial" w:eastAsia="Arial" w:hAnsi="Arial"/>
                <w:sz w:val="16"/>
                <w:szCs w:val="16"/>
                <w:color w:val="auto"/>
              </w:rPr>
              <w:t>Chief Executive Officer</w:t>
            </w:r>
          </w:p>
        </w:tc>
      </w:tr>
      <w:tr>
        <w:trPr>
          <w:trHeight w:val="34"/>
        </w:trPr>
        <w:tc>
          <w:tcPr>
            <w:tcW w:w="3420" w:type="dxa"/>
            <w:vAlign w:val="bottom"/>
            <w:tcBorders>
              <w:bottom w:val="single" w:sz="8" w:color="6D8CC3"/>
            </w:tcBorders>
          </w:tcPr>
          <w:p>
            <w:pPr>
              <w:spacing w:after="0"/>
              <w:rPr>
                <w:sz w:val="2"/>
                <w:szCs w:val="2"/>
                <w:color w:val="auto"/>
              </w:rPr>
            </w:pPr>
          </w:p>
        </w:tc>
        <w:tc>
          <w:tcPr>
            <w:tcW w:w="5620" w:type="dxa"/>
            <w:vAlign w:val="bottom"/>
            <w:tcBorders>
              <w:bottom w:val="single" w:sz="8" w:color="6D8CC3"/>
            </w:tcBorders>
          </w:tcPr>
          <w:p>
            <w:pPr>
              <w:spacing w:after="0"/>
              <w:rPr>
                <w:sz w:val="2"/>
                <w:szCs w:val="2"/>
                <w:color w:val="auto"/>
              </w:rPr>
            </w:pPr>
          </w:p>
        </w:tc>
      </w:tr>
      <w:tr>
        <w:trPr>
          <w:trHeight w:val="248"/>
        </w:trPr>
        <w:tc>
          <w:tcPr>
            <w:tcW w:w="3420" w:type="dxa"/>
            <w:vAlign w:val="bottom"/>
          </w:tcPr>
          <w:p>
            <w:pPr>
              <w:spacing w:after="0"/>
              <w:rPr>
                <w:sz w:val="20"/>
                <w:szCs w:val="20"/>
                <w:color w:val="auto"/>
              </w:rPr>
            </w:pPr>
            <w:r>
              <w:rPr>
                <w:rFonts w:ascii="Arial" w:cs="Arial" w:eastAsia="Arial" w:hAnsi="Arial"/>
                <w:sz w:val="16"/>
                <w:szCs w:val="16"/>
                <w:b w:val="1"/>
                <w:bCs w:val="1"/>
                <w:color w:val="auto"/>
              </w:rPr>
              <w:t>Eva Boratto</w:t>
            </w:r>
          </w:p>
        </w:tc>
        <w:tc>
          <w:tcPr>
            <w:tcW w:w="5620" w:type="dxa"/>
            <w:vAlign w:val="bottom"/>
          </w:tcPr>
          <w:p>
            <w:pPr>
              <w:ind w:left="1420"/>
              <w:spacing w:after="0"/>
              <w:rPr>
                <w:sz w:val="20"/>
                <w:szCs w:val="20"/>
                <w:color w:val="auto"/>
              </w:rPr>
            </w:pPr>
            <w:r>
              <w:rPr>
                <w:rFonts w:ascii="Arial" w:cs="Arial" w:eastAsia="Arial" w:hAnsi="Arial"/>
                <w:sz w:val="16"/>
                <w:szCs w:val="16"/>
                <w:color w:val="auto"/>
              </w:rPr>
              <w:t>Chief Financial Officer</w:t>
            </w:r>
          </w:p>
        </w:tc>
      </w:tr>
      <w:tr>
        <w:trPr>
          <w:trHeight w:val="34"/>
        </w:trPr>
        <w:tc>
          <w:tcPr>
            <w:tcW w:w="3420" w:type="dxa"/>
            <w:vAlign w:val="bottom"/>
            <w:tcBorders>
              <w:bottom w:val="single" w:sz="8" w:color="6D8CC3"/>
            </w:tcBorders>
          </w:tcPr>
          <w:p>
            <w:pPr>
              <w:spacing w:after="0"/>
              <w:rPr>
                <w:sz w:val="2"/>
                <w:szCs w:val="2"/>
                <w:color w:val="auto"/>
              </w:rPr>
            </w:pPr>
          </w:p>
        </w:tc>
        <w:tc>
          <w:tcPr>
            <w:tcW w:w="5620" w:type="dxa"/>
            <w:vAlign w:val="bottom"/>
            <w:tcBorders>
              <w:bottom w:val="single" w:sz="8" w:color="6D8CC3"/>
            </w:tcBorders>
          </w:tcPr>
          <w:p>
            <w:pPr>
              <w:spacing w:after="0"/>
              <w:rPr>
                <w:sz w:val="2"/>
                <w:szCs w:val="2"/>
                <w:color w:val="auto"/>
              </w:rPr>
            </w:pPr>
          </w:p>
        </w:tc>
      </w:tr>
      <w:tr>
        <w:trPr>
          <w:trHeight w:val="248"/>
        </w:trPr>
        <w:tc>
          <w:tcPr>
            <w:tcW w:w="3420" w:type="dxa"/>
            <w:vAlign w:val="bottom"/>
          </w:tcPr>
          <w:p>
            <w:pPr>
              <w:spacing w:after="0"/>
              <w:rPr>
                <w:sz w:val="20"/>
                <w:szCs w:val="20"/>
                <w:color w:val="auto"/>
              </w:rPr>
            </w:pPr>
            <w:r>
              <w:rPr>
                <w:rFonts w:ascii="Arial" w:cs="Arial" w:eastAsia="Arial" w:hAnsi="Arial"/>
                <w:sz w:val="16"/>
                <w:szCs w:val="16"/>
                <w:b w:val="1"/>
                <w:bCs w:val="1"/>
                <w:color w:val="auto"/>
              </w:rPr>
              <w:t>Tom Mazurek</w:t>
            </w:r>
          </w:p>
        </w:tc>
        <w:tc>
          <w:tcPr>
            <w:tcW w:w="5620" w:type="dxa"/>
            <w:vAlign w:val="bottom"/>
          </w:tcPr>
          <w:p>
            <w:pPr>
              <w:ind w:left="1420"/>
              <w:spacing w:after="0"/>
              <w:rPr>
                <w:sz w:val="20"/>
                <w:szCs w:val="20"/>
                <w:color w:val="auto"/>
              </w:rPr>
            </w:pPr>
            <w:r>
              <w:rPr>
                <w:rFonts w:ascii="Arial" w:cs="Arial" w:eastAsia="Arial" w:hAnsi="Arial"/>
                <w:sz w:val="16"/>
                <w:szCs w:val="16"/>
                <w:color w:val="auto"/>
              </w:rPr>
              <w:t>Chief Supply Chain Officer</w:t>
            </w:r>
          </w:p>
        </w:tc>
      </w:tr>
      <w:tr>
        <w:trPr>
          <w:trHeight w:val="34"/>
        </w:trPr>
        <w:tc>
          <w:tcPr>
            <w:tcW w:w="3420" w:type="dxa"/>
            <w:vAlign w:val="bottom"/>
            <w:tcBorders>
              <w:bottom w:val="single" w:sz="8" w:color="6D8CC3"/>
            </w:tcBorders>
          </w:tcPr>
          <w:p>
            <w:pPr>
              <w:spacing w:after="0"/>
              <w:rPr>
                <w:sz w:val="2"/>
                <w:szCs w:val="2"/>
                <w:color w:val="auto"/>
              </w:rPr>
            </w:pPr>
          </w:p>
        </w:tc>
        <w:tc>
          <w:tcPr>
            <w:tcW w:w="5620" w:type="dxa"/>
            <w:vAlign w:val="bottom"/>
            <w:tcBorders>
              <w:bottom w:val="single" w:sz="8" w:color="6D8CC3"/>
            </w:tcBorders>
          </w:tcPr>
          <w:p>
            <w:pPr>
              <w:spacing w:after="0"/>
              <w:rPr>
                <w:sz w:val="2"/>
                <w:szCs w:val="2"/>
                <w:color w:val="auto"/>
              </w:rPr>
            </w:pPr>
          </w:p>
        </w:tc>
      </w:tr>
      <w:tr>
        <w:trPr>
          <w:trHeight w:val="321"/>
        </w:trPr>
        <w:tc>
          <w:tcPr>
            <w:tcW w:w="3420" w:type="dxa"/>
            <w:vAlign w:val="bottom"/>
            <w:tcBorders>
              <w:bottom w:val="single" w:sz="8" w:color="6D8CC3"/>
            </w:tcBorders>
          </w:tcPr>
          <w:p>
            <w:pPr>
              <w:spacing w:after="0"/>
              <w:rPr>
                <w:sz w:val="20"/>
                <w:szCs w:val="20"/>
                <w:color w:val="auto"/>
              </w:rPr>
            </w:pPr>
            <w:r>
              <w:rPr>
                <w:rFonts w:ascii="Arial" w:cs="Arial" w:eastAsia="Arial" w:hAnsi="Arial"/>
                <w:sz w:val="16"/>
                <w:szCs w:val="16"/>
                <w:b w:val="1"/>
                <w:bCs w:val="1"/>
                <w:color w:val="auto"/>
              </w:rPr>
              <w:t>Gina Boswell</w:t>
            </w:r>
            <w:r>
              <w:rPr>
                <w:rFonts w:ascii="Arial" w:cs="Arial" w:eastAsia="Arial" w:hAnsi="Arial"/>
                <w:sz w:val="26"/>
                <w:szCs w:val="26"/>
                <w:b w:val="1"/>
                <w:bCs w:val="1"/>
                <w:color w:val="auto"/>
                <w:vertAlign w:val="superscript"/>
              </w:rPr>
              <w:t>(1)</w:t>
            </w:r>
          </w:p>
        </w:tc>
        <w:tc>
          <w:tcPr>
            <w:tcW w:w="5620" w:type="dxa"/>
            <w:vAlign w:val="bottom"/>
            <w:tcBorders>
              <w:bottom w:val="single" w:sz="8" w:color="6D8CC3"/>
            </w:tcBorders>
          </w:tcPr>
          <w:p>
            <w:pPr>
              <w:ind w:left="1420"/>
              <w:spacing w:after="0"/>
              <w:rPr>
                <w:sz w:val="20"/>
                <w:szCs w:val="20"/>
                <w:color w:val="auto"/>
              </w:rPr>
            </w:pPr>
            <w:r>
              <w:rPr>
                <w:rFonts w:ascii="Arial" w:cs="Arial" w:eastAsia="Arial" w:hAnsi="Arial"/>
                <w:sz w:val="16"/>
                <w:szCs w:val="16"/>
                <w:color w:val="auto"/>
              </w:rPr>
              <w:t>Former Chief Executive Officer</w:t>
            </w:r>
          </w:p>
        </w:tc>
      </w:tr>
      <w:tr>
        <w:trPr>
          <w:trHeight w:val="390"/>
        </w:trPr>
        <w:tc>
          <w:tcPr>
            <w:tcW w:w="3420" w:type="dxa"/>
            <w:vAlign w:val="bottom"/>
          </w:tcPr>
          <w:p>
            <w:pPr>
              <w:spacing w:after="0"/>
              <w:rPr>
                <w:sz w:val="20"/>
                <w:szCs w:val="20"/>
                <w:color w:val="auto"/>
              </w:rPr>
            </w:pPr>
            <w:r>
              <w:rPr>
                <w:rFonts w:ascii="Arial" w:cs="Arial" w:eastAsia="Arial" w:hAnsi="Arial"/>
                <w:sz w:val="16"/>
                <w:szCs w:val="16"/>
                <w:b w:val="1"/>
                <w:bCs w:val="1"/>
                <w:color w:val="auto"/>
              </w:rPr>
              <w:t>Michael Wu</w:t>
            </w:r>
            <w:r>
              <w:rPr>
                <w:rFonts w:ascii="Arial" w:cs="Arial" w:eastAsia="Arial" w:hAnsi="Arial"/>
                <w:sz w:val="26"/>
                <w:szCs w:val="26"/>
                <w:b w:val="1"/>
                <w:bCs w:val="1"/>
                <w:color w:val="auto"/>
                <w:vertAlign w:val="superscript"/>
              </w:rPr>
              <w:t>(2)</w:t>
            </w:r>
          </w:p>
        </w:tc>
        <w:tc>
          <w:tcPr>
            <w:tcW w:w="5620" w:type="dxa"/>
            <w:vAlign w:val="bottom"/>
          </w:tcPr>
          <w:p>
            <w:pPr>
              <w:ind w:left="1420"/>
              <w:spacing w:after="0"/>
              <w:rPr>
                <w:sz w:val="20"/>
                <w:szCs w:val="20"/>
                <w:color w:val="auto"/>
              </w:rPr>
            </w:pPr>
            <w:r>
              <w:rPr>
                <w:rFonts w:ascii="Arial" w:cs="Arial" w:eastAsia="Arial" w:hAnsi="Arial"/>
                <w:sz w:val="16"/>
                <w:szCs w:val="16"/>
                <w:color w:val="auto"/>
              </w:rPr>
              <w:t>Former Chief Legal Officer and Corporate Secretary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-34925</wp:posOffset>
            </wp:positionV>
            <wp:extent cx="57372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737225" cy="8255"/>
                    </a:xfrm>
                    <a:prstGeom prst="rect">
                      <a:avLst/>
                    </a:prstGeom>
                    <a:noFill/>
                  </pic:spPr>
                </pic:pic>
              </a:graphicData>
            </a:graphic>
          </wp:anchor>
        </w:drawing>
      </w:r>
    </w:p>
    <w:p>
      <w:pPr>
        <w:ind w:left="260" w:hanging="256"/>
        <w:spacing w:after="0"/>
        <w:tabs>
          <w:tab w:leader="none" w:pos="2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Ms. Boswell ceased serving as Chief Executive Officer effective as of May 16, 2025.</w:t>
      </w:r>
    </w:p>
    <w:p>
      <w:pPr>
        <w:spacing w:after="0" w:line="23" w:lineRule="exact"/>
        <w:rPr>
          <w:rFonts w:ascii="Arial" w:cs="Arial" w:eastAsia="Arial" w:hAnsi="Arial"/>
          <w:sz w:val="14"/>
          <w:szCs w:val="14"/>
          <w:color w:val="auto"/>
        </w:rPr>
      </w:pPr>
    </w:p>
    <w:p>
      <w:pPr>
        <w:ind w:left="260" w:hanging="256"/>
        <w:spacing w:after="0"/>
        <w:tabs>
          <w:tab w:leader="none" w:pos="2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Mr. Wu ceased serving as Chief Legal Officer and Corporate Secretary effective as of February 24, 2026.</w:t>
      </w:r>
    </w:p>
    <w:p>
      <w:pPr>
        <w:spacing w:after="0" w:line="335" w:lineRule="exact"/>
        <w:rPr>
          <w:sz w:val="20"/>
          <w:szCs w:val="20"/>
          <w:color w:val="auto"/>
        </w:rPr>
      </w:pPr>
    </w:p>
    <w:p>
      <w:pPr>
        <w:spacing w:after="0"/>
        <w:rPr>
          <w:sz w:val="20"/>
          <w:szCs w:val="20"/>
          <w:color w:val="auto"/>
        </w:rPr>
      </w:pPr>
      <w:r>
        <w:rPr>
          <w:rFonts w:ascii="Arial" w:cs="Arial" w:eastAsia="Arial" w:hAnsi="Arial"/>
          <w:sz w:val="19"/>
          <w:szCs w:val="19"/>
          <w:b w:val="1"/>
          <w:bCs w:val="1"/>
          <w:color w:val="292F72"/>
        </w:rPr>
        <w:t>Fiscal 2025 Compensation Highlights</w:t>
      </w:r>
    </w:p>
    <w:p>
      <w:pPr>
        <w:spacing w:after="0" w:line="121" w:lineRule="exact"/>
        <w:rPr>
          <w:sz w:val="20"/>
          <w:szCs w:val="20"/>
          <w:color w:val="auto"/>
        </w:rPr>
      </w:pPr>
    </w:p>
    <w:p>
      <w:pPr>
        <w:ind w:right="80"/>
        <w:spacing w:after="0" w:line="267" w:lineRule="auto"/>
        <w:rPr>
          <w:sz w:val="20"/>
          <w:szCs w:val="20"/>
          <w:color w:val="auto"/>
        </w:rPr>
      </w:pPr>
      <w:r>
        <w:rPr>
          <w:rFonts w:ascii="Arial" w:cs="Arial" w:eastAsia="Arial" w:hAnsi="Arial"/>
          <w:sz w:val="15"/>
          <w:szCs w:val="15"/>
          <w:color w:val="auto"/>
        </w:rPr>
        <w:t>Our executive compensation program continues to place a significant emphasis on pay-for-performance and provides a meaningful and direct link between the interests of our NEOs and those of our shareholders. We align pay with performance by providing our NEOs with predominantly performance-based compensation, delivered in the form of short-term cash incentives based on annual performance metrics and long-term equity incentives subject to rigorous performance metrics that align with our strategic direction, provide balance between top-line growth and profitability, and are designed to drive shareholder value.</w:t>
      </w:r>
    </w:p>
    <w:p>
      <w:pPr>
        <w:spacing w:after="0" w:line="142" w:lineRule="exact"/>
        <w:rPr>
          <w:sz w:val="20"/>
          <w:szCs w:val="20"/>
          <w:color w:val="auto"/>
        </w:rPr>
      </w:pPr>
    </w:p>
    <w:p>
      <w:pPr>
        <w:ind w:right="80"/>
        <w:spacing w:after="0" w:line="246" w:lineRule="auto"/>
        <w:rPr>
          <w:sz w:val="20"/>
          <w:szCs w:val="20"/>
          <w:color w:val="auto"/>
        </w:rPr>
      </w:pPr>
      <w:r>
        <w:rPr>
          <w:rFonts w:ascii="Arial" w:cs="Arial" w:eastAsia="Arial" w:hAnsi="Arial"/>
          <w:sz w:val="16"/>
          <w:szCs w:val="16"/>
          <w:color w:val="auto"/>
        </w:rPr>
        <w:t>Fiscal 2025 was a year of significant transition for the Company, as we welcomed a new Chief Executive Officer, launched the Consumer First Formula, introduced an annual strategic modifier to our short-term cash incentive compensation program and started transitioning from a seasonal short-term cash incentive program to an annual short-term cash incentive program. In 2026, we will continue to find ways to enhance our executive compensation program to further emphasize pay-for-performance and support the Consumer First Formula.</w:t>
      </w:r>
    </w:p>
    <w:p>
      <w:pPr>
        <w:spacing w:after="0" w:line="145" w:lineRule="exact"/>
        <w:rPr>
          <w:sz w:val="20"/>
          <w:szCs w:val="20"/>
          <w:color w:val="auto"/>
        </w:rPr>
      </w:pPr>
    </w:p>
    <w:p>
      <w:pPr>
        <w:ind w:right="140"/>
        <w:spacing w:after="0" w:line="249" w:lineRule="auto"/>
        <w:rPr>
          <w:sz w:val="20"/>
          <w:szCs w:val="20"/>
          <w:color w:val="auto"/>
        </w:rPr>
      </w:pPr>
      <w:r>
        <w:rPr>
          <w:rFonts w:ascii="Arial" w:cs="Arial" w:eastAsia="Arial" w:hAnsi="Arial"/>
          <w:sz w:val="16"/>
          <w:szCs w:val="16"/>
          <w:color w:val="auto"/>
        </w:rPr>
        <w:t>The compensation paid to our NEOs for fiscal 2025 as described in detail in this CD&amp;A is directly reflective of the Company’s business and operational performance achievements in fiscal 2025. This relationship between pay and performance exemplifies the HCC Committee’s commitment to providing compensation for performance that drives our strategic business goals and shareholder value creation.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122555</wp:posOffset>
            </wp:positionV>
            <wp:extent cx="57372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737225" cy="825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b w:val="1"/>
          <w:bCs w:val="1"/>
          <w:color w:val="292F72"/>
        </w:rPr>
        <w:t>30</w:t>
      </w:r>
      <w:r>
        <w:rPr>
          <w:rFonts w:ascii="Arial" w:cs="Arial" w:eastAsia="Arial" w:hAnsi="Arial"/>
          <w:sz w:val="14"/>
          <w:szCs w:val="14"/>
          <w:color w:val="292F72"/>
        </w:rPr>
        <w:t xml:space="preserve">     Bath &amp; Body Works, Inc.</w:t>
      </w:r>
      <w:r>
        <w:rPr>
          <w:rFonts w:ascii="Arial" w:cs="Arial" w:eastAsia="Arial" w:hAnsi="Arial"/>
          <w:sz w:val="14"/>
          <w:szCs w:val="14"/>
          <w:color w:val="6D8CC3"/>
        </w:rPr>
        <w:t xml:space="preserve">   | </w:t>
      </w:r>
      <w:r>
        <w:rPr>
          <w:rFonts w:ascii="Arial" w:cs="Arial" w:eastAsia="Arial" w:hAnsi="Arial"/>
          <w:sz w:val="14"/>
          <w:szCs w:val="14"/>
          <w:b w:val="1"/>
          <w:bCs w:val="1"/>
          <w:color w:val="292F72"/>
        </w:rPr>
        <w:t xml:space="preserve">  </w:t>
      </w:r>
      <w:r>
        <w:rPr>
          <w:rFonts w:ascii="Arial" w:cs="Arial" w:eastAsia="Arial" w:hAnsi="Arial"/>
          <w:sz w:val="14"/>
          <w:szCs w:val="14"/>
          <w:color w:val="292F72"/>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170180</wp:posOffset>
            </wp:positionV>
            <wp:extent cx="6795135" cy="165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795135" cy="16510"/>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2" w:lineRule="exact"/>
        <w:rPr>
          <w:sz w:val="20"/>
          <w:szCs w:val="20"/>
          <w:color w:val="auto"/>
        </w:rPr>
      </w:pPr>
    </w:p>
    <w:p>
      <w:pPr>
        <w:ind w:left="6840"/>
        <w:spacing w:after="0"/>
        <w:rPr>
          <w:sz w:val="20"/>
          <w:szCs w:val="20"/>
          <w:color w:val="auto"/>
        </w:rPr>
      </w:pPr>
      <w:r>
        <w:rPr>
          <w:rFonts w:ascii="Arial" w:cs="Arial" w:eastAsia="Arial" w:hAnsi="Arial"/>
          <w:sz w:val="15"/>
          <w:szCs w:val="15"/>
          <w:color w:val="292F72"/>
        </w:rPr>
        <w:t>Compensation-Related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48260</wp:posOffset>
            </wp:positionV>
            <wp:extent cx="1407160" cy="330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407160" cy="3302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summarizes certain key highlights from our fiscal 2025 executive compensation program:</w:t>
      </w:r>
    </w:p>
    <w:p>
      <w:pPr>
        <w:spacing w:after="0" w:line="105" w:lineRule="exact"/>
        <w:rPr>
          <w:sz w:val="20"/>
          <w:szCs w:val="20"/>
          <w:color w:val="auto"/>
        </w:rPr>
      </w:pPr>
    </w:p>
    <w:p>
      <w:pPr>
        <w:ind w:left="180" w:right="180" w:hanging="176"/>
        <w:spacing w:after="0" w:line="245" w:lineRule="auto"/>
        <w:tabs>
          <w:tab w:leader="none" w:pos="180" w:val="left"/>
        </w:tabs>
        <w:numPr>
          <w:ilvl w:val="0"/>
          <w:numId w:val="51"/>
        </w:numPr>
        <w:rPr>
          <w:rFonts w:ascii="Arial" w:cs="Arial" w:eastAsia="Arial" w:hAnsi="Arial"/>
          <w:sz w:val="16"/>
          <w:szCs w:val="16"/>
          <w:color w:val="6D8CC3"/>
        </w:rPr>
      </w:pPr>
      <w:r>
        <w:rPr>
          <w:rFonts w:ascii="Arial" w:cs="Arial" w:eastAsia="Arial" w:hAnsi="Arial"/>
          <w:sz w:val="16"/>
          <w:szCs w:val="16"/>
          <w:b w:val="1"/>
          <w:bCs w:val="1"/>
          <w:i w:val="1"/>
          <w:iCs w:val="1"/>
          <w:color w:val="292F72"/>
        </w:rPr>
        <w:t xml:space="preserve">In 2025 we began transitioning from a seasonal short-term cash incentive program to an annual short-term cash incentive program. </w:t>
      </w:r>
      <w:r>
        <w:rPr>
          <w:rFonts w:ascii="Arial" w:cs="Arial" w:eastAsia="Arial" w:hAnsi="Arial"/>
          <w:sz w:val="16"/>
          <w:szCs w:val="16"/>
          <w:color w:val="000000"/>
        </w:rPr>
        <w:t>As part of this evolution, our short-term cash incentive program for 2025 included annual performance</w:t>
      </w:r>
      <w:r>
        <w:rPr>
          <w:rFonts w:ascii="Arial" w:cs="Arial" w:eastAsia="Arial" w:hAnsi="Arial"/>
          <w:sz w:val="16"/>
          <w:szCs w:val="16"/>
          <w:b w:val="1"/>
          <w:bCs w:val="1"/>
          <w:i w:val="1"/>
          <w:iCs w:val="1"/>
          <w:color w:val="292F72"/>
        </w:rPr>
        <w:t xml:space="preserve"> </w:t>
      </w:r>
      <w:r>
        <w:rPr>
          <w:rFonts w:ascii="Arial" w:cs="Arial" w:eastAsia="Arial" w:hAnsi="Arial"/>
          <w:sz w:val="16"/>
          <w:szCs w:val="16"/>
          <w:color w:val="000000"/>
        </w:rPr>
        <w:t>metrics with a mid-year payout based on first half results and year-end payout based on full year results. Starting in 2026, short-term incentives will be measured entirely based on achievement of annual performance metrics with one annual payout based on full year results to better align with market practice. Also, in 2026 we will evaluate additional enhancements to our executive compensation program to support the Consumer First Formula.</w:t>
      </w:r>
    </w:p>
    <w:p>
      <w:pPr>
        <w:spacing w:after="0" w:line="79" w:lineRule="exact"/>
        <w:rPr>
          <w:rFonts w:ascii="Arial" w:cs="Arial" w:eastAsia="Arial" w:hAnsi="Arial"/>
          <w:sz w:val="16"/>
          <w:szCs w:val="16"/>
          <w:color w:val="6D8CC3"/>
        </w:rPr>
      </w:pPr>
    </w:p>
    <w:p>
      <w:pPr>
        <w:ind w:left="180" w:hanging="176"/>
        <w:spacing w:after="0" w:line="241" w:lineRule="auto"/>
        <w:tabs>
          <w:tab w:leader="none" w:pos="180" w:val="left"/>
        </w:tabs>
        <w:numPr>
          <w:ilvl w:val="0"/>
          <w:numId w:val="51"/>
        </w:numPr>
        <w:rPr>
          <w:rFonts w:ascii="Arial" w:cs="Arial" w:eastAsia="Arial" w:hAnsi="Arial"/>
          <w:sz w:val="16"/>
          <w:szCs w:val="16"/>
          <w:color w:val="6D8CC3"/>
        </w:rPr>
      </w:pPr>
      <w:r>
        <w:rPr>
          <w:rFonts w:ascii="Arial" w:cs="Arial" w:eastAsia="Arial" w:hAnsi="Arial"/>
          <w:sz w:val="16"/>
          <w:szCs w:val="16"/>
          <w:b w:val="1"/>
          <w:bCs w:val="1"/>
          <w:i w:val="1"/>
          <w:iCs w:val="1"/>
          <w:color w:val="292F72"/>
        </w:rPr>
        <w:t xml:space="preserve">Our short-term cash incentive program payout continued to align with our financial and strategic performance with NEOs receiving no year-end annual payment. </w:t>
      </w:r>
      <w:r>
        <w:rPr>
          <w:rFonts w:ascii="Arial" w:cs="Arial" w:eastAsia="Arial" w:hAnsi="Arial"/>
          <w:sz w:val="16"/>
          <w:szCs w:val="16"/>
          <w:color w:val="000000"/>
        </w:rPr>
        <w:t>To emphasize the Company’s drive towards durable, top-line growth, the HCC</w:t>
      </w:r>
      <w:r>
        <w:rPr>
          <w:rFonts w:ascii="Arial" w:cs="Arial" w:eastAsia="Arial" w:hAnsi="Arial"/>
          <w:sz w:val="16"/>
          <w:szCs w:val="16"/>
          <w:b w:val="1"/>
          <w:bCs w:val="1"/>
          <w:i w:val="1"/>
          <w:iCs w:val="1"/>
          <w:color w:val="292F72"/>
        </w:rPr>
        <w:t xml:space="preserve"> </w:t>
      </w:r>
      <w:r>
        <w:rPr>
          <w:rFonts w:ascii="Arial" w:cs="Arial" w:eastAsia="Arial" w:hAnsi="Arial"/>
          <w:sz w:val="16"/>
          <w:szCs w:val="16"/>
          <w:color w:val="000000"/>
        </w:rPr>
        <w:t xml:space="preserve">Committee revised our short-term cash incentive program for fiscal 2025 to increase the weighting of the absolute net sales metric from 25% to 35%, which reduced the weighting of the adjusted operating income from 75% to 65%. Additionally, to help create greater focus on driving durable, top-line growth, the HCC Committee added a one-time annual strategic modifier supporting the strategies in place at that time. The short-term cash incentive program mid-year payout (weighted 40%) based on first half results paid at 80.6%, equating to 32.2% of target after weighting for the annual performance period, with both absolute net sales and adjusted operating income performing below target. No year-end annual payment was made under the short-term cash incentive program because both absolute net sales and adjusted operating income did not meet the minimum thresholds for the annual performance period. The one-time annual strategic modifier had no impact on the short-term cash incentive program payouts, as the annual performance metric thresholds had not been met. Therefore, the overall short-term cash incentive payout for fiscal year 2025 was 32.2%. This payout for 2025 reflects the direct linkage between our NEOs’ incentive pay and company performance. Performance was impacted significantly by consumer sentiment as consumers remained cautious and value seeking throughout the year, and by tariffs (which we did not adjust performance targets for). See “—Compensation for NEOs—Compensation Components—Short-term Performance-based Incentive Compensation” beginning on page </w:t>
      </w:r>
      <w:r>
        <w:rPr>
          <w:rFonts w:ascii="Arial" w:cs="Arial" w:eastAsia="Arial" w:hAnsi="Arial"/>
          <w:sz w:val="16"/>
          <w:szCs w:val="16"/>
          <w:u w:val="single" w:color="auto"/>
          <w:color w:val="0000EE"/>
        </w:rPr>
        <w:t>35</w:t>
      </w:r>
      <w:r>
        <w:rPr>
          <w:rFonts w:ascii="Arial" w:cs="Arial" w:eastAsia="Arial" w:hAnsi="Arial"/>
          <w:sz w:val="16"/>
          <w:szCs w:val="16"/>
          <w:color w:val="000000"/>
        </w:rPr>
        <w:t xml:space="preserve"> of this proxy statement for more details.</w:t>
      </w:r>
    </w:p>
    <w:p>
      <w:pPr>
        <w:spacing w:after="0" w:line="86" w:lineRule="exact"/>
        <w:rPr>
          <w:rFonts w:ascii="Arial" w:cs="Arial" w:eastAsia="Arial" w:hAnsi="Arial"/>
          <w:sz w:val="16"/>
          <w:szCs w:val="16"/>
          <w:color w:val="6D8CC3"/>
        </w:rPr>
      </w:pPr>
    </w:p>
    <w:p>
      <w:pPr>
        <w:ind w:left="180" w:right="20" w:hanging="176"/>
        <w:spacing w:after="0" w:line="242" w:lineRule="auto"/>
        <w:tabs>
          <w:tab w:leader="none" w:pos="180" w:val="left"/>
        </w:tabs>
        <w:numPr>
          <w:ilvl w:val="0"/>
          <w:numId w:val="51"/>
        </w:numPr>
        <w:rPr>
          <w:rFonts w:ascii="Arial" w:cs="Arial" w:eastAsia="Arial" w:hAnsi="Arial"/>
          <w:sz w:val="16"/>
          <w:szCs w:val="16"/>
          <w:color w:val="6D8CC3"/>
        </w:rPr>
      </w:pPr>
      <w:r>
        <w:rPr>
          <w:rFonts w:ascii="Arial" w:cs="Arial" w:eastAsia="Arial" w:hAnsi="Arial"/>
          <w:sz w:val="16"/>
          <w:szCs w:val="16"/>
          <w:b w:val="1"/>
          <w:bCs w:val="1"/>
          <w:i w:val="1"/>
          <w:iCs w:val="1"/>
          <w:color w:val="292F72"/>
        </w:rPr>
        <w:t xml:space="preserve">A significant portion of the long-term equity incentives granted to our NEOs in fiscal 2025 were granted subject to challenging performance metrics. </w:t>
      </w:r>
      <w:r>
        <w:rPr>
          <w:rFonts w:ascii="Arial" w:cs="Arial" w:eastAsia="Arial" w:hAnsi="Arial"/>
          <w:sz w:val="16"/>
          <w:szCs w:val="16"/>
          <w:color w:val="000000"/>
        </w:rPr>
        <w:t>We redesigned our performance stock unit (“PSU”) program in 2023 following discussions</w:t>
      </w:r>
      <w:r>
        <w:rPr>
          <w:rFonts w:ascii="Arial" w:cs="Arial" w:eastAsia="Arial" w:hAnsi="Arial"/>
          <w:sz w:val="16"/>
          <w:szCs w:val="16"/>
          <w:b w:val="1"/>
          <w:bCs w:val="1"/>
          <w:i w:val="1"/>
          <w:iCs w:val="1"/>
          <w:color w:val="292F72"/>
        </w:rPr>
        <w:t xml:space="preserve"> </w:t>
      </w:r>
      <w:r>
        <w:rPr>
          <w:rFonts w:ascii="Arial" w:cs="Arial" w:eastAsia="Arial" w:hAnsi="Arial"/>
          <w:sz w:val="16"/>
          <w:szCs w:val="16"/>
          <w:color w:val="000000"/>
        </w:rPr>
        <w:t>with our shareholders to more closely align award payouts with shareholder returns. PSUs are subject to two performance metrics: (i) relative total shareholder return (“TSR”) (50%) and (ii) adjusted operating income margin (50%), each of which is measured over a cumulative three-year performance period. In addition, all PSUs are subject to a “negative absolute TSR cap,” whereby the payout is limited to the target performance level when our absolute TSR is negative over the performance period. In 2024, the HCC Committee also increased the proportion of our Chief Executive Officer’s long-term equity incentive compensation that is subject to performance-based conditions to 60%, thereby enhancing the weighting of performance-based compensation for our Chief Executive Officer. We believe these rigorous performance metrics continue to provide a balance of growth and profitability, support the strategic direction of the Company and ensure alignment with the interests of our shareholders.</w:t>
      </w:r>
    </w:p>
    <w:p>
      <w:pPr>
        <w:spacing w:after="0" w:line="308" w:lineRule="exact"/>
        <w:rPr>
          <w:sz w:val="20"/>
          <w:szCs w:val="20"/>
          <w:color w:val="auto"/>
        </w:rPr>
      </w:pPr>
    </w:p>
    <w:p>
      <w:pPr>
        <w:spacing w:after="0"/>
        <w:rPr>
          <w:sz w:val="20"/>
          <w:szCs w:val="20"/>
          <w:color w:val="auto"/>
        </w:rPr>
      </w:pPr>
      <w:r>
        <w:rPr>
          <w:rFonts w:ascii="Arial" w:cs="Arial" w:eastAsia="Arial" w:hAnsi="Arial"/>
          <w:sz w:val="19"/>
          <w:szCs w:val="19"/>
          <w:b w:val="1"/>
          <w:bCs w:val="1"/>
          <w:color w:val="292F72"/>
        </w:rPr>
        <w:t>Shareholder Engagement</w:t>
      </w:r>
    </w:p>
    <w:p>
      <w:pPr>
        <w:spacing w:after="0" w:line="134" w:lineRule="exact"/>
        <w:rPr>
          <w:sz w:val="20"/>
          <w:szCs w:val="20"/>
          <w:color w:val="auto"/>
        </w:rPr>
      </w:pPr>
    </w:p>
    <w:p>
      <w:pPr>
        <w:ind w:right="180"/>
        <w:spacing w:after="0" w:line="246" w:lineRule="auto"/>
        <w:rPr>
          <w:sz w:val="20"/>
          <w:szCs w:val="20"/>
          <w:color w:val="auto"/>
        </w:rPr>
      </w:pPr>
      <w:r>
        <w:rPr>
          <w:rFonts w:ascii="Arial" w:cs="Arial" w:eastAsia="Arial" w:hAnsi="Arial"/>
          <w:sz w:val="16"/>
          <w:szCs w:val="16"/>
          <w:color w:val="auto"/>
        </w:rPr>
        <w:t>The Board values the input of shareholders on all matters, including our executive compensation program. We annually provide shareholders with the opportunity to cast an advisory vote on the compensation of the Company’s NEOs. The HCC Committee considers the feedback we receive during shareholder engagements, as well as the results of the say-on-pay votes, when reviewing and implementing our executive compensation program. At the 2025 annual meeting of shareholders, 98.8% of the votes cast supported the say-on-pay proposal.</w:t>
      </w:r>
    </w:p>
    <w:p>
      <w:pPr>
        <w:spacing w:after="0" w:line="145"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Since the beginning of the calendar year, we have reached out to shareholders representing 57% of our shares outstanding as of the last day of our 2025 fiscal year end. Of the shareholders to whom we reached out, we held meetings with shareholders representing 9% of our outstanding shares as of the last day of fiscal 2025. During those meetings we discussed the strategy of the Company, Board structure and experience, our compensation program, corporate governance and sustainability.</w:t>
      </w:r>
    </w:p>
    <w:p>
      <w:pPr>
        <w:spacing w:after="0" w:line="141" w:lineRule="exact"/>
        <w:rPr>
          <w:sz w:val="20"/>
          <w:szCs w:val="20"/>
          <w:color w:val="auto"/>
        </w:rPr>
      </w:pPr>
    </w:p>
    <w:p>
      <w:pPr>
        <w:ind w:right="220"/>
        <w:spacing w:after="0" w:line="268" w:lineRule="auto"/>
        <w:rPr>
          <w:sz w:val="20"/>
          <w:szCs w:val="20"/>
          <w:color w:val="auto"/>
        </w:rPr>
      </w:pPr>
      <w:r>
        <w:rPr>
          <w:rFonts w:ascii="Arial" w:cs="Arial" w:eastAsia="Arial" w:hAnsi="Arial"/>
          <w:sz w:val="16"/>
          <w:szCs w:val="16"/>
          <w:color w:val="auto"/>
        </w:rPr>
        <w:t>As our executive compensation program continues to evolve, we are committed to ongoing shareholder engagement to ensure our practices continue to reflect the valuable input of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113030</wp:posOffset>
            </wp:positionV>
            <wp:extent cx="57372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737225" cy="8255"/>
                    </a:xfrm>
                    <a:prstGeom prst="rect">
                      <a:avLst/>
                    </a:prstGeom>
                    <a:noFill/>
                  </pic:spPr>
                </pic:pic>
              </a:graphicData>
            </a:graphic>
          </wp:anchor>
        </w:drawing>
      </w:r>
    </w:p>
    <w:p>
      <w:pPr>
        <w:spacing w:after="0" w:line="254" w:lineRule="exact"/>
        <w:rPr>
          <w:sz w:val="20"/>
          <w:szCs w:val="20"/>
          <w:color w:val="auto"/>
        </w:rPr>
      </w:pPr>
    </w:p>
    <w:p>
      <w:pPr>
        <w:jc w:val="right"/>
        <w:spacing w:after="0"/>
        <w:rPr>
          <w:sz w:val="20"/>
          <w:szCs w:val="20"/>
          <w:color w:val="auto"/>
        </w:rPr>
      </w:pPr>
      <w:r>
        <w:rPr>
          <w:rFonts w:ascii="Arial" w:cs="Arial" w:eastAsia="Arial" w:hAnsi="Arial"/>
          <w:sz w:val="14"/>
          <w:szCs w:val="14"/>
          <w:color w:val="292F72"/>
        </w:rPr>
        <w:t>Bath &amp; Body Works, Inc.</w:t>
      </w:r>
      <w:r>
        <w:rPr>
          <w:rFonts w:ascii="Arial" w:cs="Arial" w:eastAsia="Arial" w:hAnsi="Arial"/>
          <w:sz w:val="14"/>
          <w:szCs w:val="14"/>
          <w:color w:val="6D8CC3"/>
        </w:rPr>
        <w:t xml:space="preserve">   | </w:t>
      </w:r>
      <w:r>
        <w:rPr>
          <w:rFonts w:ascii="Arial" w:cs="Arial" w:eastAsia="Arial" w:hAnsi="Arial"/>
          <w:sz w:val="14"/>
          <w:szCs w:val="14"/>
          <w:color w:val="292F72"/>
        </w:rPr>
        <w:t xml:space="preserve">  2026 Proxy Statement     </w:t>
      </w:r>
      <w:r>
        <w:rPr>
          <w:rFonts w:ascii="Arial" w:cs="Arial" w:eastAsia="Arial" w:hAnsi="Arial"/>
          <w:sz w:val="14"/>
          <w:szCs w:val="14"/>
          <w:b w:val="1"/>
          <w:bCs w:val="1"/>
          <w:color w:val="292F72"/>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153670</wp:posOffset>
            </wp:positionV>
            <wp:extent cx="6795135" cy="1651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795135" cy="16510"/>
                    </a:xfrm>
                    <a:prstGeom prst="rect">
                      <a:avLst/>
                    </a:prstGeom>
                    <a:noFill/>
                  </pic:spPr>
                </pic:pic>
              </a:graphicData>
            </a:graphic>
          </wp:anchor>
        </w:drawing>
      </w:r>
    </w:p>
    <w:p>
      <w:pPr>
        <w:sectPr>
          <w:pgSz w:w="11900" w:h="16838" w:orient="portrait"/>
          <w:cols w:equalWidth="0" w:num="1">
            <w:col w:w="9040"/>
          </w:cols>
          <w:pgMar w:left="1420" w:top="116" w:right="1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6"/>
          <w:szCs w:val="16"/>
          <w:color w:val="292F72"/>
        </w:rPr>
        <w:t>Compensation-Related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40640</wp:posOffset>
            </wp:positionV>
            <wp:extent cx="1407160" cy="330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407160" cy="3302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b w:val="1"/>
          <w:bCs w:val="1"/>
          <w:color w:val="292F72"/>
        </w:rPr>
        <w:t>Executive Compensation Philosophy</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b w:val="1"/>
          <w:bCs w:val="1"/>
          <w:color w:val="6D8CC3"/>
        </w:rPr>
        <w:t>GUIDING PRINCIPLES</w:t>
      </w:r>
    </w:p>
    <w:p>
      <w:pPr>
        <w:spacing w:after="0" w:line="94" w:lineRule="exact"/>
        <w:rPr>
          <w:sz w:val="20"/>
          <w:szCs w:val="20"/>
          <w:color w:val="auto"/>
        </w:rPr>
      </w:pPr>
    </w:p>
    <w:p>
      <w:pPr>
        <w:ind w:right="680"/>
        <w:spacing w:after="0" w:line="268" w:lineRule="auto"/>
        <w:rPr>
          <w:sz w:val="20"/>
          <w:szCs w:val="20"/>
          <w:color w:val="auto"/>
        </w:rPr>
      </w:pPr>
      <w:r>
        <w:rPr>
          <w:rFonts w:ascii="Arial" w:cs="Arial" w:eastAsia="Arial" w:hAnsi="Arial"/>
          <w:sz w:val="16"/>
          <w:szCs w:val="16"/>
          <w:color w:val="auto"/>
        </w:rPr>
        <w:t>The HCC Committee oversees an executive compensation program based on the following clear and purposeful guiding principles: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2220" w:type="dxa"/>
            <w:vAlign w:val="bottom"/>
          </w:tcPr>
          <w:p>
            <w:pPr>
              <w:ind w:left="40"/>
              <w:spacing w:after="0"/>
              <w:rPr>
                <w:sz w:val="20"/>
                <w:szCs w:val="20"/>
                <w:color w:val="auto"/>
              </w:rPr>
            </w:pPr>
            <w:r>
              <w:rPr>
                <w:rFonts w:ascii="Arial" w:cs="Arial" w:eastAsia="Arial" w:hAnsi="Arial"/>
                <w:sz w:val="14"/>
                <w:szCs w:val="14"/>
                <w:b w:val="1"/>
                <w:bCs w:val="1"/>
                <w:color w:val="292F72"/>
              </w:rPr>
              <w:t>COMPENSATION</w:t>
            </w:r>
          </w:p>
        </w:tc>
        <w:tc>
          <w:tcPr>
            <w:tcW w:w="6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120" w:type="dxa"/>
            <w:vAlign w:val="bottom"/>
          </w:tcPr>
          <w:p>
            <w:pPr>
              <w:spacing w:after="0"/>
              <w:rPr>
                <w:sz w:val="16"/>
                <w:szCs w:val="16"/>
                <w:color w:val="auto"/>
              </w:rPr>
            </w:pPr>
          </w:p>
        </w:tc>
        <w:tc>
          <w:tcPr>
            <w:tcW w:w="2220" w:type="dxa"/>
            <w:vAlign w:val="bottom"/>
          </w:tcPr>
          <w:p>
            <w:pPr>
              <w:ind w:left="40"/>
              <w:spacing w:after="0"/>
              <w:rPr>
                <w:sz w:val="20"/>
                <w:szCs w:val="20"/>
                <w:color w:val="auto"/>
              </w:rPr>
            </w:pPr>
            <w:r>
              <w:rPr>
                <w:rFonts w:ascii="Arial" w:cs="Arial" w:eastAsia="Arial" w:hAnsi="Arial"/>
                <w:sz w:val="14"/>
                <w:szCs w:val="14"/>
                <w:b w:val="1"/>
                <w:bCs w:val="1"/>
                <w:color w:val="292F72"/>
              </w:rPr>
              <w:t>COMPONENT</w:t>
            </w:r>
          </w:p>
        </w:tc>
        <w:tc>
          <w:tcPr>
            <w:tcW w:w="6700" w:type="dxa"/>
            <w:vAlign w:val="bottom"/>
          </w:tcPr>
          <w:p>
            <w:pPr>
              <w:ind w:left="140"/>
              <w:spacing w:after="0"/>
              <w:rPr>
                <w:sz w:val="20"/>
                <w:szCs w:val="20"/>
                <w:color w:val="auto"/>
              </w:rPr>
            </w:pPr>
            <w:r>
              <w:rPr>
                <w:rFonts w:ascii="Arial" w:cs="Arial" w:eastAsia="Arial" w:hAnsi="Arial"/>
                <w:sz w:val="14"/>
                <w:szCs w:val="14"/>
                <w:b w:val="1"/>
                <w:bCs w:val="1"/>
                <w:color w:val="292F72"/>
              </w:rPr>
              <w:t>OUR PRINCIPLES</w:t>
            </w:r>
          </w:p>
        </w:tc>
        <w:tc>
          <w:tcPr>
            <w:tcW w:w="0" w:type="dxa"/>
            <w:vAlign w:val="bottom"/>
          </w:tcPr>
          <w:p>
            <w:pPr>
              <w:spacing w:after="0"/>
              <w:rPr>
                <w:sz w:val="1"/>
                <w:szCs w:val="1"/>
                <w:color w:val="auto"/>
              </w:rPr>
            </w:pPr>
          </w:p>
        </w:tc>
      </w:tr>
      <w:tr>
        <w:trPr>
          <w:trHeight w:val="66"/>
        </w:trPr>
        <w:tc>
          <w:tcPr>
            <w:tcW w:w="120" w:type="dxa"/>
            <w:vAlign w:val="bottom"/>
            <w:tcBorders>
              <w:bottom w:val="single" w:sz="8" w:color="292F72"/>
            </w:tcBorders>
          </w:tcPr>
          <w:p>
            <w:pPr>
              <w:spacing w:after="0"/>
              <w:rPr>
                <w:sz w:val="5"/>
                <w:szCs w:val="5"/>
                <w:color w:val="auto"/>
              </w:rPr>
            </w:pPr>
          </w:p>
        </w:tc>
        <w:tc>
          <w:tcPr>
            <w:tcW w:w="2220" w:type="dxa"/>
            <w:vAlign w:val="bottom"/>
            <w:tcBorders>
              <w:bottom w:val="single" w:sz="8" w:color="292F72"/>
            </w:tcBorders>
          </w:tcPr>
          <w:p>
            <w:pPr>
              <w:spacing w:after="0"/>
              <w:rPr>
                <w:sz w:val="5"/>
                <w:szCs w:val="5"/>
                <w:color w:val="auto"/>
              </w:rPr>
            </w:pPr>
          </w:p>
        </w:tc>
        <w:tc>
          <w:tcPr>
            <w:tcW w:w="6700" w:type="dxa"/>
            <w:vAlign w:val="bottom"/>
            <w:tcBorders>
              <w:bottom w:val="single" w:sz="8" w:color="292F72"/>
            </w:tcBorders>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120" w:type="dxa"/>
            <w:vAlign w:val="bottom"/>
            <w:shd w:val="clear" w:color="auto" w:fill="F0F5FE"/>
          </w:tcPr>
          <w:p>
            <w:pPr>
              <w:spacing w:after="0"/>
              <w:rPr>
                <w:sz w:val="23"/>
                <w:szCs w:val="23"/>
                <w:color w:val="auto"/>
              </w:rPr>
            </w:pPr>
          </w:p>
        </w:tc>
        <w:tc>
          <w:tcPr>
            <w:tcW w:w="2220" w:type="dxa"/>
            <w:vAlign w:val="bottom"/>
            <w:shd w:val="clear" w:color="auto" w:fill="F0F5FE"/>
          </w:tcPr>
          <w:p>
            <w:pPr>
              <w:spacing w:after="0"/>
              <w:rPr>
                <w:sz w:val="23"/>
                <w:szCs w:val="23"/>
                <w:color w:val="auto"/>
              </w:rPr>
            </w:pPr>
          </w:p>
        </w:tc>
        <w:tc>
          <w:tcPr>
            <w:tcW w:w="6700" w:type="dxa"/>
            <w:vAlign w:val="bottom"/>
          </w:tcPr>
          <w:p>
            <w:pPr>
              <w:ind w:left="140"/>
              <w:spacing w:after="0"/>
              <w:rPr>
                <w:sz w:val="20"/>
                <w:szCs w:val="20"/>
                <w:color w:val="auto"/>
              </w:rPr>
            </w:pPr>
            <w:r>
              <w:rPr>
                <w:rFonts w:ascii="Arial" w:cs="Arial" w:eastAsia="Arial" w:hAnsi="Arial"/>
                <w:sz w:val="16"/>
                <w:szCs w:val="16"/>
                <w:color w:val="auto"/>
              </w:rPr>
              <w:t>Attract and retain top leaders in a highly competitive market for talent.</w:t>
            </w:r>
          </w:p>
        </w:tc>
        <w:tc>
          <w:tcPr>
            <w:tcW w:w="0" w:type="dxa"/>
            <w:vAlign w:val="bottom"/>
          </w:tcPr>
          <w:p>
            <w:pPr>
              <w:spacing w:after="0"/>
              <w:rPr>
                <w:sz w:val="1"/>
                <w:szCs w:val="1"/>
                <w:color w:val="auto"/>
              </w:rPr>
            </w:pPr>
          </w:p>
        </w:tc>
      </w:tr>
      <w:tr>
        <w:trPr>
          <w:trHeight w:val="68"/>
        </w:trPr>
        <w:tc>
          <w:tcPr>
            <w:tcW w:w="120" w:type="dxa"/>
            <w:vAlign w:val="bottom"/>
            <w:tcBorders>
              <w:bottom w:val="single" w:sz="8" w:color="F0F5FE"/>
            </w:tcBorders>
            <w:shd w:val="clear" w:color="auto" w:fill="F0F5FE"/>
          </w:tcPr>
          <w:p>
            <w:pPr>
              <w:spacing w:after="0"/>
              <w:rPr>
                <w:sz w:val="5"/>
                <w:szCs w:val="5"/>
                <w:color w:val="auto"/>
              </w:rPr>
            </w:pPr>
          </w:p>
        </w:tc>
        <w:tc>
          <w:tcPr>
            <w:tcW w:w="2220" w:type="dxa"/>
            <w:vAlign w:val="bottom"/>
            <w:tcBorders>
              <w:bottom w:val="single" w:sz="8" w:color="F0F5FE"/>
            </w:tcBorders>
            <w:vMerge w:val="restart"/>
            <w:shd w:val="clear" w:color="auto" w:fill="F0F5FE"/>
          </w:tcPr>
          <w:p>
            <w:pPr>
              <w:ind w:left="40"/>
              <w:spacing w:after="0"/>
              <w:rPr>
                <w:sz w:val="20"/>
                <w:szCs w:val="20"/>
                <w:color w:val="auto"/>
              </w:rPr>
            </w:pPr>
            <w:r>
              <w:rPr>
                <w:rFonts w:ascii="Arial" w:cs="Arial" w:eastAsia="Arial" w:hAnsi="Arial"/>
                <w:sz w:val="16"/>
                <w:szCs w:val="16"/>
                <w:b w:val="1"/>
                <w:bCs w:val="1"/>
                <w:color w:val="auto"/>
              </w:rPr>
              <w:t>Pay Level</w:t>
            </w:r>
          </w:p>
        </w:tc>
        <w:tc>
          <w:tcPr>
            <w:tcW w:w="6700" w:type="dxa"/>
            <w:vAlign w:val="bottom"/>
            <w:tcBorders>
              <w:bottom w:val="single" w:sz="8" w:color="6D8CC3"/>
            </w:tcBorders>
          </w:tcPr>
          <w:p>
            <w:pPr>
              <w:spacing w:after="0"/>
              <w:rPr>
                <w:sz w:val="5"/>
                <w:szCs w:val="5"/>
                <w:color w:val="auto"/>
              </w:rPr>
            </w:pPr>
          </w:p>
        </w:tc>
        <w:tc>
          <w:tcPr>
            <w:tcW w:w="0" w:type="dxa"/>
            <w:vAlign w:val="bottom"/>
          </w:tcPr>
          <w:p>
            <w:pPr>
              <w:spacing w:after="0"/>
              <w:rPr>
                <w:sz w:val="1"/>
                <w:szCs w:val="1"/>
                <w:color w:val="auto"/>
              </w:rPr>
            </w:pPr>
          </w:p>
        </w:tc>
      </w:tr>
      <w:tr>
        <w:trPr>
          <w:trHeight w:val="274"/>
        </w:trPr>
        <w:tc>
          <w:tcPr>
            <w:tcW w:w="120" w:type="dxa"/>
            <w:vAlign w:val="bottom"/>
            <w:shd w:val="clear" w:color="auto" w:fill="F0F5FE"/>
          </w:tcPr>
          <w:p>
            <w:pPr>
              <w:spacing w:after="0"/>
              <w:rPr>
                <w:sz w:val="23"/>
                <w:szCs w:val="23"/>
                <w:color w:val="auto"/>
              </w:rPr>
            </w:pPr>
          </w:p>
        </w:tc>
        <w:tc>
          <w:tcPr>
            <w:tcW w:w="2220" w:type="dxa"/>
            <w:vAlign w:val="bottom"/>
            <w:vMerge w:val="continue"/>
            <w:shd w:val="clear" w:color="auto" w:fill="F0F5FE"/>
          </w:tcPr>
          <w:p>
            <w:pPr>
              <w:spacing w:after="0"/>
              <w:rPr>
                <w:sz w:val="23"/>
                <w:szCs w:val="23"/>
                <w:color w:val="auto"/>
              </w:rPr>
            </w:pPr>
          </w:p>
        </w:tc>
        <w:tc>
          <w:tcPr>
            <w:tcW w:w="6700" w:type="dxa"/>
            <w:vAlign w:val="bottom"/>
          </w:tcPr>
          <w:p>
            <w:pPr>
              <w:ind w:left="140"/>
              <w:spacing w:after="0"/>
              <w:rPr>
                <w:sz w:val="20"/>
                <w:szCs w:val="20"/>
                <w:color w:val="auto"/>
              </w:rPr>
            </w:pPr>
            <w:r>
              <w:rPr>
                <w:rFonts w:ascii="Arial" w:cs="Arial" w:eastAsia="Arial" w:hAnsi="Arial"/>
                <w:sz w:val="16"/>
                <w:szCs w:val="16"/>
                <w:color w:val="auto"/>
              </w:rPr>
              <w:t>Pay competitively and equitably.</w:t>
            </w:r>
          </w:p>
        </w:tc>
        <w:tc>
          <w:tcPr>
            <w:tcW w:w="0" w:type="dxa"/>
            <w:vAlign w:val="bottom"/>
          </w:tcPr>
          <w:p>
            <w:pPr>
              <w:spacing w:after="0"/>
              <w:rPr>
                <w:sz w:val="1"/>
                <w:szCs w:val="1"/>
                <w:color w:val="auto"/>
              </w:rPr>
            </w:pPr>
          </w:p>
        </w:tc>
      </w:tr>
      <w:tr>
        <w:trPr>
          <w:trHeight w:val="60"/>
        </w:trPr>
        <w:tc>
          <w:tcPr>
            <w:tcW w:w="120" w:type="dxa"/>
            <w:vAlign w:val="bottom"/>
            <w:tcBorders>
              <w:bottom w:val="single" w:sz="8" w:color="F0F5FE"/>
            </w:tcBorders>
            <w:shd w:val="clear" w:color="auto" w:fill="F0F5FE"/>
          </w:tcPr>
          <w:p>
            <w:pPr>
              <w:spacing w:after="0"/>
              <w:rPr>
                <w:sz w:val="5"/>
                <w:szCs w:val="5"/>
                <w:color w:val="auto"/>
              </w:rPr>
            </w:pPr>
          </w:p>
        </w:tc>
        <w:tc>
          <w:tcPr>
            <w:tcW w:w="2220" w:type="dxa"/>
            <w:vAlign w:val="bottom"/>
            <w:tcBorders>
              <w:bottom w:val="single" w:sz="8" w:color="F0F5FE"/>
            </w:tcBorders>
            <w:shd w:val="clear" w:color="auto" w:fill="F0F5FE"/>
          </w:tcPr>
          <w:p>
            <w:pPr>
              <w:spacing w:after="0"/>
              <w:rPr>
                <w:sz w:val="5"/>
                <w:szCs w:val="5"/>
                <w:color w:val="auto"/>
              </w:rPr>
            </w:pPr>
          </w:p>
        </w:tc>
        <w:tc>
          <w:tcPr>
            <w:tcW w:w="6700" w:type="dxa"/>
            <w:vAlign w:val="bottom"/>
            <w:tcBorders>
              <w:bottom w:val="single" w:sz="8" w:color="6D8CC3"/>
            </w:tcBorders>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120" w:type="dxa"/>
            <w:vAlign w:val="bottom"/>
            <w:shd w:val="clear" w:color="auto" w:fill="F0F5FE"/>
          </w:tcPr>
          <w:p>
            <w:pPr>
              <w:spacing w:after="0"/>
              <w:rPr>
                <w:sz w:val="23"/>
                <w:szCs w:val="23"/>
                <w:color w:val="auto"/>
              </w:rPr>
            </w:pPr>
          </w:p>
        </w:tc>
        <w:tc>
          <w:tcPr>
            <w:tcW w:w="2220" w:type="dxa"/>
            <w:vAlign w:val="bottom"/>
            <w:shd w:val="clear" w:color="auto" w:fill="F0F5FE"/>
          </w:tcPr>
          <w:p>
            <w:pPr>
              <w:spacing w:after="0"/>
              <w:rPr>
                <w:sz w:val="23"/>
                <w:szCs w:val="23"/>
                <w:color w:val="auto"/>
              </w:rPr>
            </w:pPr>
          </w:p>
        </w:tc>
        <w:tc>
          <w:tcPr>
            <w:tcW w:w="6700" w:type="dxa"/>
            <w:vAlign w:val="bottom"/>
          </w:tcPr>
          <w:p>
            <w:pPr>
              <w:ind w:left="140"/>
              <w:spacing w:after="0"/>
              <w:rPr>
                <w:sz w:val="20"/>
                <w:szCs w:val="20"/>
                <w:color w:val="auto"/>
              </w:rPr>
            </w:pPr>
            <w:r>
              <w:rPr>
                <w:rFonts w:ascii="Arial" w:cs="Arial" w:eastAsia="Arial" w:hAnsi="Arial"/>
                <w:sz w:val="16"/>
                <w:szCs w:val="16"/>
                <w:color w:val="auto"/>
              </w:rPr>
              <w:t>Recognize depth and scope of accountability and complexity of responsibility.</w:t>
            </w:r>
          </w:p>
        </w:tc>
        <w:tc>
          <w:tcPr>
            <w:tcW w:w="0" w:type="dxa"/>
            <w:vAlign w:val="bottom"/>
          </w:tcPr>
          <w:p>
            <w:pPr>
              <w:spacing w:after="0"/>
              <w:rPr>
                <w:sz w:val="1"/>
                <w:szCs w:val="1"/>
                <w:color w:val="auto"/>
              </w:rPr>
            </w:pPr>
          </w:p>
        </w:tc>
      </w:tr>
      <w:tr>
        <w:trPr>
          <w:trHeight w:val="68"/>
        </w:trPr>
        <w:tc>
          <w:tcPr>
            <w:tcW w:w="120" w:type="dxa"/>
            <w:vAlign w:val="bottom"/>
            <w:tcBorders>
              <w:bottom w:val="single" w:sz="8" w:color="6D8CC3"/>
            </w:tcBorders>
            <w:shd w:val="clear" w:color="auto" w:fill="F0F5FE"/>
          </w:tcPr>
          <w:p>
            <w:pPr>
              <w:spacing w:after="0"/>
              <w:rPr>
                <w:sz w:val="5"/>
                <w:szCs w:val="5"/>
                <w:color w:val="auto"/>
              </w:rPr>
            </w:pPr>
          </w:p>
        </w:tc>
        <w:tc>
          <w:tcPr>
            <w:tcW w:w="2220" w:type="dxa"/>
            <w:vAlign w:val="bottom"/>
            <w:tcBorders>
              <w:bottom w:val="single" w:sz="8" w:color="6D8CC3"/>
            </w:tcBorders>
            <w:shd w:val="clear" w:color="auto" w:fill="F0F5FE"/>
          </w:tcPr>
          <w:p>
            <w:pPr>
              <w:spacing w:after="0"/>
              <w:rPr>
                <w:sz w:val="5"/>
                <w:szCs w:val="5"/>
                <w:color w:val="auto"/>
              </w:rPr>
            </w:pPr>
          </w:p>
        </w:tc>
        <w:tc>
          <w:tcPr>
            <w:tcW w:w="6700" w:type="dxa"/>
            <w:vAlign w:val="bottom"/>
            <w:tcBorders>
              <w:bottom w:val="single" w:sz="8" w:color="6D8CC3"/>
            </w:tcBorders>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20" w:type="dxa"/>
            <w:vAlign w:val="bottom"/>
            <w:shd w:val="clear" w:color="auto" w:fill="F0F5FE"/>
          </w:tcPr>
          <w:p>
            <w:pPr>
              <w:spacing w:after="0"/>
              <w:rPr>
                <w:sz w:val="21"/>
                <w:szCs w:val="21"/>
                <w:color w:val="auto"/>
              </w:rPr>
            </w:pPr>
          </w:p>
        </w:tc>
        <w:tc>
          <w:tcPr>
            <w:tcW w:w="2220" w:type="dxa"/>
            <w:vAlign w:val="bottom"/>
            <w:vMerge w:val="restart"/>
            <w:shd w:val="clear" w:color="auto" w:fill="F0F5FE"/>
          </w:tcPr>
          <w:p>
            <w:pPr>
              <w:ind w:left="40"/>
              <w:spacing w:after="0"/>
              <w:rPr>
                <w:sz w:val="20"/>
                <w:szCs w:val="20"/>
                <w:color w:val="auto"/>
              </w:rPr>
            </w:pPr>
            <w:r>
              <w:rPr>
                <w:rFonts w:ascii="Arial" w:cs="Arial" w:eastAsia="Arial" w:hAnsi="Arial"/>
                <w:sz w:val="16"/>
                <w:szCs w:val="16"/>
                <w:b w:val="1"/>
                <w:bCs w:val="1"/>
                <w:color w:val="auto"/>
              </w:rPr>
              <w:t>Pay Mix</w:t>
            </w:r>
          </w:p>
        </w:tc>
        <w:tc>
          <w:tcPr>
            <w:tcW w:w="6700" w:type="dxa"/>
            <w:vAlign w:val="bottom"/>
          </w:tcPr>
          <w:p>
            <w:pPr>
              <w:ind w:left="140"/>
              <w:spacing w:after="0"/>
              <w:rPr>
                <w:sz w:val="20"/>
                <w:szCs w:val="20"/>
                <w:color w:val="auto"/>
              </w:rPr>
            </w:pPr>
            <w:r>
              <w:rPr>
                <w:rFonts w:ascii="Arial" w:cs="Arial" w:eastAsia="Arial" w:hAnsi="Arial"/>
                <w:sz w:val="16"/>
                <w:szCs w:val="16"/>
                <w:color w:val="auto"/>
              </w:rPr>
              <w:t>Emphasize performance-contingent, long-term equity-based incentive compensation over</w:t>
            </w:r>
          </w:p>
        </w:tc>
        <w:tc>
          <w:tcPr>
            <w:tcW w:w="0" w:type="dxa"/>
            <w:vAlign w:val="bottom"/>
          </w:tcPr>
          <w:p>
            <w:pPr>
              <w:spacing w:after="0"/>
              <w:rPr>
                <w:sz w:val="1"/>
                <w:szCs w:val="1"/>
                <w:color w:val="auto"/>
              </w:rPr>
            </w:pPr>
          </w:p>
        </w:tc>
      </w:tr>
      <w:tr>
        <w:trPr>
          <w:trHeight w:val="123"/>
        </w:trPr>
        <w:tc>
          <w:tcPr>
            <w:tcW w:w="120" w:type="dxa"/>
            <w:vAlign w:val="bottom"/>
            <w:shd w:val="clear" w:color="auto" w:fill="F0F5FE"/>
          </w:tcPr>
          <w:p>
            <w:pPr>
              <w:spacing w:after="0"/>
              <w:rPr>
                <w:sz w:val="10"/>
                <w:szCs w:val="10"/>
                <w:color w:val="auto"/>
              </w:rPr>
            </w:pPr>
          </w:p>
        </w:tc>
        <w:tc>
          <w:tcPr>
            <w:tcW w:w="2220" w:type="dxa"/>
            <w:vAlign w:val="bottom"/>
            <w:vMerge w:val="continue"/>
            <w:shd w:val="clear" w:color="auto" w:fill="F0F5FE"/>
          </w:tcPr>
          <w:p>
            <w:pPr>
              <w:spacing w:after="0"/>
              <w:rPr>
                <w:sz w:val="10"/>
                <w:szCs w:val="10"/>
                <w:color w:val="auto"/>
              </w:rPr>
            </w:pPr>
          </w:p>
        </w:tc>
        <w:tc>
          <w:tcPr>
            <w:tcW w:w="6700" w:type="dxa"/>
            <w:vAlign w:val="bottom"/>
            <w:vMerge w:val="restart"/>
          </w:tcPr>
          <w:p>
            <w:pPr>
              <w:ind w:left="140"/>
              <w:spacing w:after="0"/>
              <w:rPr>
                <w:sz w:val="20"/>
                <w:szCs w:val="20"/>
                <w:color w:val="auto"/>
              </w:rPr>
            </w:pPr>
            <w:r>
              <w:rPr>
                <w:rFonts w:ascii="Arial" w:cs="Arial" w:eastAsia="Arial" w:hAnsi="Arial"/>
                <w:sz w:val="16"/>
                <w:szCs w:val="16"/>
                <w:color w:val="auto"/>
              </w:rPr>
              <w:t>fixed compensation.</w:t>
            </w:r>
          </w:p>
        </w:tc>
        <w:tc>
          <w:tcPr>
            <w:tcW w:w="0" w:type="dxa"/>
            <w:vAlign w:val="bottom"/>
          </w:tcPr>
          <w:p>
            <w:pPr>
              <w:spacing w:after="0"/>
              <w:rPr>
                <w:sz w:val="1"/>
                <w:szCs w:val="1"/>
                <w:color w:val="auto"/>
              </w:rPr>
            </w:pPr>
          </w:p>
        </w:tc>
      </w:tr>
      <w:tr>
        <w:trPr>
          <w:trHeight w:val="84"/>
        </w:trPr>
        <w:tc>
          <w:tcPr>
            <w:tcW w:w="120" w:type="dxa"/>
            <w:vAlign w:val="bottom"/>
            <w:shd w:val="clear" w:color="auto" w:fill="F0F5FE"/>
          </w:tcPr>
          <w:p>
            <w:pPr>
              <w:spacing w:after="0"/>
              <w:rPr>
                <w:sz w:val="7"/>
                <w:szCs w:val="7"/>
                <w:color w:val="auto"/>
              </w:rPr>
            </w:pPr>
          </w:p>
        </w:tc>
        <w:tc>
          <w:tcPr>
            <w:tcW w:w="2220" w:type="dxa"/>
            <w:vAlign w:val="bottom"/>
            <w:shd w:val="clear" w:color="auto" w:fill="F0F5FE"/>
          </w:tcPr>
          <w:p>
            <w:pPr>
              <w:spacing w:after="0"/>
              <w:rPr>
                <w:sz w:val="7"/>
                <w:szCs w:val="7"/>
                <w:color w:val="auto"/>
              </w:rPr>
            </w:pPr>
          </w:p>
        </w:tc>
        <w:tc>
          <w:tcPr>
            <w:tcW w:w="6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20" w:type="dxa"/>
            <w:vAlign w:val="bottom"/>
            <w:tcBorders>
              <w:bottom w:val="single" w:sz="8" w:color="6D8CC3"/>
            </w:tcBorders>
            <w:shd w:val="clear" w:color="auto" w:fill="F0F5FE"/>
          </w:tcPr>
          <w:p>
            <w:pPr>
              <w:spacing w:after="0"/>
              <w:rPr>
                <w:sz w:val="5"/>
                <w:szCs w:val="5"/>
                <w:color w:val="auto"/>
              </w:rPr>
            </w:pPr>
          </w:p>
        </w:tc>
        <w:tc>
          <w:tcPr>
            <w:tcW w:w="2220" w:type="dxa"/>
            <w:vAlign w:val="bottom"/>
            <w:tcBorders>
              <w:bottom w:val="single" w:sz="8" w:color="6D8CC3"/>
            </w:tcBorders>
            <w:shd w:val="clear" w:color="auto" w:fill="F0F5FE"/>
          </w:tcPr>
          <w:p>
            <w:pPr>
              <w:spacing w:after="0"/>
              <w:rPr>
                <w:sz w:val="5"/>
                <w:szCs w:val="5"/>
                <w:color w:val="auto"/>
              </w:rPr>
            </w:pPr>
          </w:p>
        </w:tc>
        <w:tc>
          <w:tcPr>
            <w:tcW w:w="6700" w:type="dxa"/>
            <w:vAlign w:val="bottom"/>
            <w:tcBorders>
              <w:bottom w:val="single" w:sz="8" w:color="6D8CC3"/>
            </w:tcBorders>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120" w:type="dxa"/>
            <w:vAlign w:val="bottom"/>
            <w:shd w:val="clear" w:color="auto" w:fill="F0F5FE"/>
          </w:tcPr>
          <w:p>
            <w:pPr>
              <w:spacing w:after="0"/>
              <w:rPr>
                <w:sz w:val="23"/>
                <w:szCs w:val="23"/>
                <w:color w:val="auto"/>
              </w:rPr>
            </w:pPr>
          </w:p>
        </w:tc>
        <w:tc>
          <w:tcPr>
            <w:tcW w:w="2220" w:type="dxa"/>
            <w:vAlign w:val="bottom"/>
            <w:shd w:val="clear" w:color="auto" w:fill="F0F5FE"/>
          </w:tcPr>
          <w:p>
            <w:pPr>
              <w:spacing w:after="0"/>
              <w:rPr>
                <w:sz w:val="23"/>
                <w:szCs w:val="23"/>
                <w:color w:val="auto"/>
              </w:rPr>
            </w:pPr>
          </w:p>
        </w:tc>
        <w:tc>
          <w:tcPr>
            <w:tcW w:w="6700" w:type="dxa"/>
            <w:vAlign w:val="bottom"/>
          </w:tcPr>
          <w:p>
            <w:pPr>
              <w:ind w:left="140"/>
              <w:spacing w:after="0"/>
              <w:rPr>
                <w:sz w:val="20"/>
                <w:szCs w:val="20"/>
                <w:color w:val="auto"/>
              </w:rPr>
            </w:pPr>
            <w:r>
              <w:rPr>
                <w:rFonts w:ascii="Arial" w:cs="Arial" w:eastAsia="Arial" w:hAnsi="Arial"/>
                <w:sz w:val="16"/>
                <w:szCs w:val="16"/>
                <w:color w:val="auto"/>
              </w:rPr>
              <w:t>Recognize and reward enterprise and individual performance.</w:t>
            </w:r>
          </w:p>
        </w:tc>
        <w:tc>
          <w:tcPr>
            <w:tcW w:w="0" w:type="dxa"/>
            <w:vAlign w:val="bottom"/>
          </w:tcPr>
          <w:p>
            <w:pPr>
              <w:spacing w:after="0"/>
              <w:rPr>
                <w:sz w:val="1"/>
                <w:szCs w:val="1"/>
                <w:color w:val="auto"/>
              </w:rPr>
            </w:pPr>
          </w:p>
        </w:tc>
      </w:tr>
      <w:tr>
        <w:trPr>
          <w:trHeight w:val="68"/>
        </w:trPr>
        <w:tc>
          <w:tcPr>
            <w:tcW w:w="120" w:type="dxa"/>
            <w:vAlign w:val="bottom"/>
            <w:tcBorders>
              <w:bottom w:val="single" w:sz="8" w:color="F0F5FE"/>
            </w:tcBorders>
            <w:shd w:val="clear" w:color="auto" w:fill="F0F5FE"/>
          </w:tcPr>
          <w:p>
            <w:pPr>
              <w:spacing w:after="0"/>
              <w:rPr>
                <w:sz w:val="5"/>
                <w:szCs w:val="5"/>
                <w:color w:val="auto"/>
              </w:rPr>
            </w:pPr>
          </w:p>
        </w:tc>
        <w:tc>
          <w:tcPr>
            <w:tcW w:w="2220" w:type="dxa"/>
            <w:vAlign w:val="bottom"/>
            <w:tcBorders>
              <w:bottom w:val="single" w:sz="8" w:color="F0F5FE"/>
            </w:tcBorders>
            <w:shd w:val="clear" w:color="auto" w:fill="F0F5FE"/>
          </w:tcPr>
          <w:p>
            <w:pPr>
              <w:spacing w:after="0"/>
              <w:rPr>
                <w:sz w:val="5"/>
                <w:szCs w:val="5"/>
                <w:color w:val="auto"/>
              </w:rPr>
            </w:pPr>
          </w:p>
        </w:tc>
        <w:tc>
          <w:tcPr>
            <w:tcW w:w="6700" w:type="dxa"/>
            <w:vAlign w:val="bottom"/>
            <w:tcBorders>
              <w:bottom w:val="single" w:sz="8" w:color="6D8CC3"/>
            </w:tcBorders>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120" w:type="dxa"/>
            <w:vAlign w:val="bottom"/>
            <w:shd w:val="clear" w:color="auto" w:fill="F0F5FE"/>
          </w:tcPr>
          <w:p>
            <w:pPr>
              <w:spacing w:after="0"/>
              <w:rPr>
                <w:sz w:val="23"/>
                <w:szCs w:val="23"/>
                <w:color w:val="auto"/>
              </w:rPr>
            </w:pPr>
          </w:p>
        </w:tc>
        <w:tc>
          <w:tcPr>
            <w:tcW w:w="2220" w:type="dxa"/>
            <w:vAlign w:val="bottom"/>
            <w:shd w:val="clear" w:color="auto" w:fill="F0F5FE"/>
          </w:tcPr>
          <w:p>
            <w:pPr>
              <w:spacing w:after="0"/>
              <w:rPr>
                <w:sz w:val="23"/>
                <w:szCs w:val="23"/>
                <w:color w:val="auto"/>
              </w:rPr>
            </w:pPr>
          </w:p>
        </w:tc>
        <w:tc>
          <w:tcPr>
            <w:tcW w:w="6700" w:type="dxa"/>
            <w:vAlign w:val="bottom"/>
          </w:tcPr>
          <w:p>
            <w:pPr>
              <w:ind w:left="140"/>
              <w:spacing w:after="0"/>
              <w:rPr>
                <w:sz w:val="20"/>
                <w:szCs w:val="20"/>
                <w:color w:val="auto"/>
              </w:rPr>
            </w:pPr>
            <w:r>
              <w:rPr>
                <w:rFonts w:ascii="Arial" w:cs="Arial" w:eastAsia="Arial" w:hAnsi="Arial"/>
                <w:sz w:val="16"/>
                <w:szCs w:val="16"/>
                <w:color w:val="auto"/>
                <w:w w:val="97"/>
              </w:rPr>
              <w:t>Utilize performance metrics that closely align executives’ interests with shareholders’ interests.</w:t>
            </w:r>
          </w:p>
        </w:tc>
        <w:tc>
          <w:tcPr>
            <w:tcW w:w="0" w:type="dxa"/>
            <w:vAlign w:val="bottom"/>
          </w:tcPr>
          <w:p>
            <w:pPr>
              <w:spacing w:after="0"/>
              <w:rPr>
                <w:sz w:val="1"/>
                <w:szCs w:val="1"/>
                <w:color w:val="auto"/>
              </w:rPr>
            </w:pPr>
          </w:p>
        </w:tc>
      </w:tr>
      <w:tr>
        <w:trPr>
          <w:trHeight w:val="68"/>
        </w:trPr>
        <w:tc>
          <w:tcPr>
            <w:tcW w:w="120" w:type="dxa"/>
            <w:vAlign w:val="bottom"/>
            <w:tcBorders>
              <w:bottom w:val="single" w:sz="8" w:color="F0F5FE"/>
            </w:tcBorders>
            <w:shd w:val="clear" w:color="auto" w:fill="F0F5FE"/>
          </w:tcPr>
          <w:p>
            <w:pPr>
              <w:spacing w:after="0"/>
              <w:rPr>
                <w:sz w:val="5"/>
                <w:szCs w:val="5"/>
                <w:color w:val="auto"/>
              </w:rPr>
            </w:pPr>
          </w:p>
        </w:tc>
        <w:tc>
          <w:tcPr>
            <w:tcW w:w="2220" w:type="dxa"/>
            <w:vAlign w:val="bottom"/>
            <w:tcBorders>
              <w:bottom w:val="single" w:sz="8" w:color="F0F5FE"/>
            </w:tcBorders>
            <w:shd w:val="clear" w:color="auto" w:fill="F0F5FE"/>
          </w:tcPr>
          <w:p>
            <w:pPr>
              <w:spacing w:after="0"/>
              <w:rPr>
                <w:sz w:val="5"/>
                <w:szCs w:val="5"/>
                <w:color w:val="auto"/>
              </w:rPr>
            </w:pPr>
          </w:p>
        </w:tc>
        <w:tc>
          <w:tcPr>
            <w:tcW w:w="6700" w:type="dxa"/>
            <w:vAlign w:val="bottom"/>
            <w:tcBorders>
              <w:bottom w:val="single" w:sz="8" w:color="6D8CC3"/>
            </w:tcBorders>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120" w:type="dxa"/>
            <w:vAlign w:val="bottom"/>
            <w:shd w:val="clear" w:color="auto" w:fill="F0F5FE"/>
          </w:tcPr>
          <w:p>
            <w:pPr>
              <w:spacing w:after="0"/>
              <w:rPr>
                <w:sz w:val="23"/>
                <w:szCs w:val="23"/>
                <w:color w:val="auto"/>
              </w:rPr>
            </w:pPr>
          </w:p>
        </w:tc>
        <w:tc>
          <w:tcPr>
            <w:tcW w:w="2220" w:type="dxa"/>
            <w:vAlign w:val="bottom"/>
            <w:shd w:val="clear" w:color="auto" w:fill="F0F5FE"/>
          </w:tcPr>
          <w:p>
            <w:pPr>
              <w:spacing w:after="0"/>
              <w:rPr>
                <w:sz w:val="23"/>
                <w:szCs w:val="23"/>
                <w:color w:val="auto"/>
              </w:rPr>
            </w:pPr>
          </w:p>
        </w:tc>
        <w:tc>
          <w:tcPr>
            <w:tcW w:w="6700" w:type="dxa"/>
            <w:vAlign w:val="bottom"/>
          </w:tcPr>
          <w:p>
            <w:pPr>
              <w:ind w:left="140"/>
              <w:spacing w:after="0"/>
              <w:rPr>
                <w:sz w:val="20"/>
                <w:szCs w:val="20"/>
                <w:color w:val="auto"/>
              </w:rPr>
            </w:pPr>
            <w:r>
              <w:rPr>
                <w:rFonts w:ascii="Arial" w:cs="Arial" w:eastAsia="Arial" w:hAnsi="Arial"/>
                <w:sz w:val="16"/>
                <w:szCs w:val="16"/>
                <w:color w:val="auto"/>
              </w:rPr>
              <w:t>Require NEOs to own a significant amount of the Company’s common stock.</w:t>
            </w:r>
          </w:p>
        </w:tc>
        <w:tc>
          <w:tcPr>
            <w:tcW w:w="0" w:type="dxa"/>
            <w:vAlign w:val="bottom"/>
          </w:tcPr>
          <w:p>
            <w:pPr>
              <w:spacing w:after="0"/>
              <w:rPr>
                <w:sz w:val="1"/>
                <w:szCs w:val="1"/>
                <w:color w:val="auto"/>
              </w:rPr>
            </w:pPr>
          </w:p>
        </w:tc>
      </w:tr>
      <w:tr>
        <w:trPr>
          <w:trHeight w:val="68"/>
        </w:trPr>
        <w:tc>
          <w:tcPr>
            <w:tcW w:w="120" w:type="dxa"/>
            <w:vAlign w:val="bottom"/>
            <w:tcBorders>
              <w:bottom w:val="single" w:sz="8" w:color="F0F5FE"/>
            </w:tcBorders>
            <w:shd w:val="clear" w:color="auto" w:fill="F0F5FE"/>
          </w:tcPr>
          <w:p>
            <w:pPr>
              <w:spacing w:after="0"/>
              <w:rPr>
                <w:sz w:val="5"/>
                <w:szCs w:val="5"/>
                <w:color w:val="auto"/>
              </w:rPr>
            </w:pPr>
          </w:p>
        </w:tc>
        <w:tc>
          <w:tcPr>
            <w:tcW w:w="2220" w:type="dxa"/>
            <w:vAlign w:val="bottom"/>
            <w:tcBorders>
              <w:bottom w:val="single" w:sz="8" w:color="F0F5FE"/>
            </w:tcBorders>
            <w:shd w:val="clear" w:color="auto" w:fill="F0F5FE"/>
          </w:tcPr>
          <w:p>
            <w:pPr>
              <w:spacing w:after="0"/>
              <w:rPr>
                <w:sz w:val="5"/>
                <w:szCs w:val="5"/>
                <w:color w:val="auto"/>
              </w:rPr>
            </w:pPr>
          </w:p>
        </w:tc>
        <w:tc>
          <w:tcPr>
            <w:tcW w:w="6700" w:type="dxa"/>
            <w:vAlign w:val="bottom"/>
            <w:tcBorders>
              <w:bottom w:val="single" w:sz="8" w:color="6D8CC3"/>
            </w:tcBorders>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20" w:type="dxa"/>
            <w:vAlign w:val="bottom"/>
            <w:shd w:val="clear" w:color="auto" w:fill="F0F5FE"/>
          </w:tcPr>
          <w:p>
            <w:pPr>
              <w:spacing w:after="0"/>
              <w:rPr>
                <w:sz w:val="21"/>
                <w:szCs w:val="21"/>
                <w:color w:val="auto"/>
              </w:rPr>
            </w:pPr>
          </w:p>
        </w:tc>
        <w:tc>
          <w:tcPr>
            <w:tcW w:w="2220" w:type="dxa"/>
            <w:vAlign w:val="bottom"/>
            <w:vMerge w:val="restart"/>
            <w:shd w:val="clear" w:color="auto" w:fill="F0F5FE"/>
          </w:tcPr>
          <w:p>
            <w:pPr>
              <w:ind w:left="40"/>
              <w:spacing w:after="0"/>
              <w:rPr>
                <w:sz w:val="20"/>
                <w:szCs w:val="20"/>
                <w:color w:val="auto"/>
              </w:rPr>
            </w:pPr>
            <w:r>
              <w:rPr>
                <w:rFonts w:ascii="Arial" w:cs="Arial" w:eastAsia="Arial" w:hAnsi="Arial"/>
                <w:sz w:val="16"/>
                <w:szCs w:val="16"/>
                <w:b w:val="1"/>
                <w:bCs w:val="1"/>
                <w:color w:val="auto"/>
              </w:rPr>
              <w:t>Pay-for-Performance</w:t>
            </w:r>
          </w:p>
        </w:tc>
        <w:tc>
          <w:tcPr>
            <w:tcW w:w="6700" w:type="dxa"/>
            <w:vAlign w:val="bottom"/>
          </w:tcPr>
          <w:p>
            <w:pPr>
              <w:ind w:left="140"/>
              <w:spacing w:after="0"/>
              <w:rPr>
                <w:sz w:val="20"/>
                <w:szCs w:val="20"/>
                <w:color w:val="auto"/>
              </w:rPr>
            </w:pPr>
            <w:r>
              <w:rPr>
                <w:rFonts w:ascii="Arial" w:cs="Arial" w:eastAsia="Arial" w:hAnsi="Arial"/>
                <w:sz w:val="16"/>
                <w:szCs w:val="16"/>
                <w:color w:val="auto"/>
              </w:rPr>
              <w:t>For fiscal 2025, set annual targets with a mid-year payout based on the first half results and</w:t>
            </w:r>
          </w:p>
        </w:tc>
        <w:tc>
          <w:tcPr>
            <w:tcW w:w="0" w:type="dxa"/>
            <w:vAlign w:val="bottom"/>
          </w:tcPr>
          <w:p>
            <w:pPr>
              <w:spacing w:after="0"/>
              <w:rPr>
                <w:sz w:val="1"/>
                <w:szCs w:val="1"/>
                <w:color w:val="auto"/>
              </w:rPr>
            </w:pPr>
          </w:p>
        </w:tc>
      </w:tr>
      <w:tr>
        <w:trPr>
          <w:trHeight w:val="123"/>
        </w:trPr>
        <w:tc>
          <w:tcPr>
            <w:tcW w:w="120" w:type="dxa"/>
            <w:vAlign w:val="bottom"/>
            <w:shd w:val="clear" w:color="auto" w:fill="F0F5FE"/>
          </w:tcPr>
          <w:p>
            <w:pPr>
              <w:spacing w:after="0"/>
              <w:rPr>
                <w:sz w:val="10"/>
                <w:szCs w:val="10"/>
                <w:color w:val="auto"/>
              </w:rPr>
            </w:pPr>
          </w:p>
        </w:tc>
        <w:tc>
          <w:tcPr>
            <w:tcW w:w="2220" w:type="dxa"/>
            <w:vAlign w:val="bottom"/>
            <w:vMerge w:val="continue"/>
            <w:shd w:val="clear" w:color="auto" w:fill="F0F5FE"/>
          </w:tcPr>
          <w:p>
            <w:pPr>
              <w:spacing w:after="0"/>
              <w:rPr>
                <w:sz w:val="10"/>
                <w:szCs w:val="10"/>
                <w:color w:val="auto"/>
              </w:rPr>
            </w:pPr>
          </w:p>
        </w:tc>
        <w:tc>
          <w:tcPr>
            <w:tcW w:w="6700" w:type="dxa"/>
            <w:vAlign w:val="bottom"/>
            <w:vMerge w:val="restart"/>
          </w:tcPr>
          <w:p>
            <w:pPr>
              <w:ind w:left="140"/>
              <w:spacing w:after="0"/>
              <w:rPr>
                <w:sz w:val="20"/>
                <w:szCs w:val="20"/>
                <w:color w:val="auto"/>
              </w:rPr>
            </w:pPr>
            <w:r>
              <w:rPr>
                <w:rFonts w:ascii="Arial" w:cs="Arial" w:eastAsia="Arial" w:hAnsi="Arial"/>
                <w:sz w:val="16"/>
                <w:szCs w:val="16"/>
                <w:color w:val="auto"/>
              </w:rPr>
              <w:t>introduced an annual strategic modifier as we transition to an annual plan in 2026.</w:t>
            </w:r>
          </w:p>
        </w:tc>
        <w:tc>
          <w:tcPr>
            <w:tcW w:w="0" w:type="dxa"/>
            <w:vAlign w:val="bottom"/>
          </w:tcPr>
          <w:p>
            <w:pPr>
              <w:spacing w:after="0"/>
              <w:rPr>
                <w:sz w:val="1"/>
                <w:szCs w:val="1"/>
                <w:color w:val="auto"/>
              </w:rPr>
            </w:pPr>
          </w:p>
        </w:tc>
      </w:tr>
      <w:tr>
        <w:trPr>
          <w:trHeight w:val="84"/>
        </w:trPr>
        <w:tc>
          <w:tcPr>
            <w:tcW w:w="120" w:type="dxa"/>
            <w:vAlign w:val="bottom"/>
            <w:shd w:val="clear" w:color="auto" w:fill="F0F5FE"/>
          </w:tcPr>
          <w:p>
            <w:pPr>
              <w:spacing w:after="0"/>
              <w:rPr>
                <w:sz w:val="7"/>
                <w:szCs w:val="7"/>
                <w:color w:val="auto"/>
              </w:rPr>
            </w:pPr>
          </w:p>
        </w:tc>
        <w:tc>
          <w:tcPr>
            <w:tcW w:w="2220" w:type="dxa"/>
            <w:vAlign w:val="bottom"/>
            <w:shd w:val="clear" w:color="auto" w:fill="F0F5FE"/>
          </w:tcPr>
          <w:p>
            <w:pPr>
              <w:spacing w:after="0"/>
              <w:rPr>
                <w:sz w:val="7"/>
                <w:szCs w:val="7"/>
                <w:color w:val="auto"/>
              </w:rPr>
            </w:pPr>
          </w:p>
        </w:tc>
        <w:tc>
          <w:tcPr>
            <w:tcW w:w="6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20" w:type="dxa"/>
            <w:vAlign w:val="bottom"/>
            <w:tcBorders>
              <w:bottom w:val="single" w:sz="8" w:color="F0F5FE"/>
            </w:tcBorders>
            <w:shd w:val="clear" w:color="auto" w:fill="F0F5FE"/>
          </w:tcPr>
          <w:p>
            <w:pPr>
              <w:spacing w:after="0"/>
              <w:rPr>
                <w:sz w:val="5"/>
                <w:szCs w:val="5"/>
                <w:color w:val="auto"/>
              </w:rPr>
            </w:pPr>
          </w:p>
        </w:tc>
        <w:tc>
          <w:tcPr>
            <w:tcW w:w="2220" w:type="dxa"/>
            <w:vAlign w:val="bottom"/>
            <w:tcBorders>
              <w:bottom w:val="single" w:sz="8" w:color="F0F5FE"/>
            </w:tcBorders>
            <w:shd w:val="clear" w:color="auto" w:fill="F0F5FE"/>
          </w:tcPr>
          <w:p>
            <w:pPr>
              <w:spacing w:after="0"/>
              <w:rPr>
                <w:sz w:val="5"/>
                <w:szCs w:val="5"/>
                <w:color w:val="auto"/>
              </w:rPr>
            </w:pPr>
          </w:p>
        </w:tc>
        <w:tc>
          <w:tcPr>
            <w:tcW w:w="6700" w:type="dxa"/>
            <w:vAlign w:val="bottom"/>
            <w:tcBorders>
              <w:bottom w:val="single" w:sz="8" w:color="6D8CC3"/>
            </w:tcBorders>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20" w:type="dxa"/>
            <w:vAlign w:val="bottom"/>
            <w:shd w:val="clear" w:color="auto" w:fill="F0F5FE"/>
          </w:tcPr>
          <w:p>
            <w:pPr>
              <w:spacing w:after="0"/>
              <w:rPr>
                <w:sz w:val="21"/>
                <w:szCs w:val="21"/>
                <w:color w:val="auto"/>
              </w:rPr>
            </w:pPr>
          </w:p>
        </w:tc>
        <w:tc>
          <w:tcPr>
            <w:tcW w:w="2220" w:type="dxa"/>
            <w:vAlign w:val="bottom"/>
            <w:shd w:val="clear" w:color="auto" w:fill="F0F5FE"/>
          </w:tcPr>
          <w:p>
            <w:pPr>
              <w:spacing w:after="0"/>
              <w:rPr>
                <w:sz w:val="21"/>
                <w:szCs w:val="21"/>
                <w:color w:val="auto"/>
              </w:rPr>
            </w:pPr>
          </w:p>
        </w:tc>
        <w:tc>
          <w:tcPr>
            <w:tcW w:w="6700" w:type="dxa"/>
            <w:vAlign w:val="bottom"/>
          </w:tcPr>
          <w:p>
            <w:pPr>
              <w:ind w:left="140"/>
              <w:spacing w:after="0"/>
              <w:rPr>
                <w:sz w:val="20"/>
                <w:szCs w:val="20"/>
                <w:color w:val="auto"/>
              </w:rPr>
            </w:pPr>
            <w:r>
              <w:rPr>
                <w:rFonts w:ascii="Arial" w:cs="Arial" w:eastAsia="Arial" w:hAnsi="Arial"/>
                <w:sz w:val="16"/>
                <w:szCs w:val="16"/>
                <w:color w:val="auto"/>
              </w:rPr>
              <w:t>Create long-term shareholder value through regular achievement of short- and long-term</w:t>
            </w:r>
          </w:p>
        </w:tc>
        <w:tc>
          <w:tcPr>
            <w:tcW w:w="0" w:type="dxa"/>
            <w:vAlign w:val="bottom"/>
          </w:tcPr>
          <w:p>
            <w:pPr>
              <w:spacing w:after="0"/>
              <w:rPr>
                <w:sz w:val="1"/>
                <w:szCs w:val="1"/>
                <w:color w:val="auto"/>
              </w:rPr>
            </w:pPr>
          </w:p>
        </w:tc>
      </w:tr>
      <w:tr>
        <w:trPr>
          <w:trHeight w:val="206"/>
        </w:trPr>
        <w:tc>
          <w:tcPr>
            <w:tcW w:w="120" w:type="dxa"/>
            <w:vAlign w:val="bottom"/>
            <w:shd w:val="clear" w:color="auto" w:fill="F0F5FE"/>
          </w:tcPr>
          <w:p>
            <w:pPr>
              <w:spacing w:after="0"/>
              <w:rPr>
                <w:sz w:val="17"/>
                <w:szCs w:val="17"/>
                <w:color w:val="auto"/>
              </w:rPr>
            </w:pPr>
          </w:p>
        </w:tc>
        <w:tc>
          <w:tcPr>
            <w:tcW w:w="2220" w:type="dxa"/>
            <w:vAlign w:val="bottom"/>
            <w:shd w:val="clear" w:color="auto" w:fill="F0F5FE"/>
          </w:tcPr>
          <w:p>
            <w:pPr>
              <w:spacing w:after="0"/>
              <w:rPr>
                <w:sz w:val="17"/>
                <w:szCs w:val="17"/>
                <w:color w:val="auto"/>
              </w:rPr>
            </w:pPr>
          </w:p>
        </w:tc>
        <w:tc>
          <w:tcPr>
            <w:tcW w:w="6700" w:type="dxa"/>
            <w:vAlign w:val="bottom"/>
          </w:tcPr>
          <w:p>
            <w:pPr>
              <w:ind w:left="140"/>
              <w:spacing w:after="0"/>
              <w:rPr>
                <w:sz w:val="20"/>
                <w:szCs w:val="20"/>
                <w:color w:val="auto"/>
              </w:rPr>
            </w:pPr>
            <w:r>
              <w:rPr>
                <w:rFonts w:ascii="Arial" w:cs="Arial" w:eastAsia="Arial" w:hAnsi="Arial"/>
                <w:sz w:val="16"/>
                <w:szCs w:val="16"/>
                <w:color w:val="auto"/>
              </w:rPr>
              <w:t>financial strategic goals.</w:t>
            </w:r>
          </w:p>
        </w:tc>
        <w:tc>
          <w:tcPr>
            <w:tcW w:w="0" w:type="dxa"/>
            <w:vAlign w:val="bottom"/>
          </w:tcPr>
          <w:p>
            <w:pPr>
              <w:spacing w:after="0"/>
              <w:rPr>
                <w:sz w:val="1"/>
                <w:szCs w:val="1"/>
                <w:color w:val="auto"/>
              </w:rPr>
            </w:pPr>
          </w:p>
        </w:tc>
      </w:tr>
      <w:tr>
        <w:trPr>
          <w:trHeight w:val="68"/>
        </w:trPr>
        <w:tc>
          <w:tcPr>
            <w:tcW w:w="120" w:type="dxa"/>
            <w:vAlign w:val="bottom"/>
            <w:tcBorders>
              <w:bottom w:val="single" w:sz="8" w:color="F0F5FE"/>
            </w:tcBorders>
            <w:shd w:val="clear" w:color="auto" w:fill="F0F5FE"/>
          </w:tcPr>
          <w:p>
            <w:pPr>
              <w:spacing w:after="0"/>
              <w:rPr>
                <w:sz w:val="5"/>
                <w:szCs w:val="5"/>
                <w:color w:val="auto"/>
              </w:rPr>
            </w:pPr>
          </w:p>
        </w:tc>
        <w:tc>
          <w:tcPr>
            <w:tcW w:w="2220" w:type="dxa"/>
            <w:vAlign w:val="bottom"/>
            <w:tcBorders>
              <w:bottom w:val="single" w:sz="8" w:color="F0F5FE"/>
            </w:tcBorders>
            <w:shd w:val="clear" w:color="auto" w:fill="F0F5FE"/>
          </w:tcPr>
          <w:p>
            <w:pPr>
              <w:spacing w:after="0"/>
              <w:rPr>
                <w:sz w:val="5"/>
                <w:szCs w:val="5"/>
                <w:color w:val="auto"/>
              </w:rPr>
            </w:pPr>
          </w:p>
        </w:tc>
        <w:tc>
          <w:tcPr>
            <w:tcW w:w="6700" w:type="dxa"/>
            <w:vAlign w:val="bottom"/>
            <w:tcBorders>
              <w:bottom w:val="single" w:sz="8" w:color="6D8CC3"/>
            </w:tcBorders>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20" w:type="dxa"/>
            <w:vAlign w:val="bottom"/>
            <w:shd w:val="clear" w:color="auto" w:fill="F0F5FE"/>
          </w:tcPr>
          <w:p>
            <w:pPr>
              <w:spacing w:after="0"/>
              <w:rPr>
                <w:sz w:val="21"/>
                <w:szCs w:val="21"/>
                <w:color w:val="auto"/>
              </w:rPr>
            </w:pPr>
          </w:p>
        </w:tc>
        <w:tc>
          <w:tcPr>
            <w:tcW w:w="2220" w:type="dxa"/>
            <w:vAlign w:val="bottom"/>
            <w:shd w:val="clear" w:color="auto" w:fill="F0F5FE"/>
          </w:tcPr>
          <w:p>
            <w:pPr>
              <w:spacing w:after="0"/>
              <w:rPr>
                <w:sz w:val="21"/>
                <w:szCs w:val="21"/>
                <w:color w:val="auto"/>
              </w:rPr>
            </w:pPr>
          </w:p>
        </w:tc>
        <w:tc>
          <w:tcPr>
            <w:tcW w:w="6700" w:type="dxa"/>
            <w:vAlign w:val="bottom"/>
          </w:tcPr>
          <w:p>
            <w:pPr>
              <w:ind w:left="140"/>
              <w:spacing w:after="0"/>
              <w:rPr>
                <w:sz w:val="20"/>
                <w:szCs w:val="20"/>
                <w:color w:val="auto"/>
              </w:rPr>
            </w:pPr>
            <w:r>
              <w:rPr>
                <w:rFonts w:ascii="Arial" w:cs="Arial" w:eastAsia="Arial" w:hAnsi="Arial"/>
                <w:sz w:val="16"/>
                <w:szCs w:val="16"/>
                <w:color w:val="auto"/>
              </w:rPr>
              <w:t>Retain and incent high-performers with a pay mix delivered predominantly through long-term</w:t>
            </w:r>
          </w:p>
        </w:tc>
        <w:tc>
          <w:tcPr>
            <w:tcW w:w="0" w:type="dxa"/>
            <w:vAlign w:val="bottom"/>
          </w:tcPr>
          <w:p>
            <w:pPr>
              <w:spacing w:after="0"/>
              <w:rPr>
                <w:sz w:val="1"/>
                <w:szCs w:val="1"/>
                <w:color w:val="auto"/>
              </w:rPr>
            </w:pPr>
          </w:p>
        </w:tc>
      </w:tr>
      <w:tr>
        <w:trPr>
          <w:trHeight w:val="196"/>
        </w:trPr>
        <w:tc>
          <w:tcPr>
            <w:tcW w:w="120" w:type="dxa"/>
            <w:vAlign w:val="bottom"/>
            <w:shd w:val="clear" w:color="auto" w:fill="F0F5FE"/>
          </w:tcPr>
          <w:p>
            <w:pPr>
              <w:spacing w:after="0"/>
              <w:rPr>
                <w:sz w:val="17"/>
                <w:szCs w:val="17"/>
                <w:color w:val="auto"/>
              </w:rPr>
            </w:pPr>
          </w:p>
        </w:tc>
        <w:tc>
          <w:tcPr>
            <w:tcW w:w="2220" w:type="dxa"/>
            <w:vAlign w:val="bottom"/>
            <w:shd w:val="clear" w:color="auto" w:fill="F0F5FE"/>
          </w:tcPr>
          <w:p>
            <w:pPr>
              <w:spacing w:after="0"/>
              <w:rPr>
                <w:sz w:val="17"/>
                <w:szCs w:val="17"/>
                <w:color w:val="auto"/>
              </w:rPr>
            </w:pPr>
          </w:p>
        </w:tc>
        <w:tc>
          <w:tcPr>
            <w:tcW w:w="6700" w:type="dxa"/>
            <w:vAlign w:val="bottom"/>
          </w:tcPr>
          <w:p>
            <w:pPr>
              <w:ind w:left="140"/>
              <w:spacing w:after="0"/>
              <w:rPr>
                <w:sz w:val="20"/>
                <w:szCs w:val="20"/>
                <w:color w:val="auto"/>
              </w:rPr>
            </w:pPr>
            <w:r>
              <w:rPr>
                <w:rFonts w:ascii="Arial" w:cs="Arial" w:eastAsia="Arial" w:hAnsi="Arial"/>
                <w:sz w:val="16"/>
                <w:szCs w:val="16"/>
                <w:color w:val="auto"/>
              </w:rPr>
              <w:t>equity incentive awards.</w:t>
            </w:r>
          </w:p>
        </w:tc>
        <w:tc>
          <w:tcPr>
            <w:tcW w:w="0" w:type="dxa"/>
            <w:vAlign w:val="bottom"/>
          </w:tcPr>
          <w:p>
            <w:pPr>
              <w:spacing w:after="0"/>
              <w:rPr>
                <w:sz w:val="1"/>
                <w:szCs w:val="1"/>
                <w:color w:val="auto"/>
              </w:rPr>
            </w:pPr>
          </w:p>
        </w:tc>
      </w:tr>
      <w:tr>
        <w:trPr>
          <w:trHeight w:val="66"/>
        </w:trPr>
        <w:tc>
          <w:tcPr>
            <w:tcW w:w="120" w:type="dxa"/>
            <w:vAlign w:val="bottom"/>
            <w:tcBorders>
              <w:bottom w:val="single" w:sz="8" w:color="6D8CC3"/>
            </w:tcBorders>
            <w:shd w:val="clear" w:color="auto" w:fill="F0F5FE"/>
          </w:tcPr>
          <w:p>
            <w:pPr>
              <w:spacing w:after="0"/>
              <w:rPr>
                <w:sz w:val="5"/>
                <w:szCs w:val="5"/>
                <w:color w:val="auto"/>
              </w:rPr>
            </w:pPr>
          </w:p>
        </w:tc>
        <w:tc>
          <w:tcPr>
            <w:tcW w:w="2220" w:type="dxa"/>
            <w:vAlign w:val="bottom"/>
            <w:tcBorders>
              <w:bottom w:val="single" w:sz="8" w:color="6D8CC3"/>
            </w:tcBorders>
            <w:shd w:val="clear" w:color="auto" w:fill="F0F5FE"/>
          </w:tcPr>
          <w:p>
            <w:pPr>
              <w:spacing w:after="0"/>
              <w:rPr>
                <w:sz w:val="5"/>
                <w:szCs w:val="5"/>
                <w:color w:val="auto"/>
              </w:rPr>
            </w:pPr>
          </w:p>
        </w:tc>
        <w:tc>
          <w:tcPr>
            <w:tcW w:w="6700" w:type="dxa"/>
            <w:vAlign w:val="bottom"/>
            <w:tcBorders>
              <w:bottom w:val="single" w:sz="8" w:color="6D8CC3"/>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9"/>
          <w:szCs w:val="19"/>
          <w:b w:val="1"/>
          <w:bCs w:val="1"/>
          <w:color w:val="6D8CC3"/>
        </w:rPr>
        <w:t>EXECUTIVE COMPENSATION BEST PRACTICES</w:t>
      </w:r>
    </w:p>
    <w:p>
      <w:pPr>
        <w:spacing w:after="0" w:line="55"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color w:val="auto"/>
        </w:rPr>
        <w:t>Our executive compensation practices incorporate the following corporate governance best practices that promote the interests of our shareholders and are consistent with high standards of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46355</wp:posOffset>
            </wp:positionV>
            <wp:extent cx="5737225" cy="288099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737225" cy="2880995"/>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sectPr>
      </w:pPr>
    </w:p>
    <w:p>
      <w:pPr>
        <w:spacing w:after="0" w:line="160" w:lineRule="exact"/>
        <w:rPr>
          <w:sz w:val="20"/>
          <w:szCs w:val="20"/>
          <w:color w:val="auto"/>
        </w:rPr>
      </w:pPr>
    </w:p>
    <w:p>
      <w:pPr>
        <w:ind w:left="100"/>
        <w:spacing w:after="0"/>
        <w:rPr>
          <w:sz w:val="20"/>
          <w:szCs w:val="20"/>
          <w:color w:val="auto"/>
        </w:rPr>
      </w:pPr>
      <w:r>
        <w:rPr>
          <w:rFonts w:ascii="Arial" w:cs="Arial" w:eastAsia="Arial" w:hAnsi="Arial"/>
          <w:sz w:val="23"/>
          <w:szCs w:val="23"/>
          <w:b w:val="1"/>
          <w:bCs w:val="1"/>
          <w:color w:val="6D8CC3"/>
        </w:rPr>
        <w:t>What We Do:</w:t>
      </w:r>
    </w:p>
    <w:p>
      <w:pPr>
        <w:spacing w:after="0" w:line="169" w:lineRule="exact"/>
        <w:rPr>
          <w:sz w:val="20"/>
          <w:szCs w:val="20"/>
          <w:color w:val="auto"/>
        </w:rPr>
      </w:pPr>
    </w:p>
    <w:p>
      <w:pPr>
        <w:ind w:left="560" w:right="180" w:hanging="78"/>
        <w:spacing w:after="0" w:line="237" w:lineRule="auto"/>
        <w:rPr>
          <w:sz w:val="20"/>
          <w:szCs w:val="20"/>
          <w:color w:val="auto"/>
        </w:rPr>
      </w:pPr>
      <w:r>
        <w:rPr>
          <w:rFonts w:ascii="Arial" w:cs="Arial" w:eastAsia="Arial" w:hAnsi="Arial"/>
          <w:sz w:val="15"/>
          <w:szCs w:val="15"/>
          <w:color w:val="auto"/>
        </w:rPr>
        <w:t>  We align our NEOs’ pay with Company and individual performance and grant incentive awards based on actual results and achievements.</w:t>
      </w:r>
    </w:p>
    <w:p>
      <w:pPr>
        <w:spacing w:after="0" w:line="145" w:lineRule="exact"/>
        <w:rPr>
          <w:sz w:val="20"/>
          <w:szCs w:val="20"/>
          <w:color w:val="auto"/>
        </w:rPr>
      </w:pPr>
    </w:p>
    <w:p>
      <w:pPr>
        <w:ind w:left="560" w:hanging="78"/>
        <w:spacing w:after="0" w:line="237" w:lineRule="auto"/>
        <w:rPr>
          <w:sz w:val="20"/>
          <w:szCs w:val="20"/>
          <w:color w:val="auto"/>
        </w:rPr>
      </w:pPr>
      <w:r>
        <w:rPr>
          <w:rFonts w:ascii="Arial" w:cs="Arial" w:eastAsia="Arial" w:hAnsi="Arial"/>
          <w:sz w:val="15"/>
          <w:szCs w:val="15"/>
          <w:color w:val="auto"/>
        </w:rPr>
        <w:t xml:space="preserve">  We maintain robust clawback policies as described under the heading “—Compensation Governance—Recovery of Compensation” on page </w:t>
      </w:r>
      <w:r>
        <w:rPr>
          <w:rFonts w:ascii="Arial" w:cs="Arial" w:eastAsia="Arial" w:hAnsi="Arial"/>
          <w:sz w:val="15"/>
          <w:szCs w:val="15"/>
          <w:u w:val="single" w:color="auto"/>
          <w:color w:val="0000EE"/>
        </w:rPr>
        <w:t>43</w:t>
      </w:r>
      <w:r>
        <w:rPr>
          <w:rFonts w:ascii="Arial" w:cs="Arial" w:eastAsia="Arial" w:hAnsi="Arial"/>
          <w:sz w:val="15"/>
          <w:szCs w:val="15"/>
          <w:color w:val="auto"/>
        </w:rPr>
        <w:t xml:space="preserve"> of this proxy statement.</w:t>
      </w:r>
    </w:p>
    <w:p>
      <w:pPr>
        <w:spacing w:after="0" w:line="145" w:lineRule="exact"/>
        <w:rPr>
          <w:sz w:val="20"/>
          <w:szCs w:val="20"/>
          <w:color w:val="auto"/>
        </w:rPr>
      </w:pPr>
    </w:p>
    <w:p>
      <w:pPr>
        <w:ind w:left="560" w:right="340" w:hanging="78"/>
        <w:spacing w:after="0" w:line="237" w:lineRule="auto"/>
        <w:rPr>
          <w:sz w:val="20"/>
          <w:szCs w:val="20"/>
          <w:color w:val="auto"/>
        </w:rPr>
      </w:pPr>
      <w:r>
        <w:rPr>
          <w:rFonts w:ascii="Arial" w:cs="Arial" w:eastAsia="Arial" w:hAnsi="Arial"/>
          <w:sz w:val="15"/>
          <w:szCs w:val="15"/>
          <w:color w:val="auto"/>
        </w:rPr>
        <w:t>  The HCC Committee engages a compensation consultant that is independent of the Company and management to advise on compensation-related matters.</w:t>
      </w:r>
    </w:p>
    <w:p>
      <w:pPr>
        <w:spacing w:after="0" w:line="145" w:lineRule="exact"/>
        <w:rPr>
          <w:sz w:val="20"/>
          <w:szCs w:val="20"/>
          <w:color w:val="auto"/>
        </w:rPr>
      </w:pPr>
    </w:p>
    <w:p>
      <w:pPr>
        <w:ind w:left="560" w:right="580" w:hanging="78"/>
        <w:spacing w:after="0" w:line="252" w:lineRule="auto"/>
        <w:rPr>
          <w:sz w:val="20"/>
          <w:szCs w:val="20"/>
          <w:color w:val="auto"/>
        </w:rPr>
      </w:pPr>
      <w:r>
        <w:rPr>
          <w:rFonts w:ascii="Arial" w:cs="Arial" w:eastAsia="Arial" w:hAnsi="Arial"/>
          <w:sz w:val="15"/>
          <w:szCs w:val="15"/>
          <w:color w:val="auto"/>
        </w:rPr>
        <w:t>  We maintain robust stock ownership guidelines for our NEOs and directors.</w:t>
      </w:r>
    </w:p>
    <w:p>
      <w:pPr>
        <w:spacing w:after="0" w:line="136" w:lineRule="exact"/>
        <w:rPr>
          <w:sz w:val="20"/>
          <w:szCs w:val="20"/>
          <w:color w:val="auto"/>
        </w:rPr>
      </w:pPr>
    </w:p>
    <w:p>
      <w:pPr>
        <w:ind w:left="560" w:right="300" w:hanging="78"/>
        <w:spacing w:after="0" w:line="252" w:lineRule="auto"/>
        <w:rPr>
          <w:sz w:val="20"/>
          <w:szCs w:val="20"/>
          <w:color w:val="auto"/>
        </w:rPr>
      </w:pPr>
      <w:r>
        <w:rPr>
          <w:rFonts w:ascii="Arial" w:cs="Arial" w:eastAsia="Arial" w:hAnsi="Arial"/>
          <w:sz w:val="15"/>
          <w:szCs w:val="15"/>
          <w:color w:val="auto"/>
        </w:rPr>
        <w:t>  Our equity incentive plan requires a minimum vesting period of at least one year for all awards, subject to certain exceptions.</w:t>
      </w:r>
    </w:p>
    <w:p>
      <w:pPr>
        <w:spacing w:after="0" w:line="136" w:lineRule="exact"/>
        <w:rPr>
          <w:sz w:val="20"/>
          <w:szCs w:val="20"/>
          <w:color w:val="auto"/>
        </w:rPr>
      </w:pPr>
    </w:p>
    <w:p>
      <w:pPr>
        <w:ind w:left="560" w:right="420" w:hanging="78"/>
        <w:spacing w:after="0" w:line="252" w:lineRule="auto"/>
        <w:rPr>
          <w:sz w:val="20"/>
          <w:szCs w:val="20"/>
          <w:color w:val="auto"/>
        </w:rPr>
      </w:pPr>
      <w:r>
        <w:rPr>
          <w:rFonts w:ascii="Arial" w:cs="Arial" w:eastAsia="Arial" w:hAnsi="Arial"/>
          <w:sz w:val="15"/>
          <w:szCs w:val="15"/>
          <w:color w:val="auto"/>
        </w:rPr>
        <w:t>  We use appropriate peer group comparisons when determining compensation.</w:t>
      </w:r>
    </w:p>
    <w:p>
      <w:pPr>
        <w:spacing w:after="0" w:line="136" w:lineRule="exact"/>
        <w:rPr>
          <w:sz w:val="20"/>
          <w:szCs w:val="20"/>
          <w:color w:val="auto"/>
        </w:rPr>
      </w:pPr>
    </w:p>
    <w:p>
      <w:pPr>
        <w:jc w:val="both"/>
        <w:ind w:left="560" w:right="160" w:hanging="78"/>
        <w:spacing w:after="0" w:line="261" w:lineRule="auto"/>
        <w:rPr>
          <w:sz w:val="20"/>
          <w:szCs w:val="20"/>
          <w:color w:val="auto"/>
        </w:rPr>
      </w:pPr>
      <w:r>
        <w:rPr>
          <w:rFonts w:ascii="Arial" w:cs="Arial" w:eastAsia="Arial" w:hAnsi="Arial"/>
          <w:sz w:val="14"/>
          <w:szCs w:val="14"/>
          <w:color w:val="auto"/>
        </w:rPr>
        <w:t>  We mitigate undue business risk in compensation programs and, in consultation with the HCC Committee’s independent compensation consultant, perform an annual compensation risk 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152400</wp:posOffset>
            </wp:positionV>
            <wp:extent cx="57372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7372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What We Don’t Do:</w:t>
      </w:r>
    </w:p>
    <w:p>
      <w:pPr>
        <w:spacing w:after="0" w:line="169" w:lineRule="exact"/>
        <w:rPr>
          <w:sz w:val="20"/>
          <w:szCs w:val="20"/>
          <w:color w:val="auto"/>
        </w:rPr>
      </w:pPr>
    </w:p>
    <w:p>
      <w:pPr>
        <w:ind w:left="360" w:right="460" w:hanging="78"/>
        <w:spacing w:after="0" w:line="237" w:lineRule="auto"/>
        <w:rPr>
          <w:sz w:val="20"/>
          <w:szCs w:val="20"/>
          <w:color w:val="auto"/>
        </w:rPr>
      </w:pPr>
      <w:r>
        <w:rPr>
          <w:rFonts w:ascii="Arial" w:cs="Arial" w:eastAsia="Arial" w:hAnsi="Arial"/>
          <w:sz w:val="15"/>
          <w:szCs w:val="15"/>
          <w:color w:val="auto"/>
        </w:rPr>
        <w:t>  No tax gross-ups for NEOs to cover excise taxes under Section 4999 of the Internal Revenue Code (the “Code”).</w:t>
      </w:r>
    </w:p>
    <w:p>
      <w:pPr>
        <w:spacing w:after="0" w:line="171" w:lineRule="exact"/>
        <w:rPr>
          <w:sz w:val="20"/>
          <w:szCs w:val="20"/>
          <w:color w:val="auto"/>
        </w:rPr>
      </w:pPr>
    </w:p>
    <w:p>
      <w:pPr>
        <w:ind w:left="360" w:right="140" w:hanging="78"/>
        <w:spacing w:after="0" w:line="237" w:lineRule="auto"/>
        <w:rPr>
          <w:sz w:val="20"/>
          <w:szCs w:val="20"/>
          <w:color w:val="auto"/>
        </w:rPr>
      </w:pPr>
      <w:r>
        <w:rPr>
          <w:rFonts w:ascii="Arial" w:cs="Arial" w:eastAsia="Arial" w:hAnsi="Arial"/>
          <w:sz w:val="15"/>
          <w:szCs w:val="15"/>
          <w:color w:val="auto"/>
        </w:rPr>
        <w:t>  Hedging and short-selling of Company securities is prohibited under our insider trading policy.</w:t>
      </w:r>
    </w:p>
    <w:p>
      <w:pPr>
        <w:spacing w:after="0" w:line="171" w:lineRule="exact"/>
        <w:rPr>
          <w:sz w:val="20"/>
          <w:szCs w:val="20"/>
          <w:color w:val="auto"/>
        </w:rPr>
      </w:pPr>
    </w:p>
    <w:p>
      <w:pPr>
        <w:jc w:val="both"/>
        <w:ind w:left="360" w:right="120" w:hanging="78"/>
        <w:spacing w:after="0" w:line="261" w:lineRule="auto"/>
        <w:rPr>
          <w:sz w:val="20"/>
          <w:szCs w:val="20"/>
          <w:color w:val="auto"/>
        </w:rPr>
      </w:pPr>
      <w:r>
        <w:rPr>
          <w:rFonts w:ascii="Arial" w:cs="Arial" w:eastAsia="Arial" w:hAnsi="Arial"/>
          <w:sz w:val="14"/>
          <w:szCs w:val="14"/>
          <w:color w:val="auto"/>
        </w:rPr>
        <w:t>  No pledging of Company stock without advance approval. None of the Company’s stock held by our NEOs or Board members is pledged.</w:t>
      </w:r>
    </w:p>
    <w:p>
      <w:pPr>
        <w:spacing w:after="0" w:line="157" w:lineRule="exact"/>
        <w:rPr>
          <w:sz w:val="20"/>
          <w:szCs w:val="20"/>
          <w:color w:val="auto"/>
        </w:rPr>
      </w:pPr>
    </w:p>
    <w:p>
      <w:pPr>
        <w:ind w:left="360" w:right="840" w:hanging="78"/>
        <w:spacing w:after="0" w:line="252" w:lineRule="auto"/>
        <w:rPr>
          <w:sz w:val="20"/>
          <w:szCs w:val="20"/>
          <w:color w:val="auto"/>
        </w:rPr>
      </w:pPr>
      <w:r>
        <w:rPr>
          <w:rFonts w:ascii="Arial" w:cs="Arial" w:eastAsia="Arial" w:hAnsi="Arial"/>
          <w:sz w:val="15"/>
          <w:szCs w:val="15"/>
          <w:color w:val="auto"/>
        </w:rPr>
        <w:t>  No re-pricing of stock options without shareholder approval.</w:t>
      </w:r>
    </w:p>
    <w:p>
      <w:pPr>
        <w:spacing w:after="0" w:line="162" w:lineRule="exact"/>
        <w:rPr>
          <w:sz w:val="20"/>
          <w:szCs w:val="20"/>
          <w:color w:val="auto"/>
        </w:rPr>
      </w:pPr>
    </w:p>
    <w:p>
      <w:pPr>
        <w:ind w:left="360" w:right="180" w:hanging="78"/>
        <w:spacing w:after="0" w:line="252" w:lineRule="auto"/>
        <w:rPr>
          <w:sz w:val="20"/>
          <w:szCs w:val="20"/>
          <w:color w:val="auto"/>
        </w:rPr>
      </w:pPr>
      <w:r>
        <w:rPr>
          <w:rFonts w:ascii="Arial" w:cs="Arial" w:eastAsia="Arial" w:hAnsi="Arial"/>
          <w:sz w:val="15"/>
          <w:szCs w:val="15"/>
          <w:color w:val="auto"/>
        </w:rPr>
        <w:t>  No single-trigger vesting of NEO equity awards upon a change in control.</w:t>
      </w:r>
    </w:p>
    <w:p>
      <w:pPr>
        <w:spacing w:after="0" w:line="162" w:lineRule="exact"/>
        <w:rPr>
          <w:sz w:val="20"/>
          <w:szCs w:val="20"/>
          <w:color w:val="auto"/>
        </w:rPr>
      </w:pPr>
    </w:p>
    <w:p>
      <w:pPr>
        <w:ind w:left="280"/>
        <w:spacing w:after="0"/>
        <w:rPr>
          <w:sz w:val="20"/>
          <w:szCs w:val="20"/>
          <w:color w:val="auto"/>
        </w:rPr>
      </w:pPr>
      <w:r>
        <w:rPr>
          <w:rFonts w:ascii="Arial" w:cs="Arial" w:eastAsia="Arial" w:hAnsi="Arial"/>
          <w:sz w:val="14"/>
          <w:szCs w:val="14"/>
          <w:color w:val="auto"/>
        </w:rPr>
        <w:t>  No payments of dividends on unearned awards.</w:t>
      </w:r>
    </w:p>
    <w:p>
      <w:pPr>
        <w:spacing w:after="0" w:line="206" w:lineRule="exact"/>
        <w:rPr>
          <w:sz w:val="20"/>
          <w:szCs w:val="20"/>
          <w:color w:val="auto"/>
        </w:rPr>
      </w:pPr>
    </w:p>
    <w:p>
      <w:pPr>
        <w:ind w:left="360" w:right="600" w:hanging="78"/>
        <w:spacing w:after="0" w:line="252" w:lineRule="auto"/>
        <w:rPr>
          <w:sz w:val="20"/>
          <w:szCs w:val="20"/>
          <w:color w:val="auto"/>
        </w:rPr>
      </w:pPr>
      <w:r>
        <w:rPr>
          <w:rFonts w:ascii="Arial" w:cs="Arial" w:eastAsia="Arial" w:hAnsi="Arial"/>
          <w:sz w:val="15"/>
          <w:szCs w:val="15"/>
          <w:color w:val="auto"/>
        </w:rPr>
        <w:t>  No excessive perquisites provided to our directors and executive officers.</w:t>
      </w:r>
    </w:p>
    <w:p>
      <w:pPr>
        <w:spacing w:after="0" w:line="363" w:lineRule="exact"/>
        <w:rPr>
          <w:sz w:val="20"/>
          <w:szCs w:val="20"/>
          <w:color w:val="auto"/>
        </w:rPr>
      </w:pPr>
    </w:p>
    <w:p>
      <w:pPr>
        <w:sectPr>
          <w:pgSz w:w="11900" w:h="16838" w:orient="portrait"/>
          <w:cols w:equalWidth="0" w:num="2">
            <w:col w:w="5140" w:space="280"/>
            <w:col w:w="3620"/>
          </w:cols>
          <w:pgMar w:left="1420" w:top="115" w:right="1439" w:bottom="1440" w:gutter="0" w:footer="0" w:header="0"/>
          <w:type w:val="continuous"/>
        </w:sectPr>
      </w:pP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292F72"/>
        </w:rPr>
        <w:t>32</w:t>
      </w:r>
      <w:r>
        <w:rPr>
          <w:rFonts w:ascii="Arial" w:cs="Arial" w:eastAsia="Arial" w:hAnsi="Arial"/>
          <w:sz w:val="14"/>
          <w:szCs w:val="14"/>
          <w:color w:val="292F72"/>
        </w:rPr>
        <w:t xml:space="preserve">     Bath &amp; Body Works, Inc.</w:t>
      </w:r>
      <w:r>
        <w:rPr>
          <w:rFonts w:ascii="Arial" w:cs="Arial" w:eastAsia="Arial" w:hAnsi="Arial"/>
          <w:sz w:val="14"/>
          <w:szCs w:val="14"/>
          <w:color w:val="6D8CC3"/>
        </w:rPr>
        <w:t xml:space="preserve">   | </w:t>
      </w:r>
      <w:r>
        <w:rPr>
          <w:rFonts w:ascii="Arial" w:cs="Arial" w:eastAsia="Arial" w:hAnsi="Arial"/>
          <w:sz w:val="14"/>
          <w:szCs w:val="14"/>
          <w:b w:val="1"/>
          <w:bCs w:val="1"/>
          <w:color w:val="292F72"/>
        </w:rPr>
        <w:t xml:space="preserve">  </w:t>
      </w:r>
      <w:r>
        <w:rPr>
          <w:rFonts w:ascii="Arial" w:cs="Arial" w:eastAsia="Arial" w:hAnsi="Arial"/>
          <w:sz w:val="14"/>
          <w:szCs w:val="14"/>
          <w:color w:val="292F72"/>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170180</wp:posOffset>
            </wp:positionV>
            <wp:extent cx="6795135" cy="165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795135" cy="16510"/>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2" w:lineRule="exact"/>
        <w:rPr>
          <w:sz w:val="20"/>
          <w:szCs w:val="20"/>
          <w:color w:val="auto"/>
        </w:rPr>
      </w:pPr>
    </w:p>
    <w:p>
      <w:pPr>
        <w:ind w:left="6840"/>
        <w:spacing w:after="0"/>
        <w:rPr>
          <w:sz w:val="20"/>
          <w:szCs w:val="20"/>
          <w:color w:val="auto"/>
        </w:rPr>
      </w:pPr>
      <w:r>
        <w:rPr>
          <w:rFonts w:ascii="Arial" w:cs="Arial" w:eastAsia="Arial" w:hAnsi="Arial"/>
          <w:sz w:val="15"/>
          <w:szCs w:val="15"/>
          <w:color w:val="292F72"/>
        </w:rPr>
        <w:t>Compensation-Related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48260</wp:posOffset>
            </wp:positionV>
            <wp:extent cx="1407160" cy="330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407160" cy="3302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9"/>
          <w:szCs w:val="19"/>
          <w:b w:val="1"/>
          <w:bCs w:val="1"/>
          <w:color w:val="6D8CC3"/>
        </w:rPr>
        <w:t>CONNECTING PAY AND PERFORMANCE</w:t>
      </w:r>
    </w:p>
    <w:p>
      <w:pPr>
        <w:spacing w:after="0" w:line="55" w:lineRule="exact"/>
        <w:rPr>
          <w:sz w:val="20"/>
          <w:szCs w:val="20"/>
          <w:color w:val="auto"/>
        </w:rPr>
      </w:pPr>
    </w:p>
    <w:p>
      <w:pPr>
        <w:ind w:right="100"/>
        <w:spacing w:after="0" w:line="267" w:lineRule="auto"/>
        <w:rPr>
          <w:sz w:val="20"/>
          <w:szCs w:val="20"/>
          <w:color w:val="auto"/>
        </w:rPr>
      </w:pPr>
      <w:r>
        <w:rPr>
          <w:rFonts w:ascii="Arial" w:cs="Arial" w:eastAsia="Arial" w:hAnsi="Arial"/>
          <w:sz w:val="15"/>
          <w:szCs w:val="15"/>
          <w:color w:val="auto"/>
        </w:rPr>
        <w:t>There are two key elements of our executive compensation program design that connect pay to performance. First, our incentive goals are designed to challenge our NEOs to achieve a high level of performance to earn incentives at target levels. When the Company’s performance meets and exceeds, or falls short of, these goals, our NEOs’ compensation is calibrated accordingly. Second, to further connect executive pay to performance and shareholder interests, we employ a pay mix philosophy that places greater emphasis on performance-based incentive compensation over non-performance-based base salary and RSUs.</w:t>
      </w:r>
    </w:p>
    <w:p>
      <w:pPr>
        <w:spacing w:after="0" w:line="142" w:lineRule="exact"/>
        <w:rPr>
          <w:sz w:val="20"/>
          <w:szCs w:val="20"/>
          <w:color w:val="auto"/>
        </w:rPr>
      </w:pPr>
    </w:p>
    <w:p>
      <w:pPr>
        <w:ind w:right="280"/>
        <w:spacing w:after="0" w:line="268" w:lineRule="auto"/>
        <w:rPr>
          <w:sz w:val="20"/>
          <w:szCs w:val="20"/>
          <w:color w:val="auto"/>
        </w:rPr>
      </w:pPr>
      <w:r>
        <w:rPr>
          <w:rFonts w:ascii="Arial" w:cs="Arial" w:eastAsia="Arial" w:hAnsi="Arial"/>
          <w:sz w:val="16"/>
          <w:szCs w:val="16"/>
          <w:color w:val="auto"/>
        </w:rPr>
        <w:t>The following charts illustrate the pay mix philosophy of our executive compensation program, showing a higher percentage of performance-based incentive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179705</wp:posOffset>
            </wp:positionV>
            <wp:extent cx="5687060" cy="16071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687060" cy="1607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60" w:hanging="256"/>
        <w:spacing w:after="0" w:line="269" w:lineRule="auto"/>
        <w:tabs>
          <w:tab w:leader="none" w:pos="2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CEO Target Pay reflects target direct compensation for Mr. Heaf for 2025 (reflecting annualized base pay, annualized short-term incentive (“STI”) target and approved target long-term incentive grant).</w:t>
      </w:r>
    </w:p>
    <w:p>
      <w:pPr>
        <w:spacing w:after="0" w:line="19" w:lineRule="exact"/>
        <w:rPr>
          <w:rFonts w:ascii="Arial" w:cs="Arial" w:eastAsia="Arial" w:hAnsi="Arial"/>
          <w:sz w:val="14"/>
          <w:szCs w:val="14"/>
          <w:color w:val="auto"/>
        </w:rPr>
      </w:pPr>
    </w:p>
    <w:p>
      <w:pPr>
        <w:jc w:val="both"/>
        <w:ind w:left="260" w:right="180" w:hanging="256"/>
        <w:spacing w:after="0" w:line="252" w:lineRule="auto"/>
        <w:tabs>
          <w:tab w:leader="none" w:pos="2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Average Non-CEO NEO Target Pay reflects target direct compensation for our NEOs (other than Mr. Heaf, who began service as Chief Executive Officer on May 16, 2025, and for Ms. Boswell, who ceased serving as the Chief Executive Officer, effective May 16, 2025, due to her partial year of employment).</w:t>
      </w:r>
    </w:p>
    <w:p>
      <w:pPr>
        <w:spacing w:after="0" w:line="30" w:lineRule="exact"/>
        <w:rPr>
          <w:rFonts w:ascii="Arial" w:cs="Arial" w:eastAsia="Arial" w:hAnsi="Arial"/>
          <w:sz w:val="14"/>
          <w:szCs w:val="14"/>
          <w:color w:val="auto"/>
        </w:rPr>
      </w:pPr>
    </w:p>
    <w:p>
      <w:pPr>
        <w:ind w:left="260" w:right="80" w:hanging="256"/>
        <w:spacing w:after="0" w:line="246" w:lineRule="auto"/>
        <w:tabs>
          <w:tab w:leader="none" w:pos="2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amounts included in the table above reflect the aggregate values of the RSUs and PSUs approved by the HCC Committee for the above listed NEOs for 2025. These approved values reflected above may differ from the grant date fair value of these awards as reflected in the Summary Compensation Table that follows this CD&amp;A, because of the accounting methodology used to report the RSUs and PSUs in the Summary Compensation Table, as required by SEC rules.</w:t>
      </w:r>
    </w:p>
    <w:p>
      <w:pPr>
        <w:spacing w:after="0" w:line="322" w:lineRule="exact"/>
        <w:rPr>
          <w:sz w:val="20"/>
          <w:szCs w:val="20"/>
          <w:color w:val="auto"/>
        </w:rPr>
      </w:pPr>
    </w:p>
    <w:p>
      <w:pPr>
        <w:spacing w:after="0"/>
        <w:rPr>
          <w:sz w:val="20"/>
          <w:szCs w:val="20"/>
          <w:color w:val="auto"/>
        </w:rPr>
      </w:pPr>
      <w:r>
        <w:rPr>
          <w:rFonts w:ascii="Arial" w:cs="Arial" w:eastAsia="Arial" w:hAnsi="Arial"/>
          <w:sz w:val="19"/>
          <w:szCs w:val="19"/>
          <w:b w:val="1"/>
          <w:bCs w:val="1"/>
          <w:color w:val="6D8CC3"/>
        </w:rPr>
        <w:t>COMPENSATION COMPARISON</w:t>
      </w:r>
    </w:p>
    <w:p>
      <w:pPr>
        <w:spacing w:after="0" w:line="55"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We review our NEO compensation against publicly available data on executive compensation, including compensation paid by a group of peer companies. We use this data to evaluate the competitiveness of our compensation levels, establish an appropriate mix of our NEO compensation elements and ensure our compensation programs properly attract, retain and incentivize highly talented executives who are critical to executing our strategy and business plan.</w:t>
      </w:r>
    </w:p>
    <w:p>
      <w:pPr>
        <w:spacing w:after="0" w:line="141" w:lineRule="exact"/>
        <w:rPr>
          <w:sz w:val="20"/>
          <w:szCs w:val="20"/>
          <w:color w:val="auto"/>
        </w:rPr>
      </w:pPr>
    </w:p>
    <w:p>
      <w:pPr>
        <w:ind w:right="260"/>
        <w:spacing w:after="0" w:line="279" w:lineRule="auto"/>
        <w:rPr>
          <w:sz w:val="20"/>
          <w:szCs w:val="20"/>
          <w:color w:val="auto"/>
        </w:rPr>
      </w:pPr>
      <w:r>
        <w:rPr>
          <w:rFonts w:ascii="Arial" w:cs="Arial" w:eastAsia="Arial" w:hAnsi="Arial"/>
          <w:sz w:val="15"/>
          <w:szCs w:val="15"/>
          <w:color w:val="auto"/>
        </w:rPr>
        <w:t>The HCC Committee annually reviews and approves our peer group used for compensation comparisons (the “Compensation Peer Group”) in consultation with the HCC Committee’s independent compensation consultant, and with consideration for companies considered to be peers by certain proxy advisory firms, to generally include a balanced mix of the following criteria:</w:t>
      </w:r>
    </w:p>
    <w:p>
      <w:pPr>
        <w:spacing w:after="0" w:line="54" w:lineRule="exact"/>
        <w:rPr>
          <w:sz w:val="20"/>
          <w:szCs w:val="20"/>
          <w:color w:val="auto"/>
        </w:rPr>
      </w:pPr>
    </w:p>
    <w:p>
      <w:pPr>
        <w:ind w:left="180" w:right="540" w:hanging="176"/>
        <w:spacing w:after="0" w:line="268" w:lineRule="auto"/>
        <w:tabs>
          <w:tab w:leader="none" w:pos="180" w:val="left"/>
        </w:tabs>
        <w:numPr>
          <w:ilvl w:val="0"/>
          <w:numId w:val="53"/>
        </w:numPr>
        <w:rPr>
          <w:rFonts w:ascii="Arial" w:cs="Arial" w:eastAsia="Arial" w:hAnsi="Arial"/>
          <w:sz w:val="16"/>
          <w:szCs w:val="16"/>
          <w:color w:val="6D8CC3"/>
        </w:rPr>
      </w:pPr>
      <w:r>
        <w:rPr>
          <w:rFonts w:ascii="Arial" w:cs="Arial" w:eastAsia="Arial" w:hAnsi="Arial"/>
          <w:sz w:val="16"/>
          <w:szCs w:val="16"/>
          <w:color w:val="auto"/>
        </w:rPr>
        <w:t>businesses that are similar in size and scope (using criteria such as total revenue, market capitalization, global footprint, business and/or merchandise focus);</w:t>
      </w:r>
    </w:p>
    <w:p>
      <w:pPr>
        <w:spacing w:after="0" w:line="61" w:lineRule="exact"/>
        <w:rPr>
          <w:rFonts w:ascii="Arial" w:cs="Arial" w:eastAsia="Arial" w:hAnsi="Arial"/>
          <w:sz w:val="16"/>
          <w:szCs w:val="16"/>
          <w:color w:val="6D8CC3"/>
        </w:rPr>
      </w:pPr>
    </w:p>
    <w:p>
      <w:pPr>
        <w:ind w:left="180" w:hanging="176"/>
        <w:spacing w:after="0"/>
        <w:tabs>
          <w:tab w:leader="none" w:pos="180" w:val="left"/>
        </w:tabs>
        <w:numPr>
          <w:ilvl w:val="0"/>
          <w:numId w:val="53"/>
        </w:numPr>
        <w:rPr>
          <w:rFonts w:ascii="Arial" w:cs="Arial" w:eastAsia="Arial" w:hAnsi="Arial"/>
          <w:sz w:val="16"/>
          <w:szCs w:val="16"/>
          <w:color w:val="6D8CC3"/>
        </w:rPr>
      </w:pPr>
      <w:r>
        <w:rPr>
          <w:rFonts w:ascii="Arial" w:cs="Arial" w:eastAsia="Arial" w:hAnsi="Arial"/>
          <w:sz w:val="16"/>
          <w:szCs w:val="16"/>
          <w:color w:val="auto"/>
        </w:rPr>
        <w:t>companies that compete with us for executive talent; and</w:t>
      </w:r>
    </w:p>
    <w:p>
      <w:pPr>
        <w:spacing w:after="0" w:line="104" w:lineRule="exact"/>
        <w:rPr>
          <w:rFonts w:ascii="Arial" w:cs="Arial" w:eastAsia="Arial" w:hAnsi="Arial"/>
          <w:sz w:val="16"/>
          <w:szCs w:val="16"/>
          <w:color w:val="6D8CC3"/>
        </w:rPr>
      </w:pPr>
    </w:p>
    <w:p>
      <w:pPr>
        <w:ind w:left="180" w:hanging="176"/>
        <w:spacing w:after="0"/>
        <w:tabs>
          <w:tab w:leader="none" w:pos="180" w:val="left"/>
        </w:tabs>
        <w:numPr>
          <w:ilvl w:val="0"/>
          <w:numId w:val="53"/>
        </w:numPr>
        <w:rPr>
          <w:rFonts w:ascii="Arial" w:cs="Arial" w:eastAsia="Arial" w:hAnsi="Arial"/>
          <w:sz w:val="16"/>
          <w:szCs w:val="16"/>
          <w:color w:val="6D8CC3"/>
        </w:rPr>
      </w:pPr>
      <w:r>
        <w:rPr>
          <w:rFonts w:ascii="Arial" w:cs="Arial" w:eastAsia="Arial" w:hAnsi="Arial"/>
          <w:sz w:val="16"/>
          <w:szCs w:val="16"/>
          <w:color w:val="auto"/>
        </w:rPr>
        <w:t>companies with similar talent and business model characteristics.</w:t>
      </w:r>
    </w:p>
    <w:p>
      <w:pPr>
        <w:spacing w:after="0" w:line="170" w:lineRule="exact"/>
        <w:rPr>
          <w:sz w:val="20"/>
          <w:szCs w:val="20"/>
          <w:color w:val="auto"/>
        </w:rPr>
      </w:pPr>
    </w:p>
    <w:p>
      <w:pPr>
        <w:ind w:right="400"/>
        <w:spacing w:after="0" w:line="254" w:lineRule="auto"/>
        <w:rPr>
          <w:sz w:val="20"/>
          <w:szCs w:val="20"/>
          <w:color w:val="auto"/>
        </w:rPr>
      </w:pPr>
      <w:r>
        <w:rPr>
          <w:rFonts w:ascii="Arial" w:cs="Arial" w:eastAsia="Arial" w:hAnsi="Arial"/>
          <w:sz w:val="16"/>
          <w:szCs w:val="16"/>
          <w:color w:val="auto"/>
        </w:rPr>
        <w:t>We do not specifically set our NEOs’ compensation against our Compensation Peer Group. Instead, we consider peer group comparisons provided by the HCC Committee’s independent compensation consultant as one of several factors the HCC Committee uses, along with its business judgment and experience, in setting the pay of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120015</wp:posOffset>
            </wp:positionV>
            <wp:extent cx="57372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737225" cy="8255"/>
                    </a:xfrm>
                    <a:prstGeom prst="rect">
                      <a:avLst/>
                    </a:prstGeom>
                    <a:noFill/>
                  </pic:spPr>
                </pic:pic>
              </a:graphicData>
            </a:graphic>
          </wp:anchor>
        </w:drawing>
      </w:r>
    </w:p>
    <w:p>
      <w:pPr>
        <w:spacing w:after="0" w:line="264" w:lineRule="exact"/>
        <w:rPr>
          <w:sz w:val="20"/>
          <w:szCs w:val="20"/>
          <w:color w:val="auto"/>
        </w:rPr>
      </w:pPr>
    </w:p>
    <w:p>
      <w:pPr>
        <w:jc w:val="right"/>
        <w:spacing w:after="0"/>
        <w:rPr>
          <w:sz w:val="20"/>
          <w:szCs w:val="20"/>
          <w:color w:val="auto"/>
        </w:rPr>
      </w:pPr>
      <w:r>
        <w:rPr>
          <w:rFonts w:ascii="Arial" w:cs="Arial" w:eastAsia="Arial" w:hAnsi="Arial"/>
          <w:sz w:val="14"/>
          <w:szCs w:val="14"/>
          <w:color w:val="292F72"/>
        </w:rPr>
        <w:t>Bath &amp; Body Works, Inc.</w:t>
      </w:r>
      <w:r>
        <w:rPr>
          <w:rFonts w:ascii="Arial" w:cs="Arial" w:eastAsia="Arial" w:hAnsi="Arial"/>
          <w:sz w:val="14"/>
          <w:szCs w:val="14"/>
          <w:color w:val="6D8CC3"/>
        </w:rPr>
        <w:t xml:space="preserve">   | </w:t>
      </w:r>
      <w:r>
        <w:rPr>
          <w:rFonts w:ascii="Arial" w:cs="Arial" w:eastAsia="Arial" w:hAnsi="Arial"/>
          <w:sz w:val="14"/>
          <w:szCs w:val="14"/>
          <w:color w:val="292F72"/>
        </w:rPr>
        <w:t xml:space="preserve">  2026 Proxy Statement     </w:t>
      </w:r>
      <w:r>
        <w:rPr>
          <w:rFonts w:ascii="Arial" w:cs="Arial" w:eastAsia="Arial" w:hAnsi="Arial"/>
          <w:sz w:val="14"/>
          <w:szCs w:val="14"/>
          <w:b w:val="1"/>
          <w:bCs w:val="1"/>
          <w:color w:val="292F72"/>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153670</wp:posOffset>
            </wp:positionV>
            <wp:extent cx="6795135" cy="1651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795135" cy="16510"/>
                    </a:xfrm>
                    <a:prstGeom prst="rect">
                      <a:avLst/>
                    </a:prstGeom>
                    <a:noFill/>
                  </pic:spPr>
                </pic:pic>
              </a:graphicData>
            </a:graphic>
          </wp:anchor>
        </w:drawing>
      </w:r>
    </w:p>
    <w:p>
      <w:pPr>
        <w:sectPr>
          <w:pgSz w:w="11900" w:h="16838" w:orient="portrait"/>
          <w:cols w:equalWidth="0" w:num="1">
            <w:col w:w="9040"/>
          </w:cols>
          <w:pgMar w:left="1420" w:top="116" w:right="1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6"/>
          <w:szCs w:val="16"/>
          <w:color w:val="292F72"/>
        </w:rPr>
        <w:t>Compensation-Related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40640</wp:posOffset>
            </wp:positionV>
            <wp:extent cx="1407160" cy="330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407160" cy="33020"/>
                    </a:xfrm>
                    <a:prstGeom prst="rect">
                      <a:avLst/>
                    </a:prstGeom>
                    <a:noFill/>
                  </pic:spPr>
                </pic:pic>
              </a:graphicData>
            </a:graphic>
          </wp:anchor>
        </w:drawing>
      </w:r>
    </w:p>
    <w:p>
      <w:pPr>
        <w:spacing w:after="0" w:line="189" w:lineRule="exact"/>
        <w:rPr>
          <w:sz w:val="20"/>
          <w:szCs w:val="20"/>
          <w:color w:val="auto"/>
        </w:rPr>
      </w:pPr>
    </w:p>
    <w:p>
      <w:pPr>
        <w:ind w:right="59"/>
        <w:spacing w:after="0" w:line="254" w:lineRule="auto"/>
        <w:rPr>
          <w:sz w:val="20"/>
          <w:szCs w:val="20"/>
          <w:color w:val="auto"/>
        </w:rPr>
      </w:pPr>
      <w:r>
        <w:rPr>
          <w:rFonts w:ascii="Arial" w:cs="Arial" w:eastAsia="Arial" w:hAnsi="Arial"/>
          <w:sz w:val="16"/>
          <w:szCs w:val="16"/>
          <w:color w:val="auto"/>
        </w:rPr>
        <w:t>The HCC Committee reviewed the Company’s 2025 Compensation Peer Group and determined no changes were appropriate for 2025. The HCC Committee believes the Compensation Peer Group closely aligns with our business model and merchandise focus and reflects companies that are similar in size and scope, and that compete with us for executive talent.</w:t>
      </w:r>
    </w:p>
    <w:p>
      <w:pPr>
        <w:spacing w:after="0" w:line="191"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292F72"/>
        </w:rPr>
        <w:t>2025 COMPENSATION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573722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737225" cy="8255"/>
                    </a:xfrm>
                    <a:prstGeom prst="rect">
                      <a:avLst/>
                    </a:prstGeom>
                    <a:noFill/>
                  </pic:spPr>
                </pic:pic>
              </a:graphicData>
            </a:graphic>
          </wp:anchor>
        </w:drawing>
      </w:r>
    </w:p>
    <w:p>
      <w:pPr>
        <w:sectPr>
          <w:pgSz w:w="11900" w:h="16838" w:orient="portrait"/>
          <w:cols w:equalWidth="0" w:num="1">
            <w:col w:w="9039"/>
          </w:cols>
          <w:pgMar w:left="1420" w:top="115" w:right="1440" w:bottom="1440" w:gutter="0" w:footer="0" w:header="0"/>
        </w:sectPr>
      </w:pPr>
    </w:p>
    <w:p>
      <w:pPr>
        <w:spacing w:after="0" w:line="1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Abercrombie &amp; Fitch Co.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66040</wp:posOffset>
            </wp:positionV>
            <wp:extent cx="278955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789555" cy="8255"/>
                    </a:xfrm>
                    <a:prstGeom prst="rect">
                      <a:avLst/>
                    </a:prstGeom>
                    <a:noFill/>
                  </pic:spPr>
                </pic:pic>
              </a:graphicData>
            </a:graphic>
          </wp:anchor>
        </w:drawing>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5"/>
          <w:szCs w:val="15"/>
          <w:color w:val="auto"/>
        </w:rPr>
        <w:t>American Eagle Outfitters, Inc. [AEO]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73025</wp:posOffset>
            </wp:positionV>
            <wp:extent cx="278955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789555" cy="8255"/>
                    </a:xfrm>
                    <a:prstGeom prst="rect">
                      <a:avLst/>
                    </a:prstGeom>
                    <a:noFill/>
                  </pic:spPr>
                </pic:pic>
              </a:graphicData>
            </a:graphic>
          </wp:anchor>
        </w:drawing>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Coty Inc. [COTY]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66040</wp:posOffset>
            </wp:positionV>
            <wp:extent cx="278955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789555" cy="8255"/>
                    </a:xfrm>
                    <a:prstGeom prst="rect">
                      <a:avLst/>
                    </a:prstGeom>
                    <a:noFill/>
                  </pic:spPr>
                </pic:pic>
              </a:graphicData>
            </a:graphic>
          </wp:anchor>
        </w:drawing>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DICK’s Sporting Goods, Inc. [DKS]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66040</wp:posOffset>
            </wp:positionV>
            <wp:extent cx="278955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789555" cy="8255"/>
                    </a:xfrm>
                    <a:prstGeom prst="rect">
                      <a:avLst/>
                    </a:prstGeom>
                    <a:noFill/>
                  </pic:spPr>
                </pic:pic>
              </a:graphicData>
            </a:graphic>
          </wp:anchor>
        </w:drawing>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Gap Inc. [GPS]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90805</wp:posOffset>
            </wp:positionV>
            <wp:extent cx="278955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789555" cy="8255"/>
                    </a:xfrm>
                    <a:prstGeom prst="rect">
                      <a:avLst/>
                    </a:prstGeom>
                    <a:noFill/>
                  </pic:spPr>
                </pic:pic>
              </a:graphicData>
            </a:graphic>
          </wp:anchor>
        </w:drawing>
      </w:r>
    </w:p>
    <w:p>
      <w:pPr>
        <w:spacing w:after="0" w:line="203" w:lineRule="exact"/>
        <w:rPr>
          <w:sz w:val="20"/>
          <w:szCs w:val="20"/>
          <w:color w:val="auto"/>
        </w:rPr>
      </w:pPr>
    </w:p>
    <w:p>
      <w:pPr>
        <w:ind w:left="40"/>
        <w:spacing w:after="0"/>
        <w:rPr>
          <w:sz w:val="20"/>
          <w:szCs w:val="20"/>
          <w:color w:val="auto"/>
        </w:rPr>
      </w:pPr>
      <w:r>
        <w:rPr>
          <w:rFonts w:ascii="Arial" w:cs="Arial" w:eastAsia="Arial" w:hAnsi="Arial"/>
          <w:sz w:val="16"/>
          <w:szCs w:val="16"/>
          <w:color w:val="auto"/>
        </w:rPr>
        <w:t>lululemon athletica inc. [LULU]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66040</wp:posOffset>
            </wp:positionV>
            <wp:extent cx="278955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789555" cy="8255"/>
                    </a:xfrm>
                    <a:prstGeom prst="rect">
                      <a:avLst/>
                    </a:prstGeom>
                    <a:noFill/>
                  </pic:spPr>
                </pic:pic>
              </a:graphicData>
            </a:graphic>
          </wp:anchor>
        </w:drawing>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Newell Brands Inc. [NWL]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66040</wp:posOffset>
            </wp:positionV>
            <wp:extent cx="278955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789555" cy="8255"/>
                    </a:xfrm>
                    <a:prstGeom prst="rect">
                      <a:avLst/>
                    </a:prstGeom>
                    <a:noFill/>
                  </pic:spPr>
                </pic:pic>
              </a:graphicData>
            </a:graphic>
          </wp:anchor>
        </w:drawing>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PVH Corp. [PVH]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66040</wp:posOffset>
            </wp:positionV>
            <wp:extent cx="278955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789555" cy="8255"/>
                    </a:xfrm>
                    <a:prstGeom prst="rect">
                      <a:avLst/>
                    </a:prstGeom>
                    <a:noFill/>
                  </pic:spPr>
                </pic:pic>
              </a:graphicData>
            </a:graphic>
          </wp:anchor>
        </w:drawing>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Ralph Lauren Corporation [RL]</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Sally Beauty Holdings, Inc. [SBH]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66040</wp:posOffset>
            </wp:positionV>
            <wp:extent cx="279781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797810" cy="8255"/>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Signet Jewelers Limited [SIG]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66040</wp:posOffset>
            </wp:positionV>
            <wp:extent cx="279781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797810" cy="8255"/>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Tapestry, Inc. [TPR]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66040</wp:posOffset>
            </wp:positionV>
            <wp:extent cx="279781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797810" cy="8255"/>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color w:val="auto"/>
        </w:rPr>
        <w:t>The Estée Lauder Companies Inc. [EL]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73025</wp:posOffset>
            </wp:positionV>
            <wp:extent cx="279781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79781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Tractor Supply Company [TSCO]</w:t>
      </w:r>
      <w:r>
        <w:rPr>
          <w:rFonts w:ascii="Arial" w:cs="Arial" w:eastAsia="Arial" w:hAnsi="Arial"/>
          <w:sz w:val="26"/>
          <w:szCs w:val="2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17780</wp:posOffset>
            </wp:positionV>
            <wp:extent cx="279781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797810" cy="8255"/>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Ulta Beauty, Inc. [ULTA]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66040</wp:posOffset>
            </wp:positionV>
            <wp:extent cx="279781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797810" cy="8255"/>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Victoria’s Secret &amp; Co. [VSCO]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66040</wp:posOffset>
            </wp:positionV>
            <wp:extent cx="279781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797810" cy="8255"/>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Williams-Sonoma, Inc. [WSM]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-2941955</wp:posOffset>
            </wp:positionH>
            <wp:positionV relativeFrom="paragraph">
              <wp:posOffset>282575</wp:posOffset>
            </wp:positionV>
            <wp:extent cx="573722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73722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66040</wp:posOffset>
            </wp:positionV>
            <wp:extent cx="279781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797810" cy="8255"/>
                    </a:xfrm>
                    <a:prstGeom prst="rect">
                      <a:avLst/>
                    </a:prstGeom>
                    <a:noFill/>
                  </pic:spPr>
                </pic:pic>
              </a:graphicData>
            </a:graphic>
          </wp:anchor>
        </w:drawing>
      </w:r>
    </w:p>
    <w:p>
      <w:pPr>
        <w:spacing w:after="0" w:line="527" w:lineRule="exact"/>
        <w:rPr>
          <w:sz w:val="20"/>
          <w:szCs w:val="20"/>
          <w:color w:val="auto"/>
        </w:rPr>
      </w:pPr>
    </w:p>
    <w:p>
      <w:pPr>
        <w:sectPr>
          <w:pgSz w:w="11900" w:h="16838" w:orient="portrait"/>
          <w:cols w:equalWidth="0" w:num="2">
            <w:col w:w="3920" w:space="720"/>
            <w:col w:w="4399"/>
          </w:cols>
          <w:pgMar w:left="1420" w:top="115" w:right="1440" w:bottom="1440" w:gutter="0" w:footer="0" w:header="0"/>
          <w:type w:val="continuous"/>
        </w:sectPr>
      </w:pPr>
    </w:p>
    <w:p>
      <w:pPr>
        <w:ind w:left="260" w:right="59" w:hanging="256"/>
        <w:spacing w:after="0" w:line="252" w:lineRule="auto"/>
        <w:tabs>
          <w:tab w:leader="none" w:pos="2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 2025, the HCC Committee reviewed the Company’s 2026 Compensation Peer Group and determined that Tractor Supply Company should be removed from our peer group for 2026 because of that company’s outsized market capitalization and product mix not aligning with the Company and its other compensation peers.</w:t>
      </w:r>
    </w:p>
    <w:p>
      <w:pPr>
        <w:spacing w:after="0" w:line="305" w:lineRule="exact"/>
        <w:rPr>
          <w:sz w:val="20"/>
          <w:szCs w:val="20"/>
          <w:color w:val="auto"/>
        </w:rPr>
      </w:pPr>
    </w:p>
    <w:p>
      <w:pPr>
        <w:spacing w:after="0"/>
        <w:rPr>
          <w:sz w:val="20"/>
          <w:szCs w:val="20"/>
          <w:color w:val="auto"/>
        </w:rPr>
      </w:pPr>
      <w:r>
        <w:rPr>
          <w:rFonts w:ascii="Arial" w:cs="Arial" w:eastAsia="Arial" w:hAnsi="Arial"/>
          <w:sz w:val="19"/>
          <w:szCs w:val="19"/>
          <w:b w:val="1"/>
          <w:bCs w:val="1"/>
          <w:color w:val="292F72"/>
        </w:rPr>
        <w:t>Compensation for NEOs</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b w:val="1"/>
          <w:bCs w:val="1"/>
          <w:color w:val="6D8CC3"/>
        </w:rPr>
        <w:t>COMPENSATION SETTING PROCESS</w:t>
      </w:r>
    </w:p>
    <w:p>
      <w:pPr>
        <w:spacing w:after="0" w:line="55" w:lineRule="exact"/>
        <w:rPr>
          <w:sz w:val="20"/>
          <w:szCs w:val="20"/>
          <w:color w:val="auto"/>
        </w:rPr>
      </w:pPr>
    </w:p>
    <w:p>
      <w:pPr>
        <w:ind w:right="19"/>
        <w:spacing w:after="0" w:line="244" w:lineRule="auto"/>
        <w:rPr>
          <w:sz w:val="20"/>
          <w:szCs w:val="20"/>
          <w:color w:val="auto"/>
        </w:rPr>
      </w:pPr>
      <w:r>
        <w:rPr>
          <w:rFonts w:ascii="Arial" w:cs="Arial" w:eastAsia="Arial" w:hAnsi="Arial"/>
          <w:sz w:val="16"/>
          <w:szCs w:val="16"/>
          <w:color w:val="auto"/>
        </w:rPr>
        <w:t>The HCC Committee makes all decisions regarding Chief Executive Officer compensation with advisory input from its independent compensation consultant. Our Chief Executive Officer recommends, and the HCC Committee approves, compensation for the other NEOs, including all grants of stock awards. In making compensation decisions for our NEOs, the HCC Committee takes into consideration input, recommendations and market-based analyses provided by management and the HCC Committee’s independent compensation consultant. Target compensation for the NEOs is reviewed annually after the fiscal year closes and is designed to reward historical performance, incent future performance and be competitive with the external market for talent.</w:t>
      </w:r>
    </w:p>
    <w:p>
      <w:pPr>
        <w:spacing w:after="0" w:line="318" w:lineRule="exact"/>
        <w:rPr>
          <w:sz w:val="20"/>
          <w:szCs w:val="20"/>
          <w:color w:val="auto"/>
        </w:rPr>
      </w:pPr>
    </w:p>
    <w:p>
      <w:pPr>
        <w:spacing w:after="0"/>
        <w:rPr>
          <w:sz w:val="20"/>
          <w:szCs w:val="20"/>
          <w:color w:val="auto"/>
        </w:rPr>
      </w:pPr>
      <w:r>
        <w:rPr>
          <w:rFonts w:ascii="Arial" w:cs="Arial" w:eastAsia="Arial" w:hAnsi="Arial"/>
          <w:sz w:val="19"/>
          <w:szCs w:val="19"/>
          <w:b w:val="1"/>
          <w:bCs w:val="1"/>
          <w:color w:val="6D8CC3"/>
        </w:rPr>
        <w:t>COMPENSATION COMPONENTS</w:t>
      </w:r>
    </w:p>
    <w:p>
      <w:pPr>
        <w:spacing w:after="0" w:line="55" w:lineRule="exact"/>
        <w:rPr>
          <w:sz w:val="20"/>
          <w:szCs w:val="20"/>
          <w:color w:val="auto"/>
        </w:rPr>
      </w:pPr>
    </w:p>
    <w:p>
      <w:pPr>
        <w:ind w:right="59"/>
        <w:spacing w:after="0" w:line="264" w:lineRule="auto"/>
        <w:rPr>
          <w:sz w:val="20"/>
          <w:szCs w:val="20"/>
          <w:color w:val="auto"/>
        </w:rPr>
      </w:pPr>
      <w:r>
        <w:rPr>
          <w:rFonts w:ascii="Arial" w:cs="Arial" w:eastAsia="Arial" w:hAnsi="Arial"/>
          <w:sz w:val="15"/>
          <w:szCs w:val="15"/>
          <w:color w:val="auto"/>
        </w:rPr>
        <w:t>The three principal elements of our executive compensation program are base salary, short-term performance-based cash incentive compensation and long-term equity incentive compensation. Each NEO’s base salary is set considering multiple factors described below. For fiscal 2025, all of our NEOs participated in the same short-term performance-based incentive compensation program and long-term equity incentive compensation program. The Company also provides our NEOs with health and welfare benefits, retirement benefits and a limited set of perquisites, in line with market practice and generally focused on managing risk to the enterprise. Additional information about each of these compensation components is provided herein.</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b w:val="1"/>
          <w:bCs w:val="1"/>
          <w:color w:val="292F72"/>
        </w:rPr>
        <w:t>Base Salary</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factors are considered in determining any base salary adjustments for our NEOs:</w:t>
      </w:r>
    </w:p>
    <w:p>
      <w:pPr>
        <w:spacing w:after="0" w:line="105" w:lineRule="exact"/>
        <w:rPr>
          <w:sz w:val="20"/>
          <w:szCs w:val="20"/>
          <w:color w:val="auto"/>
        </w:rPr>
      </w:pPr>
    </w:p>
    <w:p>
      <w:pPr>
        <w:ind w:left="180" w:hanging="176"/>
        <w:spacing w:after="0"/>
        <w:tabs>
          <w:tab w:leader="none" w:pos="180" w:val="left"/>
        </w:tabs>
        <w:numPr>
          <w:ilvl w:val="0"/>
          <w:numId w:val="55"/>
        </w:numPr>
        <w:rPr>
          <w:rFonts w:ascii="Arial" w:cs="Arial" w:eastAsia="Arial" w:hAnsi="Arial"/>
          <w:sz w:val="16"/>
          <w:szCs w:val="16"/>
          <w:color w:val="6D8CC3"/>
        </w:rPr>
      </w:pPr>
      <w:r>
        <w:rPr>
          <w:rFonts w:ascii="Arial" w:cs="Arial" w:eastAsia="Arial" w:hAnsi="Arial"/>
          <w:sz w:val="16"/>
          <w:szCs w:val="16"/>
          <w:color w:val="auto"/>
        </w:rPr>
        <w:t>scope and responsibility of the NEO’s position;</w:t>
      </w:r>
    </w:p>
    <w:p>
      <w:pPr>
        <w:spacing w:after="0" w:line="104" w:lineRule="exact"/>
        <w:rPr>
          <w:rFonts w:ascii="Arial" w:cs="Arial" w:eastAsia="Arial" w:hAnsi="Arial"/>
          <w:sz w:val="16"/>
          <w:szCs w:val="16"/>
          <w:color w:val="6D8CC3"/>
        </w:rPr>
      </w:pPr>
    </w:p>
    <w:p>
      <w:pPr>
        <w:ind w:left="180" w:hanging="176"/>
        <w:spacing w:after="0"/>
        <w:tabs>
          <w:tab w:leader="none" w:pos="180" w:val="left"/>
        </w:tabs>
        <w:numPr>
          <w:ilvl w:val="0"/>
          <w:numId w:val="55"/>
        </w:numPr>
        <w:rPr>
          <w:rFonts w:ascii="Arial" w:cs="Arial" w:eastAsia="Arial" w:hAnsi="Arial"/>
          <w:sz w:val="16"/>
          <w:szCs w:val="16"/>
          <w:color w:val="6D8CC3"/>
        </w:rPr>
      </w:pPr>
      <w:r>
        <w:rPr>
          <w:rFonts w:ascii="Arial" w:cs="Arial" w:eastAsia="Arial" w:hAnsi="Arial"/>
          <w:sz w:val="16"/>
          <w:szCs w:val="16"/>
          <w:color w:val="auto"/>
        </w:rPr>
        <w:t>achievement of annual business goals;</w:t>
      </w:r>
    </w:p>
    <w:p>
      <w:pPr>
        <w:spacing w:after="0" w:line="104" w:lineRule="exact"/>
        <w:rPr>
          <w:rFonts w:ascii="Arial" w:cs="Arial" w:eastAsia="Arial" w:hAnsi="Arial"/>
          <w:sz w:val="16"/>
          <w:szCs w:val="16"/>
          <w:color w:val="6D8CC3"/>
        </w:rPr>
      </w:pPr>
    </w:p>
    <w:p>
      <w:pPr>
        <w:ind w:left="180" w:hanging="176"/>
        <w:spacing w:after="0"/>
        <w:tabs>
          <w:tab w:leader="none" w:pos="180" w:val="left"/>
        </w:tabs>
        <w:numPr>
          <w:ilvl w:val="0"/>
          <w:numId w:val="55"/>
        </w:numPr>
        <w:rPr>
          <w:rFonts w:ascii="Arial" w:cs="Arial" w:eastAsia="Arial" w:hAnsi="Arial"/>
          <w:sz w:val="16"/>
          <w:szCs w:val="16"/>
          <w:color w:val="6D8CC3"/>
        </w:rPr>
      </w:pPr>
      <w:r>
        <w:rPr>
          <w:rFonts w:ascii="Arial" w:cs="Arial" w:eastAsia="Arial" w:hAnsi="Arial"/>
          <w:sz w:val="16"/>
          <w:szCs w:val="16"/>
          <w:color w:val="auto"/>
        </w:rPr>
        <w:t>level of overall compensation paid by competitors for comparable positions;</w:t>
      </w:r>
    </w:p>
    <w:p>
      <w:pPr>
        <w:spacing w:after="0" w:line="104" w:lineRule="exact"/>
        <w:rPr>
          <w:rFonts w:ascii="Arial" w:cs="Arial" w:eastAsia="Arial" w:hAnsi="Arial"/>
          <w:sz w:val="16"/>
          <w:szCs w:val="16"/>
          <w:color w:val="6D8CC3"/>
        </w:rPr>
      </w:pPr>
    </w:p>
    <w:p>
      <w:pPr>
        <w:ind w:left="180" w:hanging="176"/>
        <w:spacing w:after="0"/>
        <w:tabs>
          <w:tab w:leader="none" w:pos="180" w:val="left"/>
        </w:tabs>
        <w:numPr>
          <w:ilvl w:val="0"/>
          <w:numId w:val="55"/>
        </w:numPr>
        <w:rPr>
          <w:rFonts w:ascii="Arial" w:cs="Arial" w:eastAsia="Arial" w:hAnsi="Arial"/>
          <w:sz w:val="16"/>
          <w:szCs w:val="16"/>
          <w:color w:val="6D8CC3"/>
        </w:rPr>
      </w:pPr>
      <w:r>
        <w:rPr>
          <w:rFonts w:ascii="Arial" w:cs="Arial" w:eastAsia="Arial" w:hAnsi="Arial"/>
          <w:sz w:val="16"/>
          <w:szCs w:val="16"/>
          <w:color w:val="auto"/>
        </w:rPr>
        <w:t>recruitment, retention and development of leadership talent; and</w:t>
      </w:r>
    </w:p>
    <w:p>
      <w:pPr>
        <w:spacing w:after="0" w:line="104" w:lineRule="exact"/>
        <w:rPr>
          <w:rFonts w:ascii="Arial" w:cs="Arial" w:eastAsia="Arial" w:hAnsi="Arial"/>
          <w:sz w:val="16"/>
          <w:szCs w:val="16"/>
          <w:color w:val="6D8CC3"/>
        </w:rPr>
      </w:pPr>
    </w:p>
    <w:p>
      <w:pPr>
        <w:ind w:left="180" w:right="639" w:hanging="176"/>
        <w:spacing w:after="0" w:line="268" w:lineRule="auto"/>
        <w:tabs>
          <w:tab w:leader="none" w:pos="180" w:val="left"/>
        </w:tabs>
        <w:numPr>
          <w:ilvl w:val="0"/>
          <w:numId w:val="55"/>
        </w:numPr>
        <w:rPr>
          <w:rFonts w:ascii="Arial" w:cs="Arial" w:eastAsia="Arial" w:hAnsi="Arial"/>
          <w:sz w:val="16"/>
          <w:szCs w:val="16"/>
          <w:color w:val="6D8CC3"/>
        </w:rPr>
      </w:pPr>
      <w:r>
        <w:rPr>
          <w:rFonts w:ascii="Arial" w:cs="Arial" w:eastAsia="Arial" w:hAnsi="Arial"/>
          <w:sz w:val="16"/>
          <w:szCs w:val="16"/>
          <w:color w:val="auto"/>
        </w:rPr>
        <w:t>appropriate balancing of the NEO’s base salary against their incentive compensation to ensure there is a higher mix of performance-based compensation as a percentage of their total pay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113030</wp:posOffset>
            </wp:positionV>
            <wp:extent cx="573722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737225" cy="8255"/>
                    </a:xfrm>
                    <a:prstGeom prst="rect">
                      <a:avLst/>
                    </a:prstGeom>
                    <a:noFill/>
                  </pic:spPr>
                </pic:pic>
              </a:graphicData>
            </a:graphic>
          </wp:anchor>
        </w:drawing>
      </w: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b w:val="1"/>
          <w:bCs w:val="1"/>
          <w:color w:val="292F72"/>
        </w:rPr>
        <w:t>34</w:t>
      </w:r>
      <w:r>
        <w:rPr>
          <w:rFonts w:ascii="Arial" w:cs="Arial" w:eastAsia="Arial" w:hAnsi="Arial"/>
          <w:sz w:val="14"/>
          <w:szCs w:val="14"/>
          <w:color w:val="292F72"/>
        </w:rPr>
        <w:t xml:space="preserve">     Bath &amp; Body Works, Inc.</w:t>
      </w:r>
      <w:r>
        <w:rPr>
          <w:rFonts w:ascii="Arial" w:cs="Arial" w:eastAsia="Arial" w:hAnsi="Arial"/>
          <w:sz w:val="14"/>
          <w:szCs w:val="14"/>
          <w:color w:val="6D8CC3"/>
        </w:rPr>
        <w:t xml:space="preserve">   | </w:t>
      </w:r>
      <w:r>
        <w:rPr>
          <w:rFonts w:ascii="Arial" w:cs="Arial" w:eastAsia="Arial" w:hAnsi="Arial"/>
          <w:sz w:val="14"/>
          <w:szCs w:val="14"/>
          <w:b w:val="1"/>
          <w:bCs w:val="1"/>
          <w:color w:val="292F72"/>
        </w:rPr>
        <w:t xml:space="preserve">  </w:t>
      </w:r>
      <w:r>
        <w:rPr>
          <w:rFonts w:ascii="Arial" w:cs="Arial" w:eastAsia="Arial" w:hAnsi="Arial"/>
          <w:sz w:val="14"/>
          <w:szCs w:val="14"/>
          <w:color w:val="292F72"/>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170180</wp:posOffset>
            </wp:positionV>
            <wp:extent cx="6795135" cy="1651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795135" cy="16510"/>
                    </a:xfrm>
                    <a:prstGeom prst="rect">
                      <a:avLst/>
                    </a:prstGeom>
                    <a:noFill/>
                  </pic:spPr>
                </pic:pic>
              </a:graphicData>
            </a:graphic>
          </wp:anchor>
        </w:drawing>
      </w:r>
    </w:p>
    <w:p>
      <w:pPr>
        <w:sectPr>
          <w:pgSz w:w="11900" w:h="16838" w:orient="portrait"/>
          <w:cols w:equalWidth="0" w:num="1">
            <w:col w:w="9039"/>
          </w:cols>
          <w:pgMar w:left="1420" w:top="115" w:right="1440"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2" w:lineRule="exact"/>
        <w:rPr>
          <w:sz w:val="20"/>
          <w:szCs w:val="20"/>
          <w:color w:val="auto"/>
        </w:rPr>
      </w:pPr>
    </w:p>
    <w:p>
      <w:pPr>
        <w:ind w:left="6840"/>
        <w:spacing w:after="0"/>
        <w:rPr>
          <w:sz w:val="20"/>
          <w:szCs w:val="20"/>
          <w:color w:val="auto"/>
        </w:rPr>
      </w:pPr>
      <w:r>
        <w:rPr>
          <w:rFonts w:ascii="Arial" w:cs="Arial" w:eastAsia="Arial" w:hAnsi="Arial"/>
          <w:sz w:val="15"/>
          <w:szCs w:val="15"/>
          <w:color w:val="292F72"/>
        </w:rPr>
        <w:t>Compensation-Related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48260</wp:posOffset>
            </wp:positionV>
            <wp:extent cx="1407160" cy="330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407160" cy="33020"/>
                    </a:xfrm>
                    <a:prstGeom prst="rect">
                      <a:avLst/>
                    </a:prstGeom>
                    <a:noFill/>
                  </pic:spPr>
                </pic:pic>
              </a:graphicData>
            </a:graphic>
          </wp:anchor>
        </w:drawing>
      </w:r>
    </w:p>
    <w:p>
      <w:pPr>
        <w:spacing w:after="0" w:line="201" w:lineRule="exact"/>
        <w:rPr>
          <w:sz w:val="20"/>
          <w:szCs w:val="20"/>
          <w:color w:val="auto"/>
        </w:rPr>
      </w:pPr>
    </w:p>
    <w:p>
      <w:pPr>
        <w:ind w:right="20"/>
        <w:spacing w:after="0" w:line="245" w:lineRule="auto"/>
        <w:rPr>
          <w:sz w:val="20"/>
          <w:szCs w:val="20"/>
          <w:color w:val="auto"/>
        </w:rPr>
      </w:pPr>
      <w:r>
        <w:rPr>
          <w:rFonts w:ascii="Arial" w:cs="Arial" w:eastAsia="Arial" w:hAnsi="Arial"/>
          <w:sz w:val="16"/>
          <w:szCs w:val="16"/>
          <w:color w:val="auto"/>
        </w:rPr>
        <w:t xml:space="preserve">Our NEOs’ base salaries for fiscal 2025 are set forth in the following table. Our NEOs’ base salaries have not been increased since 2022 and, for fiscal 2025, the HCC Committee determined to again hold base salaries flat except for Mr. Mazurek whose salary was increased by 3.6% to recognize an increase in his responsibilities. This decision, when coupled with the NEO target long-term equity incentive compensation as shown under the heading “—Long-term Equity Incentive Compensation” beginning on page </w:t>
      </w:r>
      <w:r>
        <w:rPr>
          <w:rFonts w:ascii="Arial" w:cs="Arial" w:eastAsia="Arial" w:hAnsi="Arial"/>
          <w:sz w:val="16"/>
          <w:szCs w:val="16"/>
          <w:u w:val="single" w:color="auto"/>
          <w:color w:val="0000EE"/>
        </w:rPr>
        <w:t>37</w:t>
      </w:r>
      <w:r>
        <w:rPr>
          <w:rFonts w:ascii="Arial" w:cs="Arial" w:eastAsia="Arial" w:hAnsi="Arial"/>
          <w:sz w:val="16"/>
          <w:szCs w:val="16"/>
          <w:color w:val="auto"/>
        </w:rPr>
        <w:t xml:space="preserve"> of this proxy statement, further enhances the weighting of our NEOs’ long-term equity incentive compensation as a percentage of their total pay mix.</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2000" w:type="dxa"/>
            <w:vAlign w:val="bottom"/>
          </w:tcPr>
          <w:p>
            <w:pPr>
              <w:jc w:val="center"/>
              <w:ind w:left="265"/>
              <w:spacing w:after="0"/>
              <w:rPr>
                <w:sz w:val="20"/>
                <w:szCs w:val="20"/>
                <w:color w:val="auto"/>
              </w:rPr>
            </w:pPr>
            <w:r>
              <w:rPr>
                <w:rFonts w:ascii="Arial" w:cs="Arial" w:eastAsia="Arial" w:hAnsi="Arial"/>
                <w:sz w:val="14"/>
                <w:szCs w:val="14"/>
                <w:b w:val="1"/>
                <w:bCs w:val="1"/>
                <w:color w:val="292F72"/>
              </w:rPr>
              <w:t>FISCAL 2025</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292F72"/>
                <w:w w:val="99"/>
              </w:rPr>
              <w:t>YEAR OVER</w:t>
            </w:r>
          </w:p>
        </w:tc>
        <w:tc>
          <w:tcPr>
            <w:tcW w:w="2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800" w:type="dxa"/>
            <w:vAlign w:val="bottom"/>
            <w:vMerge w:val="restart"/>
          </w:tcPr>
          <w:p>
            <w:pPr>
              <w:spacing w:after="0"/>
              <w:rPr>
                <w:sz w:val="20"/>
                <w:szCs w:val="20"/>
                <w:color w:val="auto"/>
              </w:rPr>
            </w:pPr>
            <w:r>
              <w:rPr>
                <w:rFonts w:ascii="Arial" w:cs="Arial" w:eastAsia="Arial" w:hAnsi="Arial"/>
                <w:sz w:val="14"/>
                <w:szCs w:val="14"/>
                <w:b w:val="1"/>
                <w:bCs w:val="1"/>
                <w:color w:val="292F72"/>
              </w:rPr>
              <w:t>NAMED EXECUTIVE OFFICER</w:t>
            </w:r>
            <w:r>
              <w:rPr>
                <w:rFonts w:ascii="Arial" w:cs="Arial" w:eastAsia="Arial" w:hAnsi="Arial"/>
                <w:sz w:val="23"/>
                <w:szCs w:val="23"/>
                <w:b w:val="1"/>
                <w:bCs w:val="1"/>
                <w:color w:val="292F72"/>
                <w:vertAlign w:val="superscript"/>
              </w:rPr>
              <w:t>(1)</w:t>
            </w:r>
          </w:p>
        </w:tc>
        <w:tc>
          <w:tcPr>
            <w:tcW w:w="2000" w:type="dxa"/>
            <w:vAlign w:val="bottom"/>
          </w:tcPr>
          <w:p>
            <w:pPr>
              <w:jc w:val="center"/>
              <w:ind w:left="245"/>
              <w:spacing w:after="0" w:line="157" w:lineRule="exact"/>
              <w:rPr>
                <w:sz w:val="20"/>
                <w:szCs w:val="20"/>
                <w:color w:val="auto"/>
              </w:rPr>
            </w:pPr>
            <w:r>
              <w:rPr>
                <w:rFonts w:ascii="Arial" w:cs="Arial" w:eastAsia="Arial" w:hAnsi="Arial"/>
                <w:sz w:val="14"/>
                <w:szCs w:val="14"/>
                <w:b w:val="1"/>
                <w:bCs w:val="1"/>
                <w:color w:val="292F72"/>
                <w:w w:val="99"/>
              </w:rPr>
              <w:t>BASE SALARY</w:t>
            </w:r>
          </w:p>
        </w:tc>
        <w:tc>
          <w:tcPr>
            <w:tcW w:w="1480" w:type="dxa"/>
            <w:vAlign w:val="bottom"/>
          </w:tcPr>
          <w:p>
            <w:pPr>
              <w:jc w:val="center"/>
              <w:spacing w:after="0" w:line="157" w:lineRule="exact"/>
              <w:rPr>
                <w:sz w:val="20"/>
                <w:szCs w:val="20"/>
                <w:color w:val="auto"/>
              </w:rPr>
            </w:pPr>
            <w:r>
              <w:rPr>
                <w:rFonts w:ascii="Arial" w:cs="Arial" w:eastAsia="Arial" w:hAnsi="Arial"/>
                <w:sz w:val="14"/>
                <w:szCs w:val="14"/>
                <w:b w:val="1"/>
                <w:bCs w:val="1"/>
                <w:color w:val="292F72"/>
                <w:w w:val="97"/>
              </w:rPr>
              <w:t>YEAR %</w:t>
            </w:r>
          </w:p>
        </w:tc>
        <w:tc>
          <w:tcPr>
            <w:tcW w:w="2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2800" w:type="dxa"/>
            <w:vAlign w:val="bottom"/>
            <w:tcBorders>
              <w:bottom w:val="single" w:sz="8" w:color="292F72"/>
            </w:tcBorders>
            <w:vMerge w:val="continue"/>
          </w:tcPr>
          <w:p>
            <w:pPr>
              <w:spacing w:after="0"/>
              <w:rPr>
                <w:sz w:val="20"/>
                <w:szCs w:val="20"/>
                <w:color w:val="auto"/>
              </w:rPr>
            </w:pPr>
          </w:p>
        </w:tc>
        <w:tc>
          <w:tcPr>
            <w:tcW w:w="2000" w:type="dxa"/>
            <w:vAlign w:val="bottom"/>
            <w:tcBorders>
              <w:bottom w:val="single" w:sz="8" w:color="292F72"/>
            </w:tcBorders>
          </w:tcPr>
          <w:p>
            <w:pPr>
              <w:jc w:val="center"/>
              <w:ind w:left="305"/>
              <w:spacing w:after="0"/>
              <w:rPr>
                <w:sz w:val="20"/>
                <w:szCs w:val="20"/>
                <w:color w:val="auto"/>
              </w:rPr>
            </w:pPr>
            <w:r>
              <w:rPr>
                <w:rFonts w:ascii="Arial" w:cs="Arial" w:eastAsia="Arial" w:hAnsi="Arial"/>
                <w:sz w:val="14"/>
                <w:szCs w:val="14"/>
                <w:b w:val="1"/>
                <w:bCs w:val="1"/>
                <w:color w:val="292F72"/>
              </w:rPr>
              <w:t>($)</w:t>
            </w:r>
          </w:p>
        </w:tc>
        <w:tc>
          <w:tcPr>
            <w:tcW w:w="1480" w:type="dxa"/>
            <w:vAlign w:val="bottom"/>
            <w:tcBorders>
              <w:bottom w:val="single" w:sz="8" w:color="292F72"/>
            </w:tcBorders>
          </w:tcPr>
          <w:p>
            <w:pPr>
              <w:jc w:val="center"/>
              <w:spacing w:after="0"/>
              <w:rPr>
                <w:sz w:val="20"/>
                <w:szCs w:val="20"/>
                <w:color w:val="auto"/>
              </w:rPr>
            </w:pPr>
            <w:r>
              <w:rPr>
                <w:rFonts w:ascii="Arial" w:cs="Arial" w:eastAsia="Arial" w:hAnsi="Arial"/>
                <w:sz w:val="14"/>
                <w:szCs w:val="14"/>
                <w:b w:val="1"/>
                <w:bCs w:val="1"/>
                <w:color w:val="292F72"/>
                <w:w w:val="98"/>
              </w:rPr>
              <w:t>CHANGE</w:t>
            </w:r>
          </w:p>
        </w:tc>
        <w:tc>
          <w:tcPr>
            <w:tcW w:w="2760" w:type="dxa"/>
            <w:vAlign w:val="bottom"/>
            <w:tcBorders>
              <w:bottom w:val="single" w:sz="8" w:color="292F72"/>
            </w:tcBorders>
          </w:tcPr>
          <w:p>
            <w:pPr>
              <w:jc w:val="center"/>
              <w:ind w:right="286"/>
              <w:spacing w:after="0"/>
              <w:rPr>
                <w:sz w:val="20"/>
                <w:szCs w:val="20"/>
                <w:color w:val="auto"/>
              </w:rPr>
            </w:pPr>
            <w:r>
              <w:rPr>
                <w:rFonts w:ascii="Arial" w:cs="Arial" w:eastAsia="Arial" w:hAnsi="Arial"/>
                <w:sz w:val="14"/>
                <w:szCs w:val="14"/>
                <w:b w:val="1"/>
                <w:bCs w:val="1"/>
                <w:color w:val="292F72"/>
                <w:w w:val="97"/>
              </w:rPr>
              <w:t>RATIONALE</w:t>
            </w:r>
          </w:p>
        </w:tc>
        <w:tc>
          <w:tcPr>
            <w:tcW w:w="0" w:type="dxa"/>
            <w:vAlign w:val="bottom"/>
          </w:tcPr>
          <w:p>
            <w:pPr>
              <w:spacing w:after="0"/>
              <w:rPr>
                <w:sz w:val="1"/>
                <w:szCs w:val="1"/>
                <w:color w:val="auto"/>
              </w:rPr>
            </w:pPr>
          </w:p>
        </w:tc>
      </w:tr>
      <w:tr>
        <w:trPr>
          <w:trHeight w:val="347"/>
        </w:trPr>
        <w:tc>
          <w:tcPr>
            <w:tcW w:w="2800" w:type="dxa"/>
            <w:vAlign w:val="bottom"/>
            <w:tcBorders>
              <w:bottom w:val="single" w:sz="8" w:color="6D8CC3"/>
            </w:tcBorders>
          </w:tcPr>
          <w:p>
            <w:pPr>
              <w:spacing w:after="0"/>
              <w:rPr>
                <w:sz w:val="20"/>
                <w:szCs w:val="20"/>
                <w:color w:val="auto"/>
              </w:rPr>
            </w:pPr>
            <w:r>
              <w:rPr>
                <w:rFonts w:ascii="Arial" w:cs="Arial" w:eastAsia="Arial" w:hAnsi="Arial"/>
                <w:sz w:val="16"/>
                <w:szCs w:val="16"/>
                <w:b w:val="1"/>
                <w:bCs w:val="1"/>
                <w:color w:val="auto"/>
              </w:rPr>
              <w:t>Mr. Heaf</w:t>
            </w:r>
            <w:r>
              <w:rPr>
                <w:rFonts w:ascii="Arial" w:cs="Arial" w:eastAsia="Arial" w:hAnsi="Arial"/>
                <w:sz w:val="26"/>
                <w:szCs w:val="26"/>
                <w:b w:val="1"/>
                <w:bCs w:val="1"/>
                <w:color w:val="auto"/>
                <w:vertAlign w:val="superscript"/>
              </w:rPr>
              <w:t>(2)</w:t>
            </w:r>
          </w:p>
        </w:tc>
        <w:tc>
          <w:tcPr>
            <w:tcW w:w="2000" w:type="dxa"/>
            <w:vAlign w:val="bottom"/>
            <w:tcBorders>
              <w:bottom w:val="single" w:sz="8" w:color="6D8CC3"/>
            </w:tcBorders>
          </w:tcPr>
          <w:p>
            <w:pPr>
              <w:jc w:val="right"/>
              <w:ind w:right="425"/>
              <w:spacing w:after="0"/>
              <w:rPr>
                <w:sz w:val="20"/>
                <w:szCs w:val="20"/>
                <w:color w:val="auto"/>
              </w:rPr>
            </w:pPr>
            <w:r>
              <w:rPr>
                <w:rFonts w:ascii="Arial" w:cs="Arial" w:eastAsia="Arial" w:hAnsi="Arial"/>
                <w:sz w:val="16"/>
                <w:szCs w:val="16"/>
                <w:color w:val="auto"/>
              </w:rPr>
              <w:t>1,350,000</w:t>
            </w:r>
          </w:p>
        </w:tc>
        <w:tc>
          <w:tcPr>
            <w:tcW w:w="1480" w:type="dxa"/>
            <w:vAlign w:val="bottom"/>
            <w:tcBorders>
              <w:bottom w:val="single" w:sz="8" w:color="6D8CC3"/>
            </w:tcBorders>
          </w:tcPr>
          <w:p>
            <w:pPr>
              <w:jc w:val="center"/>
              <w:spacing w:after="0"/>
              <w:rPr>
                <w:sz w:val="20"/>
                <w:szCs w:val="20"/>
                <w:color w:val="auto"/>
              </w:rPr>
            </w:pPr>
            <w:r>
              <w:rPr>
                <w:rFonts w:ascii="Arial" w:cs="Arial" w:eastAsia="Arial" w:hAnsi="Arial"/>
                <w:sz w:val="16"/>
                <w:szCs w:val="16"/>
                <w:color w:val="auto"/>
                <w:w w:val="98"/>
              </w:rPr>
              <w:t>n/a</w:t>
            </w:r>
          </w:p>
        </w:tc>
        <w:tc>
          <w:tcPr>
            <w:tcW w:w="2760" w:type="dxa"/>
            <w:vAlign w:val="bottom"/>
            <w:tcBorders>
              <w:bottom w:val="single" w:sz="8" w:color="6D8CC3"/>
            </w:tcBorders>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800" w:type="dxa"/>
            <w:vAlign w:val="bottom"/>
          </w:tcPr>
          <w:p>
            <w:pPr>
              <w:spacing w:after="0"/>
              <w:rPr>
                <w:sz w:val="20"/>
                <w:szCs w:val="20"/>
                <w:color w:val="auto"/>
              </w:rPr>
            </w:pPr>
            <w:r>
              <w:rPr>
                <w:rFonts w:ascii="Arial" w:cs="Arial" w:eastAsia="Arial" w:hAnsi="Arial"/>
                <w:sz w:val="16"/>
                <w:szCs w:val="16"/>
                <w:b w:val="1"/>
                <w:bCs w:val="1"/>
                <w:color w:val="auto"/>
              </w:rPr>
              <w:t>Ms. Boratto</w:t>
            </w:r>
          </w:p>
        </w:tc>
        <w:tc>
          <w:tcPr>
            <w:tcW w:w="2000" w:type="dxa"/>
            <w:vAlign w:val="bottom"/>
          </w:tcPr>
          <w:p>
            <w:pPr>
              <w:jc w:val="right"/>
              <w:ind w:right="425"/>
              <w:spacing w:after="0"/>
              <w:rPr>
                <w:sz w:val="20"/>
                <w:szCs w:val="20"/>
                <w:color w:val="auto"/>
              </w:rPr>
            </w:pPr>
            <w:r>
              <w:rPr>
                <w:rFonts w:ascii="Arial" w:cs="Arial" w:eastAsia="Arial" w:hAnsi="Arial"/>
                <w:sz w:val="16"/>
                <w:szCs w:val="16"/>
                <w:color w:val="auto"/>
              </w:rPr>
              <w:t>850,000</w:t>
            </w:r>
          </w:p>
        </w:tc>
        <w:tc>
          <w:tcPr>
            <w:tcW w:w="1480" w:type="dxa"/>
            <w:vAlign w:val="bottom"/>
          </w:tcPr>
          <w:p>
            <w:pPr>
              <w:jc w:val="right"/>
              <w:ind w:right="425"/>
              <w:spacing w:after="0"/>
              <w:rPr>
                <w:sz w:val="20"/>
                <w:szCs w:val="20"/>
                <w:color w:val="auto"/>
              </w:rPr>
            </w:pPr>
            <w:r>
              <w:rPr>
                <w:rFonts w:ascii="Arial" w:cs="Arial" w:eastAsia="Arial" w:hAnsi="Arial"/>
                <w:sz w:val="16"/>
                <w:szCs w:val="16"/>
                <w:color w:val="auto"/>
              </w:rPr>
              <w:t>0%</w:t>
            </w:r>
          </w:p>
        </w:tc>
        <w:tc>
          <w:tcPr>
            <w:tcW w:w="2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800" w:type="dxa"/>
            <w:vAlign w:val="bottom"/>
            <w:tcBorders>
              <w:bottom w:val="single" w:sz="8" w:color="6D8CC3"/>
            </w:tcBorders>
          </w:tcPr>
          <w:p>
            <w:pPr>
              <w:spacing w:after="0"/>
              <w:rPr>
                <w:sz w:val="4"/>
                <w:szCs w:val="4"/>
                <w:color w:val="auto"/>
              </w:rPr>
            </w:pPr>
          </w:p>
        </w:tc>
        <w:tc>
          <w:tcPr>
            <w:tcW w:w="2000" w:type="dxa"/>
            <w:vAlign w:val="bottom"/>
            <w:tcBorders>
              <w:bottom w:val="single" w:sz="8" w:color="6D8CC3"/>
            </w:tcBorders>
          </w:tcPr>
          <w:p>
            <w:pPr>
              <w:spacing w:after="0"/>
              <w:rPr>
                <w:sz w:val="4"/>
                <w:szCs w:val="4"/>
                <w:color w:val="auto"/>
              </w:rPr>
            </w:pPr>
          </w:p>
        </w:tc>
        <w:tc>
          <w:tcPr>
            <w:tcW w:w="1480" w:type="dxa"/>
            <w:vAlign w:val="bottom"/>
            <w:tcBorders>
              <w:bottom w:val="single" w:sz="8" w:color="6D8CC3"/>
            </w:tcBorders>
          </w:tcPr>
          <w:p>
            <w:pPr>
              <w:spacing w:after="0"/>
              <w:rPr>
                <w:sz w:val="4"/>
                <w:szCs w:val="4"/>
                <w:color w:val="auto"/>
              </w:rPr>
            </w:pPr>
          </w:p>
        </w:tc>
        <w:tc>
          <w:tcPr>
            <w:tcW w:w="2760" w:type="dxa"/>
            <w:vAlign w:val="bottom"/>
            <w:tcBorders>
              <w:bottom w:val="single" w:sz="8" w:color="6D8CC3"/>
            </w:tcBorders>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2800" w:type="dxa"/>
            <w:vAlign w:val="bottom"/>
          </w:tcPr>
          <w:p>
            <w:pPr>
              <w:spacing w:after="0"/>
              <w:rPr>
                <w:sz w:val="20"/>
                <w:szCs w:val="20"/>
                <w:color w:val="auto"/>
              </w:rPr>
            </w:pPr>
            <w:r>
              <w:rPr>
                <w:rFonts w:ascii="Arial" w:cs="Arial" w:eastAsia="Arial" w:hAnsi="Arial"/>
                <w:sz w:val="16"/>
                <w:szCs w:val="16"/>
                <w:b w:val="1"/>
                <w:bCs w:val="1"/>
                <w:color w:val="auto"/>
              </w:rPr>
              <w:t>Mr. Mazurek</w:t>
            </w:r>
          </w:p>
        </w:tc>
        <w:tc>
          <w:tcPr>
            <w:tcW w:w="2000" w:type="dxa"/>
            <w:vAlign w:val="bottom"/>
          </w:tcPr>
          <w:p>
            <w:pPr>
              <w:jc w:val="right"/>
              <w:ind w:right="425"/>
              <w:spacing w:after="0"/>
              <w:rPr>
                <w:sz w:val="20"/>
                <w:szCs w:val="20"/>
                <w:color w:val="auto"/>
              </w:rPr>
            </w:pPr>
            <w:r>
              <w:rPr>
                <w:rFonts w:ascii="Arial" w:cs="Arial" w:eastAsia="Arial" w:hAnsi="Arial"/>
                <w:sz w:val="16"/>
                <w:szCs w:val="16"/>
                <w:color w:val="auto"/>
              </w:rPr>
              <w:t>725,000</w:t>
            </w:r>
          </w:p>
        </w:tc>
        <w:tc>
          <w:tcPr>
            <w:tcW w:w="1480" w:type="dxa"/>
            <w:vAlign w:val="bottom"/>
          </w:tcPr>
          <w:p>
            <w:pPr>
              <w:jc w:val="right"/>
              <w:ind w:right="425"/>
              <w:spacing w:after="0"/>
              <w:rPr>
                <w:sz w:val="20"/>
                <w:szCs w:val="20"/>
                <w:color w:val="auto"/>
              </w:rPr>
            </w:pPr>
            <w:r>
              <w:rPr>
                <w:rFonts w:ascii="Arial" w:cs="Arial" w:eastAsia="Arial" w:hAnsi="Arial"/>
                <w:sz w:val="16"/>
                <w:szCs w:val="16"/>
                <w:color w:val="auto"/>
              </w:rPr>
              <w:t>3.6%</w:t>
            </w:r>
          </w:p>
        </w:tc>
        <w:tc>
          <w:tcPr>
            <w:tcW w:w="2760" w:type="dxa"/>
            <w:vAlign w:val="bottom"/>
          </w:tcPr>
          <w:p>
            <w:pPr>
              <w:jc w:val="center"/>
              <w:ind w:right="286"/>
              <w:spacing w:after="0"/>
              <w:rPr>
                <w:sz w:val="20"/>
                <w:szCs w:val="20"/>
                <w:color w:val="auto"/>
              </w:rPr>
            </w:pPr>
            <w:r>
              <w:rPr>
                <w:rFonts w:ascii="Arial" w:cs="Arial" w:eastAsia="Arial" w:hAnsi="Arial"/>
                <w:sz w:val="16"/>
                <w:szCs w:val="16"/>
                <w:color w:val="auto"/>
                <w:w w:val="97"/>
              </w:rPr>
              <w:t>Increased responsibilities</w:t>
            </w:r>
          </w:p>
        </w:tc>
        <w:tc>
          <w:tcPr>
            <w:tcW w:w="0" w:type="dxa"/>
            <w:vAlign w:val="bottom"/>
          </w:tcPr>
          <w:p>
            <w:pPr>
              <w:spacing w:after="0"/>
              <w:rPr>
                <w:sz w:val="1"/>
                <w:szCs w:val="1"/>
                <w:color w:val="auto"/>
              </w:rPr>
            </w:pPr>
          </w:p>
        </w:tc>
      </w:tr>
      <w:tr>
        <w:trPr>
          <w:trHeight w:val="47"/>
        </w:trPr>
        <w:tc>
          <w:tcPr>
            <w:tcW w:w="2800" w:type="dxa"/>
            <w:vAlign w:val="bottom"/>
            <w:tcBorders>
              <w:bottom w:val="single" w:sz="8" w:color="6D8CC3"/>
            </w:tcBorders>
          </w:tcPr>
          <w:p>
            <w:pPr>
              <w:spacing w:after="0"/>
              <w:rPr>
                <w:sz w:val="4"/>
                <w:szCs w:val="4"/>
                <w:color w:val="auto"/>
              </w:rPr>
            </w:pPr>
          </w:p>
        </w:tc>
        <w:tc>
          <w:tcPr>
            <w:tcW w:w="2000" w:type="dxa"/>
            <w:vAlign w:val="bottom"/>
            <w:tcBorders>
              <w:bottom w:val="single" w:sz="8" w:color="6D8CC3"/>
            </w:tcBorders>
          </w:tcPr>
          <w:p>
            <w:pPr>
              <w:spacing w:after="0"/>
              <w:rPr>
                <w:sz w:val="4"/>
                <w:szCs w:val="4"/>
                <w:color w:val="auto"/>
              </w:rPr>
            </w:pPr>
          </w:p>
        </w:tc>
        <w:tc>
          <w:tcPr>
            <w:tcW w:w="1480" w:type="dxa"/>
            <w:vAlign w:val="bottom"/>
            <w:tcBorders>
              <w:bottom w:val="single" w:sz="8" w:color="6D8CC3"/>
            </w:tcBorders>
          </w:tcPr>
          <w:p>
            <w:pPr>
              <w:spacing w:after="0"/>
              <w:rPr>
                <w:sz w:val="4"/>
                <w:szCs w:val="4"/>
                <w:color w:val="auto"/>
              </w:rPr>
            </w:pPr>
          </w:p>
        </w:tc>
        <w:tc>
          <w:tcPr>
            <w:tcW w:w="2760" w:type="dxa"/>
            <w:vAlign w:val="bottom"/>
            <w:tcBorders>
              <w:bottom w:val="single" w:sz="8" w:color="6D8CC3"/>
            </w:tcBorders>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2800" w:type="dxa"/>
            <w:vAlign w:val="bottom"/>
          </w:tcPr>
          <w:p>
            <w:pPr>
              <w:spacing w:after="0"/>
              <w:rPr>
                <w:sz w:val="20"/>
                <w:szCs w:val="20"/>
                <w:color w:val="auto"/>
              </w:rPr>
            </w:pPr>
            <w:r>
              <w:rPr>
                <w:rFonts w:ascii="Arial" w:cs="Arial" w:eastAsia="Arial" w:hAnsi="Arial"/>
                <w:sz w:val="16"/>
                <w:szCs w:val="16"/>
                <w:b w:val="1"/>
                <w:bCs w:val="1"/>
                <w:color w:val="auto"/>
              </w:rPr>
              <w:t>Mr. Wu</w:t>
            </w:r>
          </w:p>
        </w:tc>
        <w:tc>
          <w:tcPr>
            <w:tcW w:w="2000" w:type="dxa"/>
            <w:vAlign w:val="bottom"/>
          </w:tcPr>
          <w:p>
            <w:pPr>
              <w:jc w:val="right"/>
              <w:ind w:right="425"/>
              <w:spacing w:after="0"/>
              <w:rPr>
                <w:sz w:val="20"/>
                <w:szCs w:val="20"/>
                <w:color w:val="auto"/>
              </w:rPr>
            </w:pPr>
            <w:r>
              <w:rPr>
                <w:rFonts w:ascii="Arial" w:cs="Arial" w:eastAsia="Arial" w:hAnsi="Arial"/>
                <w:sz w:val="16"/>
                <w:szCs w:val="16"/>
                <w:color w:val="auto"/>
              </w:rPr>
              <w:t>725,000</w:t>
            </w:r>
          </w:p>
        </w:tc>
        <w:tc>
          <w:tcPr>
            <w:tcW w:w="1480" w:type="dxa"/>
            <w:vAlign w:val="bottom"/>
          </w:tcPr>
          <w:p>
            <w:pPr>
              <w:jc w:val="right"/>
              <w:ind w:right="425"/>
              <w:spacing w:after="0"/>
              <w:rPr>
                <w:sz w:val="20"/>
                <w:szCs w:val="20"/>
                <w:color w:val="auto"/>
              </w:rPr>
            </w:pPr>
            <w:r>
              <w:rPr>
                <w:rFonts w:ascii="Arial" w:cs="Arial" w:eastAsia="Arial" w:hAnsi="Arial"/>
                <w:sz w:val="16"/>
                <w:szCs w:val="16"/>
                <w:color w:val="auto"/>
              </w:rPr>
              <w:t>0%</w:t>
            </w:r>
          </w:p>
        </w:tc>
        <w:tc>
          <w:tcPr>
            <w:tcW w:w="2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800" w:type="dxa"/>
            <w:vAlign w:val="bottom"/>
            <w:tcBorders>
              <w:bottom w:val="single" w:sz="8" w:color="6D8CC3"/>
            </w:tcBorders>
          </w:tcPr>
          <w:p>
            <w:pPr>
              <w:spacing w:after="0"/>
              <w:rPr>
                <w:sz w:val="2"/>
                <w:szCs w:val="2"/>
                <w:color w:val="auto"/>
              </w:rPr>
            </w:pPr>
          </w:p>
        </w:tc>
        <w:tc>
          <w:tcPr>
            <w:tcW w:w="2000" w:type="dxa"/>
            <w:vAlign w:val="bottom"/>
            <w:tcBorders>
              <w:bottom w:val="single" w:sz="8" w:color="6D8CC3"/>
            </w:tcBorders>
          </w:tcPr>
          <w:p>
            <w:pPr>
              <w:spacing w:after="0"/>
              <w:rPr>
                <w:sz w:val="2"/>
                <w:szCs w:val="2"/>
                <w:color w:val="auto"/>
              </w:rPr>
            </w:pPr>
          </w:p>
        </w:tc>
        <w:tc>
          <w:tcPr>
            <w:tcW w:w="1480" w:type="dxa"/>
            <w:vAlign w:val="bottom"/>
            <w:tcBorders>
              <w:bottom w:val="single" w:sz="8" w:color="6D8CC3"/>
            </w:tcBorders>
          </w:tcPr>
          <w:p>
            <w:pPr>
              <w:spacing w:after="0"/>
              <w:rPr>
                <w:sz w:val="2"/>
                <w:szCs w:val="2"/>
                <w:color w:val="auto"/>
              </w:rPr>
            </w:pPr>
          </w:p>
        </w:tc>
        <w:tc>
          <w:tcPr>
            <w:tcW w:w="2760" w:type="dxa"/>
            <w:vAlign w:val="bottom"/>
            <w:tcBorders>
              <w:bottom w:val="single" w:sz="8" w:color="6D8CC3"/>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260" w:right="260" w:hanging="256"/>
        <w:spacing w:after="0" w:line="269" w:lineRule="auto"/>
        <w:tabs>
          <w:tab w:leader="none" w:pos="2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Ms. Boswell served as Chief Executive Officer until May 16, 2025. In fiscal 2025, Ms. Boswell's annual base salary was $1,500,000, which was also unchanged from fiscal 2024.</w:t>
      </w:r>
    </w:p>
    <w:p>
      <w:pPr>
        <w:spacing w:after="0" w:line="19" w:lineRule="exact"/>
        <w:rPr>
          <w:rFonts w:ascii="Arial" w:cs="Arial" w:eastAsia="Arial" w:hAnsi="Arial"/>
          <w:sz w:val="14"/>
          <w:szCs w:val="14"/>
          <w:color w:val="auto"/>
        </w:rPr>
      </w:pPr>
    </w:p>
    <w:p>
      <w:pPr>
        <w:ind w:left="260" w:hanging="256"/>
        <w:spacing w:after="0"/>
        <w:tabs>
          <w:tab w:leader="none" w:pos="2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Mr. Heaf began his employment as our Chief Executive Officer on May 16, 2025.</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color w:val="292F72"/>
        </w:rPr>
        <w:t>Short-term Performance-based Incentive Compensation</w:t>
      </w:r>
    </w:p>
    <w:p>
      <w:pPr>
        <w:spacing w:after="0" w:line="54" w:lineRule="exact"/>
        <w:rPr>
          <w:sz w:val="20"/>
          <w:szCs w:val="20"/>
          <w:color w:val="auto"/>
        </w:rPr>
      </w:pPr>
    </w:p>
    <w:p>
      <w:pPr>
        <w:ind w:right="20"/>
        <w:spacing w:after="0" w:line="243" w:lineRule="auto"/>
        <w:rPr>
          <w:sz w:val="20"/>
          <w:szCs w:val="20"/>
          <w:color w:val="auto"/>
        </w:rPr>
      </w:pPr>
      <w:r>
        <w:rPr>
          <w:rFonts w:ascii="Arial" w:cs="Arial" w:eastAsia="Arial" w:hAnsi="Arial"/>
          <w:sz w:val="16"/>
          <w:szCs w:val="16"/>
          <w:color w:val="auto"/>
        </w:rPr>
        <w:t>Short-term performance-based incentive compensation, if earned, is paid in cash pursuant to the Company’s Cash Incentive Compensation Performance Plan (the “Cash Incentive Plan”). The HCC Committee introduced a Cash Incentive Plan structure for fiscal year 2025 to ensure a smooth transition from a seasonal to an annual short-term performance-based incentive compensation plan. The Cash Incentive Plan for fiscal 2025 focused on achievement of annual performance metrics with a mid-year payout (weighted 40%) based on first half results and a year-end payout based on full year results. The transition away from the Company's historical seasonal bonus approach is a significant step in the evolution of the Company's executive compensation program. Beginning in fiscal year 2026, we will complete the transition and launch an annual short-term cash incentive compensation program designed with annual performance metrics and one annual payout.</w:t>
      </w:r>
    </w:p>
    <w:p>
      <w:pPr>
        <w:spacing w:after="0" w:line="162"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To emphasize the Company’s drive towards durable, top-line growth, the HCC Committee increased the weighting of the absolute net sales metric from 25% to 35%, which reduced the weighting of the adjusted operating income from 75% to 65% for fiscal year 2025. Additionally, to create greater focus on driving durable, top-line growth, the HCC Committee added a one-time annual strategic modifier supporting the strategies in place at that time.</w:t>
      </w:r>
    </w:p>
    <w:p>
      <w:pPr>
        <w:spacing w:after="0" w:line="141" w:lineRule="exact"/>
        <w:rPr>
          <w:sz w:val="20"/>
          <w:szCs w:val="20"/>
          <w:color w:val="auto"/>
        </w:rPr>
      </w:pPr>
    </w:p>
    <w:p>
      <w:pPr>
        <w:jc w:val="both"/>
        <w:ind w:right="160"/>
        <w:spacing w:after="0" w:line="271" w:lineRule="auto"/>
        <w:rPr>
          <w:sz w:val="20"/>
          <w:szCs w:val="20"/>
          <w:color w:val="auto"/>
        </w:rPr>
      </w:pPr>
      <w:r>
        <w:rPr>
          <w:rFonts w:ascii="Arial" w:cs="Arial" w:eastAsia="Arial" w:hAnsi="Arial"/>
          <w:sz w:val="15"/>
          <w:szCs w:val="15"/>
          <w:color w:val="auto"/>
        </w:rPr>
        <w:t>The HCC Committee established annual goals for the full 2025 performance year at the beginning of 2025 under the short-term cash incentive program. The HCC Committee carefully considered the annual goals to ensure that our executives were properly incented in fiscal year 2025, while at the same time incorporating a level of rigor that maintained a strong link between pay and performance. The HCC Committee believes the incentive annual goals were set at challenging and meaningful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112395</wp:posOffset>
            </wp:positionV>
            <wp:extent cx="573722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737225" cy="8255"/>
                    </a:xfrm>
                    <a:prstGeom prst="rect">
                      <a:avLst/>
                    </a:prstGeom>
                    <a:noFill/>
                  </pic:spPr>
                </pic:pic>
              </a:graphicData>
            </a:graphic>
          </wp:anchor>
        </w:drawing>
      </w:r>
    </w:p>
    <w:p>
      <w:pPr>
        <w:spacing w:after="0" w:line="253" w:lineRule="exact"/>
        <w:rPr>
          <w:sz w:val="20"/>
          <w:szCs w:val="20"/>
          <w:color w:val="auto"/>
        </w:rPr>
      </w:pPr>
    </w:p>
    <w:p>
      <w:pPr>
        <w:jc w:val="right"/>
        <w:spacing w:after="0"/>
        <w:rPr>
          <w:sz w:val="20"/>
          <w:szCs w:val="20"/>
          <w:color w:val="auto"/>
        </w:rPr>
      </w:pPr>
      <w:r>
        <w:rPr>
          <w:rFonts w:ascii="Arial" w:cs="Arial" w:eastAsia="Arial" w:hAnsi="Arial"/>
          <w:sz w:val="14"/>
          <w:szCs w:val="14"/>
          <w:color w:val="292F72"/>
        </w:rPr>
        <w:t>Bath &amp; Body Works, Inc.</w:t>
      </w:r>
      <w:r>
        <w:rPr>
          <w:rFonts w:ascii="Arial" w:cs="Arial" w:eastAsia="Arial" w:hAnsi="Arial"/>
          <w:sz w:val="14"/>
          <w:szCs w:val="14"/>
          <w:color w:val="6D8CC3"/>
        </w:rPr>
        <w:t xml:space="preserve">   | </w:t>
      </w:r>
      <w:r>
        <w:rPr>
          <w:rFonts w:ascii="Arial" w:cs="Arial" w:eastAsia="Arial" w:hAnsi="Arial"/>
          <w:sz w:val="14"/>
          <w:szCs w:val="14"/>
          <w:color w:val="292F72"/>
        </w:rPr>
        <w:t xml:space="preserve">  2026 Proxy Statement     </w:t>
      </w:r>
      <w:r>
        <w:rPr>
          <w:rFonts w:ascii="Arial" w:cs="Arial" w:eastAsia="Arial" w:hAnsi="Arial"/>
          <w:sz w:val="14"/>
          <w:szCs w:val="14"/>
          <w:b w:val="1"/>
          <w:bCs w:val="1"/>
          <w:color w:val="292F72"/>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145415</wp:posOffset>
            </wp:positionV>
            <wp:extent cx="6795135" cy="1651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795135" cy="16510"/>
                    </a:xfrm>
                    <a:prstGeom prst="rect">
                      <a:avLst/>
                    </a:prstGeom>
                    <a:noFill/>
                  </pic:spPr>
                </pic:pic>
              </a:graphicData>
            </a:graphic>
          </wp:anchor>
        </w:drawing>
      </w:r>
    </w:p>
    <w:p>
      <w:pPr>
        <w:sectPr>
          <w:pgSz w:w="11900" w:h="16838" w:orient="portrait"/>
          <w:cols w:equalWidth="0" w:num="1">
            <w:col w:w="9040"/>
          </w:cols>
          <w:pgMar w:left="1420" w:top="116" w:right="1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6"/>
          <w:szCs w:val="16"/>
          <w:color w:val="292F72"/>
        </w:rPr>
        <w:t>Compensation-Related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40640</wp:posOffset>
            </wp:positionV>
            <wp:extent cx="1407160" cy="330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407160" cy="33020"/>
                    </a:xfrm>
                    <a:prstGeom prst="rect">
                      <a:avLst/>
                    </a:prstGeom>
                    <a:noFill/>
                  </pic:spPr>
                </pic:pic>
              </a:graphicData>
            </a:graphic>
          </wp:anchor>
        </w:drawing>
      </w:r>
    </w:p>
    <w:p>
      <w:pPr>
        <w:spacing w:after="0" w:line="189" w:lineRule="exact"/>
        <w:rPr>
          <w:sz w:val="20"/>
          <w:szCs w:val="20"/>
          <w:color w:val="auto"/>
        </w:rPr>
      </w:pPr>
    </w:p>
    <w:p>
      <w:pPr>
        <w:ind w:right="139"/>
        <w:spacing w:after="0" w:line="262" w:lineRule="auto"/>
        <w:rPr>
          <w:sz w:val="20"/>
          <w:szCs w:val="20"/>
          <w:color w:val="auto"/>
        </w:rPr>
      </w:pPr>
      <w:r>
        <w:rPr>
          <w:rFonts w:ascii="Arial" w:cs="Arial" w:eastAsia="Arial" w:hAnsi="Arial"/>
          <w:sz w:val="15"/>
          <w:szCs w:val="15"/>
          <w:color w:val="auto"/>
        </w:rPr>
        <w:t>The charts below show the first half and annual results based on annual targets for adjusted operating income and net sales goals required to earn short-term performance-based incentive compensation, along with the range of performance goals as a percentage of target for threshold and maximum payouts, and actual performance results achieved in fiscal 2025. Achievement level for the first half of the year was at 80.6%, equating to 32.2% after weighting. While the Company’s first half financial performance exceeded the established thresholds, resulting in a mid-year payout, results for the full fiscal year did not meet the threshold performance level and, as a result, no year-end payment was made under the short-term cash incentive program. The one-time annual strategic modifier had no impact on the short-term cash incentive program payouts, as the annual performance metric thresholds had not been met. Therefore, the overall short-term cash incentive payout for fiscal year 2025 was 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183515</wp:posOffset>
            </wp:positionV>
            <wp:extent cx="5662295" cy="245618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662295" cy="2456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60" w:right="59" w:hanging="256"/>
        <w:spacing w:after="0" w:line="269" w:lineRule="auto"/>
        <w:tabs>
          <w:tab w:leader="none" w:pos="260" w:val="left"/>
        </w:tabs>
        <w:numPr>
          <w:ilvl w:val="0"/>
          <w:numId w:val="57"/>
        </w:numPr>
        <w:rPr>
          <w:rFonts w:ascii="Arial" w:cs="Arial" w:eastAsia="Arial" w:hAnsi="Arial"/>
          <w:sz w:val="14"/>
          <w:szCs w:val="14"/>
          <w:color w:val="auto"/>
        </w:rPr>
      </w:pPr>
      <w:r>
        <w:rPr>
          <w:rFonts w:ascii="Arial" w:cs="Arial" w:eastAsia="Arial" w:hAnsi="Arial"/>
          <w:sz w:val="14"/>
          <w:szCs w:val="14"/>
          <w:color w:val="auto"/>
        </w:rPr>
        <w:t>Adjusted Operating Income is a non-GAAP financial measure. Attached as Appendix A is a reconciliation of this non-GAAP financial measure relative to reported GAAP financial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176530</wp:posOffset>
            </wp:positionV>
            <wp:extent cx="5662295" cy="245618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662295" cy="2456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60" w:right="59" w:hanging="256"/>
        <w:spacing w:after="0" w:line="269" w:lineRule="auto"/>
        <w:tabs>
          <w:tab w:leader="none" w:pos="2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Adjusted Operating Income is a non-GAAP financial measure. Attached as Appendix A is a reconciliation of this non-GAAP financial measure relative to reported GAAP financial measure.</w:t>
      </w:r>
    </w:p>
    <w:p>
      <w:pPr>
        <w:spacing w:after="0" w:line="135" w:lineRule="exact"/>
        <w:rPr>
          <w:sz w:val="20"/>
          <w:szCs w:val="20"/>
          <w:color w:val="auto"/>
        </w:rPr>
      </w:pPr>
    </w:p>
    <w:p>
      <w:pPr>
        <w:ind w:right="159"/>
        <w:spacing w:after="0" w:line="249" w:lineRule="auto"/>
        <w:rPr>
          <w:sz w:val="20"/>
          <w:szCs w:val="20"/>
          <w:color w:val="auto"/>
        </w:rPr>
      </w:pPr>
      <w:r>
        <w:rPr>
          <w:rFonts w:ascii="Arial" w:cs="Arial" w:eastAsia="Arial" w:hAnsi="Arial"/>
          <w:sz w:val="16"/>
          <w:szCs w:val="16"/>
          <w:color w:val="auto"/>
        </w:rPr>
        <w:t>Performance between threshold and target and target and maximum is interpolated to determine the payout percentage beginning at 20% for threshold performance (if achieved) up to 200% at maximum performance. Short-term performance-based incentive compensation targets are set as a percentage of base salary with the amount earned ranging from 0% to 200% of the target incentive, based on the extent to which financial goals are 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122555</wp:posOffset>
            </wp:positionV>
            <wp:extent cx="573722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737225" cy="825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b w:val="1"/>
          <w:bCs w:val="1"/>
          <w:color w:val="292F72"/>
        </w:rPr>
        <w:t>36</w:t>
      </w:r>
      <w:r>
        <w:rPr>
          <w:rFonts w:ascii="Arial" w:cs="Arial" w:eastAsia="Arial" w:hAnsi="Arial"/>
          <w:sz w:val="14"/>
          <w:szCs w:val="14"/>
          <w:color w:val="292F72"/>
        </w:rPr>
        <w:t xml:space="preserve">     Bath &amp; Body Works, Inc.</w:t>
      </w:r>
      <w:r>
        <w:rPr>
          <w:rFonts w:ascii="Arial" w:cs="Arial" w:eastAsia="Arial" w:hAnsi="Arial"/>
          <w:sz w:val="14"/>
          <w:szCs w:val="14"/>
          <w:color w:val="6D8CC3"/>
        </w:rPr>
        <w:t xml:space="preserve">   | </w:t>
      </w:r>
      <w:r>
        <w:rPr>
          <w:rFonts w:ascii="Arial" w:cs="Arial" w:eastAsia="Arial" w:hAnsi="Arial"/>
          <w:sz w:val="14"/>
          <w:szCs w:val="14"/>
          <w:b w:val="1"/>
          <w:bCs w:val="1"/>
          <w:color w:val="292F72"/>
        </w:rPr>
        <w:t xml:space="preserve">  </w:t>
      </w:r>
      <w:r>
        <w:rPr>
          <w:rFonts w:ascii="Arial" w:cs="Arial" w:eastAsia="Arial" w:hAnsi="Arial"/>
          <w:sz w:val="14"/>
          <w:szCs w:val="14"/>
          <w:color w:val="292F72"/>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170180</wp:posOffset>
            </wp:positionV>
            <wp:extent cx="6795135" cy="1651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795135" cy="16510"/>
                    </a:xfrm>
                    <a:prstGeom prst="rect">
                      <a:avLst/>
                    </a:prstGeom>
                    <a:noFill/>
                  </pic:spPr>
                </pic:pic>
              </a:graphicData>
            </a:graphic>
          </wp:anchor>
        </w:drawing>
      </w:r>
    </w:p>
    <w:p>
      <w:pPr>
        <w:sectPr>
          <w:pgSz w:w="11900" w:h="16838" w:orient="portrait"/>
          <w:cols w:equalWidth="0" w:num="1">
            <w:col w:w="9039"/>
          </w:cols>
          <w:pgMar w:left="1420" w:top="116"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2" w:lineRule="exact"/>
        <w:rPr>
          <w:sz w:val="20"/>
          <w:szCs w:val="20"/>
          <w:color w:val="auto"/>
        </w:rPr>
      </w:pPr>
    </w:p>
    <w:p>
      <w:pPr>
        <w:ind w:left="6840"/>
        <w:spacing w:after="0"/>
        <w:rPr>
          <w:sz w:val="20"/>
          <w:szCs w:val="20"/>
          <w:color w:val="auto"/>
        </w:rPr>
      </w:pPr>
      <w:r>
        <w:rPr>
          <w:rFonts w:ascii="Arial" w:cs="Arial" w:eastAsia="Arial" w:hAnsi="Arial"/>
          <w:sz w:val="15"/>
          <w:szCs w:val="15"/>
          <w:color w:val="292F72"/>
        </w:rPr>
        <w:t>Compensation-Related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48260</wp:posOffset>
            </wp:positionV>
            <wp:extent cx="1407160" cy="330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407160" cy="33020"/>
                    </a:xfrm>
                    <a:prstGeom prst="rect">
                      <a:avLst/>
                    </a:prstGeom>
                    <a:noFill/>
                  </pic:spPr>
                </pic:pic>
              </a:graphicData>
            </a:graphic>
          </wp:anchor>
        </w:drawing>
      </w:r>
    </w:p>
    <w:p>
      <w:pPr>
        <w:spacing w:after="0" w:line="201"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The table below shows the short-term performance-based incentive compensation targets as a percentage of base salary for each NEO during fiscal 2025. None of our NEOs received an increase in their target annual incentive compensation opportunities for fiscal 2025 from fiscal 2024. See the disclosure under the heading “—Long-term Equity Incentive Compensation” below for additional information.</w:t>
      </w:r>
    </w:p>
    <w:p>
      <w:pPr>
        <w:spacing w:after="0" w:line="141" w:lineRule="exact"/>
        <w:rPr>
          <w:sz w:val="20"/>
          <w:szCs w:val="20"/>
          <w:color w:val="auto"/>
        </w:rPr>
      </w:pPr>
    </w:p>
    <w:p>
      <w:pPr>
        <w:ind w:right="600"/>
        <w:spacing w:after="0" w:line="268" w:lineRule="auto"/>
        <w:rPr>
          <w:sz w:val="20"/>
          <w:szCs w:val="20"/>
          <w:color w:val="auto"/>
        </w:rPr>
      </w:pPr>
      <w:r>
        <w:rPr>
          <w:rFonts w:ascii="Arial" w:cs="Arial" w:eastAsia="Arial" w:hAnsi="Arial"/>
          <w:sz w:val="16"/>
          <w:szCs w:val="16"/>
          <w:color w:val="auto"/>
        </w:rPr>
        <w:t xml:space="preserve">The NEOs’ payouts for fiscal 2025 performance are also set forth in the table below and in the “Non-Equity Incentive Plan Compensation” column of the 2025 Summary Compensation Table on page </w:t>
      </w:r>
      <w:r>
        <w:rPr>
          <w:rFonts w:ascii="Arial" w:cs="Arial" w:eastAsia="Arial" w:hAnsi="Arial"/>
          <w:sz w:val="16"/>
          <w:szCs w:val="16"/>
          <w:u w:val="single" w:color="auto"/>
          <w:color w:val="0000EE"/>
        </w:rPr>
        <w:t>45</w:t>
      </w:r>
      <w:r>
        <w:rPr>
          <w:rFonts w:ascii="Arial" w:cs="Arial" w:eastAsia="Arial" w:hAnsi="Arial"/>
          <w:sz w:val="16"/>
          <w:szCs w:val="16"/>
          <w:color w:val="auto"/>
        </w:rPr>
        <w:t xml:space="preserve"> of this proxy statement.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1260" w:type="dxa"/>
            <w:vAlign w:val="bottom"/>
          </w:tcPr>
          <w:p>
            <w:pPr>
              <w:ind w:left="160"/>
              <w:spacing w:after="0"/>
              <w:rPr>
                <w:sz w:val="20"/>
                <w:szCs w:val="20"/>
                <w:color w:val="auto"/>
              </w:rPr>
            </w:pPr>
            <w:r>
              <w:rPr>
                <w:rFonts w:ascii="Arial" w:cs="Arial" w:eastAsia="Arial" w:hAnsi="Arial"/>
                <w:sz w:val="14"/>
                <w:szCs w:val="14"/>
                <w:b w:val="1"/>
                <w:bCs w:val="1"/>
                <w:color w:val="292F72"/>
              </w:rPr>
              <w:t>FISCAL 2025</w:t>
            </w: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280" w:type="dxa"/>
            <w:vAlign w:val="bottom"/>
          </w:tcPr>
          <w:p>
            <w:pPr>
              <w:spacing w:after="0"/>
              <w:rPr>
                <w:sz w:val="13"/>
                <w:szCs w:val="13"/>
                <w:color w:val="auto"/>
              </w:rPr>
            </w:pPr>
          </w:p>
        </w:tc>
        <w:tc>
          <w:tcPr>
            <w:tcW w:w="1260" w:type="dxa"/>
            <w:vAlign w:val="bottom"/>
          </w:tcPr>
          <w:p>
            <w:pPr>
              <w:ind w:left="160"/>
              <w:spacing w:after="0" w:line="157" w:lineRule="exact"/>
              <w:rPr>
                <w:sz w:val="20"/>
                <w:szCs w:val="20"/>
                <w:color w:val="auto"/>
              </w:rPr>
            </w:pPr>
            <w:r>
              <w:rPr>
                <w:rFonts w:ascii="Arial" w:cs="Arial" w:eastAsia="Arial" w:hAnsi="Arial"/>
                <w:sz w:val="14"/>
                <w:szCs w:val="14"/>
                <w:b w:val="1"/>
                <w:bCs w:val="1"/>
                <w:color w:val="292F72"/>
              </w:rPr>
              <w:t>TARGET</w:t>
            </w: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80" w:type="dxa"/>
            <w:vAlign w:val="bottom"/>
          </w:tcPr>
          <w:p>
            <w:pPr>
              <w:spacing w:after="0"/>
              <w:rPr>
                <w:sz w:val="13"/>
                <w:szCs w:val="13"/>
                <w:color w:val="auto"/>
              </w:rPr>
            </w:pPr>
          </w:p>
        </w:tc>
        <w:tc>
          <w:tcPr>
            <w:tcW w:w="1260" w:type="dxa"/>
            <w:vAlign w:val="bottom"/>
          </w:tcPr>
          <w:p>
            <w:pPr>
              <w:ind w:left="160"/>
              <w:spacing w:after="0" w:line="157" w:lineRule="exact"/>
              <w:rPr>
                <w:sz w:val="20"/>
                <w:szCs w:val="20"/>
                <w:color w:val="auto"/>
              </w:rPr>
            </w:pPr>
            <w:r>
              <w:rPr>
                <w:rFonts w:ascii="Arial" w:cs="Arial" w:eastAsia="Arial" w:hAnsi="Arial"/>
                <w:sz w:val="14"/>
                <w:szCs w:val="14"/>
                <w:b w:val="1"/>
                <w:bCs w:val="1"/>
                <w:color w:val="292F72"/>
              </w:rPr>
              <w:t>ANNUAL</w:t>
            </w:r>
          </w:p>
        </w:tc>
        <w:tc>
          <w:tcPr>
            <w:tcW w:w="1100" w:type="dxa"/>
            <w:vAlign w:val="bottom"/>
          </w:tcPr>
          <w:p>
            <w:pPr>
              <w:spacing w:after="0"/>
              <w:rPr>
                <w:sz w:val="13"/>
                <w:szCs w:val="13"/>
                <w:color w:val="auto"/>
              </w:rPr>
            </w:pPr>
          </w:p>
        </w:tc>
        <w:tc>
          <w:tcPr>
            <w:tcW w:w="1080" w:type="dxa"/>
            <w:vAlign w:val="bottom"/>
          </w:tcPr>
          <w:p>
            <w:pPr>
              <w:ind w:left="100"/>
              <w:spacing w:after="0" w:line="157" w:lineRule="exact"/>
              <w:rPr>
                <w:sz w:val="20"/>
                <w:szCs w:val="20"/>
                <w:color w:val="auto"/>
              </w:rPr>
            </w:pPr>
            <w:r>
              <w:rPr>
                <w:rFonts w:ascii="Arial" w:cs="Arial" w:eastAsia="Arial" w:hAnsi="Arial"/>
                <w:sz w:val="14"/>
                <w:szCs w:val="14"/>
                <w:b w:val="1"/>
                <w:bCs w:val="1"/>
                <w:color w:val="292F72"/>
              </w:rPr>
              <w:t>FISCAL 2025</w:t>
            </w:r>
          </w:p>
        </w:tc>
        <w:tc>
          <w:tcPr>
            <w:tcW w:w="1080" w:type="dxa"/>
            <w:vAlign w:val="bottom"/>
          </w:tcPr>
          <w:p>
            <w:pPr>
              <w:ind w:left="100"/>
              <w:spacing w:after="0" w:line="157" w:lineRule="exact"/>
              <w:rPr>
                <w:sz w:val="20"/>
                <w:szCs w:val="20"/>
                <w:color w:val="auto"/>
              </w:rPr>
            </w:pPr>
            <w:r>
              <w:rPr>
                <w:rFonts w:ascii="Arial" w:cs="Arial" w:eastAsia="Arial" w:hAnsi="Arial"/>
                <w:sz w:val="14"/>
                <w:szCs w:val="14"/>
                <w:b w:val="1"/>
                <w:bCs w:val="1"/>
                <w:color w:val="292F72"/>
              </w:rPr>
              <w:t>FISCAL 2025</w:t>
            </w:r>
          </w:p>
        </w:tc>
        <w:tc>
          <w:tcPr>
            <w:tcW w:w="1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80" w:type="dxa"/>
            <w:vAlign w:val="bottom"/>
          </w:tcPr>
          <w:p>
            <w:pPr>
              <w:spacing w:after="0"/>
              <w:rPr>
                <w:sz w:val="13"/>
                <w:szCs w:val="13"/>
                <w:color w:val="auto"/>
              </w:rPr>
            </w:pPr>
          </w:p>
        </w:tc>
        <w:tc>
          <w:tcPr>
            <w:tcW w:w="1260" w:type="dxa"/>
            <w:vAlign w:val="bottom"/>
          </w:tcPr>
          <w:p>
            <w:pPr>
              <w:ind w:left="160"/>
              <w:spacing w:after="0" w:line="157" w:lineRule="exact"/>
              <w:rPr>
                <w:sz w:val="20"/>
                <w:szCs w:val="20"/>
                <w:color w:val="auto"/>
              </w:rPr>
            </w:pPr>
            <w:r>
              <w:rPr>
                <w:rFonts w:ascii="Arial" w:cs="Arial" w:eastAsia="Arial" w:hAnsi="Arial"/>
                <w:sz w:val="14"/>
                <w:szCs w:val="14"/>
                <w:b w:val="1"/>
                <w:bCs w:val="1"/>
                <w:color w:val="292F72"/>
              </w:rPr>
              <w:t>INCENTIVE</w:t>
            </w:r>
          </w:p>
        </w:tc>
        <w:tc>
          <w:tcPr>
            <w:tcW w:w="1100" w:type="dxa"/>
            <w:vAlign w:val="bottom"/>
          </w:tcPr>
          <w:p>
            <w:pPr>
              <w:ind w:left="80"/>
              <w:spacing w:after="0" w:line="157" w:lineRule="exact"/>
              <w:rPr>
                <w:sz w:val="20"/>
                <w:szCs w:val="20"/>
                <w:color w:val="auto"/>
              </w:rPr>
            </w:pPr>
            <w:r>
              <w:rPr>
                <w:rFonts w:ascii="Arial" w:cs="Arial" w:eastAsia="Arial" w:hAnsi="Arial"/>
                <w:sz w:val="14"/>
                <w:szCs w:val="14"/>
                <w:b w:val="1"/>
                <w:bCs w:val="1"/>
                <w:color w:val="292F72"/>
              </w:rPr>
              <w:t>FISCAL 2025</w:t>
            </w:r>
          </w:p>
        </w:tc>
        <w:tc>
          <w:tcPr>
            <w:tcW w:w="1080" w:type="dxa"/>
            <w:vAlign w:val="bottom"/>
          </w:tcPr>
          <w:p>
            <w:pPr>
              <w:ind w:left="100"/>
              <w:spacing w:after="0" w:line="157" w:lineRule="exact"/>
              <w:rPr>
                <w:sz w:val="20"/>
                <w:szCs w:val="20"/>
                <w:color w:val="auto"/>
              </w:rPr>
            </w:pPr>
            <w:r>
              <w:rPr>
                <w:rFonts w:ascii="Arial" w:cs="Arial" w:eastAsia="Arial" w:hAnsi="Arial"/>
                <w:sz w:val="14"/>
                <w:szCs w:val="14"/>
                <w:b w:val="1"/>
                <w:bCs w:val="1"/>
                <w:color w:val="292F72"/>
              </w:rPr>
              <w:t>MID-YEAR</w:t>
            </w:r>
          </w:p>
        </w:tc>
        <w:tc>
          <w:tcPr>
            <w:tcW w:w="1080" w:type="dxa"/>
            <w:vAlign w:val="bottom"/>
          </w:tcPr>
          <w:p>
            <w:pPr>
              <w:ind w:left="100"/>
              <w:spacing w:after="0" w:line="157" w:lineRule="exact"/>
              <w:rPr>
                <w:sz w:val="20"/>
                <w:szCs w:val="20"/>
                <w:color w:val="auto"/>
              </w:rPr>
            </w:pPr>
            <w:r>
              <w:rPr>
                <w:rFonts w:ascii="Arial" w:cs="Arial" w:eastAsia="Arial" w:hAnsi="Arial"/>
                <w:sz w:val="14"/>
                <w:szCs w:val="14"/>
                <w:b w:val="1"/>
                <w:bCs w:val="1"/>
                <w:color w:val="292F72"/>
              </w:rPr>
              <w:t>FULL-YEAR</w:t>
            </w:r>
          </w:p>
        </w:tc>
        <w:tc>
          <w:tcPr>
            <w:tcW w:w="1220" w:type="dxa"/>
            <w:vAlign w:val="bottom"/>
          </w:tcPr>
          <w:p>
            <w:pPr>
              <w:jc w:val="center"/>
              <w:spacing w:after="0" w:line="157" w:lineRule="exact"/>
              <w:rPr>
                <w:sz w:val="20"/>
                <w:szCs w:val="20"/>
                <w:color w:val="auto"/>
              </w:rPr>
            </w:pPr>
            <w:r>
              <w:rPr>
                <w:rFonts w:ascii="Arial" w:cs="Arial" w:eastAsia="Arial" w:hAnsi="Arial"/>
                <w:sz w:val="14"/>
                <w:szCs w:val="14"/>
                <w:b w:val="1"/>
                <w:bCs w:val="1"/>
                <w:color w:val="292F72"/>
                <w:w w:val="98"/>
              </w:rPr>
              <w:t>TOTAL FISCAL</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80" w:type="dxa"/>
            <w:vAlign w:val="bottom"/>
          </w:tcPr>
          <w:p>
            <w:pPr>
              <w:spacing w:after="0"/>
              <w:rPr>
                <w:sz w:val="13"/>
                <w:szCs w:val="13"/>
                <w:color w:val="auto"/>
              </w:rPr>
            </w:pPr>
          </w:p>
        </w:tc>
        <w:tc>
          <w:tcPr>
            <w:tcW w:w="1260" w:type="dxa"/>
            <w:vAlign w:val="bottom"/>
          </w:tcPr>
          <w:p>
            <w:pPr>
              <w:ind w:left="160"/>
              <w:spacing w:after="0" w:line="157" w:lineRule="exact"/>
              <w:rPr>
                <w:sz w:val="20"/>
                <w:szCs w:val="20"/>
                <w:color w:val="auto"/>
              </w:rPr>
            </w:pPr>
            <w:r>
              <w:rPr>
                <w:rFonts w:ascii="Arial" w:cs="Arial" w:eastAsia="Arial" w:hAnsi="Arial"/>
                <w:sz w:val="14"/>
                <w:szCs w:val="14"/>
                <w:b w:val="1"/>
                <w:bCs w:val="1"/>
                <w:color w:val="292F72"/>
              </w:rPr>
              <w:t>OPPORTUNITY</w:t>
            </w:r>
          </w:p>
        </w:tc>
        <w:tc>
          <w:tcPr>
            <w:tcW w:w="1100" w:type="dxa"/>
            <w:vAlign w:val="bottom"/>
          </w:tcPr>
          <w:p>
            <w:pPr>
              <w:ind w:left="80"/>
              <w:spacing w:after="0" w:line="157" w:lineRule="exact"/>
              <w:rPr>
                <w:sz w:val="20"/>
                <w:szCs w:val="20"/>
                <w:color w:val="auto"/>
              </w:rPr>
            </w:pPr>
            <w:r>
              <w:rPr>
                <w:rFonts w:ascii="Arial" w:cs="Arial" w:eastAsia="Arial" w:hAnsi="Arial"/>
                <w:sz w:val="14"/>
                <w:szCs w:val="14"/>
                <w:b w:val="1"/>
                <w:bCs w:val="1"/>
                <w:color w:val="292F72"/>
              </w:rPr>
              <w:t>TARGET</w:t>
            </w:r>
          </w:p>
        </w:tc>
        <w:tc>
          <w:tcPr>
            <w:tcW w:w="1080" w:type="dxa"/>
            <w:vAlign w:val="bottom"/>
          </w:tcPr>
          <w:p>
            <w:pPr>
              <w:ind w:left="100"/>
              <w:spacing w:after="0" w:line="157" w:lineRule="exact"/>
              <w:rPr>
                <w:sz w:val="20"/>
                <w:szCs w:val="20"/>
                <w:color w:val="auto"/>
              </w:rPr>
            </w:pPr>
            <w:r>
              <w:rPr>
                <w:rFonts w:ascii="Arial" w:cs="Arial" w:eastAsia="Arial" w:hAnsi="Arial"/>
                <w:sz w:val="14"/>
                <w:szCs w:val="14"/>
                <w:b w:val="1"/>
                <w:bCs w:val="1"/>
                <w:color w:val="292F72"/>
              </w:rPr>
              <w:t>INCENTIVE</w:t>
            </w:r>
          </w:p>
        </w:tc>
        <w:tc>
          <w:tcPr>
            <w:tcW w:w="1080" w:type="dxa"/>
            <w:vAlign w:val="bottom"/>
          </w:tcPr>
          <w:p>
            <w:pPr>
              <w:ind w:left="100"/>
              <w:spacing w:after="0" w:line="157" w:lineRule="exact"/>
              <w:rPr>
                <w:sz w:val="20"/>
                <w:szCs w:val="20"/>
                <w:color w:val="auto"/>
              </w:rPr>
            </w:pPr>
            <w:r>
              <w:rPr>
                <w:rFonts w:ascii="Arial" w:cs="Arial" w:eastAsia="Arial" w:hAnsi="Arial"/>
                <w:sz w:val="14"/>
                <w:szCs w:val="14"/>
                <w:b w:val="1"/>
                <w:bCs w:val="1"/>
                <w:color w:val="292F72"/>
              </w:rPr>
              <w:t>INCENTIVE</w:t>
            </w:r>
          </w:p>
        </w:tc>
        <w:tc>
          <w:tcPr>
            <w:tcW w:w="1220" w:type="dxa"/>
            <w:vAlign w:val="bottom"/>
          </w:tcPr>
          <w:p>
            <w:pPr>
              <w:ind w:left="120"/>
              <w:spacing w:after="0" w:line="157" w:lineRule="exact"/>
              <w:rPr>
                <w:sz w:val="20"/>
                <w:szCs w:val="20"/>
                <w:color w:val="auto"/>
              </w:rPr>
            </w:pPr>
            <w:r>
              <w:rPr>
                <w:rFonts w:ascii="Arial" w:cs="Arial" w:eastAsia="Arial" w:hAnsi="Arial"/>
                <w:sz w:val="14"/>
                <w:szCs w:val="14"/>
                <w:b w:val="1"/>
                <w:bCs w:val="1"/>
                <w:color w:val="292F72"/>
              </w:rPr>
              <w:t>2025</w:t>
            </w:r>
          </w:p>
        </w:tc>
        <w:tc>
          <w:tcPr>
            <w:tcW w:w="1020" w:type="dxa"/>
            <w:vAlign w:val="bottom"/>
          </w:tcPr>
          <w:p>
            <w:pPr>
              <w:ind w:left="120"/>
              <w:spacing w:after="0" w:line="157" w:lineRule="exact"/>
              <w:rPr>
                <w:sz w:val="20"/>
                <w:szCs w:val="20"/>
                <w:color w:val="auto"/>
              </w:rPr>
            </w:pPr>
            <w:r>
              <w:rPr>
                <w:rFonts w:ascii="Arial" w:cs="Arial" w:eastAsia="Arial" w:hAnsi="Arial"/>
                <w:sz w:val="14"/>
                <w:szCs w:val="14"/>
                <w:b w:val="1"/>
                <w:bCs w:val="1"/>
                <w:color w:val="292F72"/>
                <w:w w:val="97"/>
              </w:rPr>
              <w:t>PERCENT OF</w:t>
            </w:r>
          </w:p>
        </w:tc>
        <w:tc>
          <w:tcPr>
            <w:tcW w:w="0" w:type="dxa"/>
            <w:vAlign w:val="bottom"/>
          </w:tcPr>
          <w:p>
            <w:pPr>
              <w:spacing w:after="0"/>
              <w:rPr>
                <w:sz w:val="1"/>
                <w:szCs w:val="1"/>
                <w:color w:val="auto"/>
              </w:rPr>
            </w:pPr>
          </w:p>
        </w:tc>
      </w:tr>
      <w:tr>
        <w:trPr>
          <w:trHeight w:val="157"/>
        </w:trPr>
        <w:tc>
          <w:tcPr>
            <w:tcW w:w="2280" w:type="dxa"/>
            <w:vAlign w:val="bottom"/>
            <w:vMerge w:val="restart"/>
          </w:tcPr>
          <w:p>
            <w:pPr>
              <w:spacing w:after="0"/>
              <w:rPr>
                <w:sz w:val="20"/>
                <w:szCs w:val="20"/>
                <w:color w:val="auto"/>
              </w:rPr>
            </w:pPr>
            <w:r>
              <w:rPr>
                <w:rFonts w:ascii="Arial" w:cs="Arial" w:eastAsia="Arial" w:hAnsi="Arial"/>
                <w:sz w:val="14"/>
                <w:szCs w:val="14"/>
                <w:b w:val="1"/>
                <w:bCs w:val="1"/>
                <w:color w:val="292F72"/>
              </w:rPr>
              <w:t>NAMED EXECUTIVE OFFICER</w:t>
            </w:r>
            <w:r>
              <w:rPr>
                <w:rFonts w:ascii="Arial" w:cs="Arial" w:eastAsia="Arial" w:hAnsi="Arial"/>
                <w:sz w:val="23"/>
                <w:szCs w:val="23"/>
                <w:b w:val="1"/>
                <w:bCs w:val="1"/>
                <w:color w:val="292F72"/>
                <w:vertAlign w:val="superscript"/>
              </w:rPr>
              <w:t>(1)</w:t>
            </w:r>
          </w:p>
        </w:tc>
        <w:tc>
          <w:tcPr>
            <w:tcW w:w="1260" w:type="dxa"/>
            <w:vAlign w:val="bottom"/>
          </w:tcPr>
          <w:p>
            <w:pPr>
              <w:ind w:left="160"/>
              <w:spacing w:after="0" w:line="157" w:lineRule="exact"/>
              <w:rPr>
                <w:sz w:val="20"/>
                <w:szCs w:val="20"/>
                <w:color w:val="auto"/>
              </w:rPr>
            </w:pPr>
            <w:r>
              <w:rPr>
                <w:rFonts w:ascii="Arial" w:cs="Arial" w:eastAsia="Arial" w:hAnsi="Arial"/>
                <w:sz w:val="14"/>
                <w:szCs w:val="14"/>
                <w:b w:val="1"/>
                <w:bCs w:val="1"/>
                <w:color w:val="292F72"/>
              </w:rPr>
              <w:t>(% OF BASE</w:t>
            </w:r>
          </w:p>
        </w:tc>
        <w:tc>
          <w:tcPr>
            <w:tcW w:w="1100" w:type="dxa"/>
            <w:vAlign w:val="bottom"/>
          </w:tcPr>
          <w:p>
            <w:pPr>
              <w:ind w:left="80"/>
              <w:spacing w:after="0" w:line="157" w:lineRule="exact"/>
              <w:rPr>
                <w:sz w:val="20"/>
                <w:szCs w:val="20"/>
                <w:color w:val="auto"/>
              </w:rPr>
            </w:pPr>
            <w:r>
              <w:rPr>
                <w:rFonts w:ascii="Arial" w:cs="Arial" w:eastAsia="Arial" w:hAnsi="Arial"/>
                <w:sz w:val="14"/>
                <w:szCs w:val="14"/>
                <w:b w:val="1"/>
                <w:bCs w:val="1"/>
                <w:color w:val="292F72"/>
              </w:rPr>
              <w:t>INCENTIVE</w:t>
            </w:r>
          </w:p>
        </w:tc>
        <w:tc>
          <w:tcPr>
            <w:tcW w:w="1080" w:type="dxa"/>
            <w:vAlign w:val="bottom"/>
          </w:tcPr>
          <w:p>
            <w:pPr>
              <w:ind w:left="100"/>
              <w:spacing w:after="0" w:line="157" w:lineRule="exact"/>
              <w:rPr>
                <w:sz w:val="20"/>
                <w:szCs w:val="20"/>
                <w:color w:val="auto"/>
              </w:rPr>
            </w:pPr>
            <w:r>
              <w:rPr>
                <w:rFonts w:ascii="Arial" w:cs="Arial" w:eastAsia="Arial" w:hAnsi="Arial"/>
                <w:sz w:val="14"/>
                <w:szCs w:val="14"/>
                <w:b w:val="1"/>
                <w:bCs w:val="1"/>
                <w:color w:val="292F72"/>
              </w:rPr>
              <w:t>PAYOUT</w:t>
            </w:r>
          </w:p>
        </w:tc>
        <w:tc>
          <w:tcPr>
            <w:tcW w:w="1080" w:type="dxa"/>
            <w:vAlign w:val="bottom"/>
          </w:tcPr>
          <w:p>
            <w:pPr>
              <w:ind w:left="100"/>
              <w:spacing w:after="0" w:line="157" w:lineRule="exact"/>
              <w:rPr>
                <w:sz w:val="20"/>
                <w:szCs w:val="20"/>
                <w:color w:val="auto"/>
              </w:rPr>
            </w:pPr>
            <w:r>
              <w:rPr>
                <w:rFonts w:ascii="Arial" w:cs="Arial" w:eastAsia="Arial" w:hAnsi="Arial"/>
                <w:sz w:val="14"/>
                <w:szCs w:val="14"/>
                <w:b w:val="1"/>
                <w:bCs w:val="1"/>
                <w:color w:val="292F72"/>
              </w:rPr>
              <w:t>PAYOUT</w:t>
            </w:r>
          </w:p>
        </w:tc>
        <w:tc>
          <w:tcPr>
            <w:tcW w:w="1220" w:type="dxa"/>
            <w:vAlign w:val="bottom"/>
          </w:tcPr>
          <w:p>
            <w:pPr>
              <w:ind w:left="120"/>
              <w:spacing w:after="0" w:line="157" w:lineRule="exact"/>
              <w:rPr>
                <w:sz w:val="20"/>
                <w:szCs w:val="20"/>
                <w:color w:val="auto"/>
              </w:rPr>
            </w:pPr>
            <w:r>
              <w:rPr>
                <w:rFonts w:ascii="Arial" w:cs="Arial" w:eastAsia="Arial" w:hAnsi="Arial"/>
                <w:sz w:val="14"/>
                <w:szCs w:val="14"/>
                <w:b w:val="1"/>
                <w:bCs w:val="1"/>
                <w:color w:val="292F72"/>
              </w:rPr>
              <w:t>PAYOUT</w:t>
            </w:r>
          </w:p>
        </w:tc>
        <w:tc>
          <w:tcPr>
            <w:tcW w:w="1020" w:type="dxa"/>
            <w:vAlign w:val="bottom"/>
          </w:tcPr>
          <w:p>
            <w:pPr>
              <w:ind w:left="120"/>
              <w:spacing w:after="0" w:line="157" w:lineRule="exact"/>
              <w:rPr>
                <w:sz w:val="20"/>
                <w:szCs w:val="20"/>
                <w:color w:val="auto"/>
              </w:rPr>
            </w:pPr>
            <w:r>
              <w:rPr>
                <w:rFonts w:ascii="Arial" w:cs="Arial" w:eastAsia="Arial" w:hAnsi="Arial"/>
                <w:sz w:val="14"/>
                <w:szCs w:val="14"/>
                <w:b w:val="1"/>
                <w:bCs w:val="1"/>
                <w:color w:val="292F72"/>
              </w:rPr>
              <w:t>FISCAL 2025</w:t>
            </w:r>
          </w:p>
        </w:tc>
        <w:tc>
          <w:tcPr>
            <w:tcW w:w="0" w:type="dxa"/>
            <w:vAlign w:val="bottom"/>
          </w:tcPr>
          <w:p>
            <w:pPr>
              <w:spacing w:after="0"/>
              <w:rPr>
                <w:sz w:val="1"/>
                <w:szCs w:val="1"/>
                <w:color w:val="auto"/>
              </w:rPr>
            </w:pPr>
          </w:p>
        </w:tc>
      </w:tr>
      <w:tr>
        <w:trPr>
          <w:trHeight w:val="232"/>
        </w:trPr>
        <w:tc>
          <w:tcPr>
            <w:tcW w:w="2280" w:type="dxa"/>
            <w:vAlign w:val="bottom"/>
            <w:tcBorders>
              <w:bottom w:val="single" w:sz="8" w:color="292F72"/>
            </w:tcBorders>
            <w:vMerge w:val="continue"/>
          </w:tcPr>
          <w:p>
            <w:pPr>
              <w:spacing w:after="0"/>
              <w:rPr>
                <w:sz w:val="20"/>
                <w:szCs w:val="20"/>
                <w:color w:val="auto"/>
              </w:rPr>
            </w:pPr>
          </w:p>
        </w:tc>
        <w:tc>
          <w:tcPr>
            <w:tcW w:w="1260" w:type="dxa"/>
            <w:vAlign w:val="bottom"/>
            <w:tcBorders>
              <w:bottom w:val="single" w:sz="8" w:color="292F72"/>
            </w:tcBorders>
          </w:tcPr>
          <w:p>
            <w:pPr>
              <w:ind w:left="160"/>
              <w:spacing w:after="0"/>
              <w:rPr>
                <w:sz w:val="20"/>
                <w:szCs w:val="20"/>
                <w:color w:val="auto"/>
              </w:rPr>
            </w:pPr>
            <w:r>
              <w:rPr>
                <w:rFonts w:ascii="Arial" w:cs="Arial" w:eastAsia="Arial" w:hAnsi="Arial"/>
                <w:sz w:val="14"/>
                <w:szCs w:val="14"/>
                <w:b w:val="1"/>
                <w:bCs w:val="1"/>
                <w:color w:val="292F72"/>
              </w:rPr>
              <w:t>SALARY)</w:t>
            </w:r>
          </w:p>
        </w:tc>
        <w:tc>
          <w:tcPr>
            <w:tcW w:w="1100" w:type="dxa"/>
            <w:vAlign w:val="bottom"/>
            <w:tcBorders>
              <w:bottom w:val="single" w:sz="8" w:color="292F72"/>
            </w:tcBorders>
          </w:tcPr>
          <w:p>
            <w:pPr>
              <w:jc w:val="right"/>
              <w:ind w:right="406"/>
              <w:spacing w:after="0"/>
              <w:rPr>
                <w:sz w:val="20"/>
                <w:szCs w:val="20"/>
                <w:color w:val="auto"/>
              </w:rPr>
            </w:pPr>
            <w:r>
              <w:rPr>
                <w:rFonts w:ascii="Arial" w:cs="Arial" w:eastAsia="Arial" w:hAnsi="Arial"/>
                <w:sz w:val="14"/>
                <w:szCs w:val="14"/>
                <w:b w:val="1"/>
                <w:bCs w:val="1"/>
                <w:color w:val="292F72"/>
              </w:rPr>
              <w:t>($)</w:t>
            </w:r>
          </w:p>
        </w:tc>
        <w:tc>
          <w:tcPr>
            <w:tcW w:w="1080" w:type="dxa"/>
            <w:vAlign w:val="bottom"/>
            <w:tcBorders>
              <w:bottom w:val="single" w:sz="8" w:color="292F72"/>
            </w:tcBorders>
          </w:tcPr>
          <w:p>
            <w:pPr>
              <w:jc w:val="center"/>
              <w:spacing w:after="0"/>
              <w:rPr>
                <w:sz w:val="20"/>
                <w:szCs w:val="20"/>
                <w:color w:val="auto"/>
              </w:rPr>
            </w:pPr>
            <w:r>
              <w:rPr>
                <w:rFonts w:ascii="Arial" w:cs="Arial" w:eastAsia="Arial" w:hAnsi="Arial"/>
                <w:sz w:val="14"/>
                <w:szCs w:val="14"/>
                <w:b w:val="1"/>
                <w:bCs w:val="1"/>
                <w:color w:val="292F72"/>
              </w:rPr>
              <w:t>($)</w:t>
            </w:r>
          </w:p>
        </w:tc>
        <w:tc>
          <w:tcPr>
            <w:tcW w:w="1080" w:type="dxa"/>
            <w:vAlign w:val="bottom"/>
            <w:tcBorders>
              <w:bottom w:val="single" w:sz="8" w:color="292F72"/>
            </w:tcBorders>
          </w:tcPr>
          <w:p>
            <w:pPr>
              <w:ind w:left="480"/>
              <w:spacing w:after="0"/>
              <w:rPr>
                <w:sz w:val="20"/>
                <w:szCs w:val="20"/>
                <w:color w:val="auto"/>
              </w:rPr>
            </w:pPr>
            <w:r>
              <w:rPr>
                <w:rFonts w:ascii="Arial" w:cs="Arial" w:eastAsia="Arial" w:hAnsi="Arial"/>
                <w:sz w:val="14"/>
                <w:szCs w:val="14"/>
                <w:b w:val="1"/>
                <w:bCs w:val="1"/>
                <w:color w:val="292F72"/>
              </w:rPr>
              <w:t>($)</w:t>
            </w:r>
          </w:p>
        </w:tc>
        <w:tc>
          <w:tcPr>
            <w:tcW w:w="1220" w:type="dxa"/>
            <w:vAlign w:val="bottom"/>
            <w:tcBorders>
              <w:bottom w:val="single" w:sz="8" w:color="292F72"/>
            </w:tcBorders>
          </w:tcPr>
          <w:p>
            <w:pPr>
              <w:jc w:val="center"/>
              <w:spacing w:after="0"/>
              <w:rPr>
                <w:sz w:val="20"/>
                <w:szCs w:val="20"/>
                <w:color w:val="auto"/>
              </w:rPr>
            </w:pPr>
            <w:r>
              <w:rPr>
                <w:rFonts w:ascii="Arial" w:cs="Arial" w:eastAsia="Arial" w:hAnsi="Arial"/>
                <w:sz w:val="14"/>
                <w:szCs w:val="14"/>
                <w:b w:val="1"/>
                <w:bCs w:val="1"/>
                <w:color w:val="292F72"/>
                <w:w w:val="93"/>
              </w:rPr>
              <w:t>($)</w:t>
            </w:r>
          </w:p>
        </w:tc>
        <w:tc>
          <w:tcPr>
            <w:tcW w:w="1020" w:type="dxa"/>
            <w:vAlign w:val="bottom"/>
            <w:tcBorders>
              <w:bottom w:val="single" w:sz="8" w:color="292F72"/>
            </w:tcBorders>
          </w:tcPr>
          <w:p>
            <w:pPr>
              <w:ind w:left="120"/>
              <w:spacing w:after="0"/>
              <w:rPr>
                <w:sz w:val="20"/>
                <w:szCs w:val="20"/>
                <w:color w:val="auto"/>
              </w:rPr>
            </w:pPr>
            <w:r>
              <w:rPr>
                <w:rFonts w:ascii="Arial" w:cs="Arial" w:eastAsia="Arial" w:hAnsi="Arial"/>
                <w:sz w:val="14"/>
                <w:szCs w:val="14"/>
                <w:b w:val="1"/>
                <w:bCs w:val="1"/>
                <w:color w:val="292F72"/>
              </w:rPr>
              <w:t>TARGET</w:t>
            </w:r>
          </w:p>
        </w:tc>
        <w:tc>
          <w:tcPr>
            <w:tcW w:w="0" w:type="dxa"/>
            <w:vAlign w:val="bottom"/>
          </w:tcPr>
          <w:p>
            <w:pPr>
              <w:spacing w:after="0"/>
              <w:rPr>
                <w:sz w:val="1"/>
                <w:szCs w:val="1"/>
                <w:color w:val="auto"/>
              </w:rPr>
            </w:pPr>
          </w:p>
        </w:tc>
      </w:tr>
      <w:tr>
        <w:trPr>
          <w:trHeight w:val="347"/>
        </w:trPr>
        <w:tc>
          <w:tcPr>
            <w:tcW w:w="2280" w:type="dxa"/>
            <w:vAlign w:val="bottom"/>
            <w:tcBorders>
              <w:bottom w:val="single" w:sz="8" w:color="6D8CC3"/>
            </w:tcBorders>
          </w:tcPr>
          <w:p>
            <w:pPr>
              <w:spacing w:after="0"/>
              <w:rPr>
                <w:sz w:val="20"/>
                <w:szCs w:val="20"/>
                <w:color w:val="auto"/>
              </w:rPr>
            </w:pPr>
            <w:r>
              <w:rPr>
                <w:rFonts w:ascii="Arial" w:cs="Arial" w:eastAsia="Arial" w:hAnsi="Arial"/>
                <w:sz w:val="16"/>
                <w:szCs w:val="16"/>
                <w:b w:val="1"/>
                <w:bCs w:val="1"/>
                <w:color w:val="auto"/>
              </w:rPr>
              <w:t>Mr. Heaf</w:t>
            </w:r>
          </w:p>
        </w:tc>
        <w:tc>
          <w:tcPr>
            <w:tcW w:w="1260" w:type="dxa"/>
            <w:vAlign w:val="bottom"/>
            <w:tcBorders>
              <w:bottom w:val="single" w:sz="8" w:color="6D8CC3"/>
            </w:tcBorders>
          </w:tcPr>
          <w:p>
            <w:pPr>
              <w:ind w:left="520"/>
              <w:spacing w:after="0"/>
              <w:rPr>
                <w:sz w:val="20"/>
                <w:szCs w:val="20"/>
                <w:color w:val="auto"/>
              </w:rPr>
            </w:pPr>
            <w:r>
              <w:rPr>
                <w:rFonts w:ascii="Arial" w:cs="Arial" w:eastAsia="Arial" w:hAnsi="Arial"/>
                <w:sz w:val="16"/>
                <w:szCs w:val="16"/>
                <w:color w:val="auto"/>
              </w:rPr>
              <w:t>190%</w:t>
            </w:r>
          </w:p>
        </w:tc>
        <w:tc>
          <w:tcPr>
            <w:tcW w:w="1100" w:type="dxa"/>
            <w:vAlign w:val="bottom"/>
            <w:tcBorders>
              <w:bottom w:val="single" w:sz="8" w:color="6D8CC3"/>
            </w:tcBorders>
          </w:tcPr>
          <w:p>
            <w:pPr>
              <w:jc w:val="right"/>
              <w:ind w:right="6"/>
              <w:spacing w:after="0"/>
              <w:rPr>
                <w:sz w:val="20"/>
                <w:szCs w:val="20"/>
                <w:color w:val="auto"/>
              </w:rPr>
            </w:pPr>
            <w:r>
              <w:rPr>
                <w:rFonts w:ascii="Arial" w:cs="Arial" w:eastAsia="Arial" w:hAnsi="Arial"/>
                <w:sz w:val="16"/>
                <w:szCs w:val="16"/>
                <w:color w:val="auto"/>
              </w:rPr>
              <w:t>1,839,190</w:t>
            </w:r>
            <w:r>
              <w:rPr>
                <w:rFonts w:ascii="Arial" w:cs="Arial" w:eastAsia="Arial" w:hAnsi="Arial"/>
                <w:sz w:val="26"/>
                <w:szCs w:val="26"/>
                <w:color w:val="auto"/>
                <w:vertAlign w:val="superscript"/>
              </w:rPr>
              <w:t>(2)</w:t>
            </w:r>
          </w:p>
        </w:tc>
        <w:tc>
          <w:tcPr>
            <w:tcW w:w="1080" w:type="dxa"/>
            <w:vAlign w:val="bottom"/>
            <w:tcBorders>
              <w:bottom w:val="single" w:sz="8" w:color="6D8CC3"/>
            </w:tcBorders>
          </w:tcPr>
          <w:p>
            <w:pPr>
              <w:jc w:val="center"/>
              <w:spacing w:after="0"/>
              <w:rPr>
                <w:sz w:val="20"/>
                <w:szCs w:val="20"/>
                <w:color w:val="auto"/>
              </w:rPr>
            </w:pPr>
            <w:r>
              <w:rPr>
                <w:rFonts w:ascii="Arial" w:cs="Arial" w:eastAsia="Arial" w:hAnsi="Arial"/>
                <w:sz w:val="16"/>
                <w:szCs w:val="16"/>
                <w:color w:val="auto"/>
                <w:w w:val="96"/>
              </w:rPr>
              <w:t>358,953</w:t>
            </w:r>
          </w:p>
        </w:tc>
        <w:tc>
          <w:tcPr>
            <w:tcW w:w="1080" w:type="dxa"/>
            <w:vAlign w:val="bottom"/>
            <w:tcBorders>
              <w:bottom w:val="single" w:sz="8" w:color="6D8CC3"/>
            </w:tcBorders>
          </w:tcPr>
          <w:p>
            <w:pPr>
              <w:ind w:left="50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6D8CC3"/>
            </w:tcBorders>
          </w:tcPr>
          <w:p>
            <w:pPr>
              <w:jc w:val="center"/>
              <w:spacing w:after="0"/>
              <w:rPr>
                <w:sz w:val="20"/>
                <w:szCs w:val="20"/>
                <w:color w:val="auto"/>
              </w:rPr>
            </w:pPr>
            <w:r>
              <w:rPr>
                <w:rFonts w:ascii="Arial" w:cs="Arial" w:eastAsia="Arial" w:hAnsi="Arial"/>
                <w:sz w:val="16"/>
                <w:szCs w:val="16"/>
                <w:color w:val="auto"/>
                <w:w w:val="96"/>
              </w:rPr>
              <w:t>358,953</w:t>
            </w:r>
          </w:p>
        </w:tc>
        <w:tc>
          <w:tcPr>
            <w:tcW w:w="1020" w:type="dxa"/>
            <w:vAlign w:val="bottom"/>
            <w:tcBorders>
              <w:bottom w:val="single" w:sz="8" w:color="6D8CC3"/>
            </w:tcBorders>
          </w:tcPr>
          <w:p>
            <w:pPr>
              <w:ind w:left="400"/>
              <w:spacing w:after="0"/>
              <w:rPr>
                <w:sz w:val="20"/>
                <w:szCs w:val="20"/>
                <w:color w:val="auto"/>
              </w:rPr>
            </w:pPr>
            <w:r>
              <w:rPr>
                <w:rFonts w:ascii="Arial" w:cs="Arial" w:eastAsia="Arial" w:hAnsi="Arial"/>
                <w:sz w:val="16"/>
                <w:szCs w:val="16"/>
                <w:color w:val="auto"/>
                <w:w w:val="90"/>
              </w:rPr>
              <w:t>19.5%</w:t>
            </w:r>
            <w:r>
              <w:rPr>
                <w:rFonts w:ascii="Arial" w:cs="Arial" w:eastAsia="Arial" w:hAnsi="Arial"/>
                <w:sz w:val="26"/>
                <w:szCs w:val="26"/>
                <w:color w:val="auto"/>
                <w:w w:val="90"/>
                <w:vertAlign w:val="superscript"/>
              </w:rPr>
              <w:t>(3)</w:t>
            </w:r>
          </w:p>
        </w:tc>
        <w:tc>
          <w:tcPr>
            <w:tcW w:w="0" w:type="dxa"/>
            <w:vAlign w:val="bottom"/>
          </w:tcPr>
          <w:p>
            <w:pPr>
              <w:spacing w:after="0"/>
              <w:rPr>
                <w:sz w:val="1"/>
                <w:szCs w:val="1"/>
                <w:color w:val="auto"/>
              </w:rPr>
            </w:pPr>
          </w:p>
        </w:tc>
      </w:tr>
      <w:tr>
        <w:trPr>
          <w:trHeight w:val="248"/>
        </w:trPr>
        <w:tc>
          <w:tcPr>
            <w:tcW w:w="2280" w:type="dxa"/>
            <w:vAlign w:val="bottom"/>
          </w:tcPr>
          <w:p>
            <w:pPr>
              <w:spacing w:after="0"/>
              <w:rPr>
                <w:sz w:val="20"/>
                <w:szCs w:val="20"/>
                <w:color w:val="auto"/>
              </w:rPr>
            </w:pPr>
            <w:r>
              <w:rPr>
                <w:rFonts w:ascii="Arial" w:cs="Arial" w:eastAsia="Arial" w:hAnsi="Arial"/>
                <w:sz w:val="16"/>
                <w:szCs w:val="16"/>
                <w:b w:val="1"/>
                <w:bCs w:val="1"/>
                <w:color w:val="auto"/>
              </w:rPr>
              <w:t>Ms. Boratto</w:t>
            </w:r>
          </w:p>
        </w:tc>
        <w:tc>
          <w:tcPr>
            <w:tcW w:w="1260" w:type="dxa"/>
            <w:vAlign w:val="bottom"/>
          </w:tcPr>
          <w:p>
            <w:pPr>
              <w:ind w:left="520"/>
              <w:spacing w:after="0"/>
              <w:rPr>
                <w:sz w:val="20"/>
                <w:szCs w:val="20"/>
                <w:color w:val="auto"/>
              </w:rPr>
            </w:pPr>
            <w:r>
              <w:rPr>
                <w:rFonts w:ascii="Arial" w:cs="Arial" w:eastAsia="Arial" w:hAnsi="Arial"/>
                <w:sz w:val="16"/>
                <w:szCs w:val="16"/>
                <w:color w:val="auto"/>
              </w:rPr>
              <w:t>120%</w:t>
            </w:r>
          </w:p>
        </w:tc>
        <w:tc>
          <w:tcPr>
            <w:tcW w:w="1100" w:type="dxa"/>
            <w:vAlign w:val="bottom"/>
          </w:tcPr>
          <w:p>
            <w:pPr>
              <w:jc w:val="right"/>
              <w:ind w:right="166"/>
              <w:spacing w:after="0"/>
              <w:rPr>
                <w:sz w:val="20"/>
                <w:szCs w:val="20"/>
                <w:color w:val="auto"/>
              </w:rPr>
            </w:pPr>
            <w:r>
              <w:rPr>
                <w:rFonts w:ascii="Arial" w:cs="Arial" w:eastAsia="Arial" w:hAnsi="Arial"/>
                <w:sz w:val="16"/>
                <w:szCs w:val="16"/>
                <w:color w:val="auto"/>
              </w:rPr>
              <w:t>1,020,000</w:t>
            </w:r>
          </w:p>
        </w:tc>
        <w:tc>
          <w:tcPr>
            <w:tcW w:w="1080" w:type="dxa"/>
            <w:vAlign w:val="bottom"/>
          </w:tcPr>
          <w:p>
            <w:pPr>
              <w:jc w:val="center"/>
              <w:spacing w:after="0"/>
              <w:rPr>
                <w:sz w:val="20"/>
                <w:szCs w:val="20"/>
                <w:color w:val="auto"/>
              </w:rPr>
            </w:pPr>
            <w:r>
              <w:rPr>
                <w:rFonts w:ascii="Arial" w:cs="Arial" w:eastAsia="Arial" w:hAnsi="Arial"/>
                <w:sz w:val="16"/>
                <w:szCs w:val="16"/>
                <w:color w:val="auto"/>
                <w:w w:val="96"/>
              </w:rPr>
              <w:t>328,848</w:t>
            </w:r>
          </w:p>
        </w:tc>
        <w:tc>
          <w:tcPr>
            <w:tcW w:w="1080" w:type="dxa"/>
            <w:vAlign w:val="bottom"/>
          </w:tcPr>
          <w:p>
            <w:pPr>
              <w:ind w:left="500"/>
              <w:spacing w:after="0"/>
              <w:rPr>
                <w:sz w:val="20"/>
                <w:szCs w:val="20"/>
                <w:color w:val="auto"/>
              </w:rPr>
            </w:pPr>
            <w:r>
              <w:rPr>
                <w:rFonts w:ascii="Arial" w:cs="Arial" w:eastAsia="Arial" w:hAnsi="Arial"/>
                <w:sz w:val="16"/>
                <w:szCs w:val="16"/>
                <w:color w:val="auto"/>
              </w:rPr>
              <w:t>-</w:t>
            </w:r>
          </w:p>
        </w:tc>
        <w:tc>
          <w:tcPr>
            <w:tcW w:w="1220" w:type="dxa"/>
            <w:vAlign w:val="bottom"/>
          </w:tcPr>
          <w:p>
            <w:pPr>
              <w:jc w:val="center"/>
              <w:spacing w:after="0"/>
              <w:rPr>
                <w:sz w:val="20"/>
                <w:szCs w:val="20"/>
                <w:color w:val="auto"/>
              </w:rPr>
            </w:pPr>
            <w:r>
              <w:rPr>
                <w:rFonts w:ascii="Arial" w:cs="Arial" w:eastAsia="Arial" w:hAnsi="Arial"/>
                <w:sz w:val="16"/>
                <w:szCs w:val="16"/>
                <w:color w:val="auto"/>
                <w:w w:val="96"/>
              </w:rPr>
              <w:t>328,848</w:t>
            </w:r>
          </w:p>
        </w:tc>
        <w:tc>
          <w:tcPr>
            <w:tcW w:w="1020" w:type="dxa"/>
            <w:vAlign w:val="bottom"/>
          </w:tcPr>
          <w:p>
            <w:pPr>
              <w:ind w:left="400"/>
              <w:spacing w:after="0"/>
              <w:rPr>
                <w:sz w:val="20"/>
                <w:szCs w:val="20"/>
                <w:color w:val="auto"/>
              </w:rPr>
            </w:pPr>
            <w:r>
              <w:rPr>
                <w:rFonts w:ascii="Arial" w:cs="Arial" w:eastAsia="Arial" w:hAnsi="Arial"/>
                <w:sz w:val="16"/>
                <w:szCs w:val="16"/>
                <w:color w:val="auto"/>
              </w:rPr>
              <w:t>32.2%</w:t>
            </w:r>
          </w:p>
        </w:tc>
        <w:tc>
          <w:tcPr>
            <w:tcW w:w="0" w:type="dxa"/>
            <w:vAlign w:val="bottom"/>
          </w:tcPr>
          <w:p>
            <w:pPr>
              <w:spacing w:after="0"/>
              <w:rPr>
                <w:sz w:val="1"/>
                <w:szCs w:val="1"/>
                <w:color w:val="auto"/>
              </w:rPr>
            </w:pPr>
          </w:p>
        </w:tc>
      </w:tr>
      <w:tr>
        <w:trPr>
          <w:trHeight w:val="47"/>
        </w:trPr>
        <w:tc>
          <w:tcPr>
            <w:tcW w:w="2280" w:type="dxa"/>
            <w:vAlign w:val="bottom"/>
            <w:tcBorders>
              <w:bottom w:val="single" w:sz="8" w:color="6D8CC3"/>
            </w:tcBorders>
          </w:tcPr>
          <w:p>
            <w:pPr>
              <w:spacing w:after="0"/>
              <w:rPr>
                <w:sz w:val="4"/>
                <w:szCs w:val="4"/>
                <w:color w:val="auto"/>
              </w:rPr>
            </w:pPr>
          </w:p>
        </w:tc>
        <w:tc>
          <w:tcPr>
            <w:tcW w:w="1260" w:type="dxa"/>
            <w:vAlign w:val="bottom"/>
            <w:tcBorders>
              <w:bottom w:val="single" w:sz="8" w:color="6D8CC3"/>
            </w:tcBorders>
          </w:tcPr>
          <w:p>
            <w:pPr>
              <w:spacing w:after="0"/>
              <w:rPr>
                <w:sz w:val="4"/>
                <w:szCs w:val="4"/>
                <w:color w:val="auto"/>
              </w:rPr>
            </w:pPr>
          </w:p>
        </w:tc>
        <w:tc>
          <w:tcPr>
            <w:tcW w:w="1100" w:type="dxa"/>
            <w:vAlign w:val="bottom"/>
            <w:tcBorders>
              <w:bottom w:val="single" w:sz="8" w:color="6D8CC3"/>
            </w:tcBorders>
          </w:tcPr>
          <w:p>
            <w:pPr>
              <w:spacing w:after="0"/>
              <w:rPr>
                <w:sz w:val="4"/>
                <w:szCs w:val="4"/>
                <w:color w:val="auto"/>
              </w:rPr>
            </w:pPr>
          </w:p>
        </w:tc>
        <w:tc>
          <w:tcPr>
            <w:tcW w:w="1080" w:type="dxa"/>
            <w:vAlign w:val="bottom"/>
            <w:tcBorders>
              <w:bottom w:val="single" w:sz="8" w:color="6D8CC3"/>
            </w:tcBorders>
          </w:tcPr>
          <w:p>
            <w:pPr>
              <w:spacing w:after="0"/>
              <w:rPr>
                <w:sz w:val="4"/>
                <w:szCs w:val="4"/>
                <w:color w:val="auto"/>
              </w:rPr>
            </w:pPr>
          </w:p>
        </w:tc>
        <w:tc>
          <w:tcPr>
            <w:tcW w:w="1080" w:type="dxa"/>
            <w:vAlign w:val="bottom"/>
            <w:tcBorders>
              <w:bottom w:val="single" w:sz="8" w:color="6D8CC3"/>
            </w:tcBorders>
          </w:tcPr>
          <w:p>
            <w:pPr>
              <w:spacing w:after="0"/>
              <w:rPr>
                <w:sz w:val="4"/>
                <w:szCs w:val="4"/>
                <w:color w:val="auto"/>
              </w:rPr>
            </w:pPr>
          </w:p>
        </w:tc>
        <w:tc>
          <w:tcPr>
            <w:tcW w:w="1220" w:type="dxa"/>
            <w:vAlign w:val="bottom"/>
            <w:tcBorders>
              <w:bottom w:val="single" w:sz="8" w:color="6D8CC3"/>
            </w:tcBorders>
          </w:tcPr>
          <w:p>
            <w:pPr>
              <w:spacing w:after="0"/>
              <w:rPr>
                <w:sz w:val="4"/>
                <w:szCs w:val="4"/>
                <w:color w:val="auto"/>
              </w:rPr>
            </w:pPr>
          </w:p>
        </w:tc>
        <w:tc>
          <w:tcPr>
            <w:tcW w:w="1020" w:type="dxa"/>
            <w:vAlign w:val="bottom"/>
            <w:tcBorders>
              <w:bottom w:val="single" w:sz="8" w:color="6D8CC3"/>
            </w:tcBorders>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2280" w:type="dxa"/>
            <w:vAlign w:val="bottom"/>
          </w:tcPr>
          <w:p>
            <w:pPr>
              <w:spacing w:after="0"/>
              <w:rPr>
                <w:sz w:val="20"/>
                <w:szCs w:val="20"/>
                <w:color w:val="auto"/>
              </w:rPr>
            </w:pPr>
            <w:r>
              <w:rPr>
                <w:rFonts w:ascii="Arial" w:cs="Arial" w:eastAsia="Arial" w:hAnsi="Arial"/>
                <w:sz w:val="16"/>
                <w:szCs w:val="16"/>
                <w:b w:val="1"/>
                <w:bCs w:val="1"/>
                <w:color w:val="auto"/>
              </w:rPr>
              <w:t>Mr. Mazurek</w:t>
            </w:r>
          </w:p>
        </w:tc>
        <w:tc>
          <w:tcPr>
            <w:tcW w:w="1260" w:type="dxa"/>
            <w:vAlign w:val="bottom"/>
          </w:tcPr>
          <w:p>
            <w:pPr>
              <w:ind w:left="520"/>
              <w:spacing w:after="0"/>
              <w:rPr>
                <w:sz w:val="20"/>
                <w:szCs w:val="20"/>
                <w:color w:val="auto"/>
              </w:rPr>
            </w:pPr>
            <w:r>
              <w:rPr>
                <w:rFonts w:ascii="Arial" w:cs="Arial" w:eastAsia="Arial" w:hAnsi="Arial"/>
                <w:sz w:val="16"/>
                <w:szCs w:val="16"/>
                <w:color w:val="auto"/>
              </w:rPr>
              <w:t>100%</w:t>
            </w:r>
          </w:p>
        </w:tc>
        <w:tc>
          <w:tcPr>
            <w:tcW w:w="1100" w:type="dxa"/>
            <w:vAlign w:val="bottom"/>
          </w:tcPr>
          <w:p>
            <w:pPr>
              <w:jc w:val="right"/>
              <w:ind w:right="166"/>
              <w:spacing w:after="0"/>
              <w:rPr>
                <w:sz w:val="20"/>
                <w:szCs w:val="20"/>
                <w:color w:val="auto"/>
              </w:rPr>
            </w:pPr>
            <w:r>
              <w:rPr>
                <w:rFonts w:ascii="Arial" w:cs="Arial" w:eastAsia="Arial" w:hAnsi="Arial"/>
                <w:sz w:val="16"/>
                <w:szCs w:val="16"/>
                <w:color w:val="auto"/>
              </w:rPr>
              <w:t>725,000</w:t>
            </w:r>
          </w:p>
        </w:tc>
        <w:tc>
          <w:tcPr>
            <w:tcW w:w="1080" w:type="dxa"/>
            <w:vAlign w:val="bottom"/>
          </w:tcPr>
          <w:p>
            <w:pPr>
              <w:jc w:val="center"/>
              <w:spacing w:after="0"/>
              <w:rPr>
                <w:sz w:val="20"/>
                <w:szCs w:val="20"/>
                <w:color w:val="auto"/>
              </w:rPr>
            </w:pPr>
            <w:r>
              <w:rPr>
                <w:rFonts w:ascii="Arial" w:cs="Arial" w:eastAsia="Arial" w:hAnsi="Arial"/>
                <w:sz w:val="16"/>
                <w:szCs w:val="16"/>
                <w:color w:val="auto"/>
                <w:w w:val="96"/>
              </w:rPr>
              <w:t>233,740</w:t>
            </w:r>
          </w:p>
        </w:tc>
        <w:tc>
          <w:tcPr>
            <w:tcW w:w="1080" w:type="dxa"/>
            <w:vAlign w:val="bottom"/>
          </w:tcPr>
          <w:p>
            <w:pPr>
              <w:ind w:left="500"/>
              <w:spacing w:after="0"/>
              <w:rPr>
                <w:sz w:val="20"/>
                <w:szCs w:val="20"/>
                <w:color w:val="auto"/>
              </w:rPr>
            </w:pPr>
            <w:r>
              <w:rPr>
                <w:rFonts w:ascii="Arial" w:cs="Arial" w:eastAsia="Arial" w:hAnsi="Arial"/>
                <w:sz w:val="16"/>
                <w:szCs w:val="16"/>
                <w:color w:val="auto"/>
              </w:rPr>
              <w:t>-</w:t>
            </w:r>
          </w:p>
        </w:tc>
        <w:tc>
          <w:tcPr>
            <w:tcW w:w="1220" w:type="dxa"/>
            <w:vAlign w:val="bottom"/>
          </w:tcPr>
          <w:p>
            <w:pPr>
              <w:jc w:val="center"/>
              <w:spacing w:after="0"/>
              <w:rPr>
                <w:sz w:val="20"/>
                <w:szCs w:val="20"/>
                <w:color w:val="auto"/>
              </w:rPr>
            </w:pPr>
            <w:r>
              <w:rPr>
                <w:rFonts w:ascii="Arial" w:cs="Arial" w:eastAsia="Arial" w:hAnsi="Arial"/>
                <w:sz w:val="16"/>
                <w:szCs w:val="16"/>
                <w:color w:val="auto"/>
                <w:w w:val="96"/>
              </w:rPr>
              <w:t>233,740</w:t>
            </w:r>
          </w:p>
        </w:tc>
        <w:tc>
          <w:tcPr>
            <w:tcW w:w="1020" w:type="dxa"/>
            <w:vAlign w:val="bottom"/>
          </w:tcPr>
          <w:p>
            <w:pPr>
              <w:ind w:left="400"/>
              <w:spacing w:after="0"/>
              <w:rPr>
                <w:sz w:val="20"/>
                <w:szCs w:val="20"/>
                <w:color w:val="auto"/>
              </w:rPr>
            </w:pPr>
            <w:r>
              <w:rPr>
                <w:rFonts w:ascii="Arial" w:cs="Arial" w:eastAsia="Arial" w:hAnsi="Arial"/>
                <w:sz w:val="16"/>
                <w:szCs w:val="16"/>
                <w:color w:val="auto"/>
              </w:rPr>
              <w:t>32.2%</w:t>
            </w:r>
          </w:p>
        </w:tc>
        <w:tc>
          <w:tcPr>
            <w:tcW w:w="0" w:type="dxa"/>
            <w:vAlign w:val="bottom"/>
          </w:tcPr>
          <w:p>
            <w:pPr>
              <w:spacing w:after="0"/>
              <w:rPr>
                <w:sz w:val="1"/>
                <w:szCs w:val="1"/>
                <w:color w:val="auto"/>
              </w:rPr>
            </w:pPr>
          </w:p>
        </w:tc>
      </w:tr>
      <w:tr>
        <w:trPr>
          <w:trHeight w:val="47"/>
        </w:trPr>
        <w:tc>
          <w:tcPr>
            <w:tcW w:w="2280" w:type="dxa"/>
            <w:vAlign w:val="bottom"/>
            <w:tcBorders>
              <w:bottom w:val="single" w:sz="8" w:color="6D8CC3"/>
            </w:tcBorders>
          </w:tcPr>
          <w:p>
            <w:pPr>
              <w:spacing w:after="0"/>
              <w:rPr>
                <w:sz w:val="4"/>
                <w:szCs w:val="4"/>
                <w:color w:val="auto"/>
              </w:rPr>
            </w:pPr>
          </w:p>
        </w:tc>
        <w:tc>
          <w:tcPr>
            <w:tcW w:w="1260" w:type="dxa"/>
            <w:vAlign w:val="bottom"/>
            <w:tcBorders>
              <w:bottom w:val="single" w:sz="8" w:color="6D8CC3"/>
            </w:tcBorders>
          </w:tcPr>
          <w:p>
            <w:pPr>
              <w:spacing w:after="0"/>
              <w:rPr>
                <w:sz w:val="4"/>
                <w:szCs w:val="4"/>
                <w:color w:val="auto"/>
              </w:rPr>
            </w:pPr>
          </w:p>
        </w:tc>
        <w:tc>
          <w:tcPr>
            <w:tcW w:w="1100" w:type="dxa"/>
            <w:vAlign w:val="bottom"/>
            <w:tcBorders>
              <w:bottom w:val="single" w:sz="8" w:color="6D8CC3"/>
            </w:tcBorders>
          </w:tcPr>
          <w:p>
            <w:pPr>
              <w:spacing w:after="0"/>
              <w:rPr>
                <w:sz w:val="4"/>
                <w:szCs w:val="4"/>
                <w:color w:val="auto"/>
              </w:rPr>
            </w:pPr>
          </w:p>
        </w:tc>
        <w:tc>
          <w:tcPr>
            <w:tcW w:w="1080" w:type="dxa"/>
            <w:vAlign w:val="bottom"/>
            <w:tcBorders>
              <w:bottom w:val="single" w:sz="8" w:color="6D8CC3"/>
            </w:tcBorders>
          </w:tcPr>
          <w:p>
            <w:pPr>
              <w:spacing w:after="0"/>
              <w:rPr>
                <w:sz w:val="4"/>
                <w:szCs w:val="4"/>
                <w:color w:val="auto"/>
              </w:rPr>
            </w:pPr>
          </w:p>
        </w:tc>
        <w:tc>
          <w:tcPr>
            <w:tcW w:w="1080" w:type="dxa"/>
            <w:vAlign w:val="bottom"/>
            <w:tcBorders>
              <w:bottom w:val="single" w:sz="8" w:color="6D8CC3"/>
            </w:tcBorders>
          </w:tcPr>
          <w:p>
            <w:pPr>
              <w:spacing w:after="0"/>
              <w:rPr>
                <w:sz w:val="4"/>
                <w:szCs w:val="4"/>
                <w:color w:val="auto"/>
              </w:rPr>
            </w:pPr>
          </w:p>
        </w:tc>
        <w:tc>
          <w:tcPr>
            <w:tcW w:w="1220" w:type="dxa"/>
            <w:vAlign w:val="bottom"/>
            <w:tcBorders>
              <w:bottom w:val="single" w:sz="8" w:color="6D8CC3"/>
            </w:tcBorders>
          </w:tcPr>
          <w:p>
            <w:pPr>
              <w:spacing w:after="0"/>
              <w:rPr>
                <w:sz w:val="4"/>
                <w:szCs w:val="4"/>
                <w:color w:val="auto"/>
              </w:rPr>
            </w:pPr>
          </w:p>
        </w:tc>
        <w:tc>
          <w:tcPr>
            <w:tcW w:w="1020" w:type="dxa"/>
            <w:vAlign w:val="bottom"/>
            <w:tcBorders>
              <w:bottom w:val="single" w:sz="8" w:color="6D8CC3"/>
            </w:tcBorders>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2280" w:type="dxa"/>
            <w:vAlign w:val="bottom"/>
          </w:tcPr>
          <w:p>
            <w:pPr>
              <w:spacing w:after="0"/>
              <w:rPr>
                <w:sz w:val="20"/>
                <w:szCs w:val="20"/>
                <w:color w:val="auto"/>
              </w:rPr>
            </w:pPr>
            <w:r>
              <w:rPr>
                <w:rFonts w:ascii="Arial" w:cs="Arial" w:eastAsia="Arial" w:hAnsi="Arial"/>
                <w:sz w:val="16"/>
                <w:szCs w:val="16"/>
                <w:b w:val="1"/>
                <w:bCs w:val="1"/>
                <w:color w:val="auto"/>
              </w:rPr>
              <w:t>Mr. Wu</w:t>
            </w:r>
          </w:p>
        </w:tc>
        <w:tc>
          <w:tcPr>
            <w:tcW w:w="1260" w:type="dxa"/>
            <w:vAlign w:val="bottom"/>
          </w:tcPr>
          <w:p>
            <w:pPr>
              <w:ind w:left="520"/>
              <w:spacing w:after="0"/>
              <w:rPr>
                <w:sz w:val="20"/>
                <w:szCs w:val="20"/>
                <w:color w:val="auto"/>
              </w:rPr>
            </w:pPr>
            <w:r>
              <w:rPr>
                <w:rFonts w:ascii="Arial" w:cs="Arial" w:eastAsia="Arial" w:hAnsi="Arial"/>
                <w:sz w:val="16"/>
                <w:szCs w:val="16"/>
                <w:color w:val="auto"/>
              </w:rPr>
              <w:t>100%</w:t>
            </w:r>
          </w:p>
        </w:tc>
        <w:tc>
          <w:tcPr>
            <w:tcW w:w="1100" w:type="dxa"/>
            <w:vAlign w:val="bottom"/>
          </w:tcPr>
          <w:p>
            <w:pPr>
              <w:jc w:val="right"/>
              <w:ind w:right="166"/>
              <w:spacing w:after="0"/>
              <w:rPr>
                <w:sz w:val="20"/>
                <w:szCs w:val="20"/>
                <w:color w:val="auto"/>
              </w:rPr>
            </w:pPr>
            <w:r>
              <w:rPr>
                <w:rFonts w:ascii="Arial" w:cs="Arial" w:eastAsia="Arial" w:hAnsi="Arial"/>
                <w:sz w:val="16"/>
                <w:szCs w:val="16"/>
                <w:color w:val="auto"/>
              </w:rPr>
              <w:t>725,000</w:t>
            </w:r>
          </w:p>
        </w:tc>
        <w:tc>
          <w:tcPr>
            <w:tcW w:w="1080" w:type="dxa"/>
            <w:vAlign w:val="bottom"/>
          </w:tcPr>
          <w:p>
            <w:pPr>
              <w:jc w:val="center"/>
              <w:spacing w:after="0"/>
              <w:rPr>
                <w:sz w:val="20"/>
                <w:szCs w:val="20"/>
                <w:color w:val="auto"/>
              </w:rPr>
            </w:pPr>
            <w:r>
              <w:rPr>
                <w:rFonts w:ascii="Arial" w:cs="Arial" w:eastAsia="Arial" w:hAnsi="Arial"/>
                <w:sz w:val="16"/>
                <w:szCs w:val="16"/>
                <w:color w:val="auto"/>
                <w:w w:val="96"/>
              </w:rPr>
              <w:t>233,740</w:t>
            </w:r>
          </w:p>
        </w:tc>
        <w:tc>
          <w:tcPr>
            <w:tcW w:w="1080" w:type="dxa"/>
            <w:vAlign w:val="bottom"/>
          </w:tcPr>
          <w:p>
            <w:pPr>
              <w:ind w:left="500"/>
              <w:spacing w:after="0"/>
              <w:rPr>
                <w:sz w:val="20"/>
                <w:szCs w:val="20"/>
                <w:color w:val="auto"/>
              </w:rPr>
            </w:pPr>
            <w:r>
              <w:rPr>
                <w:rFonts w:ascii="Arial" w:cs="Arial" w:eastAsia="Arial" w:hAnsi="Arial"/>
                <w:sz w:val="16"/>
                <w:szCs w:val="16"/>
                <w:color w:val="auto"/>
              </w:rPr>
              <w:t>-</w:t>
            </w:r>
          </w:p>
        </w:tc>
        <w:tc>
          <w:tcPr>
            <w:tcW w:w="1220" w:type="dxa"/>
            <w:vAlign w:val="bottom"/>
          </w:tcPr>
          <w:p>
            <w:pPr>
              <w:jc w:val="center"/>
              <w:spacing w:after="0"/>
              <w:rPr>
                <w:sz w:val="20"/>
                <w:szCs w:val="20"/>
                <w:color w:val="auto"/>
              </w:rPr>
            </w:pPr>
            <w:r>
              <w:rPr>
                <w:rFonts w:ascii="Arial" w:cs="Arial" w:eastAsia="Arial" w:hAnsi="Arial"/>
                <w:sz w:val="16"/>
                <w:szCs w:val="16"/>
                <w:color w:val="auto"/>
                <w:w w:val="96"/>
              </w:rPr>
              <w:t>233,740</w:t>
            </w:r>
          </w:p>
        </w:tc>
        <w:tc>
          <w:tcPr>
            <w:tcW w:w="1020" w:type="dxa"/>
            <w:vAlign w:val="bottom"/>
          </w:tcPr>
          <w:p>
            <w:pPr>
              <w:ind w:left="400"/>
              <w:spacing w:after="0"/>
              <w:rPr>
                <w:sz w:val="20"/>
                <w:szCs w:val="20"/>
                <w:color w:val="auto"/>
              </w:rPr>
            </w:pPr>
            <w:r>
              <w:rPr>
                <w:rFonts w:ascii="Arial" w:cs="Arial" w:eastAsia="Arial" w:hAnsi="Arial"/>
                <w:sz w:val="16"/>
                <w:szCs w:val="16"/>
                <w:color w:val="auto"/>
              </w:rPr>
              <w:t>32.2%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573722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737225" cy="8255"/>
                    </a:xfrm>
                    <a:prstGeom prst="rect">
                      <a:avLst/>
                    </a:prstGeom>
                    <a:noFill/>
                  </pic:spPr>
                </pic:pic>
              </a:graphicData>
            </a:graphic>
          </wp:anchor>
        </w:drawing>
      </w:r>
    </w:p>
    <w:p>
      <w:pPr>
        <w:spacing w:after="0" w:line="83" w:lineRule="exact"/>
        <w:rPr>
          <w:sz w:val="20"/>
          <w:szCs w:val="20"/>
          <w:color w:val="auto"/>
        </w:rPr>
      </w:pPr>
    </w:p>
    <w:p>
      <w:pPr>
        <w:ind w:left="260" w:right="20" w:hanging="256"/>
        <w:spacing w:after="0" w:line="243" w:lineRule="auto"/>
        <w:tabs>
          <w:tab w:leader="none" w:pos="2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Ms. Boswell’s employment with the Company ceased on May 16, 2025. In fiscal 2025, Ms. Boswell’s target incentive compensation opportunity was 190% of her base salary, which was unchanged from fiscal 2024. She received $676,509 for the fiscal 2025 mid-year incentive payout reflecting a pro-rated amount for the performance period she was terminated pursuant to the terms of her existing agreement with the Company. Ms. Boswell received $0 for the fiscal 2025 full-year incentive payout pursuant to the terms of her existing agreement with the Company.</w:t>
      </w:r>
    </w:p>
    <w:p>
      <w:pPr>
        <w:spacing w:after="0" w:line="37" w:lineRule="exact"/>
        <w:rPr>
          <w:rFonts w:ascii="Arial" w:cs="Arial" w:eastAsia="Arial" w:hAnsi="Arial"/>
          <w:sz w:val="14"/>
          <w:szCs w:val="14"/>
          <w:color w:val="auto"/>
        </w:rPr>
      </w:pPr>
    </w:p>
    <w:p>
      <w:pPr>
        <w:ind w:left="260" w:hanging="256"/>
        <w:spacing w:after="0"/>
        <w:tabs>
          <w:tab w:leader="none" w:pos="2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amount shown has been prorated based on Mr. Heaf’s start date in May 2025.</w:t>
      </w:r>
    </w:p>
    <w:p>
      <w:pPr>
        <w:spacing w:after="0" w:line="75" w:lineRule="exact"/>
        <w:rPr>
          <w:rFonts w:ascii="Arial" w:cs="Arial" w:eastAsia="Arial" w:hAnsi="Arial"/>
          <w:sz w:val="14"/>
          <w:szCs w:val="14"/>
          <w:color w:val="auto"/>
        </w:rPr>
      </w:pPr>
    </w:p>
    <w:p>
      <w:pPr>
        <w:ind w:left="260" w:right="140" w:hanging="256"/>
        <w:spacing w:after="0" w:line="246" w:lineRule="auto"/>
        <w:tabs>
          <w:tab w:leader="none" w:pos="2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Mr. Heaf commenced employment with the Company on May 16, 2025, and was therefore eligible for a prorated payment for the fiscal 2025 mid-year incentive payout. The “Percent of Fiscal 2025 Target” percentage reflects the percentage earned for all of fiscal 2025 (including a prorated mid-year payment); had Mr. Heaf been employed during the entire fiscal 2025 first half, his “Percent of Fiscal 2025 Target” percentage would align with the percentages of the other NEOs.</w:t>
      </w: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b w:val="1"/>
          <w:bCs w:val="1"/>
          <w:color w:val="292F72"/>
        </w:rPr>
        <w:t>Long-term Equity Incentive Compensation</w:t>
      </w:r>
    </w:p>
    <w:p>
      <w:pPr>
        <w:spacing w:after="0" w:line="54" w:lineRule="exact"/>
        <w:rPr>
          <w:sz w:val="20"/>
          <w:szCs w:val="20"/>
          <w:color w:val="auto"/>
        </w:rPr>
      </w:pPr>
    </w:p>
    <w:p>
      <w:pPr>
        <w:ind w:right="180"/>
        <w:spacing w:after="0" w:line="268" w:lineRule="auto"/>
        <w:rPr>
          <w:sz w:val="20"/>
          <w:szCs w:val="20"/>
          <w:color w:val="auto"/>
        </w:rPr>
      </w:pPr>
      <w:r>
        <w:rPr>
          <w:rFonts w:ascii="Arial" w:cs="Arial" w:eastAsia="Arial" w:hAnsi="Arial"/>
          <w:sz w:val="16"/>
          <w:szCs w:val="16"/>
          <w:color w:val="auto"/>
        </w:rPr>
        <w:t>During fiscal 2025, we granted stock awards to our NEOs under the 2020 Plan, which was approved by our shareholders at our 2020 annual meeting.</w:t>
      </w:r>
    </w:p>
    <w:p>
      <w:pPr>
        <w:spacing w:after="0" w:line="305" w:lineRule="exact"/>
        <w:rPr>
          <w:sz w:val="20"/>
          <w:szCs w:val="20"/>
          <w:color w:val="auto"/>
        </w:rPr>
      </w:pPr>
    </w:p>
    <w:p>
      <w:pPr>
        <w:spacing w:after="0"/>
        <w:rPr>
          <w:sz w:val="20"/>
          <w:szCs w:val="20"/>
          <w:color w:val="auto"/>
        </w:rPr>
      </w:pPr>
      <w:r>
        <w:rPr>
          <w:rFonts w:ascii="Arial" w:cs="Arial" w:eastAsia="Arial" w:hAnsi="Arial"/>
          <w:sz w:val="23"/>
          <w:szCs w:val="23"/>
          <w:b w:val="1"/>
          <w:bCs w:val="1"/>
          <w:color w:val="292F72"/>
        </w:rPr>
        <w:t>Our Fiscal 2025 Long-term Equity Incentive Compensation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193040</wp:posOffset>
            </wp:positionV>
            <wp:extent cx="5737225" cy="18986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737225" cy="1898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w:t>
      </w:r>
    </w:p>
    <w:p>
      <w:pPr>
        <w:spacing w:after="0" w:line="68" w:lineRule="exact"/>
        <w:rPr>
          <w:sz w:val="20"/>
          <w:szCs w:val="20"/>
          <w:color w:val="auto"/>
        </w:rPr>
      </w:pPr>
    </w:p>
    <w:p>
      <w:pPr>
        <w:ind w:left="260" w:right="20" w:hanging="256"/>
        <w:spacing w:after="0" w:line="269" w:lineRule="auto"/>
        <w:tabs>
          <w:tab w:leader="none" w:pos="2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Annual long-term incentive award for Ms. Boswell was 60% PSU/40% RSU. Mr. Heaf’s new hire long-term incentive grant was 50% PSU/50% RSU. In fiscal 2026, the annual long-term incentive grant for Mr. Heaf will be 60% PSU/40% RSU.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109855</wp:posOffset>
            </wp:positionV>
            <wp:extent cx="573722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737225" cy="8255"/>
                    </a:xfrm>
                    <a:prstGeom prst="rect">
                      <a:avLst/>
                    </a:prstGeom>
                    <a:noFill/>
                  </pic:spPr>
                </pic:pic>
              </a:graphicData>
            </a:graphic>
          </wp:anchor>
        </w:drawing>
      </w:r>
    </w:p>
    <w:p>
      <w:pPr>
        <w:spacing w:after="0" w:line="249" w:lineRule="exact"/>
        <w:rPr>
          <w:sz w:val="20"/>
          <w:szCs w:val="20"/>
          <w:color w:val="auto"/>
        </w:rPr>
      </w:pPr>
    </w:p>
    <w:p>
      <w:pPr>
        <w:jc w:val="right"/>
        <w:spacing w:after="0"/>
        <w:rPr>
          <w:sz w:val="20"/>
          <w:szCs w:val="20"/>
          <w:color w:val="auto"/>
        </w:rPr>
      </w:pPr>
      <w:r>
        <w:rPr>
          <w:rFonts w:ascii="Arial" w:cs="Arial" w:eastAsia="Arial" w:hAnsi="Arial"/>
          <w:sz w:val="14"/>
          <w:szCs w:val="14"/>
          <w:color w:val="292F72"/>
        </w:rPr>
        <w:t>Bath &amp; Body Works, Inc.</w:t>
      </w:r>
      <w:r>
        <w:rPr>
          <w:rFonts w:ascii="Arial" w:cs="Arial" w:eastAsia="Arial" w:hAnsi="Arial"/>
          <w:sz w:val="14"/>
          <w:szCs w:val="14"/>
          <w:color w:val="6D8CC3"/>
        </w:rPr>
        <w:t xml:space="preserve">   | </w:t>
      </w:r>
      <w:r>
        <w:rPr>
          <w:rFonts w:ascii="Arial" w:cs="Arial" w:eastAsia="Arial" w:hAnsi="Arial"/>
          <w:sz w:val="14"/>
          <w:szCs w:val="14"/>
          <w:color w:val="292F72"/>
        </w:rPr>
        <w:t xml:space="preserve">  2026 Proxy Statement     </w:t>
      </w:r>
      <w:r>
        <w:rPr>
          <w:rFonts w:ascii="Arial" w:cs="Arial" w:eastAsia="Arial" w:hAnsi="Arial"/>
          <w:sz w:val="14"/>
          <w:szCs w:val="14"/>
          <w:b w:val="1"/>
          <w:bCs w:val="1"/>
          <w:color w:val="292F72"/>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153670</wp:posOffset>
            </wp:positionV>
            <wp:extent cx="6795135" cy="1651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795135" cy="16510"/>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6"/>
          <w:szCs w:val="16"/>
          <w:color w:val="292F72"/>
        </w:rPr>
        <w:t>Compensation-Related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40640</wp:posOffset>
            </wp:positionV>
            <wp:extent cx="1407160" cy="330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407160" cy="33020"/>
                    </a:xfrm>
                    <a:prstGeom prst="rect">
                      <a:avLst/>
                    </a:prstGeom>
                    <a:noFill/>
                  </pic:spPr>
                </pic:pic>
              </a:graphicData>
            </a:graphic>
          </wp:anchor>
        </w:drawing>
      </w:r>
    </w:p>
    <w:p>
      <w:pPr>
        <w:spacing w:after="0" w:line="189" w:lineRule="exact"/>
        <w:rPr>
          <w:sz w:val="20"/>
          <w:szCs w:val="20"/>
          <w:color w:val="auto"/>
        </w:rPr>
      </w:pPr>
    </w:p>
    <w:p>
      <w:pPr>
        <w:ind w:right="40"/>
        <w:spacing w:after="0" w:line="246" w:lineRule="auto"/>
        <w:rPr>
          <w:sz w:val="20"/>
          <w:szCs w:val="20"/>
          <w:color w:val="auto"/>
        </w:rPr>
      </w:pPr>
      <w:r>
        <w:rPr>
          <w:rFonts w:ascii="Arial" w:cs="Arial" w:eastAsia="Arial" w:hAnsi="Arial"/>
          <w:sz w:val="16"/>
          <w:szCs w:val="16"/>
          <w:color w:val="auto"/>
        </w:rPr>
        <w:t>In connection with his hiring in 2025, Mr. Heaf received a new hire equity award consisting of RSUs with an approved target value of $2,500,000 and PSUs with an approved target value of $2,500,000. The RSUs vest 30% on the first anniversary of May 16, 2025, 30% on the second anniversary and 40% on the third anniversary, subject to Mr. Heaf’s continued employment through each vesting date. This one-time award served as Mr. Heaf’s annual equity grant for fiscal 2025, and no additional equity awards were granted to him during the year.</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Performance Share Units</w:t>
      </w:r>
    </w:p>
    <w:p>
      <w:pPr>
        <w:spacing w:after="0" w:line="54"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PSUs incent executive performance through the achievement of challenging growth and profitability metrics that closely align the long-term interests of our executives with those of our shareholders. As a result, we place significant emphasis on the PSU component of our long-term equity incentive program for our NEOs. For fiscal 2025, 50% of our NEOs’ long-term equity incentives (60% for our Chief Executive Officer) were granted in the form of “at-risk” PSUs.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Our NEOs’ annual 2025 PSU awards are subject to two equally weighted performance metrics:</w:t>
      </w:r>
    </w:p>
    <w:p>
      <w:pPr>
        <w:spacing w:after="0" w:line="105" w:lineRule="exact"/>
        <w:rPr>
          <w:sz w:val="20"/>
          <w:szCs w:val="20"/>
          <w:color w:val="auto"/>
        </w:rPr>
      </w:pPr>
    </w:p>
    <w:p>
      <w:pPr>
        <w:ind w:left="180" w:hanging="176"/>
        <w:spacing w:after="0"/>
        <w:tabs>
          <w:tab w:leader="none" w:pos="180" w:val="left"/>
        </w:tabs>
        <w:numPr>
          <w:ilvl w:val="0"/>
          <w:numId w:val="61"/>
        </w:numPr>
        <w:rPr>
          <w:rFonts w:ascii="Arial" w:cs="Arial" w:eastAsia="Arial" w:hAnsi="Arial"/>
          <w:sz w:val="16"/>
          <w:szCs w:val="16"/>
          <w:color w:val="6D8CC3"/>
        </w:rPr>
      </w:pPr>
      <w:r>
        <w:rPr>
          <w:rFonts w:ascii="Arial" w:cs="Arial" w:eastAsia="Arial" w:hAnsi="Arial"/>
          <w:sz w:val="16"/>
          <w:szCs w:val="16"/>
          <w:color w:val="auto"/>
        </w:rPr>
        <w:t>cumulative adjusted operating income as a percentage of cumulative net sales (adjusted operating income margin); and</w:t>
      </w:r>
    </w:p>
    <w:p>
      <w:pPr>
        <w:spacing w:after="0" w:line="104" w:lineRule="exact"/>
        <w:rPr>
          <w:rFonts w:ascii="Arial" w:cs="Arial" w:eastAsia="Arial" w:hAnsi="Arial"/>
          <w:sz w:val="16"/>
          <w:szCs w:val="16"/>
          <w:color w:val="6D8CC3"/>
        </w:rPr>
      </w:pPr>
    </w:p>
    <w:p>
      <w:pPr>
        <w:ind w:left="180" w:right="120" w:hanging="176"/>
        <w:spacing w:after="0" w:line="268" w:lineRule="auto"/>
        <w:tabs>
          <w:tab w:leader="none" w:pos="180" w:val="left"/>
        </w:tabs>
        <w:numPr>
          <w:ilvl w:val="0"/>
          <w:numId w:val="61"/>
        </w:numPr>
        <w:rPr>
          <w:rFonts w:ascii="Arial" w:cs="Arial" w:eastAsia="Arial" w:hAnsi="Arial"/>
          <w:sz w:val="16"/>
          <w:szCs w:val="16"/>
          <w:color w:val="6D8CC3"/>
        </w:rPr>
      </w:pPr>
      <w:r>
        <w:rPr>
          <w:rFonts w:ascii="Arial" w:cs="Arial" w:eastAsia="Arial" w:hAnsi="Arial"/>
          <w:sz w:val="16"/>
          <w:szCs w:val="16"/>
          <w:color w:val="auto"/>
        </w:rPr>
        <w:t>relative TSR assessed against the companies listed in the S&amp;P Composite 1500 Consumer Discretionary Distribution &amp; Retail Index as of the date of grant.</w:t>
      </w:r>
    </w:p>
    <w:p>
      <w:pPr>
        <w:spacing w:after="0" w:line="140" w:lineRule="exact"/>
        <w:rPr>
          <w:sz w:val="20"/>
          <w:szCs w:val="20"/>
          <w:color w:val="auto"/>
        </w:rPr>
      </w:pPr>
    </w:p>
    <w:p>
      <w:pPr>
        <w:ind w:right="40"/>
        <w:spacing w:after="0" w:line="267" w:lineRule="auto"/>
        <w:rPr>
          <w:sz w:val="20"/>
          <w:szCs w:val="20"/>
          <w:color w:val="auto"/>
        </w:rPr>
      </w:pPr>
      <w:r>
        <w:rPr>
          <w:rFonts w:ascii="Arial" w:cs="Arial" w:eastAsia="Arial" w:hAnsi="Arial"/>
          <w:sz w:val="15"/>
          <w:szCs w:val="15"/>
          <w:color w:val="auto"/>
        </w:rPr>
        <w:t>The HCC Committee updated this index in 2025 after the Company was removed from the S&amp;P 500 Consumer Discretionary Distribution &amp; Retail Index for purposes of the relative TSR metric because the index is relevant from an industry perspective (i.e., reasonable business, talent and/or investment dollar competitors) and is more easily tracked and communicated to Company associates and investors. The HCC Committee continued the “negative absolute TSR cap”—i.e., if our absolute total shareholder return is negative during the performance period, the payout under the PSU awards is capped at 100% of target performance.</w:t>
      </w:r>
    </w:p>
    <w:p>
      <w:pPr>
        <w:spacing w:after="0" w:line="129"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The HCC Committee is committed to establishing robust performance metrics that challenge our executives to deliver superior performance aligned to creating value for our shareholders, while at the same time balancing the rigor of the performance metrics with ensuring that the metrics are reasonably attainable to meaningfully incent executive performance and retention.</w:t>
      </w:r>
    </w:p>
    <w:p>
      <w:pPr>
        <w:spacing w:after="0" w:line="137"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Finally, consistent with market practice to ensure our annual PSU program is competitive with our peer companies’ programs and to balance the leverage of the program with the weighting it is expected to command within the NEOs’ pay mix, the maximum payout for the 2025 annual PSU program awards was 200%.</w:t>
      </w:r>
    </w:p>
    <w:p>
      <w:pPr>
        <w:spacing w:after="0" w:line="150" w:lineRule="exact"/>
        <w:rPr>
          <w:sz w:val="20"/>
          <w:szCs w:val="20"/>
          <w:color w:val="auto"/>
        </w:rPr>
      </w:pPr>
    </w:p>
    <w:p>
      <w:pPr>
        <w:ind w:right="60"/>
        <w:spacing w:after="0" w:line="245" w:lineRule="auto"/>
        <w:rPr>
          <w:sz w:val="20"/>
          <w:szCs w:val="20"/>
          <w:color w:val="auto"/>
        </w:rPr>
      </w:pPr>
      <w:r>
        <w:rPr>
          <w:rFonts w:ascii="Arial" w:cs="Arial" w:eastAsia="Arial" w:hAnsi="Arial"/>
          <w:sz w:val="16"/>
          <w:szCs w:val="16"/>
          <w:color w:val="auto"/>
        </w:rPr>
        <w:t>The HCC Committee believes the PSU program aligns our NEOs’ interests with those of our shareholders. Specifically, the HCC Committee believes that adjusted operating income margin continues to provide a direct link between our NEOs’ compensation and the importance of growing and maintaining our adjusted operating income margin as part of the Company’s strategic initiatives. The relative TSR metric for fiscal 2025 is intended to promote alignment between long-term shareholder value creation and our NEOs’ pay outcomes. Its inclusion is also consistent with input we received from our shareholders as well as market practice.</w:t>
      </w:r>
    </w:p>
    <w:p>
      <w:pPr>
        <w:spacing w:after="0" w:line="145" w:lineRule="exact"/>
        <w:rPr>
          <w:sz w:val="20"/>
          <w:szCs w:val="20"/>
          <w:color w:val="auto"/>
        </w:rPr>
      </w:pPr>
    </w:p>
    <w:p>
      <w:pPr>
        <w:ind w:right="300"/>
        <w:spacing w:after="0" w:line="268" w:lineRule="auto"/>
        <w:rPr>
          <w:sz w:val="20"/>
          <w:szCs w:val="20"/>
          <w:color w:val="auto"/>
        </w:rPr>
      </w:pPr>
      <w:r>
        <w:rPr>
          <w:rFonts w:ascii="Arial" w:cs="Arial" w:eastAsia="Arial" w:hAnsi="Arial"/>
          <w:sz w:val="16"/>
          <w:szCs w:val="16"/>
          <w:color w:val="auto"/>
        </w:rPr>
        <w:t>Performance for awards granted in fiscal 2025 will be evaluated based on performance over a three-year performance period, starting with fiscal 2025 through the end of fiscal 2027, paying out in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113030</wp:posOffset>
            </wp:positionV>
            <wp:extent cx="573722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737225" cy="8255"/>
                    </a:xfrm>
                    <a:prstGeom prst="rect">
                      <a:avLst/>
                    </a:prstGeom>
                    <a:noFill/>
                  </pic:spPr>
                </pic:pic>
              </a:graphicData>
            </a:graphic>
          </wp:anchor>
        </w:drawing>
      </w: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b w:val="1"/>
          <w:bCs w:val="1"/>
          <w:color w:val="292F72"/>
        </w:rPr>
        <w:t>38</w:t>
      </w:r>
      <w:r>
        <w:rPr>
          <w:rFonts w:ascii="Arial" w:cs="Arial" w:eastAsia="Arial" w:hAnsi="Arial"/>
          <w:sz w:val="14"/>
          <w:szCs w:val="14"/>
          <w:color w:val="292F72"/>
        </w:rPr>
        <w:t xml:space="preserve">     Bath &amp; Body Works, Inc.</w:t>
      </w:r>
      <w:r>
        <w:rPr>
          <w:rFonts w:ascii="Arial" w:cs="Arial" w:eastAsia="Arial" w:hAnsi="Arial"/>
          <w:sz w:val="14"/>
          <w:szCs w:val="14"/>
          <w:color w:val="6D8CC3"/>
        </w:rPr>
        <w:t xml:space="preserve">   | </w:t>
      </w:r>
      <w:r>
        <w:rPr>
          <w:rFonts w:ascii="Arial" w:cs="Arial" w:eastAsia="Arial" w:hAnsi="Arial"/>
          <w:sz w:val="14"/>
          <w:szCs w:val="14"/>
          <w:b w:val="1"/>
          <w:bCs w:val="1"/>
          <w:color w:val="292F72"/>
        </w:rPr>
        <w:t xml:space="preserve">  </w:t>
      </w:r>
      <w:r>
        <w:rPr>
          <w:rFonts w:ascii="Arial" w:cs="Arial" w:eastAsia="Arial" w:hAnsi="Arial"/>
          <w:sz w:val="14"/>
          <w:szCs w:val="14"/>
          <w:color w:val="292F72"/>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170180</wp:posOffset>
            </wp:positionV>
            <wp:extent cx="6795135" cy="1651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795135" cy="16510"/>
                    </a:xfrm>
                    <a:prstGeom prst="rect">
                      <a:avLst/>
                    </a:prstGeom>
                    <a:noFill/>
                  </pic:spPr>
                </pic:pic>
              </a:graphicData>
            </a:graphic>
          </wp:anchor>
        </w:drawing>
      </w:r>
    </w:p>
    <w:p>
      <w:pPr>
        <w:sectPr>
          <w:pgSz w:w="11900" w:h="16838" w:orient="portrait"/>
          <w:cols w:equalWidth="0" w:num="1">
            <w:col w:w="9040"/>
          </w:cols>
          <w:pgMar w:left="1420" w:top="116" w:right="14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2" w:lineRule="exact"/>
        <w:rPr>
          <w:sz w:val="20"/>
          <w:szCs w:val="20"/>
          <w:color w:val="auto"/>
        </w:rPr>
      </w:pPr>
    </w:p>
    <w:p>
      <w:pPr>
        <w:ind w:left="6840"/>
        <w:spacing w:after="0"/>
        <w:rPr>
          <w:sz w:val="20"/>
          <w:szCs w:val="20"/>
          <w:color w:val="auto"/>
        </w:rPr>
      </w:pPr>
      <w:r>
        <w:rPr>
          <w:rFonts w:ascii="Arial" w:cs="Arial" w:eastAsia="Arial" w:hAnsi="Arial"/>
          <w:sz w:val="15"/>
          <w:szCs w:val="15"/>
          <w:color w:val="292F72"/>
        </w:rPr>
        <w:t>Compensation-Related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48260</wp:posOffset>
            </wp:positionV>
            <wp:extent cx="1407160" cy="3302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407160" cy="3302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The specific targets are as set forth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207645</wp:posOffset>
            </wp:positionV>
            <wp:extent cx="5662295" cy="182372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662295" cy="1823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w:t>
      </w:r>
    </w:p>
    <w:p>
      <w:pPr>
        <w:spacing w:after="0" w:line="68" w:lineRule="exact"/>
        <w:rPr>
          <w:sz w:val="20"/>
          <w:szCs w:val="20"/>
          <w:color w:val="auto"/>
        </w:rPr>
      </w:pPr>
    </w:p>
    <w:p>
      <w:pPr>
        <w:ind w:left="260" w:right="360" w:hanging="256"/>
        <w:spacing w:after="0" w:line="269" w:lineRule="auto"/>
        <w:tabs>
          <w:tab w:leader="none" w:pos="26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Payout Percentage is subject to the “negative absolute TSR cap”—i.e., if our absolute total shareholder return is negative during the performance period, the payout under the PSU awards is capped at 100% of target performance.</w:t>
      </w:r>
    </w:p>
    <w:p>
      <w:pPr>
        <w:spacing w:after="0" w:line="122" w:lineRule="exact"/>
        <w:rPr>
          <w:sz w:val="20"/>
          <w:szCs w:val="20"/>
          <w:color w:val="auto"/>
        </w:rPr>
      </w:pPr>
    </w:p>
    <w:p>
      <w:pPr>
        <w:jc w:val="both"/>
        <w:ind w:right="80"/>
        <w:spacing w:after="0" w:line="254" w:lineRule="auto"/>
        <w:rPr>
          <w:sz w:val="20"/>
          <w:szCs w:val="20"/>
          <w:color w:val="auto"/>
        </w:rPr>
      </w:pPr>
      <w:r>
        <w:rPr>
          <w:rFonts w:ascii="Arial" w:cs="Arial" w:eastAsia="Arial" w:hAnsi="Arial"/>
          <w:sz w:val="16"/>
          <w:szCs w:val="16"/>
          <w:color w:val="auto"/>
        </w:rPr>
        <w:t>Performance will be evaluated based on a scale, and payout, if any, will be interpolated between threshold, target and maximum levels. The earned annual PSU awards (if any) granted in fiscal 2025 will vest in March 2028, subject generally to the executive’s continued employment through such date.</w:t>
      </w: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Restricted Share Units</w:t>
      </w:r>
    </w:p>
    <w:p>
      <w:pPr>
        <w:spacing w:after="0" w:line="54"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RSUs are granted to ensure market competitiveness of the executive compensation package, align executives’ long-term interests with our shareholders and retain executives over the long-term. The RSU awards vest over three years in three tranches (30% one year from the grant date, 30% two years from the grant date and 40% three years from the grant date), in each case subject generally to continued employment through each such date.</w:t>
      </w:r>
    </w:p>
    <w:p>
      <w:pPr>
        <w:spacing w:after="0" w:line="141" w:lineRule="exact"/>
        <w:rPr>
          <w:sz w:val="20"/>
          <w:szCs w:val="20"/>
          <w:color w:val="auto"/>
        </w:rPr>
      </w:pPr>
    </w:p>
    <w:p>
      <w:pPr>
        <w:ind w:right="500"/>
        <w:spacing w:after="0" w:line="254" w:lineRule="auto"/>
        <w:rPr>
          <w:sz w:val="20"/>
          <w:szCs w:val="20"/>
          <w:color w:val="auto"/>
        </w:rPr>
      </w:pPr>
      <w:r>
        <w:rPr>
          <w:rFonts w:ascii="Arial" w:cs="Arial" w:eastAsia="Arial" w:hAnsi="Arial"/>
          <w:sz w:val="16"/>
          <w:szCs w:val="16"/>
          <w:color w:val="auto"/>
        </w:rPr>
        <w:t xml:space="preserve">Below is a summary of the grant date fair value of the long-term equity incentive compensation, including PSUs and RSUs, awarded to our NEOs during fiscal 2025 as reported in the summary compensation table found on page </w:t>
      </w:r>
      <w:r>
        <w:rPr>
          <w:rFonts w:ascii="Arial" w:cs="Arial" w:eastAsia="Arial" w:hAnsi="Arial"/>
          <w:sz w:val="16"/>
          <w:szCs w:val="16"/>
          <w:u w:val="single" w:color="auto"/>
          <w:color w:val="0000EE"/>
        </w:rPr>
        <w:t>45</w:t>
      </w:r>
      <w:r>
        <w:rPr>
          <w:rFonts w:ascii="Arial" w:cs="Arial" w:eastAsia="Arial" w:hAnsi="Arial"/>
          <w:sz w:val="16"/>
          <w:szCs w:val="16"/>
          <w:color w:val="auto"/>
        </w:rPr>
        <w:t xml:space="preserve"> of this proxy statement.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00" w:type="dxa"/>
            <w:vAlign w:val="bottom"/>
          </w:tcPr>
          <w:p>
            <w:pPr>
              <w:ind w:left="140"/>
              <w:spacing w:after="0"/>
              <w:rPr>
                <w:sz w:val="20"/>
                <w:szCs w:val="20"/>
                <w:color w:val="auto"/>
              </w:rPr>
            </w:pPr>
            <w:r>
              <w:rPr>
                <w:rFonts w:ascii="Arial" w:cs="Arial" w:eastAsia="Arial" w:hAnsi="Arial"/>
                <w:sz w:val="14"/>
                <w:szCs w:val="14"/>
                <w:b w:val="1"/>
                <w:bCs w:val="1"/>
                <w:color w:val="292F72"/>
              </w:rPr>
              <w:t>MAXIMUM</w:t>
            </w:r>
          </w:p>
        </w:tc>
        <w:tc>
          <w:tcPr>
            <w:tcW w:w="0" w:type="dxa"/>
            <w:vAlign w:val="bottom"/>
          </w:tcPr>
          <w:p>
            <w:pPr>
              <w:spacing w:after="0"/>
              <w:rPr>
                <w:sz w:val="1"/>
                <w:szCs w:val="1"/>
                <w:color w:val="auto"/>
              </w:rPr>
            </w:pPr>
          </w:p>
        </w:tc>
      </w:tr>
      <w:tr>
        <w:trPr>
          <w:trHeight w:val="157"/>
        </w:trPr>
        <w:tc>
          <w:tcPr>
            <w:tcW w:w="3220" w:type="dxa"/>
            <w:vAlign w:val="bottom"/>
          </w:tcPr>
          <w:p>
            <w:pPr>
              <w:spacing w:after="0"/>
              <w:rPr>
                <w:sz w:val="13"/>
                <w:szCs w:val="13"/>
                <w:color w:val="auto"/>
              </w:rPr>
            </w:pPr>
          </w:p>
        </w:tc>
        <w:tc>
          <w:tcPr>
            <w:tcW w:w="2140" w:type="dxa"/>
            <w:vAlign w:val="bottom"/>
          </w:tcPr>
          <w:p>
            <w:pPr>
              <w:ind w:left="1080"/>
              <w:spacing w:after="0" w:line="157" w:lineRule="exact"/>
              <w:rPr>
                <w:sz w:val="20"/>
                <w:szCs w:val="20"/>
                <w:color w:val="auto"/>
              </w:rPr>
            </w:pPr>
            <w:r>
              <w:rPr>
                <w:rFonts w:ascii="Arial" w:cs="Arial" w:eastAsia="Arial" w:hAnsi="Arial"/>
                <w:sz w:val="14"/>
                <w:szCs w:val="14"/>
                <w:b w:val="1"/>
                <w:bCs w:val="1"/>
                <w:color w:val="292F72"/>
              </w:rPr>
              <w:t>VALUE OF</w:t>
            </w:r>
          </w:p>
        </w:tc>
        <w:tc>
          <w:tcPr>
            <w:tcW w:w="1300" w:type="dxa"/>
            <w:vAlign w:val="bottom"/>
          </w:tcPr>
          <w:p>
            <w:pPr>
              <w:ind w:left="120"/>
              <w:spacing w:after="0" w:line="157" w:lineRule="exact"/>
              <w:rPr>
                <w:sz w:val="20"/>
                <w:szCs w:val="20"/>
                <w:color w:val="auto"/>
              </w:rPr>
            </w:pPr>
            <w:r>
              <w:rPr>
                <w:rFonts w:ascii="Arial" w:cs="Arial" w:eastAsia="Arial" w:hAnsi="Arial"/>
                <w:sz w:val="14"/>
                <w:szCs w:val="14"/>
                <w:b w:val="1"/>
                <w:bCs w:val="1"/>
                <w:color w:val="292F72"/>
              </w:rPr>
              <w:t>TARGET VALUE</w:t>
            </w:r>
          </w:p>
        </w:tc>
        <w:tc>
          <w:tcPr>
            <w:tcW w:w="1280" w:type="dxa"/>
            <w:vAlign w:val="bottom"/>
          </w:tcPr>
          <w:p>
            <w:pPr>
              <w:jc w:val="center"/>
              <w:spacing w:after="0" w:line="157" w:lineRule="exact"/>
              <w:rPr>
                <w:sz w:val="20"/>
                <w:szCs w:val="20"/>
                <w:color w:val="auto"/>
              </w:rPr>
            </w:pPr>
            <w:r>
              <w:rPr>
                <w:rFonts w:ascii="Arial" w:cs="Arial" w:eastAsia="Arial" w:hAnsi="Arial"/>
                <w:sz w:val="14"/>
                <w:szCs w:val="14"/>
                <w:b w:val="1"/>
                <w:bCs w:val="1"/>
                <w:color w:val="292F72"/>
                <w:w w:val="98"/>
              </w:rPr>
              <w:t>TOTAL FISCAL</w:t>
            </w:r>
          </w:p>
        </w:tc>
        <w:tc>
          <w:tcPr>
            <w:tcW w:w="1100" w:type="dxa"/>
            <w:vAlign w:val="bottom"/>
          </w:tcPr>
          <w:p>
            <w:pPr>
              <w:ind w:left="140"/>
              <w:spacing w:after="0" w:line="157" w:lineRule="exact"/>
              <w:rPr>
                <w:sz w:val="20"/>
                <w:szCs w:val="20"/>
                <w:color w:val="auto"/>
              </w:rPr>
            </w:pPr>
            <w:r>
              <w:rPr>
                <w:rFonts w:ascii="Arial" w:cs="Arial" w:eastAsia="Arial" w:hAnsi="Arial"/>
                <w:sz w:val="14"/>
                <w:szCs w:val="14"/>
                <w:b w:val="1"/>
                <w:bCs w:val="1"/>
                <w:color w:val="292F72"/>
              </w:rPr>
              <w:t>VALUE OF</w:t>
            </w:r>
          </w:p>
        </w:tc>
        <w:tc>
          <w:tcPr>
            <w:tcW w:w="0" w:type="dxa"/>
            <w:vAlign w:val="bottom"/>
          </w:tcPr>
          <w:p>
            <w:pPr>
              <w:spacing w:after="0"/>
              <w:rPr>
                <w:sz w:val="1"/>
                <w:szCs w:val="1"/>
                <w:color w:val="auto"/>
              </w:rPr>
            </w:pPr>
          </w:p>
        </w:tc>
      </w:tr>
      <w:tr>
        <w:trPr>
          <w:trHeight w:val="157"/>
        </w:trPr>
        <w:tc>
          <w:tcPr>
            <w:tcW w:w="3220" w:type="dxa"/>
            <w:vAlign w:val="bottom"/>
          </w:tcPr>
          <w:p>
            <w:pPr>
              <w:spacing w:after="0"/>
              <w:rPr>
                <w:sz w:val="13"/>
                <w:szCs w:val="13"/>
                <w:color w:val="auto"/>
              </w:rPr>
            </w:pPr>
          </w:p>
        </w:tc>
        <w:tc>
          <w:tcPr>
            <w:tcW w:w="2140" w:type="dxa"/>
            <w:vAlign w:val="bottom"/>
          </w:tcPr>
          <w:p>
            <w:pPr>
              <w:ind w:left="1080"/>
              <w:spacing w:after="0" w:line="157" w:lineRule="exact"/>
              <w:rPr>
                <w:sz w:val="20"/>
                <w:szCs w:val="20"/>
                <w:color w:val="auto"/>
              </w:rPr>
            </w:pPr>
            <w:r>
              <w:rPr>
                <w:rFonts w:ascii="Arial" w:cs="Arial" w:eastAsia="Arial" w:hAnsi="Arial"/>
                <w:sz w:val="14"/>
                <w:szCs w:val="14"/>
                <w:b w:val="1"/>
                <w:bCs w:val="1"/>
                <w:color w:val="292F72"/>
              </w:rPr>
              <w:t>TIME-VESTED</w:t>
            </w:r>
          </w:p>
        </w:tc>
        <w:tc>
          <w:tcPr>
            <w:tcW w:w="1300" w:type="dxa"/>
            <w:vAlign w:val="bottom"/>
          </w:tcPr>
          <w:p>
            <w:pPr>
              <w:ind w:left="120"/>
              <w:spacing w:after="0" w:line="157" w:lineRule="exact"/>
              <w:rPr>
                <w:sz w:val="20"/>
                <w:szCs w:val="20"/>
                <w:color w:val="auto"/>
              </w:rPr>
            </w:pPr>
            <w:r>
              <w:rPr>
                <w:rFonts w:ascii="Arial" w:cs="Arial" w:eastAsia="Arial" w:hAnsi="Arial"/>
                <w:sz w:val="14"/>
                <w:szCs w:val="14"/>
                <w:b w:val="1"/>
                <w:bCs w:val="1"/>
                <w:color w:val="292F72"/>
              </w:rPr>
              <w:t>OF ANNUAL</w:t>
            </w:r>
          </w:p>
        </w:tc>
        <w:tc>
          <w:tcPr>
            <w:tcW w:w="1280" w:type="dxa"/>
            <w:vAlign w:val="bottom"/>
          </w:tcPr>
          <w:p>
            <w:pPr>
              <w:jc w:val="right"/>
              <w:ind w:right="206"/>
              <w:spacing w:after="0" w:line="157" w:lineRule="exact"/>
              <w:rPr>
                <w:sz w:val="20"/>
                <w:szCs w:val="20"/>
                <w:color w:val="auto"/>
              </w:rPr>
            </w:pPr>
            <w:r>
              <w:rPr>
                <w:rFonts w:ascii="Arial" w:cs="Arial" w:eastAsia="Arial" w:hAnsi="Arial"/>
                <w:sz w:val="14"/>
                <w:szCs w:val="14"/>
                <w:b w:val="1"/>
                <w:bCs w:val="1"/>
                <w:color w:val="292F72"/>
              </w:rPr>
              <w:t>2025 EQUITY</w:t>
            </w:r>
          </w:p>
        </w:tc>
        <w:tc>
          <w:tcPr>
            <w:tcW w:w="1100" w:type="dxa"/>
            <w:vAlign w:val="bottom"/>
          </w:tcPr>
          <w:p>
            <w:pPr>
              <w:ind w:left="140"/>
              <w:spacing w:after="0" w:line="157" w:lineRule="exact"/>
              <w:rPr>
                <w:sz w:val="20"/>
                <w:szCs w:val="20"/>
                <w:color w:val="auto"/>
              </w:rPr>
            </w:pPr>
            <w:r>
              <w:rPr>
                <w:rFonts w:ascii="Arial" w:cs="Arial" w:eastAsia="Arial" w:hAnsi="Arial"/>
                <w:sz w:val="14"/>
                <w:szCs w:val="14"/>
                <w:b w:val="1"/>
                <w:bCs w:val="1"/>
                <w:color w:val="292F72"/>
              </w:rPr>
              <w:t>ANNUAL PSU</w:t>
            </w:r>
          </w:p>
        </w:tc>
        <w:tc>
          <w:tcPr>
            <w:tcW w:w="0" w:type="dxa"/>
            <w:vAlign w:val="bottom"/>
          </w:tcPr>
          <w:p>
            <w:pPr>
              <w:spacing w:after="0"/>
              <w:rPr>
                <w:sz w:val="1"/>
                <w:szCs w:val="1"/>
                <w:color w:val="auto"/>
              </w:rPr>
            </w:pPr>
          </w:p>
        </w:tc>
      </w:tr>
      <w:tr>
        <w:trPr>
          <w:trHeight w:val="157"/>
        </w:trPr>
        <w:tc>
          <w:tcPr>
            <w:tcW w:w="3220" w:type="dxa"/>
            <w:vAlign w:val="bottom"/>
            <w:vMerge w:val="restart"/>
          </w:tcPr>
          <w:p>
            <w:pPr>
              <w:spacing w:after="0"/>
              <w:rPr>
                <w:sz w:val="20"/>
                <w:szCs w:val="20"/>
                <w:color w:val="auto"/>
              </w:rPr>
            </w:pPr>
            <w:r>
              <w:rPr>
                <w:rFonts w:ascii="Arial" w:cs="Arial" w:eastAsia="Arial" w:hAnsi="Arial"/>
                <w:sz w:val="14"/>
                <w:szCs w:val="14"/>
                <w:b w:val="1"/>
                <w:bCs w:val="1"/>
                <w:color w:val="292F72"/>
              </w:rPr>
              <w:t>NAMED EXECUTIVE OFFICER</w:t>
            </w:r>
            <w:r>
              <w:rPr>
                <w:rFonts w:ascii="Arial" w:cs="Arial" w:eastAsia="Arial" w:hAnsi="Arial"/>
                <w:sz w:val="23"/>
                <w:szCs w:val="23"/>
                <w:b w:val="1"/>
                <w:bCs w:val="1"/>
                <w:color w:val="292F72"/>
                <w:vertAlign w:val="superscript"/>
              </w:rPr>
              <w:t>(1)</w:t>
            </w:r>
          </w:p>
        </w:tc>
        <w:tc>
          <w:tcPr>
            <w:tcW w:w="2140" w:type="dxa"/>
            <w:vAlign w:val="bottom"/>
          </w:tcPr>
          <w:p>
            <w:pPr>
              <w:ind w:left="1080"/>
              <w:spacing w:after="0" w:line="157" w:lineRule="exact"/>
              <w:rPr>
                <w:sz w:val="20"/>
                <w:szCs w:val="20"/>
                <w:color w:val="auto"/>
              </w:rPr>
            </w:pPr>
            <w:r>
              <w:rPr>
                <w:rFonts w:ascii="Arial" w:cs="Arial" w:eastAsia="Arial" w:hAnsi="Arial"/>
                <w:sz w:val="14"/>
                <w:szCs w:val="14"/>
                <w:b w:val="1"/>
                <w:bCs w:val="1"/>
                <w:color w:val="292F72"/>
              </w:rPr>
              <w:t>RSU AWARD</w:t>
            </w:r>
          </w:p>
        </w:tc>
        <w:tc>
          <w:tcPr>
            <w:tcW w:w="1300" w:type="dxa"/>
            <w:vAlign w:val="bottom"/>
          </w:tcPr>
          <w:p>
            <w:pPr>
              <w:ind w:left="120"/>
              <w:spacing w:after="0" w:line="157" w:lineRule="exact"/>
              <w:rPr>
                <w:sz w:val="20"/>
                <w:szCs w:val="20"/>
                <w:color w:val="auto"/>
              </w:rPr>
            </w:pPr>
            <w:r>
              <w:rPr>
                <w:rFonts w:ascii="Arial" w:cs="Arial" w:eastAsia="Arial" w:hAnsi="Arial"/>
                <w:sz w:val="14"/>
                <w:szCs w:val="14"/>
                <w:b w:val="1"/>
                <w:bCs w:val="1"/>
                <w:color w:val="292F72"/>
              </w:rPr>
              <w:t>PSU AWARD</w:t>
            </w:r>
          </w:p>
        </w:tc>
        <w:tc>
          <w:tcPr>
            <w:tcW w:w="1280" w:type="dxa"/>
            <w:vAlign w:val="bottom"/>
          </w:tcPr>
          <w:p>
            <w:pPr>
              <w:jc w:val="center"/>
              <w:spacing w:after="0" w:line="157" w:lineRule="exact"/>
              <w:rPr>
                <w:sz w:val="20"/>
                <w:szCs w:val="20"/>
                <w:color w:val="auto"/>
              </w:rPr>
            </w:pPr>
            <w:r>
              <w:rPr>
                <w:rFonts w:ascii="Arial" w:cs="Arial" w:eastAsia="Arial" w:hAnsi="Arial"/>
                <w:sz w:val="14"/>
                <w:szCs w:val="14"/>
                <w:b w:val="1"/>
                <w:bCs w:val="1"/>
                <w:color w:val="292F72"/>
                <w:w w:val="97"/>
              </w:rPr>
              <w:t>AWARD VALUE</w:t>
            </w:r>
          </w:p>
        </w:tc>
        <w:tc>
          <w:tcPr>
            <w:tcW w:w="1100" w:type="dxa"/>
            <w:vAlign w:val="bottom"/>
          </w:tcPr>
          <w:p>
            <w:pPr>
              <w:ind w:left="140"/>
              <w:spacing w:after="0" w:line="157" w:lineRule="exact"/>
              <w:rPr>
                <w:sz w:val="20"/>
                <w:szCs w:val="20"/>
                <w:color w:val="auto"/>
              </w:rPr>
            </w:pPr>
            <w:r>
              <w:rPr>
                <w:rFonts w:ascii="Arial" w:cs="Arial" w:eastAsia="Arial" w:hAnsi="Arial"/>
                <w:sz w:val="14"/>
                <w:szCs w:val="14"/>
                <w:b w:val="1"/>
                <w:bCs w:val="1"/>
                <w:color w:val="292F72"/>
              </w:rPr>
              <w:t>AWARD</w:t>
            </w:r>
          </w:p>
        </w:tc>
        <w:tc>
          <w:tcPr>
            <w:tcW w:w="0" w:type="dxa"/>
            <w:vAlign w:val="bottom"/>
          </w:tcPr>
          <w:p>
            <w:pPr>
              <w:spacing w:after="0"/>
              <w:rPr>
                <w:sz w:val="1"/>
                <w:szCs w:val="1"/>
                <w:color w:val="auto"/>
              </w:rPr>
            </w:pPr>
          </w:p>
        </w:tc>
      </w:tr>
      <w:tr>
        <w:trPr>
          <w:trHeight w:val="232"/>
        </w:trPr>
        <w:tc>
          <w:tcPr>
            <w:tcW w:w="3220" w:type="dxa"/>
            <w:vAlign w:val="bottom"/>
            <w:tcBorders>
              <w:bottom w:val="single" w:sz="8" w:color="292F72"/>
            </w:tcBorders>
            <w:vMerge w:val="continue"/>
          </w:tcPr>
          <w:p>
            <w:pPr>
              <w:spacing w:after="0"/>
              <w:rPr>
                <w:sz w:val="20"/>
                <w:szCs w:val="20"/>
                <w:color w:val="auto"/>
              </w:rPr>
            </w:pPr>
          </w:p>
        </w:tc>
        <w:tc>
          <w:tcPr>
            <w:tcW w:w="2140" w:type="dxa"/>
            <w:vAlign w:val="bottom"/>
            <w:tcBorders>
              <w:bottom w:val="single" w:sz="8" w:color="292F72"/>
            </w:tcBorders>
          </w:tcPr>
          <w:p>
            <w:pPr>
              <w:jc w:val="right"/>
              <w:ind w:right="426"/>
              <w:spacing w:after="0"/>
              <w:rPr>
                <w:sz w:val="20"/>
                <w:szCs w:val="20"/>
                <w:color w:val="auto"/>
              </w:rPr>
            </w:pPr>
            <w:r>
              <w:rPr>
                <w:rFonts w:ascii="Arial" w:cs="Arial" w:eastAsia="Arial" w:hAnsi="Arial"/>
                <w:sz w:val="14"/>
                <w:szCs w:val="14"/>
                <w:b w:val="1"/>
                <w:bCs w:val="1"/>
                <w:color w:val="292F72"/>
              </w:rPr>
              <w:t>($)</w:t>
            </w:r>
          </w:p>
        </w:tc>
        <w:tc>
          <w:tcPr>
            <w:tcW w:w="1300" w:type="dxa"/>
            <w:vAlign w:val="bottom"/>
            <w:tcBorders>
              <w:bottom w:val="single" w:sz="8" w:color="292F72"/>
            </w:tcBorders>
          </w:tcPr>
          <w:p>
            <w:pPr>
              <w:jc w:val="right"/>
              <w:ind w:right="486"/>
              <w:spacing w:after="0"/>
              <w:rPr>
                <w:sz w:val="20"/>
                <w:szCs w:val="20"/>
                <w:color w:val="auto"/>
              </w:rPr>
            </w:pPr>
            <w:r>
              <w:rPr>
                <w:rFonts w:ascii="Arial" w:cs="Arial" w:eastAsia="Arial" w:hAnsi="Arial"/>
                <w:sz w:val="14"/>
                <w:szCs w:val="14"/>
                <w:b w:val="1"/>
                <w:bCs w:val="1"/>
                <w:color w:val="292F72"/>
              </w:rPr>
              <w:t>($)</w:t>
            </w:r>
          </w:p>
        </w:tc>
        <w:tc>
          <w:tcPr>
            <w:tcW w:w="1280" w:type="dxa"/>
            <w:vAlign w:val="bottom"/>
            <w:tcBorders>
              <w:bottom w:val="single" w:sz="8" w:color="292F72"/>
            </w:tcBorders>
          </w:tcPr>
          <w:p>
            <w:pPr>
              <w:jc w:val="right"/>
              <w:ind w:right="466"/>
              <w:spacing w:after="0"/>
              <w:rPr>
                <w:sz w:val="20"/>
                <w:szCs w:val="20"/>
                <w:color w:val="auto"/>
              </w:rPr>
            </w:pPr>
            <w:r>
              <w:rPr>
                <w:rFonts w:ascii="Arial" w:cs="Arial" w:eastAsia="Arial" w:hAnsi="Arial"/>
                <w:sz w:val="14"/>
                <w:szCs w:val="14"/>
                <w:b w:val="1"/>
                <w:bCs w:val="1"/>
                <w:color w:val="292F72"/>
              </w:rPr>
              <w:t>($)</w:t>
            </w:r>
          </w:p>
        </w:tc>
        <w:tc>
          <w:tcPr>
            <w:tcW w:w="1100" w:type="dxa"/>
            <w:vAlign w:val="bottom"/>
            <w:tcBorders>
              <w:bottom w:val="single" w:sz="8" w:color="292F72"/>
            </w:tcBorders>
          </w:tcPr>
          <w:p>
            <w:pPr>
              <w:jc w:val="center"/>
              <w:ind w:left="26"/>
              <w:spacing w:after="0"/>
              <w:rPr>
                <w:sz w:val="20"/>
                <w:szCs w:val="20"/>
                <w:color w:val="auto"/>
              </w:rPr>
            </w:pPr>
            <w:r>
              <w:rPr>
                <w:rFonts w:ascii="Arial" w:cs="Arial" w:eastAsia="Arial" w:hAnsi="Arial"/>
                <w:sz w:val="14"/>
                <w:szCs w:val="14"/>
                <w:b w:val="1"/>
                <w:bCs w:val="1"/>
                <w:color w:val="292F72"/>
                <w:w w:val="93"/>
              </w:rPr>
              <w:t>($)</w:t>
            </w:r>
          </w:p>
        </w:tc>
        <w:tc>
          <w:tcPr>
            <w:tcW w:w="0" w:type="dxa"/>
            <w:vAlign w:val="bottom"/>
          </w:tcPr>
          <w:p>
            <w:pPr>
              <w:spacing w:after="0"/>
              <w:rPr>
                <w:sz w:val="1"/>
                <w:szCs w:val="1"/>
                <w:color w:val="auto"/>
              </w:rPr>
            </w:pPr>
          </w:p>
        </w:tc>
      </w:tr>
      <w:tr>
        <w:trPr>
          <w:trHeight w:val="261"/>
        </w:trPr>
        <w:tc>
          <w:tcPr>
            <w:tcW w:w="3220" w:type="dxa"/>
            <w:vAlign w:val="bottom"/>
          </w:tcPr>
          <w:p>
            <w:pPr>
              <w:spacing w:after="0"/>
              <w:rPr>
                <w:sz w:val="20"/>
                <w:szCs w:val="20"/>
                <w:color w:val="auto"/>
              </w:rPr>
            </w:pPr>
            <w:r>
              <w:rPr>
                <w:rFonts w:ascii="Arial" w:cs="Arial" w:eastAsia="Arial" w:hAnsi="Arial"/>
                <w:sz w:val="16"/>
                <w:szCs w:val="16"/>
                <w:b w:val="1"/>
                <w:bCs w:val="1"/>
                <w:color w:val="auto"/>
              </w:rPr>
              <w:t>Mr. Heaf</w:t>
            </w:r>
          </w:p>
        </w:tc>
        <w:tc>
          <w:tcPr>
            <w:tcW w:w="2140" w:type="dxa"/>
            <w:vAlign w:val="bottom"/>
          </w:tcPr>
          <w:p>
            <w:pPr>
              <w:jc w:val="right"/>
              <w:ind w:right="186"/>
              <w:spacing w:after="0"/>
              <w:rPr>
                <w:sz w:val="20"/>
                <w:szCs w:val="20"/>
                <w:color w:val="auto"/>
              </w:rPr>
            </w:pPr>
            <w:r>
              <w:rPr>
                <w:rFonts w:ascii="Arial" w:cs="Arial" w:eastAsia="Arial" w:hAnsi="Arial"/>
                <w:sz w:val="16"/>
                <w:szCs w:val="16"/>
                <w:color w:val="auto"/>
              </w:rPr>
              <w:t>2,368,681</w:t>
            </w:r>
          </w:p>
        </w:tc>
        <w:tc>
          <w:tcPr>
            <w:tcW w:w="1300" w:type="dxa"/>
            <w:vAlign w:val="bottom"/>
          </w:tcPr>
          <w:p>
            <w:pPr>
              <w:jc w:val="right"/>
              <w:ind w:right="246"/>
              <w:spacing w:after="0"/>
              <w:rPr>
                <w:sz w:val="20"/>
                <w:szCs w:val="20"/>
                <w:color w:val="auto"/>
              </w:rPr>
            </w:pPr>
            <w:r>
              <w:rPr>
                <w:rFonts w:ascii="Arial" w:cs="Arial" w:eastAsia="Arial" w:hAnsi="Arial"/>
                <w:sz w:val="16"/>
                <w:szCs w:val="16"/>
                <w:color w:val="auto"/>
              </w:rPr>
              <w:t>2,675,090</w:t>
            </w:r>
          </w:p>
        </w:tc>
        <w:tc>
          <w:tcPr>
            <w:tcW w:w="1280" w:type="dxa"/>
            <w:vAlign w:val="bottom"/>
          </w:tcPr>
          <w:p>
            <w:pPr>
              <w:jc w:val="center"/>
              <w:spacing w:after="0"/>
              <w:rPr>
                <w:sz w:val="20"/>
                <w:szCs w:val="20"/>
                <w:color w:val="auto"/>
              </w:rPr>
            </w:pPr>
            <w:r>
              <w:rPr>
                <w:rFonts w:ascii="Arial" w:cs="Arial" w:eastAsia="Arial" w:hAnsi="Arial"/>
                <w:sz w:val="16"/>
                <w:szCs w:val="16"/>
                <w:color w:val="auto"/>
                <w:w w:val="98"/>
              </w:rPr>
              <w:t>5,043,771</w:t>
            </w:r>
          </w:p>
        </w:tc>
        <w:tc>
          <w:tcPr>
            <w:tcW w:w="1100" w:type="dxa"/>
            <w:vAlign w:val="bottom"/>
          </w:tcPr>
          <w:p>
            <w:pPr>
              <w:jc w:val="center"/>
              <w:ind w:left="6"/>
              <w:spacing w:after="0"/>
              <w:rPr>
                <w:sz w:val="20"/>
                <w:szCs w:val="20"/>
                <w:color w:val="auto"/>
              </w:rPr>
            </w:pPr>
            <w:r>
              <w:rPr>
                <w:rFonts w:ascii="Arial" w:cs="Arial" w:eastAsia="Arial" w:hAnsi="Arial"/>
                <w:sz w:val="16"/>
                <w:szCs w:val="16"/>
                <w:color w:val="auto"/>
                <w:w w:val="98"/>
              </w:rPr>
              <w:t>5,350,180</w:t>
            </w:r>
          </w:p>
        </w:tc>
        <w:tc>
          <w:tcPr>
            <w:tcW w:w="0" w:type="dxa"/>
            <w:vAlign w:val="bottom"/>
          </w:tcPr>
          <w:p>
            <w:pPr>
              <w:spacing w:after="0"/>
              <w:rPr>
                <w:sz w:val="1"/>
                <w:szCs w:val="1"/>
                <w:color w:val="auto"/>
              </w:rPr>
            </w:pPr>
          </w:p>
        </w:tc>
      </w:tr>
      <w:tr>
        <w:trPr>
          <w:trHeight w:val="47"/>
        </w:trPr>
        <w:tc>
          <w:tcPr>
            <w:tcW w:w="3220" w:type="dxa"/>
            <w:vAlign w:val="bottom"/>
            <w:tcBorders>
              <w:bottom w:val="single" w:sz="8" w:color="6D8CC3"/>
            </w:tcBorders>
          </w:tcPr>
          <w:p>
            <w:pPr>
              <w:spacing w:after="0"/>
              <w:rPr>
                <w:sz w:val="4"/>
                <w:szCs w:val="4"/>
                <w:color w:val="auto"/>
              </w:rPr>
            </w:pPr>
          </w:p>
        </w:tc>
        <w:tc>
          <w:tcPr>
            <w:tcW w:w="2140" w:type="dxa"/>
            <w:vAlign w:val="bottom"/>
            <w:tcBorders>
              <w:bottom w:val="single" w:sz="8" w:color="6D8CC3"/>
            </w:tcBorders>
          </w:tcPr>
          <w:p>
            <w:pPr>
              <w:spacing w:after="0"/>
              <w:rPr>
                <w:sz w:val="4"/>
                <w:szCs w:val="4"/>
                <w:color w:val="auto"/>
              </w:rPr>
            </w:pPr>
          </w:p>
        </w:tc>
        <w:tc>
          <w:tcPr>
            <w:tcW w:w="1300" w:type="dxa"/>
            <w:vAlign w:val="bottom"/>
            <w:tcBorders>
              <w:bottom w:val="single" w:sz="8" w:color="6D8CC3"/>
            </w:tcBorders>
          </w:tcPr>
          <w:p>
            <w:pPr>
              <w:spacing w:after="0"/>
              <w:rPr>
                <w:sz w:val="4"/>
                <w:szCs w:val="4"/>
                <w:color w:val="auto"/>
              </w:rPr>
            </w:pPr>
          </w:p>
        </w:tc>
        <w:tc>
          <w:tcPr>
            <w:tcW w:w="1280" w:type="dxa"/>
            <w:vAlign w:val="bottom"/>
            <w:tcBorders>
              <w:bottom w:val="single" w:sz="8" w:color="6D8CC3"/>
            </w:tcBorders>
          </w:tcPr>
          <w:p>
            <w:pPr>
              <w:spacing w:after="0"/>
              <w:rPr>
                <w:sz w:val="4"/>
                <w:szCs w:val="4"/>
                <w:color w:val="auto"/>
              </w:rPr>
            </w:pPr>
          </w:p>
        </w:tc>
        <w:tc>
          <w:tcPr>
            <w:tcW w:w="1100" w:type="dxa"/>
            <w:vAlign w:val="bottom"/>
            <w:tcBorders>
              <w:bottom w:val="single" w:sz="8" w:color="6D8CC3"/>
            </w:tcBorders>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3220" w:type="dxa"/>
            <w:vAlign w:val="bottom"/>
          </w:tcPr>
          <w:p>
            <w:pPr>
              <w:spacing w:after="0"/>
              <w:rPr>
                <w:sz w:val="20"/>
                <w:szCs w:val="20"/>
                <w:color w:val="auto"/>
              </w:rPr>
            </w:pPr>
            <w:r>
              <w:rPr>
                <w:rFonts w:ascii="Arial" w:cs="Arial" w:eastAsia="Arial" w:hAnsi="Arial"/>
                <w:sz w:val="16"/>
                <w:szCs w:val="16"/>
                <w:b w:val="1"/>
                <w:bCs w:val="1"/>
                <w:color w:val="auto"/>
              </w:rPr>
              <w:t>Ms. Boratto</w:t>
            </w:r>
          </w:p>
        </w:tc>
        <w:tc>
          <w:tcPr>
            <w:tcW w:w="2140" w:type="dxa"/>
            <w:vAlign w:val="bottom"/>
          </w:tcPr>
          <w:p>
            <w:pPr>
              <w:jc w:val="right"/>
              <w:ind w:right="186"/>
              <w:spacing w:after="0"/>
              <w:rPr>
                <w:sz w:val="20"/>
                <w:szCs w:val="20"/>
                <w:color w:val="auto"/>
              </w:rPr>
            </w:pPr>
            <w:r>
              <w:rPr>
                <w:rFonts w:ascii="Arial" w:cs="Arial" w:eastAsia="Arial" w:hAnsi="Arial"/>
                <w:sz w:val="16"/>
                <w:szCs w:val="16"/>
                <w:color w:val="auto"/>
              </w:rPr>
              <w:t>1,345,364</w:t>
            </w:r>
          </w:p>
        </w:tc>
        <w:tc>
          <w:tcPr>
            <w:tcW w:w="1300" w:type="dxa"/>
            <w:vAlign w:val="bottom"/>
          </w:tcPr>
          <w:p>
            <w:pPr>
              <w:jc w:val="right"/>
              <w:ind w:right="246"/>
              <w:spacing w:after="0"/>
              <w:rPr>
                <w:sz w:val="20"/>
                <w:szCs w:val="20"/>
                <w:color w:val="auto"/>
              </w:rPr>
            </w:pPr>
            <w:r>
              <w:rPr>
                <w:rFonts w:ascii="Arial" w:cs="Arial" w:eastAsia="Arial" w:hAnsi="Arial"/>
                <w:sz w:val="16"/>
                <w:szCs w:val="16"/>
                <w:color w:val="auto"/>
              </w:rPr>
              <w:t>1,535,197</w:t>
            </w:r>
          </w:p>
        </w:tc>
        <w:tc>
          <w:tcPr>
            <w:tcW w:w="1280" w:type="dxa"/>
            <w:vAlign w:val="bottom"/>
          </w:tcPr>
          <w:p>
            <w:pPr>
              <w:jc w:val="center"/>
              <w:spacing w:after="0"/>
              <w:rPr>
                <w:sz w:val="20"/>
                <w:szCs w:val="20"/>
                <w:color w:val="auto"/>
              </w:rPr>
            </w:pPr>
            <w:r>
              <w:rPr>
                <w:rFonts w:ascii="Arial" w:cs="Arial" w:eastAsia="Arial" w:hAnsi="Arial"/>
                <w:sz w:val="16"/>
                <w:szCs w:val="16"/>
                <w:color w:val="auto"/>
                <w:w w:val="98"/>
              </w:rPr>
              <w:t>2,880,561</w:t>
            </w:r>
          </w:p>
        </w:tc>
        <w:tc>
          <w:tcPr>
            <w:tcW w:w="1100" w:type="dxa"/>
            <w:vAlign w:val="bottom"/>
          </w:tcPr>
          <w:p>
            <w:pPr>
              <w:jc w:val="center"/>
              <w:ind w:left="6"/>
              <w:spacing w:after="0"/>
              <w:rPr>
                <w:sz w:val="20"/>
                <w:szCs w:val="20"/>
                <w:color w:val="auto"/>
              </w:rPr>
            </w:pPr>
            <w:r>
              <w:rPr>
                <w:rFonts w:ascii="Arial" w:cs="Arial" w:eastAsia="Arial" w:hAnsi="Arial"/>
                <w:sz w:val="16"/>
                <w:szCs w:val="16"/>
                <w:color w:val="auto"/>
                <w:w w:val="98"/>
              </w:rPr>
              <w:t>3,070,394</w:t>
            </w:r>
          </w:p>
        </w:tc>
        <w:tc>
          <w:tcPr>
            <w:tcW w:w="0" w:type="dxa"/>
            <w:vAlign w:val="bottom"/>
          </w:tcPr>
          <w:p>
            <w:pPr>
              <w:spacing w:after="0"/>
              <w:rPr>
                <w:sz w:val="1"/>
                <w:szCs w:val="1"/>
                <w:color w:val="auto"/>
              </w:rPr>
            </w:pPr>
          </w:p>
        </w:tc>
      </w:tr>
      <w:tr>
        <w:trPr>
          <w:trHeight w:val="47"/>
        </w:trPr>
        <w:tc>
          <w:tcPr>
            <w:tcW w:w="3220" w:type="dxa"/>
            <w:vAlign w:val="bottom"/>
            <w:tcBorders>
              <w:bottom w:val="single" w:sz="8" w:color="6D8CC3"/>
            </w:tcBorders>
          </w:tcPr>
          <w:p>
            <w:pPr>
              <w:spacing w:after="0"/>
              <w:rPr>
                <w:sz w:val="4"/>
                <w:szCs w:val="4"/>
                <w:color w:val="auto"/>
              </w:rPr>
            </w:pPr>
          </w:p>
        </w:tc>
        <w:tc>
          <w:tcPr>
            <w:tcW w:w="2140" w:type="dxa"/>
            <w:vAlign w:val="bottom"/>
            <w:tcBorders>
              <w:bottom w:val="single" w:sz="8" w:color="6D8CC3"/>
            </w:tcBorders>
          </w:tcPr>
          <w:p>
            <w:pPr>
              <w:spacing w:after="0"/>
              <w:rPr>
                <w:sz w:val="4"/>
                <w:szCs w:val="4"/>
                <w:color w:val="auto"/>
              </w:rPr>
            </w:pPr>
          </w:p>
        </w:tc>
        <w:tc>
          <w:tcPr>
            <w:tcW w:w="1300" w:type="dxa"/>
            <w:vAlign w:val="bottom"/>
            <w:tcBorders>
              <w:bottom w:val="single" w:sz="8" w:color="6D8CC3"/>
            </w:tcBorders>
          </w:tcPr>
          <w:p>
            <w:pPr>
              <w:spacing w:after="0"/>
              <w:rPr>
                <w:sz w:val="4"/>
                <w:szCs w:val="4"/>
                <w:color w:val="auto"/>
              </w:rPr>
            </w:pPr>
          </w:p>
        </w:tc>
        <w:tc>
          <w:tcPr>
            <w:tcW w:w="1280" w:type="dxa"/>
            <w:vAlign w:val="bottom"/>
            <w:tcBorders>
              <w:bottom w:val="single" w:sz="8" w:color="6D8CC3"/>
            </w:tcBorders>
          </w:tcPr>
          <w:p>
            <w:pPr>
              <w:spacing w:after="0"/>
              <w:rPr>
                <w:sz w:val="4"/>
                <w:szCs w:val="4"/>
                <w:color w:val="auto"/>
              </w:rPr>
            </w:pPr>
          </w:p>
        </w:tc>
        <w:tc>
          <w:tcPr>
            <w:tcW w:w="1100" w:type="dxa"/>
            <w:vAlign w:val="bottom"/>
            <w:tcBorders>
              <w:bottom w:val="single" w:sz="8" w:color="6D8CC3"/>
            </w:tcBorders>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3220" w:type="dxa"/>
            <w:vAlign w:val="bottom"/>
          </w:tcPr>
          <w:p>
            <w:pPr>
              <w:spacing w:after="0"/>
              <w:rPr>
                <w:sz w:val="20"/>
                <w:szCs w:val="20"/>
                <w:color w:val="auto"/>
              </w:rPr>
            </w:pPr>
            <w:r>
              <w:rPr>
                <w:rFonts w:ascii="Arial" w:cs="Arial" w:eastAsia="Arial" w:hAnsi="Arial"/>
                <w:sz w:val="16"/>
                <w:szCs w:val="16"/>
                <w:b w:val="1"/>
                <w:bCs w:val="1"/>
                <w:color w:val="auto"/>
              </w:rPr>
              <w:t>Mr. Mazurek</w:t>
            </w:r>
          </w:p>
        </w:tc>
        <w:tc>
          <w:tcPr>
            <w:tcW w:w="2140" w:type="dxa"/>
            <w:vAlign w:val="bottom"/>
          </w:tcPr>
          <w:p>
            <w:pPr>
              <w:jc w:val="right"/>
              <w:ind w:right="186"/>
              <w:spacing w:after="0"/>
              <w:rPr>
                <w:sz w:val="20"/>
                <w:szCs w:val="20"/>
                <w:color w:val="auto"/>
              </w:rPr>
            </w:pPr>
            <w:r>
              <w:rPr>
                <w:rFonts w:ascii="Arial" w:cs="Arial" w:eastAsia="Arial" w:hAnsi="Arial"/>
                <w:sz w:val="16"/>
                <w:szCs w:val="16"/>
                <w:color w:val="auto"/>
              </w:rPr>
              <w:t>823,743</w:t>
            </w:r>
          </w:p>
        </w:tc>
        <w:tc>
          <w:tcPr>
            <w:tcW w:w="1300" w:type="dxa"/>
            <w:vAlign w:val="bottom"/>
          </w:tcPr>
          <w:p>
            <w:pPr>
              <w:jc w:val="right"/>
              <w:ind w:right="246"/>
              <w:spacing w:after="0"/>
              <w:rPr>
                <w:sz w:val="20"/>
                <w:szCs w:val="20"/>
                <w:color w:val="auto"/>
              </w:rPr>
            </w:pPr>
            <w:r>
              <w:rPr>
                <w:rFonts w:ascii="Arial" w:cs="Arial" w:eastAsia="Arial" w:hAnsi="Arial"/>
                <w:sz w:val="16"/>
                <w:szCs w:val="16"/>
                <w:color w:val="auto"/>
              </w:rPr>
              <w:t>939,974</w:t>
            </w:r>
          </w:p>
        </w:tc>
        <w:tc>
          <w:tcPr>
            <w:tcW w:w="1280" w:type="dxa"/>
            <w:vAlign w:val="bottom"/>
          </w:tcPr>
          <w:p>
            <w:pPr>
              <w:jc w:val="center"/>
              <w:spacing w:after="0"/>
              <w:rPr>
                <w:sz w:val="20"/>
                <w:szCs w:val="20"/>
                <w:color w:val="auto"/>
              </w:rPr>
            </w:pPr>
            <w:r>
              <w:rPr>
                <w:rFonts w:ascii="Arial" w:cs="Arial" w:eastAsia="Arial" w:hAnsi="Arial"/>
                <w:sz w:val="16"/>
                <w:szCs w:val="16"/>
                <w:color w:val="auto"/>
                <w:w w:val="98"/>
              </w:rPr>
              <w:t>1,763,717</w:t>
            </w:r>
          </w:p>
        </w:tc>
        <w:tc>
          <w:tcPr>
            <w:tcW w:w="1100" w:type="dxa"/>
            <w:vAlign w:val="bottom"/>
          </w:tcPr>
          <w:p>
            <w:pPr>
              <w:jc w:val="center"/>
              <w:ind w:left="6"/>
              <w:spacing w:after="0"/>
              <w:rPr>
                <w:sz w:val="20"/>
                <w:szCs w:val="20"/>
                <w:color w:val="auto"/>
              </w:rPr>
            </w:pPr>
            <w:r>
              <w:rPr>
                <w:rFonts w:ascii="Arial" w:cs="Arial" w:eastAsia="Arial" w:hAnsi="Arial"/>
                <w:sz w:val="16"/>
                <w:szCs w:val="16"/>
                <w:color w:val="auto"/>
                <w:w w:val="98"/>
              </w:rPr>
              <w:t>1,879,948</w:t>
            </w:r>
          </w:p>
        </w:tc>
        <w:tc>
          <w:tcPr>
            <w:tcW w:w="0" w:type="dxa"/>
            <w:vAlign w:val="bottom"/>
          </w:tcPr>
          <w:p>
            <w:pPr>
              <w:spacing w:after="0"/>
              <w:rPr>
                <w:sz w:val="1"/>
                <w:szCs w:val="1"/>
                <w:color w:val="auto"/>
              </w:rPr>
            </w:pPr>
          </w:p>
        </w:tc>
      </w:tr>
      <w:tr>
        <w:trPr>
          <w:trHeight w:val="47"/>
        </w:trPr>
        <w:tc>
          <w:tcPr>
            <w:tcW w:w="3220" w:type="dxa"/>
            <w:vAlign w:val="bottom"/>
            <w:tcBorders>
              <w:bottom w:val="single" w:sz="8" w:color="6D8CC3"/>
            </w:tcBorders>
          </w:tcPr>
          <w:p>
            <w:pPr>
              <w:spacing w:after="0"/>
              <w:rPr>
                <w:sz w:val="4"/>
                <w:szCs w:val="4"/>
                <w:color w:val="auto"/>
              </w:rPr>
            </w:pPr>
          </w:p>
        </w:tc>
        <w:tc>
          <w:tcPr>
            <w:tcW w:w="2140" w:type="dxa"/>
            <w:vAlign w:val="bottom"/>
            <w:tcBorders>
              <w:bottom w:val="single" w:sz="8" w:color="6D8CC3"/>
            </w:tcBorders>
          </w:tcPr>
          <w:p>
            <w:pPr>
              <w:spacing w:after="0"/>
              <w:rPr>
                <w:sz w:val="4"/>
                <w:szCs w:val="4"/>
                <w:color w:val="auto"/>
              </w:rPr>
            </w:pPr>
          </w:p>
        </w:tc>
        <w:tc>
          <w:tcPr>
            <w:tcW w:w="1300" w:type="dxa"/>
            <w:vAlign w:val="bottom"/>
            <w:tcBorders>
              <w:bottom w:val="single" w:sz="8" w:color="6D8CC3"/>
            </w:tcBorders>
          </w:tcPr>
          <w:p>
            <w:pPr>
              <w:spacing w:after="0"/>
              <w:rPr>
                <w:sz w:val="4"/>
                <w:szCs w:val="4"/>
                <w:color w:val="auto"/>
              </w:rPr>
            </w:pPr>
          </w:p>
        </w:tc>
        <w:tc>
          <w:tcPr>
            <w:tcW w:w="1280" w:type="dxa"/>
            <w:vAlign w:val="bottom"/>
            <w:tcBorders>
              <w:bottom w:val="single" w:sz="8" w:color="6D8CC3"/>
            </w:tcBorders>
          </w:tcPr>
          <w:p>
            <w:pPr>
              <w:spacing w:after="0"/>
              <w:rPr>
                <w:sz w:val="4"/>
                <w:szCs w:val="4"/>
                <w:color w:val="auto"/>
              </w:rPr>
            </w:pPr>
          </w:p>
        </w:tc>
        <w:tc>
          <w:tcPr>
            <w:tcW w:w="1100" w:type="dxa"/>
            <w:vAlign w:val="bottom"/>
            <w:tcBorders>
              <w:bottom w:val="single" w:sz="8" w:color="6D8CC3"/>
            </w:tcBorders>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3220" w:type="dxa"/>
            <w:vAlign w:val="bottom"/>
          </w:tcPr>
          <w:p>
            <w:pPr>
              <w:spacing w:after="0"/>
              <w:rPr>
                <w:sz w:val="20"/>
                <w:szCs w:val="20"/>
                <w:color w:val="auto"/>
              </w:rPr>
            </w:pPr>
            <w:r>
              <w:rPr>
                <w:rFonts w:ascii="Arial" w:cs="Arial" w:eastAsia="Arial" w:hAnsi="Arial"/>
                <w:sz w:val="16"/>
                <w:szCs w:val="16"/>
                <w:b w:val="1"/>
                <w:bCs w:val="1"/>
                <w:color w:val="auto"/>
              </w:rPr>
              <w:t>Mr. Wu</w:t>
            </w:r>
          </w:p>
        </w:tc>
        <w:tc>
          <w:tcPr>
            <w:tcW w:w="2140" w:type="dxa"/>
            <w:vAlign w:val="bottom"/>
          </w:tcPr>
          <w:p>
            <w:pPr>
              <w:jc w:val="right"/>
              <w:ind w:right="186"/>
              <w:spacing w:after="0"/>
              <w:rPr>
                <w:sz w:val="20"/>
                <w:szCs w:val="20"/>
                <w:color w:val="auto"/>
              </w:rPr>
            </w:pPr>
            <w:r>
              <w:rPr>
                <w:rFonts w:ascii="Arial" w:cs="Arial" w:eastAsia="Arial" w:hAnsi="Arial"/>
                <w:sz w:val="16"/>
                <w:szCs w:val="16"/>
                <w:color w:val="auto"/>
              </w:rPr>
              <w:t>760,944</w:t>
            </w:r>
          </w:p>
        </w:tc>
        <w:tc>
          <w:tcPr>
            <w:tcW w:w="1300" w:type="dxa"/>
            <w:vAlign w:val="bottom"/>
          </w:tcPr>
          <w:p>
            <w:pPr>
              <w:jc w:val="right"/>
              <w:ind w:right="246"/>
              <w:spacing w:after="0"/>
              <w:rPr>
                <w:sz w:val="20"/>
                <w:szCs w:val="20"/>
                <w:color w:val="auto"/>
              </w:rPr>
            </w:pPr>
            <w:r>
              <w:rPr>
                <w:rFonts w:ascii="Arial" w:cs="Arial" w:eastAsia="Arial" w:hAnsi="Arial"/>
                <w:sz w:val="16"/>
                <w:szCs w:val="16"/>
                <w:color w:val="auto"/>
              </w:rPr>
              <w:t>868,314</w:t>
            </w:r>
          </w:p>
        </w:tc>
        <w:tc>
          <w:tcPr>
            <w:tcW w:w="1280" w:type="dxa"/>
            <w:vAlign w:val="bottom"/>
          </w:tcPr>
          <w:p>
            <w:pPr>
              <w:jc w:val="center"/>
              <w:spacing w:after="0"/>
              <w:rPr>
                <w:sz w:val="20"/>
                <w:szCs w:val="20"/>
                <w:color w:val="auto"/>
              </w:rPr>
            </w:pPr>
            <w:r>
              <w:rPr>
                <w:rFonts w:ascii="Arial" w:cs="Arial" w:eastAsia="Arial" w:hAnsi="Arial"/>
                <w:sz w:val="16"/>
                <w:szCs w:val="16"/>
                <w:color w:val="auto"/>
                <w:w w:val="98"/>
              </w:rPr>
              <w:t>1,629,258</w:t>
            </w:r>
          </w:p>
        </w:tc>
        <w:tc>
          <w:tcPr>
            <w:tcW w:w="1100" w:type="dxa"/>
            <w:vAlign w:val="bottom"/>
          </w:tcPr>
          <w:p>
            <w:pPr>
              <w:jc w:val="center"/>
              <w:ind w:left="6"/>
              <w:spacing w:after="0"/>
              <w:rPr>
                <w:sz w:val="20"/>
                <w:szCs w:val="20"/>
                <w:color w:val="auto"/>
              </w:rPr>
            </w:pPr>
            <w:r>
              <w:rPr>
                <w:rFonts w:ascii="Arial" w:cs="Arial" w:eastAsia="Arial" w:hAnsi="Arial"/>
                <w:sz w:val="16"/>
                <w:szCs w:val="16"/>
                <w:color w:val="auto"/>
                <w:w w:val="98"/>
              </w:rPr>
              <w:t>1,736,629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573722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737225" cy="8255"/>
                    </a:xfrm>
                    <a:prstGeom prst="rect">
                      <a:avLst/>
                    </a:prstGeom>
                    <a:noFill/>
                  </pic:spPr>
                </pic:pic>
              </a:graphicData>
            </a:graphic>
          </wp:anchor>
        </w:drawing>
      </w:r>
    </w:p>
    <w:p>
      <w:pPr>
        <w:spacing w:after="0" w:line="83" w:lineRule="exact"/>
        <w:rPr>
          <w:sz w:val="20"/>
          <w:szCs w:val="20"/>
          <w:color w:val="auto"/>
        </w:rPr>
      </w:pPr>
    </w:p>
    <w:p>
      <w:pPr>
        <w:ind w:left="260" w:right="180" w:hanging="256"/>
        <w:spacing w:after="0" w:line="269" w:lineRule="auto"/>
        <w:tabs>
          <w:tab w:leader="none" w:pos="2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In fiscal 2025, Ms. Boswell’s Value of Time-Vested RSU’s Awards was $3,002,277 and Target Value of Annual PSU Award was $5,138,871; with a total annual grant date value of $8,141,148.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109855</wp:posOffset>
            </wp:positionV>
            <wp:extent cx="573722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737225" cy="8255"/>
                    </a:xfrm>
                    <a:prstGeom prst="rect">
                      <a:avLst/>
                    </a:prstGeom>
                    <a:noFill/>
                  </pic:spPr>
                </pic:pic>
              </a:graphicData>
            </a:graphic>
          </wp:anchor>
        </w:drawing>
      </w:r>
    </w:p>
    <w:p>
      <w:pPr>
        <w:spacing w:after="0" w:line="249" w:lineRule="exact"/>
        <w:rPr>
          <w:sz w:val="20"/>
          <w:szCs w:val="20"/>
          <w:color w:val="auto"/>
        </w:rPr>
      </w:pPr>
    </w:p>
    <w:p>
      <w:pPr>
        <w:jc w:val="right"/>
        <w:spacing w:after="0"/>
        <w:rPr>
          <w:sz w:val="20"/>
          <w:szCs w:val="20"/>
          <w:color w:val="auto"/>
        </w:rPr>
      </w:pPr>
      <w:r>
        <w:rPr>
          <w:rFonts w:ascii="Arial" w:cs="Arial" w:eastAsia="Arial" w:hAnsi="Arial"/>
          <w:sz w:val="14"/>
          <w:szCs w:val="14"/>
          <w:color w:val="292F72"/>
        </w:rPr>
        <w:t>Bath &amp; Body Works, Inc.</w:t>
      </w:r>
      <w:r>
        <w:rPr>
          <w:rFonts w:ascii="Arial" w:cs="Arial" w:eastAsia="Arial" w:hAnsi="Arial"/>
          <w:sz w:val="14"/>
          <w:szCs w:val="14"/>
          <w:color w:val="6D8CC3"/>
        </w:rPr>
        <w:t xml:space="preserve">   | </w:t>
      </w:r>
      <w:r>
        <w:rPr>
          <w:rFonts w:ascii="Arial" w:cs="Arial" w:eastAsia="Arial" w:hAnsi="Arial"/>
          <w:sz w:val="14"/>
          <w:szCs w:val="14"/>
          <w:color w:val="292F72"/>
        </w:rPr>
        <w:t xml:space="preserve">  2026 Proxy Statement     </w:t>
      </w:r>
      <w:r>
        <w:rPr>
          <w:rFonts w:ascii="Arial" w:cs="Arial" w:eastAsia="Arial" w:hAnsi="Arial"/>
          <w:sz w:val="14"/>
          <w:szCs w:val="14"/>
          <w:b w:val="1"/>
          <w:bCs w:val="1"/>
          <w:color w:val="292F72"/>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153670</wp:posOffset>
            </wp:positionV>
            <wp:extent cx="6795135" cy="1651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795135" cy="16510"/>
                    </a:xfrm>
                    <a:prstGeom prst="rect">
                      <a:avLst/>
                    </a:prstGeom>
                    <a:noFill/>
                  </pic:spPr>
                </pic:pic>
              </a:graphicData>
            </a:graphic>
          </wp:anchor>
        </w:drawing>
      </w:r>
    </w:p>
    <w:p>
      <w:pPr>
        <w:sectPr>
          <w:pgSz w:w="11900" w:h="16838" w:orient="portrait"/>
          <w:cols w:equalWidth="0" w:num="1">
            <w:col w:w="9040"/>
          </w:cols>
          <w:pgMar w:left="1420" w:top="116" w:right="1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6"/>
          <w:szCs w:val="16"/>
          <w:color w:val="292F72"/>
        </w:rPr>
        <w:t>Compensation-Related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40640</wp:posOffset>
            </wp:positionV>
            <wp:extent cx="1407160" cy="3302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407160" cy="3302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Payout of 2022 Annual Award PSUs</w:t>
      </w:r>
    </w:p>
    <w:p>
      <w:pPr>
        <w:spacing w:after="0" w:line="54"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The annual PSUs that were granted in March 2022 to our named executive officers at that time (which included Mr. Mazurek and Mr. Wu) vested in 2025. Performance was evaluated based on a scale, and payout was interpolated between threshold, target and maximum levels as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186690</wp:posOffset>
            </wp:positionV>
            <wp:extent cx="5662295" cy="196532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662295" cy="1965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color w:val="auto"/>
        </w:rPr>
        <w:t>(1) For fiscal 2024, 2023 and 2022, the Company did not make any adjustments to operating income margin.</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2800" w:type="dxa"/>
            <w:vAlign w:val="bottom"/>
          </w:tcPr>
          <w:p>
            <w:pPr>
              <w:ind w:left="1560"/>
              <w:spacing w:after="0"/>
              <w:rPr>
                <w:sz w:val="20"/>
                <w:szCs w:val="20"/>
                <w:color w:val="auto"/>
              </w:rPr>
            </w:pPr>
            <w:r>
              <w:rPr>
                <w:rFonts w:ascii="Arial" w:cs="Arial" w:eastAsia="Arial" w:hAnsi="Arial"/>
                <w:sz w:val="14"/>
                <w:szCs w:val="14"/>
                <w:b w:val="1"/>
                <w:bCs w:val="1"/>
                <w:color w:val="292F72"/>
              </w:rPr>
              <w:t>TARGET FY22</w:t>
            </w:r>
          </w:p>
        </w:tc>
        <w:tc>
          <w:tcPr>
            <w:tcW w:w="1160" w:type="dxa"/>
            <w:vAlign w:val="bottom"/>
          </w:tcPr>
          <w:p>
            <w:pPr>
              <w:ind w:left="200"/>
              <w:spacing w:after="0"/>
              <w:rPr>
                <w:sz w:val="20"/>
                <w:szCs w:val="20"/>
                <w:color w:val="auto"/>
              </w:rPr>
            </w:pPr>
            <w:r>
              <w:rPr>
                <w:rFonts w:ascii="Arial" w:cs="Arial" w:eastAsia="Arial" w:hAnsi="Arial"/>
                <w:sz w:val="14"/>
                <w:szCs w:val="14"/>
                <w:b w:val="1"/>
                <w:bCs w:val="1"/>
                <w:color w:val="292F72"/>
                <w:w w:val="99"/>
              </w:rPr>
              <w:t>ACTUAL FY22</w:t>
            </w:r>
          </w:p>
        </w:tc>
      </w:tr>
      <w:tr>
        <w:trPr>
          <w:trHeight w:val="157"/>
        </w:trPr>
        <w:tc>
          <w:tcPr>
            <w:tcW w:w="5080" w:type="dxa"/>
            <w:vAlign w:val="bottom"/>
          </w:tcPr>
          <w:p>
            <w:pPr>
              <w:spacing w:after="0"/>
              <w:rPr>
                <w:sz w:val="13"/>
                <w:szCs w:val="13"/>
                <w:color w:val="auto"/>
              </w:rPr>
            </w:pPr>
          </w:p>
        </w:tc>
        <w:tc>
          <w:tcPr>
            <w:tcW w:w="2800" w:type="dxa"/>
            <w:vAlign w:val="bottom"/>
          </w:tcPr>
          <w:p>
            <w:pPr>
              <w:ind w:left="1560"/>
              <w:spacing w:after="0" w:line="157" w:lineRule="exact"/>
              <w:rPr>
                <w:sz w:val="20"/>
                <w:szCs w:val="20"/>
                <w:color w:val="auto"/>
              </w:rPr>
            </w:pPr>
            <w:r>
              <w:rPr>
                <w:rFonts w:ascii="Arial" w:cs="Arial" w:eastAsia="Arial" w:hAnsi="Arial"/>
                <w:sz w:val="14"/>
                <w:szCs w:val="14"/>
                <w:b w:val="1"/>
                <w:bCs w:val="1"/>
                <w:color w:val="292F72"/>
              </w:rPr>
              <w:t>PSU AWARDED</w:t>
            </w:r>
          </w:p>
        </w:tc>
        <w:tc>
          <w:tcPr>
            <w:tcW w:w="1160" w:type="dxa"/>
            <w:vAlign w:val="bottom"/>
          </w:tcPr>
          <w:p>
            <w:pPr>
              <w:ind w:left="200"/>
              <w:spacing w:after="0" w:line="157" w:lineRule="exact"/>
              <w:rPr>
                <w:sz w:val="20"/>
                <w:szCs w:val="20"/>
                <w:color w:val="auto"/>
              </w:rPr>
            </w:pPr>
            <w:r>
              <w:rPr>
                <w:rFonts w:ascii="Arial" w:cs="Arial" w:eastAsia="Arial" w:hAnsi="Arial"/>
                <w:sz w:val="14"/>
                <w:szCs w:val="14"/>
                <w:b w:val="1"/>
                <w:bCs w:val="1"/>
                <w:color w:val="292F72"/>
              </w:rPr>
              <w:t>PSU EARNED</w:t>
            </w:r>
          </w:p>
        </w:tc>
      </w:tr>
      <w:tr>
        <w:trPr>
          <w:trHeight w:val="193"/>
        </w:trPr>
        <w:tc>
          <w:tcPr>
            <w:tcW w:w="5080" w:type="dxa"/>
            <w:vAlign w:val="bottom"/>
          </w:tcPr>
          <w:p>
            <w:pPr>
              <w:spacing w:after="0"/>
              <w:rPr>
                <w:sz w:val="16"/>
                <w:szCs w:val="16"/>
                <w:color w:val="auto"/>
              </w:rPr>
            </w:pPr>
          </w:p>
        </w:tc>
        <w:tc>
          <w:tcPr>
            <w:tcW w:w="2800" w:type="dxa"/>
            <w:vAlign w:val="bottom"/>
          </w:tcPr>
          <w:p>
            <w:pPr>
              <w:jc w:val="right"/>
              <w:ind w:right="547"/>
              <w:spacing w:after="0"/>
              <w:rPr>
                <w:sz w:val="20"/>
                <w:szCs w:val="20"/>
                <w:color w:val="auto"/>
              </w:rPr>
            </w:pPr>
            <w:r>
              <w:rPr>
                <w:rFonts w:ascii="Arial" w:cs="Arial" w:eastAsia="Arial" w:hAnsi="Arial"/>
                <w:sz w:val="14"/>
                <w:szCs w:val="14"/>
                <w:b w:val="1"/>
                <w:bCs w:val="1"/>
                <w:color w:val="292F72"/>
              </w:rPr>
              <w:t>(#)</w:t>
            </w:r>
          </w:p>
        </w:tc>
        <w:tc>
          <w:tcPr>
            <w:tcW w:w="1160" w:type="dxa"/>
            <w:vAlign w:val="bottom"/>
          </w:tcPr>
          <w:p>
            <w:pPr>
              <w:jc w:val="center"/>
              <w:ind w:left="87"/>
              <w:spacing w:after="0"/>
              <w:rPr>
                <w:sz w:val="20"/>
                <w:szCs w:val="20"/>
                <w:color w:val="auto"/>
              </w:rPr>
            </w:pPr>
            <w:r>
              <w:rPr>
                <w:rFonts w:ascii="Arial" w:cs="Arial" w:eastAsia="Arial" w:hAnsi="Arial"/>
                <w:sz w:val="14"/>
                <w:szCs w:val="14"/>
                <w:b w:val="1"/>
                <w:bCs w:val="1"/>
                <w:color w:val="292F72"/>
                <w:w w:val="93"/>
              </w:rPr>
              <w:t>(#)</w:t>
            </w:r>
          </w:p>
        </w:tc>
      </w:tr>
      <w:tr>
        <w:trPr>
          <w:trHeight w:val="40"/>
        </w:trPr>
        <w:tc>
          <w:tcPr>
            <w:tcW w:w="5080" w:type="dxa"/>
            <w:vAlign w:val="bottom"/>
            <w:tcBorders>
              <w:bottom w:val="single" w:sz="8" w:color="292F72"/>
            </w:tcBorders>
          </w:tcPr>
          <w:p>
            <w:pPr>
              <w:spacing w:after="0"/>
              <w:rPr>
                <w:sz w:val="3"/>
                <w:szCs w:val="3"/>
                <w:color w:val="auto"/>
              </w:rPr>
            </w:pPr>
          </w:p>
        </w:tc>
        <w:tc>
          <w:tcPr>
            <w:tcW w:w="2800" w:type="dxa"/>
            <w:vAlign w:val="bottom"/>
            <w:tcBorders>
              <w:bottom w:val="single" w:sz="8" w:color="292F72"/>
            </w:tcBorders>
          </w:tcPr>
          <w:p>
            <w:pPr>
              <w:spacing w:after="0"/>
              <w:rPr>
                <w:sz w:val="3"/>
                <w:szCs w:val="3"/>
                <w:color w:val="auto"/>
              </w:rPr>
            </w:pPr>
          </w:p>
        </w:tc>
        <w:tc>
          <w:tcPr>
            <w:tcW w:w="1160" w:type="dxa"/>
            <w:vAlign w:val="bottom"/>
            <w:tcBorders>
              <w:bottom w:val="single" w:sz="8" w:color="292F72"/>
            </w:tcBorders>
          </w:tcPr>
          <w:p>
            <w:pPr>
              <w:spacing w:after="0"/>
              <w:rPr>
                <w:sz w:val="3"/>
                <w:szCs w:val="3"/>
                <w:color w:val="auto"/>
              </w:rPr>
            </w:pPr>
          </w:p>
        </w:tc>
      </w:tr>
      <w:tr>
        <w:trPr>
          <w:trHeight w:val="261"/>
        </w:trPr>
        <w:tc>
          <w:tcPr>
            <w:tcW w:w="5080" w:type="dxa"/>
            <w:vAlign w:val="bottom"/>
          </w:tcPr>
          <w:p>
            <w:pPr>
              <w:spacing w:after="0"/>
              <w:rPr>
                <w:sz w:val="20"/>
                <w:szCs w:val="20"/>
                <w:color w:val="auto"/>
              </w:rPr>
            </w:pPr>
            <w:r>
              <w:rPr>
                <w:rFonts w:ascii="Arial" w:cs="Arial" w:eastAsia="Arial" w:hAnsi="Arial"/>
                <w:sz w:val="16"/>
                <w:szCs w:val="16"/>
                <w:b w:val="1"/>
                <w:bCs w:val="1"/>
                <w:color w:val="auto"/>
              </w:rPr>
              <w:t>Mr. Mazurek</w:t>
            </w:r>
          </w:p>
        </w:tc>
        <w:tc>
          <w:tcPr>
            <w:tcW w:w="2800" w:type="dxa"/>
            <w:vAlign w:val="bottom"/>
          </w:tcPr>
          <w:p>
            <w:pPr>
              <w:jc w:val="right"/>
              <w:ind w:right="427"/>
              <w:spacing w:after="0"/>
              <w:rPr>
                <w:sz w:val="20"/>
                <w:szCs w:val="20"/>
                <w:color w:val="auto"/>
              </w:rPr>
            </w:pPr>
            <w:r>
              <w:rPr>
                <w:rFonts w:ascii="Arial" w:cs="Arial" w:eastAsia="Arial" w:hAnsi="Arial"/>
                <w:sz w:val="16"/>
                <w:szCs w:val="16"/>
                <w:color w:val="auto"/>
              </w:rPr>
              <w:t>6,291</w:t>
            </w:r>
          </w:p>
        </w:tc>
        <w:tc>
          <w:tcPr>
            <w:tcW w:w="1160" w:type="dxa"/>
            <w:vAlign w:val="bottom"/>
          </w:tcPr>
          <w:p>
            <w:pPr>
              <w:jc w:val="center"/>
              <w:ind w:left="87"/>
              <w:spacing w:after="0"/>
              <w:rPr>
                <w:sz w:val="20"/>
                <w:szCs w:val="20"/>
                <w:color w:val="auto"/>
              </w:rPr>
            </w:pPr>
            <w:r>
              <w:rPr>
                <w:rFonts w:ascii="Arial" w:cs="Arial" w:eastAsia="Arial" w:hAnsi="Arial"/>
                <w:sz w:val="16"/>
                <w:szCs w:val="16"/>
                <w:color w:val="auto"/>
                <w:w w:val="99"/>
              </w:rPr>
              <w:t>3,900</w:t>
            </w:r>
          </w:p>
        </w:tc>
      </w:tr>
      <w:tr>
        <w:trPr>
          <w:trHeight w:val="47"/>
        </w:trPr>
        <w:tc>
          <w:tcPr>
            <w:tcW w:w="5080" w:type="dxa"/>
            <w:vAlign w:val="bottom"/>
            <w:tcBorders>
              <w:bottom w:val="single" w:sz="8" w:color="6D8CC3"/>
            </w:tcBorders>
          </w:tcPr>
          <w:p>
            <w:pPr>
              <w:spacing w:after="0"/>
              <w:rPr>
                <w:sz w:val="4"/>
                <w:szCs w:val="4"/>
                <w:color w:val="auto"/>
              </w:rPr>
            </w:pPr>
          </w:p>
        </w:tc>
        <w:tc>
          <w:tcPr>
            <w:tcW w:w="2800" w:type="dxa"/>
            <w:vAlign w:val="bottom"/>
            <w:tcBorders>
              <w:bottom w:val="single" w:sz="8" w:color="6D8CC3"/>
            </w:tcBorders>
          </w:tcPr>
          <w:p>
            <w:pPr>
              <w:spacing w:after="0"/>
              <w:rPr>
                <w:sz w:val="4"/>
                <w:szCs w:val="4"/>
                <w:color w:val="auto"/>
              </w:rPr>
            </w:pPr>
          </w:p>
        </w:tc>
        <w:tc>
          <w:tcPr>
            <w:tcW w:w="1160" w:type="dxa"/>
            <w:vAlign w:val="bottom"/>
            <w:tcBorders>
              <w:bottom w:val="single" w:sz="8" w:color="6D8CC3"/>
            </w:tcBorders>
          </w:tcPr>
          <w:p>
            <w:pPr>
              <w:spacing w:after="0"/>
              <w:rPr>
                <w:sz w:val="4"/>
                <w:szCs w:val="4"/>
                <w:color w:val="auto"/>
              </w:rPr>
            </w:pPr>
          </w:p>
        </w:tc>
      </w:tr>
      <w:tr>
        <w:trPr>
          <w:trHeight w:val="248"/>
        </w:trPr>
        <w:tc>
          <w:tcPr>
            <w:tcW w:w="5080" w:type="dxa"/>
            <w:vAlign w:val="bottom"/>
          </w:tcPr>
          <w:p>
            <w:pPr>
              <w:spacing w:after="0"/>
              <w:rPr>
                <w:sz w:val="20"/>
                <w:szCs w:val="20"/>
                <w:color w:val="auto"/>
              </w:rPr>
            </w:pPr>
            <w:r>
              <w:rPr>
                <w:rFonts w:ascii="Arial" w:cs="Arial" w:eastAsia="Arial" w:hAnsi="Arial"/>
                <w:sz w:val="16"/>
                <w:szCs w:val="16"/>
                <w:b w:val="1"/>
                <w:bCs w:val="1"/>
                <w:color w:val="auto"/>
              </w:rPr>
              <w:t>Mr. Wu</w:t>
            </w:r>
          </w:p>
        </w:tc>
        <w:tc>
          <w:tcPr>
            <w:tcW w:w="2800" w:type="dxa"/>
            <w:vAlign w:val="bottom"/>
          </w:tcPr>
          <w:p>
            <w:pPr>
              <w:jc w:val="right"/>
              <w:ind w:right="427"/>
              <w:spacing w:after="0"/>
              <w:rPr>
                <w:sz w:val="20"/>
                <w:szCs w:val="20"/>
                <w:color w:val="auto"/>
              </w:rPr>
            </w:pPr>
            <w:r>
              <w:rPr>
                <w:rFonts w:ascii="Arial" w:cs="Arial" w:eastAsia="Arial" w:hAnsi="Arial"/>
                <w:sz w:val="16"/>
                <w:szCs w:val="16"/>
                <w:color w:val="auto"/>
              </w:rPr>
              <w:t>11,533</w:t>
            </w:r>
          </w:p>
        </w:tc>
        <w:tc>
          <w:tcPr>
            <w:tcW w:w="1160" w:type="dxa"/>
            <w:vAlign w:val="bottom"/>
          </w:tcPr>
          <w:p>
            <w:pPr>
              <w:jc w:val="center"/>
              <w:ind w:left="87"/>
              <w:spacing w:after="0"/>
              <w:rPr>
                <w:sz w:val="20"/>
                <w:szCs w:val="20"/>
                <w:color w:val="auto"/>
              </w:rPr>
            </w:pPr>
            <w:r>
              <w:rPr>
                <w:rFonts w:ascii="Arial" w:cs="Arial" w:eastAsia="Arial" w:hAnsi="Arial"/>
                <w:sz w:val="16"/>
                <w:szCs w:val="16"/>
                <w:color w:val="auto"/>
                <w:w w:val="99"/>
              </w:rPr>
              <w:t>7,150</w:t>
            </w:r>
          </w:p>
        </w:tc>
      </w:tr>
      <w:tr>
        <w:trPr>
          <w:trHeight w:val="34"/>
        </w:trPr>
        <w:tc>
          <w:tcPr>
            <w:tcW w:w="5080" w:type="dxa"/>
            <w:vAlign w:val="bottom"/>
            <w:tcBorders>
              <w:bottom w:val="single" w:sz="8" w:color="6D8CC3"/>
            </w:tcBorders>
          </w:tcPr>
          <w:p>
            <w:pPr>
              <w:spacing w:after="0"/>
              <w:rPr>
                <w:sz w:val="2"/>
                <w:szCs w:val="2"/>
                <w:color w:val="auto"/>
              </w:rPr>
            </w:pPr>
          </w:p>
        </w:tc>
        <w:tc>
          <w:tcPr>
            <w:tcW w:w="2800" w:type="dxa"/>
            <w:vAlign w:val="bottom"/>
            <w:tcBorders>
              <w:bottom w:val="single" w:sz="8" w:color="6D8CC3"/>
            </w:tcBorders>
          </w:tcPr>
          <w:p>
            <w:pPr>
              <w:spacing w:after="0"/>
              <w:rPr>
                <w:sz w:val="2"/>
                <w:szCs w:val="2"/>
                <w:color w:val="auto"/>
              </w:rPr>
            </w:pPr>
          </w:p>
        </w:tc>
        <w:tc>
          <w:tcPr>
            <w:tcW w:w="1160" w:type="dxa"/>
            <w:vAlign w:val="bottom"/>
            <w:tcBorders>
              <w:bottom w:val="single" w:sz="8" w:color="6D8CC3"/>
            </w:tcBorders>
          </w:tcPr>
          <w:p>
            <w:pPr>
              <w:spacing w:after="0"/>
              <w:rPr>
                <w:sz w:val="2"/>
                <w:szCs w:val="2"/>
                <w:color w:val="auto"/>
              </w:rPr>
            </w:pPr>
          </w:p>
        </w:tc>
      </w:tr>
      <w:tr>
        <w:trPr>
          <w:trHeight w:val="510"/>
        </w:trPr>
        <w:tc>
          <w:tcPr>
            <w:tcW w:w="5080" w:type="dxa"/>
            <w:vAlign w:val="bottom"/>
          </w:tcPr>
          <w:p>
            <w:pPr>
              <w:spacing w:after="0"/>
              <w:rPr>
                <w:sz w:val="20"/>
                <w:szCs w:val="20"/>
                <w:color w:val="auto"/>
              </w:rPr>
            </w:pPr>
            <w:r>
              <w:rPr>
                <w:rFonts w:ascii="Arial" w:cs="Arial" w:eastAsia="Arial" w:hAnsi="Arial"/>
                <w:sz w:val="16"/>
                <w:szCs w:val="16"/>
                <w:b w:val="1"/>
                <w:bCs w:val="1"/>
                <w:color w:val="292F72"/>
              </w:rPr>
              <w:t>Other Benefits and Perquisites</w:t>
            </w:r>
          </w:p>
        </w:tc>
        <w:tc>
          <w:tcPr>
            <w:tcW w:w="28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20"/>
        </w:trPr>
        <w:tc>
          <w:tcPr>
            <w:tcW w:w="5080" w:type="dxa"/>
            <w:vAlign w:val="bottom"/>
          </w:tcPr>
          <w:p>
            <w:pPr>
              <w:spacing w:after="0"/>
              <w:rPr>
                <w:sz w:val="20"/>
                <w:szCs w:val="20"/>
                <w:color w:val="auto"/>
              </w:rPr>
            </w:pPr>
            <w:r>
              <w:rPr>
                <w:rFonts w:ascii="Arial" w:cs="Arial" w:eastAsia="Arial" w:hAnsi="Arial"/>
                <w:sz w:val="16"/>
                <w:szCs w:val="16"/>
                <w:b w:val="1"/>
                <w:bCs w:val="1"/>
                <w:color w:val="auto"/>
              </w:rPr>
              <w:t>Qualified Defined Contribution Retirement Plan</w:t>
            </w:r>
          </w:p>
        </w:tc>
        <w:tc>
          <w:tcPr>
            <w:tcW w:w="280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pacing w:after="0" w:line="22"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 xml:space="preserve">Our qualified defined contribution retirement plan (our “401K plan”) is available to all Company associates, including our NEOs, who meet certain age and service requirements. Associates can contribute up to the amounts allowable under Section 401 of the Code, which is reflected in the “All Other Compensation” column of the Summary Compensation Table on page </w:t>
      </w:r>
      <w:r>
        <w:rPr>
          <w:rFonts w:ascii="Arial" w:cs="Arial" w:eastAsia="Arial" w:hAnsi="Arial"/>
          <w:sz w:val="16"/>
          <w:szCs w:val="16"/>
          <w:u w:val="single" w:color="auto"/>
          <w:color w:val="0000EE"/>
        </w:rPr>
        <w:t>45</w:t>
      </w:r>
      <w:r>
        <w:rPr>
          <w:rFonts w:ascii="Arial" w:cs="Arial" w:eastAsia="Arial" w:hAnsi="Arial"/>
          <w:sz w:val="16"/>
          <w:szCs w:val="16"/>
          <w:color w:val="auto"/>
        </w:rPr>
        <w:t xml:space="preserve"> of this proxy statement.</w:t>
      </w: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Perquisites</w:t>
      </w:r>
    </w:p>
    <w:p>
      <w:pPr>
        <w:spacing w:after="0" w:line="54" w:lineRule="exact"/>
        <w:rPr>
          <w:sz w:val="20"/>
          <w:szCs w:val="20"/>
          <w:color w:val="auto"/>
        </w:rPr>
      </w:pPr>
    </w:p>
    <w:p>
      <w:pPr>
        <w:ind w:right="180"/>
        <w:spacing w:after="0" w:line="254" w:lineRule="auto"/>
        <w:rPr>
          <w:sz w:val="20"/>
          <w:szCs w:val="20"/>
          <w:color w:val="auto"/>
        </w:rPr>
      </w:pPr>
      <w:r>
        <w:rPr>
          <w:rFonts w:ascii="Arial" w:cs="Arial" w:eastAsia="Arial" w:hAnsi="Arial"/>
          <w:sz w:val="16"/>
          <w:szCs w:val="16"/>
          <w:color w:val="auto"/>
        </w:rPr>
        <w:t>We provide our NEOs with certain perquisites that the HCC Committee has determined are reasonable and in the best interests of the Company and its shareholders. These perquisites include life insurance coverage, an annual executive physical, cybersecurity coverage, and a financial planning reimbursement.</w:t>
      </w:r>
    </w:p>
    <w:p>
      <w:pPr>
        <w:spacing w:after="0" w:line="137" w:lineRule="exact"/>
        <w:rPr>
          <w:sz w:val="20"/>
          <w:szCs w:val="20"/>
          <w:color w:val="auto"/>
        </w:rPr>
      </w:pPr>
    </w:p>
    <w:p>
      <w:pPr>
        <w:ind w:right="40"/>
        <w:spacing w:after="0" w:line="259" w:lineRule="auto"/>
        <w:rPr>
          <w:sz w:val="20"/>
          <w:szCs w:val="20"/>
          <w:color w:val="auto"/>
        </w:rPr>
      </w:pPr>
      <w:r>
        <w:rPr>
          <w:rFonts w:ascii="Arial" w:cs="Arial" w:eastAsia="Arial" w:hAnsi="Arial"/>
          <w:sz w:val="15"/>
          <w:szCs w:val="15"/>
          <w:color w:val="auto"/>
        </w:rPr>
        <w:t>We also provide relocation benefits, as applicable, pursuant to the Company’s policy applicable to senior executives or as may otherwise be set forth in an applicable employment agreement. As a condition to Mr. Heaf’s employment, he is required to perform a significant portion of his duties from the Company’s Columbus, Ohio headquarters and to relocate to the Columbus, Ohio region no later than June 30, 2027. Based on temporary family obligations he continues to have in his current home region, Mr. Heaf is eligible to receive a travel stipend of up to $200,000 per fiscal year (prorated for a partial year) until the date of his permanent relocation to Columbus, Ohio, but in no event no later than June 30, 2027. In addition, we have provided Mr. Heaf with relocation reimbursements consistent with our policies. As a condition of Ms. Boratto’s employment, she was initially required to perform a significant portion of her duties from the Company’s Columbus, Ohio headquarters and to relocate to the Columbus, Ohio region no later than June 30, 2025. To induce Ms. Boratto to join the Company and based on temporary family obligations she continues to have in her current home region, the HCC Committee approved a temporary travel and lodging stipend to Ms. Boratto in the amount of $130,000 per year (pro-rated for any partial periods and taxable to Ms. Boratto) to offset a portion of her expenses, with eligibility that commenced on July 31, 2023 and ends on the date of her permanent relocation to Columbus, Ohio, but no later than June 30, 2025. However, on July 21, 2025, following the termination of her stipend, the HCC Committee amended her offer letter to provide that she was no longer required to relocate to Columbus, Ohio; rather she was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118110</wp:posOffset>
            </wp:positionV>
            <wp:extent cx="573722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737225" cy="8255"/>
                    </a:xfrm>
                    <a:prstGeom prst="rect">
                      <a:avLst/>
                    </a:prstGeom>
                    <a:noFill/>
                  </pic:spPr>
                </pic:pic>
              </a:graphicData>
            </a:graphic>
          </wp:anchor>
        </w:drawing>
      </w: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b w:val="1"/>
          <w:bCs w:val="1"/>
          <w:color w:val="292F72"/>
        </w:rPr>
        <w:t>40</w:t>
      </w:r>
      <w:r>
        <w:rPr>
          <w:rFonts w:ascii="Arial" w:cs="Arial" w:eastAsia="Arial" w:hAnsi="Arial"/>
          <w:sz w:val="14"/>
          <w:szCs w:val="14"/>
          <w:color w:val="292F72"/>
        </w:rPr>
        <w:t xml:space="preserve">     Bath &amp; Body Works, Inc.</w:t>
      </w:r>
      <w:r>
        <w:rPr>
          <w:rFonts w:ascii="Arial" w:cs="Arial" w:eastAsia="Arial" w:hAnsi="Arial"/>
          <w:sz w:val="14"/>
          <w:szCs w:val="14"/>
          <w:color w:val="6D8CC3"/>
        </w:rPr>
        <w:t xml:space="preserve">   | </w:t>
      </w:r>
      <w:r>
        <w:rPr>
          <w:rFonts w:ascii="Arial" w:cs="Arial" w:eastAsia="Arial" w:hAnsi="Arial"/>
          <w:sz w:val="14"/>
          <w:szCs w:val="14"/>
          <w:b w:val="1"/>
          <w:bCs w:val="1"/>
          <w:color w:val="292F72"/>
        </w:rPr>
        <w:t xml:space="preserve">  </w:t>
      </w:r>
      <w:r>
        <w:rPr>
          <w:rFonts w:ascii="Arial" w:cs="Arial" w:eastAsia="Arial" w:hAnsi="Arial"/>
          <w:sz w:val="14"/>
          <w:szCs w:val="14"/>
          <w:color w:val="292F72"/>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178435</wp:posOffset>
            </wp:positionV>
            <wp:extent cx="6795135" cy="1651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795135" cy="16510"/>
                    </a:xfrm>
                    <a:prstGeom prst="rect">
                      <a:avLst/>
                    </a:prstGeom>
                    <a:noFill/>
                  </pic:spPr>
                </pic:pic>
              </a:graphicData>
            </a:graphic>
          </wp:anchor>
        </w:drawing>
      </w:r>
    </w:p>
    <w:p>
      <w:pPr>
        <w:sectPr>
          <w:pgSz w:w="11900" w:h="16838" w:orient="portrait"/>
          <w:cols w:equalWidth="0" w:num="1">
            <w:col w:w="9040"/>
          </w:cols>
          <w:pgMar w:left="1420" w:top="116" w:right="14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2" w:lineRule="exact"/>
        <w:rPr>
          <w:sz w:val="20"/>
          <w:szCs w:val="20"/>
          <w:color w:val="auto"/>
        </w:rPr>
      </w:pPr>
    </w:p>
    <w:p>
      <w:pPr>
        <w:ind w:left="6840"/>
        <w:spacing w:after="0"/>
        <w:rPr>
          <w:sz w:val="20"/>
          <w:szCs w:val="20"/>
          <w:color w:val="auto"/>
        </w:rPr>
      </w:pPr>
      <w:r>
        <w:rPr>
          <w:rFonts w:ascii="Arial" w:cs="Arial" w:eastAsia="Arial" w:hAnsi="Arial"/>
          <w:sz w:val="15"/>
          <w:szCs w:val="15"/>
          <w:color w:val="292F72"/>
        </w:rPr>
        <w:t>Compensation-Related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48260</wp:posOffset>
            </wp:positionV>
            <wp:extent cx="1407160" cy="3302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407160" cy="33020"/>
                    </a:xfrm>
                    <a:prstGeom prst="rect">
                      <a:avLst/>
                    </a:prstGeom>
                    <a:noFill/>
                  </pic:spPr>
                </pic:pic>
              </a:graphicData>
            </a:graphic>
          </wp:anchor>
        </w:drawing>
      </w:r>
    </w:p>
    <w:p>
      <w:pPr>
        <w:spacing w:after="0" w:line="201" w:lineRule="exact"/>
        <w:rPr>
          <w:sz w:val="20"/>
          <w:szCs w:val="20"/>
          <w:color w:val="auto"/>
        </w:rPr>
      </w:pPr>
    </w:p>
    <w:p>
      <w:pPr>
        <w:ind w:right="240"/>
        <w:spacing w:after="0" w:line="261" w:lineRule="auto"/>
        <w:rPr>
          <w:sz w:val="20"/>
          <w:szCs w:val="20"/>
          <w:color w:val="auto"/>
        </w:rPr>
      </w:pPr>
      <w:r>
        <w:rPr>
          <w:rFonts w:ascii="Arial" w:cs="Arial" w:eastAsia="Arial" w:hAnsi="Arial"/>
          <w:sz w:val="15"/>
          <w:szCs w:val="15"/>
          <w:color w:val="auto"/>
        </w:rPr>
        <w:t>required to work in Columbus, Ohio an average of three days a week and it would be her responsibility to cover the commuting costs. In addition, the Company extended the option for a partial relocation package for Ms. Boratto, including six months of temporary housing that ended on December 31, 2025. The cost to the Company of the travel and lodging stipend for both</w:t>
      </w:r>
    </w:p>
    <w:p>
      <w:pPr>
        <w:spacing w:after="0" w:line="2"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 xml:space="preserve">Mr. Heaf and Ms. Boratto for fiscal 2025 is included in the “All Other Compensation” column of the 2025 Summary Compensation Table on page </w:t>
      </w:r>
      <w:r>
        <w:rPr>
          <w:rFonts w:ascii="Arial" w:cs="Arial" w:eastAsia="Arial" w:hAnsi="Arial"/>
          <w:sz w:val="16"/>
          <w:szCs w:val="16"/>
          <w:u w:val="single" w:color="auto"/>
          <w:color w:val="0000EE"/>
        </w:rPr>
        <w:t>45</w:t>
      </w:r>
      <w:r>
        <w:rPr>
          <w:rFonts w:ascii="Arial" w:cs="Arial" w:eastAsia="Arial" w:hAnsi="Arial"/>
          <w:sz w:val="16"/>
          <w:szCs w:val="16"/>
          <w:color w:val="auto"/>
        </w:rPr>
        <w:t xml:space="preserve"> of this proxy statement.</w:t>
      </w:r>
    </w:p>
    <w:p>
      <w:pPr>
        <w:spacing w:after="0" w:line="140" w:lineRule="exact"/>
        <w:rPr>
          <w:sz w:val="20"/>
          <w:szCs w:val="20"/>
          <w:color w:val="auto"/>
        </w:rPr>
      </w:pPr>
    </w:p>
    <w:p>
      <w:pPr>
        <w:spacing w:after="0" w:line="242" w:lineRule="auto"/>
        <w:rPr>
          <w:sz w:val="20"/>
          <w:szCs w:val="20"/>
          <w:color w:val="auto"/>
        </w:rPr>
      </w:pPr>
      <w:r>
        <w:rPr>
          <w:rFonts w:ascii="Arial" w:cs="Arial" w:eastAsia="Arial" w:hAnsi="Arial"/>
          <w:sz w:val="16"/>
          <w:szCs w:val="16"/>
          <w:color w:val="auto"/>
        </w:rPr>
        <w:t xml:space="preserve">The Company contracts with a private jet service for senior management business travel. The HCC Committee approved the use of the contracted private jet service for personal purposes by Mr. Heaf and Ms. Boswell to ensure their safety and security and promote the efficient and effective use of their time while traveling. The use of the contracted private jet service also provides the Company’s Chief Executive Officer with an environment that permits the Chief Executive Officer to perform confidential work while traveling for personal purposes, which would otherwise be impossible on commercial aircraft. Mr. Heaf did not use the contracted private jet service for personal purposes in fiscal 2025. Ms. Boswell did use the contracted private jet service for personal purposes in fiscal 2025, and her spouse accompanied her on one flight. None of our NEOs, other than the Chief Executive Officer, were permitted to use the contracted private jet service for personal purposes during fiscal 2025. We do not cover, reimburse or otherwise gross-up the income taxes owed for personal use of the contracted private jet service. The aggregate incremental cost to the Company of personal use of the contracted private jet service is disclosed in the “All Other Compensation” column of the 2025 Summary Compensation Table on page </w:t>
      </w:r>
      <w:r>
        <w:rPr>
          <w:rFonts w:ascii="Arial" w:cs="Arial" w:eastAsia="Arial" w:hAnsi="Arial"/>
          <w:sz w:val="16"/>
          <w:szCs w:val="16"/>
          <w:u w:val="single" w:color="auto"/>
          <w:color w:val="0000EE"/>
        </w:rPr>
        <w:t>45</w:t>
      </w:r>
      <w:r>
        <w:rPr>
          <w:rFonts w:ascii="Arial" w:cs="Arial" w:eastAsia="Arial" w:hAnsi="Arial"/>
          <w:sz w:val="16"/>
          <w:szCs w:val="16"/>
          <w:color w:val="auto"/>
        </w:rPr>
        <w:t xml:space="preserve"> of this proxy statement.</w:t>
      </w: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Severance and Change in Control Agreements</w:t>
      </w:r>
    </w:p>
    <w:p>
      <w:pPr>
        <w:spacing w:after="0" w:line="54" w:lineRule="exact"/>
        <w:rPr>
          <w:sz w:val="20"/>
          <w:szCs w:val="20"/>
          <w:color w:val="auto"/>
        </w:rPr>
      </w:pPr>
    </w:p>
    <w:p>
      <w:pPr>
        <w:spacing w:after="0" w:line="242" w:lineRule="auto"/>
        <w:rPr>
          <w:sz w:val="20"/>
          <w:szCs w:val="20"/>
          <w:color w:val="auto"/>
        </w:rPr>
      </w:pPr>
      <w:r>
        <w:rPr>
          <w:rFonts w:ascii="Arial" w:cs="Arial" w:eastAsia="Arial" w:hAnsi="Arial"/>
          <w:sz w:val="16"/>
          <w:szCs w:val="16"/>
          <w:color w:val="auto"/>
        </w:rPr>
        <w:t xml:space="preserve">Under the severance agreements with our NEOs, upon a termination of the applicable executive’s employment by the Company without “cause” or by the executive for “good reason” (as defined in such executive’s severance agreement and described in more detail under the heading “—Potential Payments Upon Termination or Change in Control” found on page </w:t>
      </w:r>
      <w:r>
        <w:rPr>
          <w:rFonts w:ascii="Arial" w:cs="Arial" w:eastAsia="Arial" w:hAnsi="Arial"/>
          <w:sz w:val="16"/>
          <w:szCs w:val="16"/>
          <w:u w:val="single" w:color="auto"/>
          <w:color w:val="0000EE"/>
        </w:rPr>
        <w:t>50</w:t>
      </w:r>
      <w:r>
        <w:rPr>
          <w:rFonts w:ascii="Arial" w:cs="Arial" w:eastAsia="Arial" w:hAnsi="Arial"/>
          <w:sz w:val="16"/>
          <w:szCs w:val="16"/>
          <w:color w:val="auto"/>
        </w:rPr>
        <w:t xml:space="preserve"> of this proxy statement), in each case other than during the three-month period prior to, and the 24-month period following, a “change in control” of the Company, the applicable executive will be entitled to receive (i) continued payment of annual base salary for two years following the termination date, (ii) an amount equal to two years of COBRA premiums (for Mr. Heaf and Ms. Boswell, including their eligible dependents), (iii) the executive’s incentive compensation award for the performance period (or, for</w:t>
      </w:r>
    </w:p>
    <w:p>
      <w:pPr>
        <w:ind w:right="80"/>
        <w:spacing w:after="0" w:line="255" w:lineRule="auto"/>
        <w:rPr>
          <w:sz w:val="20"/>
          <w:szCs w:val="20"/>
          <w:color w:val="auto"/>
        </w:rPr>
      </w:pPr>
      <w:r>
        <w:rPr>
          <w:rFonts w:ascii="Arial" w:cs="Arial" w:eastAsia="Arial" w:hAnsi="Arial"/>
          <w:sz w:val="15"/>
          <w:szCs w:val="15"/>
          <w:color w:val="auto"/>
        </w:rPr>
        <w:t>Mr. Heaf, the fiscal year) in which the termination date occurs, prorated based on the number of days employed during such performance period (or fiscal year) and determined based on actual performance (provided that, for Mr. Heaf, such amount is not subject to proration), (iv) the incentive compensation the executive would have received if the executive had remained employed by the Company for two years following the termination date, determined based on actual performance (provided that for</w:t>
      </w:r>
    </w:p>
    <w:p>
      <w:pPr>
        <w:spacing w:after="0" w:line="1" w:lineRule="exact"/>
        <w:rPr>
          <w:sz w:val="20"/>
          <w:szCs w:val="20"/>
          <w:color w:val="auto"/>
        </w:rPr>
      </w:pPr>
    </w:p>
    <w:p>
      <w:pPr>
        <w:ind w:right="120"/>
        <w:spacing w:after="0" w:line="242" w:lineRule="auto"/>
        <w:rPr>
          <w:sz w:val="20"/>
          <w:szCs w:val="20"/>
          <w:color w:val="auto"/>
        </w:rPr>
      </w:pPr>
      <w:r>
        <w:rPr>
          <w:rFonts w:ascii="Arial" w:cs="Arial" w:eastAsia="Arial" w:hAnsi="Arial"/>
          <w:sz w:val="16"/>
          <w:szCs w:val="16"/>
          <w:color w:val="auto"/>
        </w:rPr>
        <w:t>Mr. Heaf, such amount is capped at his target incentive opportunity as of the termination date and prorated for any fiscal year ending after the second anniversary of the termination date), (v) accelerated vesting of a pro rata portion of the unvested equity awards held by the executive that vest solely upon the time-based vesting conditions and (vi) continued vesting of a pro rata portion of the unvested equity awards held by the executive that vest based on performance-based vesting conditions, which will remain subject to achievement of the existing performance metrics.</w:t>
      </w:r>
    </w:p>
    <w:p>
      <w:pPr>
        <w:spacing w:after="0" w:line="147" w:lineRule="exact"/>
        <w:rPr>
          <w:sz w:val="20"/>
          <w:szCs w:val="20"/>
          <w:color w:val="auto"/>
        </w:rPr>
      </w:pPr>
    </w:p>
    <w:p>
      <w:pPr>
        <w:ind w:right="20"/>
        <w:spacing w:after="0" w:line="265" w:lineRule="auto"/>
        <w:rPr>
          <w:sz w:val="20"/>
          <w:szCs w:val="20"/>
          <w:color w:val="auto"/>
        </w:rPr>
      </w:pPr>
      <w:r>
        <w:rPr>
          <w:rFonts w:ascii="Arial" w:cs="Arial" w:eastAsia="Arial" w:hAnsi="Arial"/>
          <w:sz w:val="15"/>
          <w:szCs w:val="15"/>
          <w:color w:val="auto"/>
        </w:rPr>
        <w:t>In the event such termination of employment occurs during the three-month period prior to, or during the 24-month period following, a “change in control” of the Company, then the executive will be entitled to receive (a) the amounts described in clauses</w:t>
      </w:r>
    </w:p>
    <w:p>
      <w:pPr>
        <w:ind w:right="60" w:firstLine="4"/>
        <w:spacing w:after="0"/>
        <w:tabs>
          <w:tab w:leader="none" w:pos="183" w:val="left"/>
        </w:tabs>
        <w:numPr>
          <w:ilvl w:val="0"/>
          <w:numId w:val="64"/>
        </w:numPr>
        <w:rPr>
          <w:rFonts w:ascii="Arial" w:cs="Arial" w:eastAsia="Arial" w:hAnsi="Arial"/>
          <w:sz w:val="16"/>
          <w:szCs w:val="16"/>
          <w:color w:val="auto"/>
        </w:rPr>
      </w:pPr>
      <w:r>
        <w:rPr>
          <w:rFonts w:ascii="Arial" w:cs="Arial" w:eastAsia="Arial" w:hAnsi="Arial"/>
          <w:sz w:val="16"/>
          <w:szCs w:val="16"/>
          <w:color w:val="auto"/>
        </w:rPr>
        <w:t>and (ii) above (for Mr. Heaf and Ms. Boswell, the amounts pursuant to clause (i) are paid in a lump sum if the termination of employment occurs on or following a change in control), (b) a payment equal to (x) for Mr. Heaf, two times his “Applicable Bonus” (i.e., the greater of (i) his target annual bonus for the year of his termination and (ii) the average of his cash incentive for the two years prior to termination) and (y) for our other NEOs, the sum of the incentive compensation payouts that the executive received for the prior two years completed performance periods prior to the termination date, (c) the executive’s incentive compensation award for the performance period (or, for Mr. Heaf, the fiscal year) in which the termination date occurs, prorated based on the number of days employed during such performance period (or fiscal year) and determined by reference to (x) for Mr. Heaf, the Applicable Bonus and (y) for our other NEOs, the average of the incentive compensation payouts the executive received for the prior two years completed performance periods prior to the termination date, and (d) accelerated vesting of any outstanding unvested equity awards held by the executive (with performance goals deemed to be achieved at target levels if less than one-third of the applicable performance period has lapsed, otherwise performance goals will be deemed to be achieved at maximum levels). The payments and benefits are subject to the executive’s execution and non-revocation of a release of claims in favor of the Company.</w:t>
      </w:r>
    </w:p>
    <w:p>
      <w:pPr>
        <w:spacing w:after="0" w:line="151" w:lineRule="exact"/>
        <w:rPr>
          <w:sz w:val="20"/>
          <w:szCs w:val="20"/>
          <w:color w:val="auto"/>
        </w:rPr>
      </w:pPr>
    </w:p>
    <w:p>
      <w:pPr>
        <w:ind w:right="140"/>
        <w:spacing w:after="0" w:line="268" w:lineRule="auto"/>
        <w:rPr>
          <w:sz w:val="20"/>
          <w:szCs w:val="20"/>
          <w:color w:val="auto"/>
        </w:rPr>
      </w:pPr>
      <w:r>
        <w:rPr>
          <w:rFonts w:ascii="Arial" w:cs="Arial" w:eastAsia="Arial" w:hAnsi="Arial"/>
          <w:sz w:val="16"/>
          <w:szCs w:val="16"/>
          <w:color w:val="auto"/>
        </w:rPr>
        <w:t>None of our NEOs is entitled to a tax gross-up for any excise taxes on compensation paid in connection with a change in control under their agreements with the Company.</w:t>
      </w:r>
    </w:p>
    <w:p>
      <w:pPr>
        <w:spacing w:after="0" w:line="140" w:lineRule="exact"/>
        <w:rPr>
          <w:sz w:val="20"/>
          <w:szCs w:val="20"/>
          <w:color w:val="auto"/>
        </w:rPr>
      </w:pPr>
    </w:p>
    <w:p>
      <w:pPr>
        <w:ind w:right="140"/>
        <w:spacing w:after="0" w:line="254" w:lineRule="auto"/>
        <w:rPr>
          <w:sz w:val="20"/>
          <w:szCs w:val="20"/>
          <w:color w:val="auto"/>
        </w:rPr>
      </w:pPr>
      <w:r>
        <w:rPr>
          <w:rFonts w:ascii="Arial" w:cs="Arial" w:eastAsia="Arial" w:hAnsi="Arial"/>
          <w:sz w:val="16"/>
          <w:szCs w:val="16"/>
          <w:color w:val="auto"/>
        </w:rPr>
        <w:t xml:space="preserve">For additional details regarding the severance and change in control arrangements with our NEOs (including a description of estimated benefits in connection with a change in control and/or a termination of employment), see “—Potential Payments Upon Termination or Change in Control” beginning on page </w:t>
      </w:r>
      <w:r>
        <w:rPr>
          <w:rFonts w:ascii="Arial" w:cs="Arial" w:eastAsia="Arial" w:hAnsi="Arial"/>
          <w:sz w:val="16"/>
          <w:szCs w:val="16"/>
          <w:u w:val="single" w:color="auto"/>
          <w:color w:val="0000EE"/>
        </w:rPr>
        <w:t>50</w:t>
      </w:r>
      <w:r>
        <w:rPr>
          <w:rFonts w:ascii="Arial" w:cs="Arial" w:eastAsia="Arial" w:hAnsi="Arial"/>
          <w:sz w:val="16"/>
          <w:szCs w:val="16"/>
          <w:color w:val="auto"/>
        </w:rPr>
        <w:t xml:space="preserve">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120015</wp:posOffset>
            </wp:positionV>
            <wp:extent cx="573722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737225" cy="8255"/>
                    </a:xfrm>
                    <a:prstGeom prst="rect">
                      <a:avLst/>
                    </a:prstGeom>
                    <a:noFill/>
                  </pic:spPr>
                </pic:pic>
              </a:graphicData>
            </a:graphic>
          </wp:anchor>
        </w:drawing>
      </w:r>
    </w:p>
    <w:p>
      <w:pPr>
        <w:spacing w:after="0" w:line="264" w:lineRule="exact"/>
        <w:rPr>
          <w:sz w:val="20"/>
          <w:szCs w:val="20"/>
          <w:color w:val="auto"/>
        </w:rPr>
      </w:pPr>
    </w:p>
    <w:p>
      <w:pPr>
        <w:jc w:val="right"/>
        <w:spacing w:after="0"/>
        <w:rPr>
          <w:sz w:val="20"/>
          <w:szCs w:val="20"/>
          <w:color w:val="auto"/>
        </w:rPr>
      </w:pPr>
      <w:r>
        <w:rPr>
          <w:rFonts w:ascii="Arial" w:cs="Arial" w:eastAsia="Arial" w:hAnsi="Arial"/>
          <w:sz w:val="14"/>
          <w:szCs w:val="14"/>
          <w:color w:val="292F72"/>
        </w:rPr>
        <w:t>Bath &amp; Body Works, Inc.</w:t>
      </w:r>
      <w:r>
        <w:rPr>
          <w:rFonts w:ascii="Arial" w:cs="Arial" w:eastAsia="Arial" w:hAnsi="Arial"/>
          <w:sz w:val="14"/>
          <w:szCs w:val="14"/>
          <w:color w:val="6D8CC3"/>
        </w:rPr>
        <w:t xml:space="preserve">   | </w:t>
      </w:r>
      <w:r>
        <w:rPr>
          <w:rFonts w:ascii="Arial" w:cs="Arial" w:eastAsia="Arial" w:hAnsi="Arial"/>
          <w:sz w:val="14"/>
          <w:szCs w:val="14"/>
          <w:color w:val="292F72"/>
        </w:rPr>
        <w:t xml:space="preserve">  2026 Proxy Statement     </w:t>
      </w:r>
      <w:r>
        <w:rPr>
          <w:rFonts w:ascii="Arial" w:cs="Arial" w:eastAsia="Arial" w:hAnsi="Arial"/>
          <w:sz w:val="14"/>
          <w:szCs w:val="14"/>
          <w:b w:val="1"/>
          <w:bCs w:val="1"/>
          <w:color w:val="292F72"/>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145415</wp:posOffset>
            </wp:positionV>
            <wp:extent cx="6795135" cy="1651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795135" cy="16510"/>
                    </a:xfrm>
                    <a:prstGeom prst="rect">
                      <a:avLst/>
                    </a:prstGeom>
                    <a:noFill/>
                  </pic:spPr>
                </pic:pic>
              </a:graphicData>
            </a:graphic>
          </wp:anchor>
        </w:drawing>
      </w:r>
    </w:p>
    <w:p>
      <w:pPr>
        <w:sectPr>
          <w:pgSz w:w="11900" w:h="16838" w:orient="portrait"/>
          <w:cols w:equalWidth="0" w:num="1">
            <w:col w:w="9040"/>
          </w:cols>
          <w:pgMar w:left="1420" w:top="116" w:right="14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6"/>
          <w:szCs w:val="16"/>
          <w:color w:val="292F72"/>
        </w:rPr>
        <w:t>Compensation-Related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40640</wp:posOffset>
            </wp:positionV>
            <wp:extent cx="1407160" cy="3302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407160" cy="3302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b w:val="1"/>
          <w:bCs w:val="1"/>
          <w:color w:val="292F72"/>
        </w:rPr>
        <w:t>Compensation Governance</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b w:val="1"/>
          <w:bCs w:val="1"/>
          <w:color w:val="6D8CC3"/>
        </w:rPr>
        <w:t>INDEPENDENT COMPENSATION CONSULTANT</w:t>
      </w:r>
    </w:p>
    <w:p>
      <w:pPr>
        <w:spacing w:after="0" w:line="55" w:lineRule="exact"/>
        <w:rPr>
          <w:sz w:val="20"/>
          <w:szCs w:val="20"/>
          <w:color w:val="auto"/>
        </w:rPr>
      </w:pPr>
    </w:p>
    <w:p>
      <w:pPr>
        <w:ind w:right="219"/>
        <w:spacing w:after="0" w:line="268" w:lineRule="auto"/>
        <w:rPr>
          <w:sz w:val="20"/>
          <w:szCs w:val="20"/>
          <w:color w:val="auto"/>
        </w:rPr>
      </w:pPr>
      <w:r>
        <w:rPr>
          <w:rFonts w:ascii="Arial" w:cs="Arial" w:eastAsia="Arial" w:hAnsi="Arial"/>
          <w:sz w:val="16"/>
          <w:szCs w:val="16"/>
          <w:color w:val="auto"/>
        </w:rPr>
        <w:t>As permitted by its charter, the HCC Committee retained Meridian Compensation Partners, LLC (“Meridian”) as its independent compensation consultant.</w:t>
      </w:r>
    </w:p>
    <w:p>
      <w:pPr>
        <w:spacing w:after="0" w:line="114" w:lineRule="exact"/>
        <w:rPr>
          <w:sz w:val="20"/>
          <w:szCs w:val="20"/>
          <w:color w:val="auto"/>
        </w:rPr>
      </w:pPr>
    </w:p>
    <w:p>
      <w:pPr>
        <w:ind w:right="179"/>
        <w:spacing w:after="0" w:line="254" w:lineRule="auto"/>
        <w:rPr>
          <w:sz w:val="20"/>
          <w:szCs w:val="20"/>
          <w:color w:val="auto"/>
        </w:rPr>
      </w:pPr>
      <w:r>
        <w:rPr>
          <w:rFonts w:ascii="Arial" w:cs="Arial" w:eastAsia="Arial" w:hAnsi="Arial"/>
          <w:sz w:val="16"/>
          <w:szCs w:val="16"/>
          <w:color w:val="auto"/>
        </w:rPr>
        <w:t>The HCC Committee considers recommendations from our management team and determines the work to be performed by the consultant. The consultant works with management to gather data required in preparing analyses for HCC Committee review. Specifically, the services the consultant provides include:</w:t>
      </w:r>
    </w:p>
    <w:p>
      <w:pPr>
        <w:spacing w:after="0" w:line="58" w:lineRule="exact"/>
        <w:rPr>
          <w:sz w:val="20"/>
          <w:szCs w:val="20"/>
          <w:color w:val="auto"/>
        </w:rPr>
      </w:pPr>
    </w:p>
    <w:p>
      <w:pPr>
        <w:ind w:left="180" w:right="419" w:hanging="176"/>
        <w:spacing w:after="0" w:line="268" w:lineRule="auto"/>
        <w:tabs>
          <w:tab w:leader="none" w:pos="180" w:val="left"/>
        </w:tabs>
        <w:numPr>
          <w:ilvl w:val="0"/>
          <w:numId w:val="65"/>
        </w:numPr>
        <w:rPr>
          <w:rFonts w:ascii="Arial" w:cs="Arial" w:eastAsia="Arial" w:hAnsi="Arial"/>
          <w:sz w:val="16"/>
          <w:szCs w:val="16"/>
          <w:color w:val="6D8CC3"/>
        </w:rPr>
      </w:pPr>
      <w:r>
        <w:rPr>
          <w:rFonts w:ascii="Arial" w:cs="Arial" w:eastAsia="Arial" w:hAnsi="Arial"/>
          <w:sz w:val="16"/>
          <w:szCs w:val="16"/>
          <w:color w:val="auto"/>
        </w:rPr>
        <w:t>assisting in the evaluation of, and providing compensation recommendations for, the Chief Executive Officer, other NEOs, designated members of senior management, and non-employee directors;</w:t>
      </w:r>
    </w:p>
    <w:p>
      <w:pPr>
        <w:spacing w:after="0" w:line="48" w:lineRule="exact"/>
        <w:rPr>
          <w:rFonts w:ascii="Arial" w:cs="Arial" w:eastAsia="Arial" w:hAnsi="Arial"/>
          <w:sz w:val="16"/>
          <w:szCs w:val="16"/>
          <w:color w:val="6D8CC3"/>
        </w:rPr>
      </w:pPr>
    </w:p>
    <w:p>
      <w:pPr>
        <w:ind w:left="180" w:hanging="176"/>
        <w:spacing w:after="0"/>
        <w:tabs>
          <w:tab w:leader="none" w:pos="180" w:val="left"/>
        </w:tabs>
        <w:numPr>
          <w:ilvl w:val="0"/>
          <w:numId w:val="65"/>
        </w:numPr>
        <w:rPr>
          <w:rFonts w:ascii="Arial" w:cs="Arial" w:eastAsia="Arial" w:hAnsi="Arial"/>
          <w:sz w:val="16"/>
          <w:szCs w:val="16"/>
          <w:color w:val="6D8CC3"/>
        </w:rPr>
      </w:pPr>
      <w:r>
        <w:rPr>
          <w:rFonts w:ascii="Arial" w:cs="Arial" w:eastAsia="Arial" w:hAnsi="Arial"/>
          <w:sz w:val="16"/>
          <w:szCs w:val="16"/>
          <w:color w:val="auto"/>
        </w:rPr>
        <w:t>informing the HCC Committee of changing market practices;</w:t>
      </w:r>
    </w:p>
    <w:p>
      <w:pPr>
        <w:spacing w:after="0" w:line="78" w:lineRule="exact"/>
        <w:rPr>
          <w:rFonts w:ascii="Arial" w:cs="Arial" w:eastAsia="Arial" w:hAnsi="Arial"/>
          <w:sz w:val="16"/>
          <w:szCs w:val="16"/>
          <w:color w:val="6D8CC3"/>
        </w:rPr>
      </w:pPr>
    </w:p>
    <w:p>
      <w:pPr>
        <w:ind w:left="180" w:right="259" w:hanging="176"/>
        <w:spacing w:after="0" w:line="268" w:lineRule="auto"/>
        <w:tabs>
          <w:tab w:leader="none" w:pos="180" w:val="left"/>
        </w:tabs>
        <w:numPr>
          <w:ilvl w:val="0"/>
          <w:numId w:val="65"/>
        </w:numPr>
        <w:rPr>
          <w:rFonts w:ascii="Arial" w:cs="Arial" w:eastAsia="Arial" w:hAnsi="Arial"/>
          <w:sz w:val="16"/>
          <w:szCs w:val="16"/>
          <w:color w:val="6D8CC3"/>
        </w:rPr>
      </w:pPr>
      <w:r>
        <w:rPr>
          <w:rFonts w:ascii="Arial" w:cs="Arial" w:eastAsia="Arial" w:hAnsi="Arial"/>
          <w:sz w:val="16"/>
          <w:szCs w:val="16"/>
          <w:color w:val="auto"/>
        </w:rPr>
        <w:t>consulting on our executive compensation strategy and program design, including assessing compensation risk from design and practice perspectives;</w:t>
      </w:r>
    </w:p>
    <w:p>
      <w:pPr>
        <w:spacing w:after="0" w:line="48" w:lineRule="exact"/>
        <w:rPr>
          <w:rFonts w:ascii="Arial" w:cs="Arial" w:eastAsia="Arial" w:hAnsi="Arial"/>
          <w:sz w:val="16"/>
          <w:szCs w:val="16"/>
          <w:color w:val="6D8CC3"/>
        </w:rPr>
      </w:pPr>
    </w:p>
    <w:p>
      <w:pPr>
        <w:ind w:left="180" w:right="199" w:hanging="176"/>
        <w:spacing w:after="0" w:line="268" w:lineRule="auto"/>
        <w:tabs>
          <w:tab w:leader="none" w:pos="180" w:val="left"/>
        </w:tabs>
        <w:numPr>
          <w:ilvl w:val="0"/>
          <w:numId w:val="65"/>
        </w:numPr>
        <w:rPr>
          <w:rFonts w:ascii="Arial" w:cs="Arial" w:eastAsia="Arial" w:hAnsi="Arial"/>
          <w:sz w:val="16"/>
          <w:szCs w:val="16"/>
          <w:color w:val="6D8CC3"/>
        </w:rPr>
      </w:pPr>
      <w:r>
        <w:rPr>
          <w:rFonts w:ascii="Arial" w:cs="Arial" w:eastAsia="Arial" w:hAnsi="Arial"/>
          <w:sz w:val="16"/>
          <w:szCs w:val="16"/>
          <w:color w:val="auto"/>
        </w:rPr>
        <w:t>analyzing the competitiveness of our executive pay, including benchmarking base salaries, short-term incentive design, long-term incentive design and executive perquisites;</w:t>
      </w:r>
    </w:p>
    <w:p>
      <w:pPr>
        <w:spacing w:after="0" w:line="48" w:lineRule="exact"/>
        <w:rPr>
          <w:rFonts w:ascii="Arial" w:cs="Arial" w:eastAsia="Arial" w:hAnsi="Arial"/>
          <w:sz w:val="16"/>
          <w:szCs w:val="16"/>
          <w:color w:val="6D8CC3"/>
        </w:rPr>
      </w:pPr>
    </w:p>
    <w:p>
      <w:pPr>
        <w:ind w:left="180" w:hanging="176"/>
        <w:spacing w:after="0"/>
        <w:tabs>
          <w:tab w:leader="none" w:pos="180" w:val="left"/>
        </w:tabs>
        <w:numPr>
          <w:ilvl w:val="0"/>
          <w:numId w:val="65"/>
        </w:numPr>
        <w:rPr>
          <w:rFonts w:ascii="Arial" w:cs="Arial" w:eastAsia="Arial" w:hAnsi="Arial"/>
          <w:sz w:val="16"/>
          <w:szCs w:val="16"/>
          <w:color w:val="6D8CC3"/>
        </w:rPr>
      </w:pPr>
      <w:r>
        <w:rPr>
          <w:rFonts w:ascii="Arial" w:cs="Arial" w:eastAsia="Arial" w:hAnsi="Arial"/>
          <w:sz w:val="16"/>
          <w:szCs w:val="16"/>
          <w:color w:val="auto"/>
        </w:rPr>
        <w:t>reviewing and benchmarking the structure of our Board compensation;</w:t>
      </w:r>
    </w:p>
    <w:p>
      <w:pPr>
        <w:spacing w:after="0" w:line="78" w:lineRule="exact"/>
        <w:rPr>
          <w:rFonts w:ascii="Arial" w:cs="Arial" w:eastAsia="Arial" w:hAnsi="Arial"/>
          <w:sz w:val="16"/>
          <w:szCs w:val="16"/>
          <w:color w:val="6D8CC3"/>
        </w:rPr>
      </w:pPr>
    </w:p>
    <w:p>
      <w:pPr>
        <w:ind w:left="180" w:hanging="176"/>
        <w:spacing w:after="0"/>
        <w:tabs>
          <w:tab w:leader="none" w:pos="180" w:val="left"/>
        </w:tabs>
        <w:numPr>
          <w:ilvl w:val="0"/>
          <w:numId w:val="65"/>
        </w:numPr>
        <w:rPr>
          <w:rFonts w:ascii="Arial" w:cs="Arial" w:eastAsia="Arial" w:hAnsi="Arial"/>
          <w:sz w:val="16"/>
          <w:szCs w:val="16"/>
          <w:color w:val="6D8CC3"/>
        </w:rPr>
      </w:pPr>
      <w:r>
        <w:rPr>
          <w:rFonts w:ascii="Arial" w:cs="Arial" w:eastAsia="Arial" w:hAnsi="Arial"/>
          <w:sz w:val="16"/>
          <w:szCs w:val="16"/>
          <w:color w:val="auto"/>
        </w:rPr>
        <w:t>assisting in the selection of our peer groups; and</w:t>
      </w:r>
    </w:p>
    <w:p>
      <w:pPr>
        <w:spacing w:after="0" w:line="91" w:lineRule="exact"/>
        <w:rPr>
          <w:rFonts w:ascii="Arial" w:cs="Arial" w:eastAsia="Arial" w:hAnsi="Arial"/>
          <w:sz w:val="16"/>
          <w:szCs w:val="16"/>
          <w:color w:val="6D8CC3"/>
        </w:rPr>
      </w:pPr>
    </w:p>
    <w:p>
      <w:pPr>
        <w:ind w:left="180" w:hanging="176"/>
        <w:spacing w:after="0"/>
        <w:tabs>
          <w:tab w:leader="none" w:pos="180" w:val="left"/>
        </w:tabs>
        <w:numPr>
          <w:ilvl w:val="0"/>
          <w:numId w:val="65"/>
        </w:numPr>
        <w:rPr>
          <w:rFonts w:ascii="Arial" w:cs="Arial" w:eastAsia="Arial" w:hAnsi="Arial"/>
          <w:sz w:val="16"/>
          <w:szCs w:val="16"/>
          <w:color w:val="6D8CC3"/>
        </w:rPr>
      </w:pPr>
      <w:r>
        <w:rPr>
          <w:rFonts w:ascii="Arial" w:cs="Arial" w:eastAsia="Arial" w:hAnsi="Arial"/>
          <w:sz w:val="16"/>
          <w:szCs w:val="16"/>
          <w:color w:val="auto"/>
        </w:rPr>
        <w:t>assisting in the preparation and review of this disclosure.</w:t>
      </w:r>
    </w:p>
    <w:p>
      <w:pPr>
        <w:spacing w:after="0" w:line="170" w:lineRule="exact"/>
        <w:rPr>
          <w:sz w:val="20"/>
          <w:szCs w:val="20"/>
          <w:color w:val="auto"/>
        </w:rPr>
      </w:pPr>
    </w:p>
    <w:p>
      <w:pPr>
        <w:ind w:right="59"/>
        <w:spacing w:after="0" w:line="246" w:lineRule="auto"/>
        <w:rPr>
          <w:sz w:val="20"/>
          <w:szCs w:val="20"/>
          <w:color w:val="auto"/>
        </w:rPr>
      </w:pPr>
      <w:r>
        <w:rPr>
          <w:rFonts w:ascii="Arial" w:cs="Arial" w:eastAsia="Arial" w:hAnsi="Arial"/>
          <w:sz w:val="16"/>
          <w:szCs w:val="16"/>
          <w:color w:val="auto"/>
        </w:rPr>
        <w:t>The HCC Committee evaluates the performance and independence of Meridian, specifically considering independence factors identified by NYSE rules. This evaluation includes a review of written representations from Meridian confirming its independence. Based on the HCC Committee’s evaluation, it believes that there are no conflicts of interest that could impair Meridian’s ability to provide independent, objective advice to the HCC Committee regarding executive compensation matters and their services to the Company do not raise any conflicts of interest.</w:t>
      </w:r>
    </w:p>
    <w:p>
      <w:pPr>
        <w:spacing w:after="0" w:line="318" w:lineRule="exact"/>
        <w:rPr>
          <w:sz w:val="20"/>
          <w:szCs w:val="20"/>
          <w:color w:val="auto"/>
        </w:rPr>
      </w:pPr>
    </w:p>
    <w:p>
      <w:pPr>
        <w:spacing w:after="0"/>
        <w:rPr>
          <w:sz w:val="20"/>
          <w:szCs w:val="20"/>
          <w:color w:val="auto"/>
        </w:rPr>
      </w:pPr>
      <w:r>
        <w:rPr>
          <w:rFonts w:ascii="Arial" w:cs="Arial" w:eastAsia="Arial" w:hAnsi="Arial"/>
          <w:sz w:val="19"/>
          <w:szCs w:val="19"/>
          <w:b w:val="1"/>
          <w:bCs w:val="1"/>
          <w:color w:val="6D8CC3"/>
        </w:rPr>
        <w:t>COMPENSATION RISK ASSESSMENT</w:t>
      </w:r>
    </w:p>
    <w:p>
      <w:pPr>
        <w:spacing w:after="0" w:line="55" w:lineRule="exact"/>
        <w:rPr>
          <w:sz w:val="20"/>
          <w:szCs w:val="20"/>
          <w:color w:val="auto"/>
        </w:rPr>
      </w:pPr>
    </w:p>
    <w:p>
      <w:pPr>
        <w:ind w:right="39"/>
        <w:spacing w:after="0" w:line="244" w:lineRule="auto"/>
        <w:rPr>
          <w:sz w:val="20"/>
          <w:szCs w:val="20"/>
          <w:color w:val="auto"/>
        </w:rPr>
      </w:pPr>
      <w:r>
        <w:rPr>
          <w:rFonts w:ascii="Arial" w:cs="Arial" w:eastAsia="Arial" w:hAnsi="Arial"/>
          <w:sz w:val="16"/>
          <w:szCs w:val="16"/>
          <w:color w:val="auto"/>
        </w:rPr>
        <w:t>On an annual basis, the HCC Committee, in consultation with its independent compensation consultant, considers the risks to our business associated with our compensation policies and practices for the purpose of determining whether any risks arising from those policies and practices are reasonably likely to have a material adverse effect on the Company. As part of its annual review in 2025, the HCC Committee determined that (i) our compensation program does not encourage excessive risk taking (including by incorporating a balanced pay mix, diverse performance metrics and strong governance policies and procedures), (ii) keeps our NEOs focused on the creation of long-term, sustainable value for our shareholders, and (iii) provides competitive and appropriate levels of compensation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573722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737225" cy="825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b w:val="1"/>
          <w:bCs w:val="1"/>
          <w:color w:val="292F72"/>
        </w:rPr>
        <w:t>42</w:t>
      </w:r>
      <w:r>
        <w:rPr>
          <w:rFonts w:ascii="Arial" w:cs="Arial" w:eastAsia="Arial" w:hAnsi="Arial"/>
          <w:sz w:val="14"/>
          <w:szCs w:val="14"/>
          <w:color w:val="292F72"/>
        </w:rPr>
        <w:t xml:space="preserve">     Bath &amp; Body Works, Inc.</w:t>
      </w:r>
      <w:r>
        <w:rPr>
          <w:rFonts w:ascii="Arial" w:cs="Arial" w:eastAsia="Arial" w:hAnsi="Arial"/>
          <w:sz w:val="14"/>
          <w:szCs w:val="14"/>
          <w:color w:val="6D8CC3"/>
        </w:rPr>
        <w:t xml:space="preserve">   | </w:t>
      </w:r>
      <w:r>
        <w:rPr>
          <w:rFonts w:ascii="Arial" w:cs="Arial" w:eastAsia="Arial" w:hAnsi="Arial"/>
          <w:sz w:val="14"/>
          <w:szCs w:val="14"/>
          <w:b w:val="1"/>
          <w:bCs w:val="1"/>
          <w:color w:val="292F72"/>
        </w:rPr>
        <w:t xml:space="preserve">  </w:t>
      </w:r>
      <w:r>
        <w:rPr>
          <w:rFonts w:ascii="Arial" w:cs="Arial" w:eastAsia="Arial" w:hAnsi="Arial"/>
          <w:sz w:val="14"/>
          <w:szCs w:val="14"/>
          <w:color w:val="292F72"/>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170180</wp:posOffset>
            </wp:positionV>
            <wp:extent cx="6795135" cy="1651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795135" cy="16510"/>
                    </a:xfrm>
                    <a:prstGeom prst="rect">
                      <a:avLst/>
                    </a:prstGeom>
                    <a:noFill/>
                  </pic:spPr>
                </pic:pic>
              </a:graphicData>
            </a:graphic>
          </wp:anchor>
        </w:drawing>
      </w:r>
    </w:p>
    <w:p>
      <w:pPr>
        <w:sectPr>
          <w:pgSz w:w="11900" w:h="16838" w:orient="portrait"/>
          <w:cols w:equalWidth="0" w:num="1">
            <w:col w:w="9039"/>
          </w:cols>
          <w:pgMar w:left="1420" w:top="116" w:right="14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2" w:lineRule="exact"/>
        <w:rPr>
          <w:sz w:val="20"/>
          <w:szCs w:val="20"/>
          <w:color w:val="auto"/>
        </w:rPr>
      </w:pPr>
    </w:p>
    <w:p>
      <w:pPr>
        <w:ind w:left="6840"/>
        <w:spacing w:after="0"/>
        <w:rPr>
          <w:sz w:val="20"/>
          <w:szCs w:val="20"/>
          <w:color w:val="auto"/>
        </w:rPr>
      </w:pPr>
      <w:r>
        <w:rPr>
          <w:rFonts w:ascii="Arial" w:cs="Arial" w:eastAsia="Arial" w:hAnsi="Arial"/>
          <w:sz w:val="15"/>
          <w:szCs w:val="15"/>
          <w:color w:val="292F72"/>
        </w:rPr>
        <w:t>Compensation-Related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48260</wp:posOffset>
            </wp:positionV>
            <wp:extent cx="1407160" cy="3302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407160" cy="3302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9"/>
          <w:szCs w:val="19"/>
          <w:b w:val="1"/>
          <w:bCs w:val="1"/>
          <w:color w:val="6D8CC3"/>
        </w:rPr>
        <w:t>EXECUTIVE STOCK OWNERSHIP GUIDELINES</w:t>
      </w:r>
    </w:p>
    <w:p>
      <w:pPr>
        <w:spacing w:after="0" w:line="55" w:lineRule="exact"/>
        <w:rPr>
          <w:sz w:val="20"/>
          <w:szCs w:val="20"/>
          <w:color w:val="auto"/>
        </w:rPr>
      </w:pPr>
    </w:p>
    <w:p>
      <w:pPr>
        <w:ind w:right="220"/>
        <w:spacing w:after="0" w:line="245" w:lineRule="auto"/>
        <w:rPr>
          <w:sz w:val="20"/>
          <w:szCs w:val="20"/>
          <w:color w:val="auto"/>
        </w:rPr>
      </w:pPr>
      <w:r>
        <w:rPr>
          <w:rFonts w:ascii="Arial" w:cs="Arial" w:eastAsia="Arial" w:hAnsi="Arial"/>
          <w:sz w:val="16"/>
          <w:szCs w:val="16"/>
          <w:color w:val="auto"/>
        </w:rPr>
        <w:t>The HCC Committee encourages and mandates Company common stock ownership by our NEOs through stock ownership guidelines that promote a long-term focus on stock performance, discourage inappropriate risk-taking and further align the interests of our NEOs with those of our shareholders. Stock ownership guidelines can be met through direct ownership of common stock and indirect ownership through both grants of stock-based awards under our stock incentive plans and common stock held through Company benefit plans. PSUs that remain subject to performance-based vesting requirements and unexercised stock options do not count toward ownership under our 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83185</wp:posOffset>
            </wp:positionV>
            <wp:extent cx="5737225" cy="104902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737225" cy="104902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300"/>
        <w:spacing w:after="0"/>
        <w:rPr>
          <w:sz w:val="20"/>
          <w:szCs w:val="20"/>
          <w:color w:val="auto"/>
        </w:rPr>
      </w:pPr>
      <w:r>
        <w:rPr>
          <w:rFonts w:ascii="Arial" w:cs="Arial" w:eastAsia="Arial" w:hAnsi="Arial"/>
          <w:sz w:val="19"/>
          <w:szCs w:val="19"/>
          <w:b w:val="1"/>
          <w:bCs w:val="1"/>
          <w:color w:val="6D8CC3"/>
        </w:rPr>
        <w:t>ROBUST EXECUTIVE STOCK OWNERSHIP GUIDELINES</w:t>
      </w:r>
    </w:p>
    <w:p>
      <w:pPr>
        <w:spacing w:after="0" w:line="48" w:lineRule="exact"/>
        <w:rPr>
          <w:sz w:val="20"/>
          <w:szCs w:val="20"/>
          <w:color w:val="auto"/>
        </w:rPr>
      </w:pPr>
    </w:p>
    <w:tbl>
      <w:tblPr>
        <w:tblLayout w:type="fixed"/>
        <w:tblInd w:w="200" w:type="dxa"/>
        <w:tblCellMar>
          <w:top w:w="0" w:type="dxa"/>
          <w:left w:w="0" w:type="dxa"/>
          <w:bottom w:w="0" w:type="dxa"/>
          <w:right w:w="0" w:type="dxa"/>
        </w:tblCellMar>
      </w:tblPr>
      <w:tr>
        <w:trPr>
          <w:trHeight w:val="203"/>
        </w:trPr>
        <w:tc>
          <w:tcPr>
            <w:tcW w:w="3880" w:type="dxa"/>
            <w:vAlign w:val="bottom"/>
            <w:shd w:val="clear" w:color="auto" w:fill="F0F5FE"/>
          </w:tcPr>
          <w:p>
            <w:pPr>
              <w:spacing w:after="0"/>
              <w:rPr>
                <w:sz w:val="17"/>
                <w:szCs w:val="17"/>
                <w:color w:val="auto"/>
              </w:rPr>
            </w:pPr>
          </w:p>
        </w:tc>
        <w:tc>
          <w:tcPr>
            <w:tcW w:w="100" w:type="dxa"/>
            <w:vAlign w:val="bottom"/>
          </w:tcPr>
          <w:p>
            <w:pPr>
              <w:spacing w:after="0"/>
              <w:rPr>
                <w:sz w:val="17"/>
                <w:szCs w:val="17"/>
                <w:color w:val="auto"/>
              </w:rPr>
            </w:pPr>
          </w:p>
        </w:tc>
        <w:tc>
          <w:tcPr>
            <w:tcW w:w="4860" w:type="dxa"/>
            <w:vAlign w:val="bottom"/>
          </w:tcPr>
          <w:p>
            <w:pPr>
              <w:spacing w:after="0"/>
              <w:rPr>
                <w:sz w:val="17"/>
                <w:szCs w:val="17"/>
                <w:color w:val="auto"/>
              </w:rPr>
            </w:pPr>
          </w:p>
        </w:tc>
      </w:tr>
      <w:tr>
        <w:trPr>
          <w:trHeight w:val="223"/>
        </w:trPr>
        <w:tc>
          <w:tcPr>
            <w:tcW w:w="3880" w:type="dxa"/>
            <w:vAlign w:val="bottom"/>
            <w:shd w:val="clear" w:color="auto" w:fill="F0F5FE"/>
          </w:tcPr>
          <w:p>
            <w:pPr>
              <w:ind w:left="100"/>
              <w:spacing w:after="0"/>
              <w:rPr>
                <w:sz w:val="20"/>
                <w:szCs w:val="20"/>
                <w:color w:val="auto"/>
              </w:rPr>
            </w:pPr>
            <w:r>
              <w:rPr>
                <w:rFonts w:ascii="Arial" w:cs="Arial" w:eastAsia="Arial" w:hAnsi="Arial"/>
                <w:sz w:val="17"/>
                <w:szCs w:val="17"/>
                <w:b w:val="1"/>
                <w:bCs w:val="1"/>
                <w:color w:val="auto"/>
              </w:rPr>
              <w:t>Chief Executive Officer</w:t>
            </w:r>
          </w:p>
        </w:tc>
        <w:tc>
          <w:tcPr>
            <w:tcW w:w="100" w:type="dxa"/>
            <w:vAlign w:val="bottom"/>
            <w:tcBorders>
              <w:right w:val="single" w:sz="8" w:color="6D8CC3"/>
            </w:tcBorders>
            <w:shd w:val="clear" w:color="auto" w:fill="F0F5FE"/>
          </w:tcPr>
          <w:p>
            <w:pPr>
              <w:spacing w:after="0"/>
              <w:rPr>
                <w:sz w:val="19"/>
                <w:szCs w:val="19"/>
                <w:color w:val="auto"/>
              </w:rPr>
            </w:pPr>
          </w:p>
        </w:tc>
        <w:tc>
          <w:tcPr>
            <w:tcW w:w="4860" w:type="dxa"/>
            <w:vAlign w:val="bottom"/>
            <w:shd w:val="clear" w:color="auto" w:fill="F0F5FE"/>
          </w:tcPr>
          <w:p>
            <w:pPr>
              <w:ind w:left="2180"/>
              <w:spacing w:after="0"/>
              <w:rPr>
                <w:sz w:val="20"/>
                <w:szCs w:val="20"/>
                <w:color w:val="auto"/>
              </w:rPr>
            </w:pPr>
            <w:r>
              <w:rPr>
                <w:rFonts w:ascii="Arial" w:cs="Arial" w:eastAsia="Arial" w:hAnsi="Arial"/>
                <w:sz w:val="17"/>
                <w:szCs w:val="17"/>
                <w:b w:val="1"/>
                <w:bCs w:val="1"/>
                <w:color w:val="auto"/>
              </w:rPr>
              <w:t>Other NEOs</w:t>
            </w:r>
          </w:p>
        </w:tc>
      </w:tr>
      <w:tr>
        <w:trPr>
          <w:trHeight w:val="341"/>
        </w:trPr>
        <w:tc>
          <w:tcPr>
            <w:tcW w:w="3880" w:type="dxa"/>
            <w:vAlign w:val="bottom"/>
            <w:shd w:val="clear" w:color="auto" w:fill="F0F5FE"/>
          </w:tcPr>
          <w:p>
            <w:pPr>
              <w:ind w:left="100"/>
              <w:spacing w:after="0"/>
              <w:rPr>
                <w:sz w:val="20"/>
                <w:szCs w:val="20"/>
                <w:color w:val="auto"/>
              </w:rPr>
            </w:pPr>
            <w:r>
              <w:rPr>
                <w:rFonts w:ascii="Arial" w:cs="Arial" w:eastAsia="Arial" w:hAnsi="Arial"/>
                <w:sz w:val="19"/>
                <w:szCs w:val="19"/>
                <w:b w:val="1"/>
                <w:bCs w:val="1"/>
                <w:color w:val="6D8CC3"/>
              </w:rPr>
              <w:t>6X TIMES BASE SALARY</w:t>
            </w:r>
          </w:p>
        </w:tc>
        <w:tc>
          <w:tcPr>
            <w:tcW w:w="100" w:type="dxa"/>
            <w:vAlign w:val="bottom"/>
            <w:tcBorders>
              <w:right w:val="single" w:sz="8" w:color="6D8CC3"/>
            </w:tcBorders>
            <w:shd w:val="clear" w:color="auto" w:fill="F0F5FE"/>
          </w:tcPr>
          <w:p>
            <w:pPr>
              <w:spacing w:after="0"/>
              <w:rPr>
                <w:sz w:val="24"/>
                <w:szCs w:val="24"/>
                <w:color w:val="auto"/>
              </w:rPr>
            </w:pPr>
          </w:p>
        </w:tc>
        <w:tc>
          <w:tcPr>
            <w:tcW w:w="4860" w:type="dxa"/>
            <w:vAlign w:val="bottom"/>
            <w:shd w:val="clear" w:color="auto" w:fill="F0F5FE"/>
          </w:tcPr>
          <w:p>
            <w:pPr>
              <w:ind w:left="2180"/>
              <w:spacing w:after="0"/>
              <w:rPr>
                <w:sz w:val="20"/>
                <w:szCs w:val="20"/>
                <w:color w:val="auto"/>
              </w:rPr>
            </w:pPr>
            <w:r>
              <w:rPr>
                <w:rFonts w:ascii="Arial" w:cs="Arial" w:eastAsia="Arial" w:hAnsi="Arial"/>
                <w:sz w:val="19"/>
                <w:szCs w:val="19"/>
                <w:b w:val="1"/>
                <w:bCs w:val="1"/>
                <w:color w:val="6D8CC3"/>
              </w:rPr>
              <w:t>3X TIMES BASE SALARY</w:t>
            </w:r>
          </w:p>
        </w:tc>
      </w:tr>
      <w:tr>
        <w:trPr>
          <w:trHeight w:val="315"/>
        </w:trPr>
        <w:tc>
          <w:tcPr>
            <w:tcW w:w="3880" w:type="dxa"/>
            <w:vAlign w:val="bottom"/>
            <w:shd w:val="clear" w:color="auto" w:fill="F0F5FE"/>
          </w:tcPr>
          <w:p>
            <w:pPr>
              <w:spacing w:after="0"/>
              <w:rPr>
                <w:sz w:val="24"/>
                <w:szCs w:val="24"/>
                <w:color w:val="auto"/>
              </w:rPr>
            </w:pPr>
          </w:p>
        </w:tc>
        <w:tc>
          <w:tcPr>
            <w:tcW w:w="100" w:type="dxa"/>
            <w:vAlign w:val="bottom"/>
            <w:tcBorders>
              <w:right w:val="single" w:sz="8" w:color="F0F5FE"/>
            </w:tcBorders>
            <w:shd w:val="clear" w:color="auto" w:fill="F0F5FE"/>
          </w:tcPr>
          <w:p>
            <w:pPr>
              <w:spacing w:after="0"/>
              <w:rPr>
                <w:sz w:val="24"/>
                <w:szCs w:val="24"/>
                <w:color w:val="auto"/>
              </w:rPr>
            </w:pPr>
          </w:p>
        </w:tc>
        <w:tc>
          <w:tcPr>
            <w:tcW w:w="4860" w:type="dxa"/>
            <w:vAlign w:val="bottom"/>
            <w:shd w:val="clear" w:color="auto" w:fill="F0F5FE"/>
          </w:tcPr>
          <w:p>
            <w:pPr>
              <w:spacing w:after="0"/>
              <w:rPr>
                <w:sz w:val="24"/>
                <w:szCs w:val="24"/>
                <w:color w:val="auto"/>
              </w:rPr>
            </w:pPr>
          </w:p>
        </w:tc>
      </w:tr>
    </w:tbl>
    <w:p>
      <w:pPr>
        <w:spacing w:after="0" w:line="158" w:lineRule="exact"/>
        <w:rPr>
          <w:sz w:val="20"/>
          <w:szCs w:val="20"/>
          <w:color w:val="auto"/>
        </w:rPr>
      </w:pPr>
    </w:p>
    <w:p>
      <w:pPr>
        <w:jc w:val="both"/>
        <w:ind w:right="280"/>
        <w:spacing w:after="0" w:line="254" w:lineRule="auto"/>
        <w:rPr>
          <w:sz w:val="20"/>
          <w:szCs w:val="20"/>
          <w:color w:val="auto"/>
        </w:rPr>
      </w:pPr>
      <w:r>
        <w:rPr>
          <w:rFonts w:ascii="Arial" w:cs="Arial" w:eastAsia="Arial" w:hAnsi="Arial"/>
          <w:sz w:val="16"/>
          <w:szCs w:val="16"/>
          <w:color w:val="auto"/>
        </w:rPr>
        <w:t>Our NEOs are required to achieve and maintain these ownership levels within five years of becoming subject to the ownership guidelines. All of our NEOs are either in compliance with the guidelines or are on track to comply with the guidelines within the required time frame.</w:t>
      </w:r>
    </w:p>
    <w:p>
      <w:pPr>
        <w:spacing w:after="0" w:line="309" w:lineRule="exact"/>
        <w:rPr>
          <w:sz w:val="20"/>
          <w:szCs w:val="20"/>
          <w:color w:val="auto"/>
        </w:rPr>
      </w:pPr>
    </w:p>
    <w:p>
      <w:pPr>
        <w:spacing w:after="0"/>
        <w:rPr>
          <w:sz w:val="20"/>
          <w:szCs w:val="20"/>
          <w:color w:val="auto"/>
        </w:rPr>
      </w:pPr>
      <w:r>
        <w:rPr>
          <w:rFonts w:ascii="Arial" w:cs="Arial" w:eastAsia="Arial" w:hAnsi="Arial"/>
          <w:sz w:val="19"/>
          <w:szCs w:val="19"/>
          <w:b w:val="1"/>
          <w:bCs w:val="1"/>
          <w:color w:val="6D8CC3"/>
        </w:rPr>
        <w:t>TAX DEDUCTIBILITY</w:t>
      </w:r>
    </w:p>
    <w:p>
      <w:pPr>
        <w:spacing w:after="0" w:line="47" w:lineRule="exact"/>
        <w:rPr>
          <w:sz w:val="20"/>
          <w:szCs w:val="20"/>
          <w:color w:val="auto"/>
        </w:rPr>
      </w:pPr>
    </w:p>
    <w:p>
      <w:pPr>
        <w:ind w:right="20"/>
        <w:spacing w:after="0" w:line="242" w:lineRule="auto"/>
        <w:rPr>
          <w:sz w:val="20"/>
          <w:szCs w:val="20"/>
          <w:color w:val="auto"/>
        </w:rPr>
      </w:pPr>
      <w:r>
        <w:rPr>
          <w:rFonts w:ascii="Arial" w:cs="Arial" w:eastAsia="Arial" w:hAnsi="Arial"/>
          <w:sz w:val="16"/>
          <w:szCs w:val="16"/>
          <w:color w:val="auto"/>
        </w:rPr>
        <w:t>Section 162(m) of the Code generally does not allow a tax deduction to certain publicly-held companies for compensation paid in excess of $1 million during the tax year to their chief executive officer, chief financial officer and certain other current and former highly compensated officers and certain other current and former highly compensated officers and employees, that qualify “as covered employees” within the meaning of Section 162(m) of the Code. The HCC Committee takes into consideration the tax implications of our executive compensation program, including with respect to the tax deductibility of compensation paid under Section 162(m) of the Code. In the exercise of its business judgment, and in accordance with its compensation philosophy, the HCC Committee continues to have flexibility to award compensation that is not tax deductible if it determines that such award is in our shareholders’ best interests and is necessary to comply with contractual commitments, or to maintain flexibility needed to attract talent, promote retention or recognize and reward desired performance.</w:t>
      </w:r>
    </w:p>
    <w:p>
      <w:pPr>
        <w:spacing w:after="0" w:line="294" w:lineRule="exact"/>
        <w:rPr>
          <w:sz w:val="20"/>
          <w:szCs w:val="20"/>
          <w:color w:val="auto"/>
        </w:rPr>
      </w:pPr>
    </w:p>
    <w:p>
      <w:pPr>
        <w:spacing w:after="0"/>
        <w:rPr>
          <w:sz w:val="20"/>
          <w:szCs w:val="20"/>
          <w:color w:val="auto"/>
        </w:rPr>
      </w:pPr>
      <w:r>
        <w:rPr>
          <w:rFonts w:ascii="Arial" w:cs="Arial" w:eastAsia="Arial" w:hAnsi="Arial"/>
          <w:sz w:val="19"/>
          <w:szCs w:val="19"/>
          <w:b w:val="1"/>
          <w:bCs w:val="1"/>
          <w:color w:val="6D8CC3"/>
        </w:rPr>
        <w:t>RECOVERY OF COMPENSATION</w:t>
      </w:r>
    </w:p>
    <w:p>
      <w:pPr>
        <w:spacing w:after="0" w:line="55" w:lineRule="exact"/>
        <w:rPr>
          <w:sz w:val="20"/>
          <w:szCs w:val="20"/>
          <w:color w:val="auto"/>
        </w:rPr>
      </w:pPr>
    </w:p>
    <w:p>
      <w:pPr>
        <w:ind w:right="20"/>
        <w:spacing w:after="0" w:line="261" w:lineRule="auto"/>
        <w:rPr>
          <w:sz w:val="20"/>
          <w:szCs w:val="20"/>
          <w:color w:val="auto"/>
        </w:rPr>
      </w:pPr>
      <w:r>
        <w:rPr>
          <w:rFonts w:ascii="Arial" w:cs="Arial" w:eastAsia="Arial" w:hAnsi="Arial"/>
          <w:sz w:val="15"/>
          <w:szCs w:val="15"/>
          <w:color w:val="auto"/>
        </w:rPr>
        <w:t>Under the 2020 Plan (and its predecessor plan), the HCC Committee has the power and authority to recover previously awarded bonuses or equity-based compensation or profits if (i) required by applicable law with respect to a participant, (ii) a participant engaged in fraudulent conduct or activities (or had knowledge of such conduct or activities) relating to the Company, or</w:t>
      </w:r>
    </w:p>
    <w:p>
      <w:pPr>
        <w:spacing w:after="0" w:line="2" w:lineRule="exact"/>
        <w:rPr>
          <w:sz w:val="20"/>
          <w:szCs w:val="20"/>
          <w:color w:val="auto"/>
        </w:rPr>
      </w:pPr>
    </w:p>
    <w:p>
      <w:pPr>
        <w:ind w:right="840" w:firstLine="4"/>
        <w:spacing w:after="0" w:line="250" w:lineRule="auto"/>
        <w:tabs>
          <w:tab w:leader="none" w:pos="253" w:val="left"/>
        </w:tabs>
        <w:numPr>
          <w:ilvl w:val="0"/>
          <w:numId w:val="66"/>
        </w:numPr>
        <w:rPr>
          <w:rFonts w:ascii="Arial" w:cs="Arial" w:eastAsia="Arial" w:hAnsi="Arial"/>
          <w:sz w:val="16"/>
          <w:szCs w:val="16"/>
          <w:color w:val="auto"/>
        </w:rPr>
      </w:pPr>
      <w:r>
        <w:rPr>
          <w:rFonts w:ascii="Arial" w:cs="Arial" w:eastAsia="Arial" w:hAnsi="Arial"/>
          <w:sz w:val="16"/>
          <w:szCs w:val="16"/>
          <w:color w:val="auto"/>
        </w:rPr>
        <w:t>a participant should have had knowledge of such conduct or activities based on the participant’s position, duties or responsibilities.</w:t>
      </w:r>
    </w:p>
    <w:p>
      <w:pPr>
        <w:spacing w:after="0" w:line="127"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auto"/>
        </w:rPr>
        <w:t>The HCC Committee adopted a compensation recoupment policy in connection with the NYSE’s adoption of final listing standards implementing the Commission’s clawback rule mandated by Section 954 of the Dodd-Frank Act (which we refer to as the Financial Statement Compensation Recoupment Policy). The Financial Statement Compensation Recoupment Policy requires the HCC Committee to seek a recovery (subject to specified exceptions) of certain “excess” performance-based incentive compensation paid to any current or former executive officer of the Company if the payment of that incentive compensation was calculated based on financial statements that were required to be restated due to material noncompliance with financial reporting requirements.</w:t>
      </w:r>
    </w:p>
    <w:p>
      <w:pPr>
        <w:spacing w:after="0" w:line="133"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In addition, we also maintain a supplemental compensation recoupment policy pursuant to which the HCC Committee has the ability to cancel and/or recoup certain cash and equity incentive compensation (including any equity or equity-based awards that are subject to time- and/or performance-based conditions) and severance compensation paid to associates who are at the level of Vice President or above (including our NEOs) in the event of a termination of employment for cause, or the HCC Committee’s discovery that grounds for cause existed at the time of such associate’s termination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125095</wp:posOffset>
            </wp:positionV>
            <wp:extent cx="573722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737225" cy="8255"/>
                    </a:xfrm>
                    <a:prstGeom prst="rect">
                      <a:avLst/>
                    </a:prstGeom>
                    <a:noFill/>
                  </pic:spPr>
                </pic:pic>
              </a:graphicData>
            </a:graphic>
          </wp:anchor>
        </w:drawing>
      </w:r>
    </w:p>
    <w:p>
      <w:pPr>
        <w:spacing w:after="0" w:line="273" w:lineRule="exact"/>
        <w:rPr>
          <w:sz w:val="20"/>
          <w:szCs w:val="20"/>
          <w:color w:val="auto"/>
        </w:rPr>
      </w:pPr>
    </w:p>
    <w:p>
      <w:pPr>
        <w:jc w:val="right"/>
        <w:spacing w:after="0"/>
        <w:rPr>
          <w:sz w:val="20"/>
          <w:szCs w:val="20"/>
          <w:color w:val="auto"/>
        </w:rPr>
      </w:pPr>
      <w:r>
        <w:rPr>
          <w:rFonts w:ascii="Arial" w:cs="Arial" w:eastAsia="Arial" w:hAnsi="Arial"/>
          <w:sz w:val="14"/>
          <w:szCs w:val="14"/>
          <w:color w:val="292F72"/>
        </w:rPr>
        <w:t>Bath &amp; Body Works, Inc.</w:t>
      </w:r>
      <w:r>
        <w:rPr>
          <w:rFonts w:ascii="Arial" w:cs="Arial" w:eastAsia="Arial" w:hAnsi="Arial"/>
          <w:sz w:val="14"/>
          <w:szCs w:val="14"/>
          <w:color w:val="6D8CC3"/>
        </w:rPr>
        <w:t xml:space="preserve">   | </w:t>
      </w:r>
      <w:r>
        <w:rPr>
          <w:rFonts w:ascii="Arial" w:cs="Arial" w:eastAsia="Arial" w:hAnsi="Arial"/>
          <w:sz w:val="14"/>
          <w:szCs w:val="14"/>
          <w:color w:val="292F72"/>
        </w:rPr>
        <w:t xml:space="preserve">  2026 Proxy Statement     </w:t>
      </w:r>
      <w:r>
        <w:rPr>
          <w:rFonts w:ascii="Arial" w:cs="Arial" w:eastAsia="Arial" w:hAnsi="Arial"/>
          <w:sz w:val="14"/>
          <w:szCs w:val="14"/>
          <w:b w:val="1"/>
          <w:bCs w:val="1"/>
          <w:color w:val="292F72"/>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145415</wp:posOffset>
            </wp:positionV>
            <wp:extent cx="6795135" cy="1651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795135" cy="16510"/>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6"/>
          <w:szCs w:val="16"/>
          <w:color w:val="292F72"/>
        </w:rPr>
        <w:t>Compensation-Related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40640</wp:posOffset>
            </wp:positionV>
            <wp:extent cx="1407160" cy="3302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407160" cy="3302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b w:val="1"/>
          <w:bCs w:val="1"/>
          <w:color w:val="6D8CC3"/>
        </w:rPr>
        <w:t>TALLY SHEETS</w:t>
      </w:r>
    </w:p>
    <w:p>
      <w:pPr>
        <w:spacing w:after="0" w:line="55" w:lineRule="exact"/>
        <w:rPr>
          <w:sz w:val="20"/>
          <w:szCs w:val="20"/>
          <w:color w:val="auto"/>
        </w:rPr>
      </w:pPr>
    </w:p>
    <w:p>
      <w:pPr>
        <w:jc w:val="both"/>
        <w:ind w:right="79"/>
        <w:spacing w:after="0" w:line="245" w:lineRule="auto"/>
        <w:rPr>
          <w:sz w:val="20"/>
          <w:szCs w:val="20"/>
          <w:color w:val="auto"/>
        </w:rPr>
      </w:pPr>
      <w:r>
        <w:rPr>
          <w:rFonts w:ascii="Arial" w:cs="Arial" w:eastAsia="Arial" w:hAnsi="Arial"/>
          <w:sz w:val="16"/>
          <w:szCs w:val="16"/>
          <w:color w:val="auto"/>
        </w:rPr>
        <w:t>To assess the reasonableness of the compensation of our NEOs, the HCC Committee annually reviews all of the components of the NEOs’ compensation, including base salary, short-term cash incentive compensation, realized and unrealized gains on stock options, PSUs and RSUs, the cost to the Company of all perquisites and potential payouts under several severance and change of control scenarios. Based on this review, the HCC Committee concluded that our NEOs’ compensation components individually and in the aggregate are reasonable, encourage retention, incent performance and are in the best interests of the Company and its shareholders.</w:t>
      </w:r>
    </w:p>
    <w:p>
      <w:pPr>
        <w:spacing w:after="0" w:line="304" w:lineRule="exact"/>
        <w:rPr>
          <w:sz w:val="20"/>
          <w:szCs w:val="20"/>
          <w:color w:val="auto"/>
        </w:rPr>
      </w:pPr>
    </w:p>
    <w:p>
      <w:pPr>
        <w:spacing w:after="0"/>
        <w:rPr>
          <w:sz w:val="20"/>
          <w:szCs w:val="20"/>
          <w:color w:val="auto"/>
        </w:rPr>
      </w:pPr>
      <w:r>
        <w:rPr>
          <w:rFonts w:ascii="Arial" w:cs="Arial" w:eastAsia="Arial" w:hAnsi="Arial"/>
          <w:sz w:val="19"/>
          <w:szCs w:val="19"/>
          <w:b w:val="1"/>
          <w:bCs w:val="1"/>
          <w:color w:val="6D8CC3"/>
        </w:rPr>
        <w:t>EQUITY GRANT PRACTICES</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We have the following practices regarding equity compensation grants:</w:t>
      </w:r>
    </w:p>
    <w:p>
      <w:pPr>
        <w:spacing w:after="0" w:line="91" w:lineRule="exact"/>
        <w:rPr>
          <w:sz w:val="20"/>
          <w:szCs w:val="20"/>
          <w:color w:val="auto"/>
        </w:rPr>
      </w:pPr>
    </w:p>
    <w:p>
      <w:pPr>
        <w:ind w:left="180" w:right="39" w:hanging="176"/>
        <w:spacing w:after="0" w:line="268" w:lineRule="auto"/>
        <w:tabs>
          <w:tab w:leader="none" w:pos="180" w:val="left"/>
        </w:tabs>
        <w:numPr>
          <w:ilvl w:val="0"/>
          <w:numId w:val="67"/>
        </w:numPr>
        <w:rPr>
          <w:rFonts w:ascii="Arial" w:cs="Arial" w:eastAsia="Arial" w:hAnsi="Arial"/>
          <w:sz w:val="16"/>
          <w:szCs w:val="16"/>
          <w:color w:val="6D8CC3"/>
        </w:rPr>
      </w:pPr>
      <w:r>
        <w:rPr>
          <w:rFonts w:ascii="Arial" w:cs="Arial" w:eastAsia="Arial" w:hAnsi="Arial"/>
          <w:sz w:val="16"/>
          <w:szCs w:val="16"/>
          <w:color w:val="auto"/>
        </w:rPr>
        <w:t>Annual equity incentive awards are granted by the HCC Committee and/or our Board generally in the first half of the fiscal year, at a meeting typically scheduled over a year in advance.</w:t>
      </w:r>
    </w:p>
    <w:p>
      <w:pPr>
        <w:spacing w:after="0" w:line="48" w:lineRule="exact"/>
        <w:rPr>
          <w:rFonts w:ascii="Arial" w:cs="Arial" w:eastAsia="Arial" w:hAnsi="Arial"/>
          <w:sz w:val="16"/>
          <w:szCs w:val="16"/>
          <w:color w:val="6D8CC3"/>
        </w:rPr>
      </w:pPr>
    </w:p>
    <w:p>
      <w:pPr>
        <w:ind w:left="180" w:right="139" w:hanging="176"/>
        <w:spacing w:after="0" w:line="249" w:lineRule="auto"/>
        <w:tabs>
          <w:tab w:leader="none" w:pos="180" w:val="left"/>
        </w:tabs>
        <w:numPr>
          <w:ilvl w:val="0"/>
          <w:numId w:val="67"/>
        </w:numPr>
        <w:rPr>
          <w:rFonts w:ascii="Arial" w:cs="Arial" w:eastAsia="Arial" w:hAnsi="Arial"/>
          <w:sz w:val="16"/>
          <w:szCs w:val="16"/>
          <w:color w:val="6D8CC3"/>
        </w:rPr>
      </w:pPr>
      <w:r>
        <w:rPr>
          <w:rFonts w:ascii="Arial" w:cs="Arial" w:eastAsia="Arial" w:hAnsi="Arial"/>
          <w:sz w:val="16"/>
          <w:szCs w:val="16"/>
          <w:color w:val="auto"/>
        </w:rPr>
        <w:t>Occasionally, the HCC Committee and/or our Board may also grant equity awards outside of our annual grant cycle, including for new hires or other special circumstances. The timing of any equity grants to executive officers in connection with any such new hires or other non-routine grants is tied to the event giving rise to the award (such as an executive officer’s date of commencement of employment).</w:t>
      </w:r>
    </w:p>
    <w:p>
      <w:pPr>
        <w:spacing w:after="0" w:line="49" w:lineRule="exact"/>
        <w:rPr>
          <w:rFonts w:ascii="Arial" w:cs="Arial" w:eastAsia="Arial" w:hAnsi="Arial"/>
          <w:sz w:val="16"/>
          <w:szCs w:val="16"/>
          <w:color w:val="6D8CC3"/>
        </w:rPr>
      </w:pPr>
    </w:p>
    <w:p>
      <w:pPr>
        <w:ind w:left="180" w:right="119" w:hanging="176"/>
        <w:spacing w:after="0" w:line="254" w:lineRule="auto"/>
        <w:tabs>
          <w:tab w:leader="none" w:pos="180" w:val="left"/>
        </w:tabs>
        <w:numPr>
          <w:ilvl w:val="0"/>
          <w:numId w:val="67"/>
        </w:numPr>
        <w:rPr>
          <w:rFonts w:ascii="Arial" w:cs="Arial" w:eastAsia="Arial" w:hAnsi="Arial"/>
          <w:sz w:val="16"/>
          <w:szCs w:val="16"/>
          <w:color w:val="6D8CC3"/>
        </w:rPr>
      </w:pPr>
      <w:r>
        <w:rPr>
          <w:rFonts w:ascii="Arial" w:cs="Arial" w:eastAsia="Arial" w:hAnsi="Arial"/>
          <w:sz w:val="16"/>
          <w:szCs w:val="16"/>
          <w:color w:val="auto"/>
        </w:rPr>
        <w:t>We do not strategically time long-term incentive awards in coordination with the release of material non-public information (“MNPI”) and have never had a practice of doing so. We do not time the release of MNPI for the purpose of affecting the value of executive compensation.</w:t>
      </w:r>
    </w:p>
    <w:p>
      <w:pPr>
        <w:spacing w:after="0" w:line="58" w:lineRule="exact"/>
        <w:rPr>
          <w:rFonts w:ascii="Arial" w:cs="Arial" w:eastAsia="Arial" w:hAnsi="Arial"/>
          <w:sz w:val="16"/>
          <w:szCs w:val="16"/>
          <w:color w:val="6D8CC3"/>
        </w:rPr>
      </w:pPr>
    </w:p>
    <w:p>
      <w:pPr>
        <w:ind w:left="180" w:right="39" w:hanging="176"/>
        <w:spacing w:after="0" w:line="254" w:lineRule="auto"/>
        <w:tabs>
          <w:tab w:leader="none" w:pos="180" w:val="left"/>
        </w:tabs>
        <w:numPr>
          <w:ilvl w:val="0"/>
          <w:numId w:val="67"/>
        </w:numPr>
        <w:rPr>
          <w:rFonts w:ascii="Arial" w:cs="Arial" w:eastAsia="Arial" w:hAnsi="Arial"/>
          <w:sz w:val="16"/>
          <w:szCs w:val="16"/>
          <w:color w:val="6D8CC3"/>
        </w:rPr>
      </w:pPr>
      <w:r>
        <w:rPr>
          <w:rFonts w:ascii="Arial" w:cs="Arial" w:eastAsia="Arial" w:hAnsi="Arial"/>
          <w:sz w:val="16"/>
          <w:szCs w:val="16"/>
          <w:color w:val="auto"/>
        </w:rPr>
        <w:t>We do not currently grant stock options, stock appreciation rights or any similar awards with “option-like” features and therefore we have not adopted a policy regarding the timing of any such awards in connection with the disclosure of MNPI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120015</wp:posOffset>
            </wp:positionV>
            <wp:extent cx="573722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737225"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b w:val="1"/>
          <w:bCs w:val="1"/>
          <w:color w:val="292F72"/>
        </w:rPr>
        <w:t>44</w:t>
      </w:r>
      <w:r>
        <w:rPr>
          <w:rFonts w:ascii="Arial" w:cs="Arial" w:eastAsia="Arial" w:hAnsi="Arial"/>
          <w:sz w:val="14"/>
          <w:szCs w:val="14"/>
          <w:color w:val="292F72"/>
        </w:rPr>
        <w:t xml:space="preserve">     Bath &amp; Body Works, Inc.</w:t>
      </w:r>
      <w:r>
        <w:rPr>
          <w:rFonts w:ascii="Arial" w:cs="Arial" w:eastAsia="Arial" w:hAnsi="Arial"/>
          <w:sz w:val="14"/>
          <w:szCs w:val="14"/>
          <w:color w:val="6D8CC3"/>
        </w:rPr>
        <w:t xml:space="preserve">   | </w:t>
      </w:r>
      <w:r>
        <w:rPr>
          <w:rFonts w:ascii="Arial" w:cs="Arial" w:eastAsia="Arial" w:hAnsi="Arial"/>
          <w:sz w:val="14"/>
          <w:szCs w:val="14"/>
          <w:b w:val="1"/>
          <w:bCs w:val="1"/>
          <w:color w:val="292F72"/>
        </w:rPr>
        <w:t xml:space="preserve">  </w:t>
      </w:r>
      <w:r>
        <w:rPr>
          <w:rFonts w:ascii="Arial" w:cs="Arial" w:eastAsia="Arial" w:hAnsi="Arial"/>
          <w:sz w:val="14"/>
          <w:szCs w:val="14"/>
          <w:color w:val="292F72"/>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170180</wp:posOffset>
            </wp:positionV>
            <wp:extent cx="6795135" cy="1651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795135" cy="16510"/>
                    </a:xfrm>
                    <a:prstGeom prst="rect">
                      <a:avLst/>
                    </a:prstGeom>
                    <a:noFill/>
                  </pic:spPr>
                </pic:pic>
              </a:graphicData>
            </a:graphic>
          </wp:anchor>
        </w:drawing>
      </w:r>
    </w:p>
    <w:p>
      <w:pPr>
        <w:sectPr>
          <w:pgSz w:w="11900" w:h="16838" w:orient="portrait"/>
          <w:cols w:equalWidth="0" w:num="1">
            <w:col w:w="9039"/>
          </w:cols>
          <w:pgMar w:left="1420" w:top="116"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2" w:lineRule="exact"/>
        <w:rPr>
          <w:sz w:val="20"/>
          <w:szCs w:val="20"/>
          <w:color w:val="auto"/>
        </w:rPr>
      </w:pPr>
    </w:p>
    <w:p>
      <w:pPr>
        <w:ind w:left="6840"/>
        <w:spacing w:after="0"/>
        <w:rPr>
          <w:sz w:val="20"/>
          <w:szCs w:val="20"/>
          <w:color w:val="auto"/>
        </w:rPr>
      </w:pPr>
      <w:r>
        <w:rPr>
          <w:rFonts w:ascii="Arial" w:cs="Arial" w:eastAsia="Arial" w:hAnsi="Arial"/>
          <w:sz w:val="15"/>
          <w:szCs w:val="15"/>
          <w:color w:val="292F72"/>
        </w:rPr>
        <w:t>Compensation-Related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48260</wp:posOffset>
            </wp:positionV>
            <wp:extent cx="1407160" cy="3302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407160" cy="33020"/>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Arial" w:cs="Arial" w:eastAsia="Arial" w:hAnsi="Arial"/>
          <w:sz w:val="23"/>
          <w:szCs w:val="23"/>
          <w:b w:val="1"/>
          <w:bCs w:val="1"/>
          <w:color w:val="292F72"/>
        </w:rPr>
        <w:t>2025 Summary Compensation Table</w:t>
      </w:r>
    </w:p>
    <w:p>
      <w:pPr>
        <w:spacing w:after="0" w:line="148" w:lineRule="exact"/>
        <w:rPr>
          <w:sz w:val="20"/>
          <w:szCs w:val="20"/>
          <w:color w:val="auto"/>
        </w:rPr>
      </w:pPr>
    </w:p>
    <w:p>
      <w:pPr>
        <w:ind w:right="140"/>
        <w:spacing w:after="0" w:line="268" w:lineRule="auto"/>
        <w:rPr>
          <w:sz w:val="20"/>
          <w:szCs w:val="20"/>
          <w:color w:val="auto"/>
        </w:rPr>
      </w:pPr>
      <w:r>
        <w:rPr>
          <w:rFonts w:ascii="Arial" w:cs="Arial" w:eastAsia="Arial" w:hAnsi="Arial"/>
          <w:sz w:val="16"/>
          <w:szCs w:val="16"/>
          <w:color w:val="auto"/>
        </w:rPr>
        <w:t>The following table sets forth information concerning total compensation earned by or paid to our NEOs during fiscal 2025, 2024 and 2023, as applicable.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ind w:left="60"/>
              <w:spacing w:after="0"/>
              <w:rPr>
                <w:sz w:val="20"/>
                <w:szCs w:val="20"/>
                <w:color w:val="auto"/>
              </w:rPr>
            </w:pPr>
            <w:r>
              <w:rPr>
                <w:rFonts w:ascii="Arial" w:cs="Arial" w:eastAsia="Arial" w:hAnsi="Arial"/>
                <w:sz w:val="12"/>
                <w:szCs w:val="12"/>
                <w:b w:val="1"/>
                <w:bCs w:val="1"/>
                <w:color w:val="292F72"/>
              </w:rPr>
              <w:t>CHANGE IN</w:t>
            </w: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292F72"/>
              </w:rPr>
              <w:t>PENSION</w:t>
            </w: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vMerge w:val="restart"/>
          </w:tcPr>
          <w:p>
            <w:pPr>
              <w:ind w:left="60"/>
              <w:spacing w:after="0"/>
              <w:rPr>
                <w:sz w:val="20"/>
                <w:szCs w:val="20"/>
                <w:color w:val="auto"/>
              </w:rPr>
            </w:pPr>
            <w:r>
              <w:rPr>
                <w:rFonts w:ascii="Arial" w:cs="Arial" w:eastAsia="Arial" w:hAnsi="Arial"/>
                <w:sz w:val="12"/>
                <w:szCs w:val="12"/>
                <w:b w:val="1"/>
                <w:bCs w:val="1"/>
                <w:color w:val="292F72"/>
              </w:rPr>
              <w:t>NON-EQUITY</w:t>
            </w:r>
          </w:p>
        </w:tc>
        <w:tc>
          <w:tcPr>
            <w:tcW w:w="180" w:type="dxa"/>
            <w:vAlign w:val="bottom"/>
          </w:tcPr>
          <w:p>
            <w:pPr>
              <w:spacing w:after="0"/>
              <w:rPr>
                <w:sz w:val="11"/>
                <w:szCs w:val="11"/>
                <w:color w:val="auto"/>
              </w:rPr>
            </w:pP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292F72"/>
              </w:rPr>
              <w:t>VALUE AND</w:t>
            </w: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1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Pr>
          <w:p>
            <w:pPr>
              <w:ind w:left="60"/>
              <w:spacing w:after="0" w:line="123" w:lineRule="exact"/>
              <w:rPr>
                <w:sz w:val="20"/>
                <w:szCs w:val="20"/>
                <w:color w:val="auto"/>
              </w:rPr>
            </w:pPr>
            <w:r>
              <w:rPr>
                <w:rFonts w:ascii="Arial" w:cs="Arial" w:eastAsia="Arial" w:hAnsi="Arial"/>
                <w:sz w:val="12"/>
                <w:szCs w:val="12"/>
                <w:b w:val="1"/>
                <w:bCs w:val="1"/>
                <w:color w:val="292F72"/>
              </w:rPr>
              <w:t>NON-QUALIFIED</w:t>
            </w: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292F72"/>
              </w:rPr>
              <w:t xml:space="preserve">STOCK  </w:t>
            </w:r>
            <w:r>
              <w:rPr>
                <w:rFonts w:ascii="Arial" w:cs="Arial" w:eastAsia="Arial" w:hAnsi="Arial"/>
                <w:sz w:val="20"/>
                <w:szCs w:val="20"/>
                <w:b w:val="1"/>
                <w:bCs w:val="1"/>
                <w:color w:val="292F72"/>
                <w:vertAlign w:val="subscript"/>
              </w:rPr>
              <w:t>(1)</w:t>
            </w:r>
          </w:p>
        </w:tc>
        <w:tc>
          <w:tcPr>
            <w:tcW w:w="640" w:type="dxa"/>
            <w:vAlign w:val="bottom"/>
          </w:tcPr>
          <w:p>
            <w:pPr>
              <w:spacing w:after="0"/>
              <w:rPr>
                <w:sz w:val="11"/>
                <w:szCs w:val="11"/>
                <w:color w:val="auto"/>
              </w:rPr>
            </w:pPr>
          </w:p>
        </w:tc>
        <w:tc>
          <w:tcPr>
            <w:tcW w:w="1040" w:type="dxa"/>
            <w:vAlign w:val="bottom"/>
          </w:tcPr>
          <w:p>
            <w:pPr>
              <w:ind w:left="60"/>
              <w:spacing w:after="0" w:line="132" w:lineRule="exact"/>
              <w:rPr>
                <w:sz w:val="20"/>
                <w:szCs w:val="20"/>
                <w:color w:val="auto"/>
              </w:rPr>
            </w:pPr>
            <w:r>
              <w:rPr>
                <w:rFonts w:ascii="Arial" w:cs="Arial" w:eastAsia="Arial" w:hAnsi="Arial"/>
                <w:sz w:val="12"/>
                <w:szCs w:val="12"/>
                <w:b w:val="1"/>
                <w:bCs w:val="1"/>
                <w:color w:val="292F72"/>
              </w:rPr>
              <w:t>INCENTIVE</w:t>
            </w:r>
          </w:p>
        </w:tc>
        <w:tc>
          <w:tcPr>
            <w:tcW w:w="180" w:type="dxa"/>
            <w:vAlign w:val="bottom"/>
          </w:tcPr>
          <w:p>
            <w:pPr>
              <w:spacing w:after="0"/>
              <w:rPr>
                <w:sz w:val="11"/>
                <w:szCs w:val="11"/>
                <w:color w:val="auto"/>
              </w:rPr>
            </w:pP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292F72"/>
              </w:rPr>
              <w:t>DEFERRED</w:t>
            </w: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480" w:type="dxa"/>
            <w:vAlign w:val="bottom"/>
            <w:vMerge w:val="restart"/>
          </w:tcPr>
          <w:p>
            <w:pPr>
              <w:spacing w:after="0"/>
              <w:rPr>
                <w:sz w:val="20"/>
                <w:szCs w:val="20"/>
                <w:color w:val="auto"/>
              </w:rPr>
            </w:pPr>
            <w:r>
              <w:rPr>
                <w:rFonts w:ascii="Arial" w:cs="Arial" w:eastAsia="Arial" w:hAnsi="Arial"/>
                <w:sz w:val="12"/>
                <w:szCs w:val="12"/>
                <w:b w:val="1"/>
                <w:bCs w:val="1"/>
                <w:color w:val="292F72"/>
              </w:rPr>
              <w:t>NAME AND PRINCIPAL</w:t>
            </w:r>
          </w:p>
        </w:tc>
        <w:tc>
          <w:tcPr>
            <w:tcW w:w="460" w:type="dxa"/>
            <w:vAlign w:val="bottom"/>
          </w:tcPr>
          <w:p>
            <w:pPr>
              <w:spacing w:after="0"/>
              <w:rPr>
                <w:sz w:val="13"/>
                <w:szCs w:val="13"/>
                <w:color w:val="auto"/>
              </w:rPr>
            </w:pPr>
          </w:p>
        </w:tc>
        <w:tc>
          <w:tcPr>
            <w:tcW w:w="720" w:type="dxa"/>
            <w:vAlign w:val="bottom"/>
            <w:vMerge w:val="restart"/>
          </w:tcPr>
          <w:p>
            <w:pPr>
              <w:ind w:left="40"/>
              <w:spacing w:after="0"/>
              <w:rPr>
                <w:sz w:val="20"/>
                <w:szCs w:val="20"/>
                <w:color w:val="auto"/>
              </w:rPr>
            </w:pPr>
            <w:r>
              <w:rPr>
                <w:rFonts w:ascii="Arial" w:cs="Arial" w:eastAsia="Arial" w:hAnsi="Arial"/>
                <w:sz w:val="12"/>
                <w:szCs w:val="12"/>
                <w:b w:val="1"/>
                <w:bCs w:val="1"/>
                <w:color w:val="292F72"/>
              </w:rPr>
              <w:t>SALARY</w:t>
            </w: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292F72"/>
              </w:rPr>
              <w:t>BONUS</w:t>
            </w:r>
          </w:p>
        </w:tc>
        <w:tc>
          <w:tcPr>
            <w:tcW w:w="780" w:type="dxa"/>
            <w:vAlign w:val="bottom"/>
            <w:vMerge w:val="continue"/>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292F72"/>
              </w:rPr>
              <w:t>OPTION</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292F72"/>
              </w:rPr>
              <w:t>PLAN</w:t>
            </w:r>
          </w:p>
        </w:tc>
        <w:tc>
          <w:tcPr>
            <w:tcW w:w="180" w:type="dxa"/>
            <w:vAlign w:val="bottom"/>
          </w:tcPr>
          <w:p>
            <w:pPr>
              <w:jc w:val="right"/>
              <w:ind w:right="9"/>
              <w:spacing w:after="0"/>
              <w:rPr>
                <w:sz w:val="20"/>
                <w:szCs w:val="20"/>
                <w:color w:val="auto"/>
              </w:rPr>
            </w:pPr>
            <w:r>
              <w:rPr>
                <w:rFonts w:ascii="Arial" w:cs="Arial" w:eastAsia="Arial" w:hAnsi="Arial"/>
                <w:sz w:val="10"/>
                <w:szCs w:val="10"/>
                <w:b w:val="1"/>
                <w:bCs w:val="1"/>
                <w:color w:val="292F72"/>
                <w:w w:val="81"/>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292F72"/>
              </w:rPr>
              <w:t>COMPENSATION</w:t>
            </w:r>
          </w:p>
        </w:tc>
        <w:tc>
          <w:tcPr>
            <w:tcW w:w="1060" w:type="dxa"/>
            <w:vAlign w:val="bottom"/>
          </w:tcPr>
          <w:p>
            <w:pPr>
              <w:ind w:left="80"/>
              <w:spacing w:after="0"/>
              <w:rPr>
                <w:sz w:val="20"/>
                <w:szCs w:val="20"/>
                <w:color w:val="auto"/>
              </w:rPr>
            </w:pPr>
            <w:r>
              <w:rPr>
                <w:rFonts w:ascii="Arial" w:cs="Arial" w:eastAsia="Arial" w:hAnsi="Arial"/>
                <w:sz w:val="12"/>
                <w:szCs w:val="12"/>
                <w:b w:val="1"/>
                <w:bCs w:val="1"/>
                <w:color w:val="292F72"/>
              </w:rPr>
              <w:t>ALL OTHER</w:t>
            </w:r>
          </w:p>
        </w:tc>
        <w:tc>
          <w:tcPr>
            <w:tcW w:w="180" w:type="dxa"/>
            <w:vAlign w:val="bottom"/>
          </w:tcPr>
          <w:p>
            <w:pPr>
              <w:jc w:val="right"/>
              <w:ind w:right="9"/>
              <w:spacing w:after="0"/>
              <w:rPr>
                <w:sz w:val="20"/>
                <w:szCs w:val="20"/>
                <w:color w:val="auto"/>
              </w:rPr>
            </w:pPr>
            <w:r>
              <w:rPr>
                <w:rFonts w:ascii="Arial" w:cs="Arial" w:eastAsia="Arial" w:hAnsi="Arial"/>
                <w:sz w:val="10"/>
                <w:szCs w:val="10"/>
                <w:b w:val="1"/>
                <w:bCs w:val="1"/>
                <w:color w:val="292F72"/>
                <w:w w:val="81"/>
              </w:rPr>
              <w:t>(3)</w:t>
            </w:r>
          </w:p>
        </w:tc>
        <w:tc>
          <w:tcPr>
            <w:tcW w:w="760" w:type="dxa"/>
            <w:vAlign w:val="bottom"/>
            <w:vMerge w:val="restart"/>
          </w:tcPr>
          <w:p>
            <w:pPr>
              <w:jc w:val="right"/>
              <w:ind w:right="251"/>
              <w:spacing w:after="0"/>
              <w:rPr>
                <w:sz w:val="20"/>
                <w:szCs w:val="20"/>
                <w:color w:val="auto"/>
              </w:rPr>
            </w:pPr>
            <w:r>
              <w:rPr>
                <w:rFonts w:ascii="Arial" w:cs="Arial" w:eastAsia="Arial" w:hAnsi="Arial"/>
                <w:sz w:val="12"/>
                <w:szCs w:val="12"/>
                <w:b w:val="1"/>
                <w:bCs w:val="1"/>
                <w:color w:val="292F72"/>
              </w:rPr>
              <w:t>TOTAL</w:t>
            </w:r>
          </w:p>
        </w:tc>
        <w:tc>
          <w:tcPr>
            <w:tcW w:w="0" w:type="dxa"/>
            <w:vAlign w:val="bottom"/>
          </w:tcPr>
          <w:p>
            <w:pPr>
              <w:spacing w:after="0"/>
              <w:rPr>
                <w:sz w:val="1"/>
                <w:szCs w:val="1"/>
                <w:color w:val="auto"/>
              </w:rPr>
            </w:pPr>
          </w:p>
        </w:tc>
      </w:tr>
      <w:tr>
        <w:trPr>
          <w:trHeight w:val="119"/>
        </w:trPr>
        <w:tc>
          <w:tcPr>
            <w:tcW w:w="1480" w:type="dxa"/>
            <w:vAlign w:val="bottom"/>
            <w:vMerge w:val="continue"/>
          </w:tcPr>
          <w:p>
            <w:pPr>
              <w:spacing w:after="0"/>
              <w:rPr>
                <w:sz w:val="10"/>
                <w:szCs w:val="10"/>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292F72"/>
              </w:rPr>
              <w:t>YEAR</w:t>
            </w:r>
          </w:p>
        </w:tc>
        <w:tc>
          <w:tcPr>
            <w:tcW w:w="7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780" w:type="dxa"/>
            <w:vAlign w:val="bottom"/>
          </w:tcPr>
          <w:p>
            <w:pPr>
              <w:ind w:left="60"/>
              <w:spacing w:after="0" w:line="120" w:lineRule="exact"/>
              <w:rPr>
                <w:sz w:val="20"/>
                <w:szCs w:val="20"/>
                <w:color w:val="auto"/>
              </w:rPr>
            </w:pPr>
            <w:r>
              <w:rPr>
                <w:rFonts w:ascii="Arial" w:cs="Arial" w:eastAsia="Arial" w:hAnsi="Arial"/>
                <w:sz w:val="12"/>
                <w:szCs w:val="12"/>
                <w:b w:val="1"/>
                <w:bCs w:val="1"/>
                <w:color w:val="292F72"/>
              </w:rPr>
              <w:t>AWARDS</w:t>
            </w:r>
          </w:p>
        </w:tc>
        <w:tc>
          <w:tcPr>
            <w:tcW w:w="640" w:type="dxa"/>
            <w:vAlign w:val="bottom"/>
          </w:tcPr>
          <w:p>
            <w:pPr>
              <w:ind w:left="60"/>
              <w:spacing w:after="0" w:line="120" w:lineRule="exact"/>
              <w:rPr>
                <w:sz w:val="20"/>
                <w:szCs w:val="20"/>
                <w:color w:val="auto"/>
              </w:rPr>
            </w:pPr>
            <w:r>
              <w:rPr>
                <w:rFonts w:ascii="Arial" w:cs="Arial" w:eastAsia="Arial" w:hAnsi="Arial"/>
                <w:sz w:val="12"/>
                <w:szCs w:val="12"/>
                <w:b w:val="1"/>
                <w:bCs w:val="1"/>
                <w:color w:val="292F72"/>
              </w:rPr>
              <w:t>AWARDS</w:t>
            </w:r>
          </w:p>
        </w:tc>
        <w:tc>
          <w:tcPr>
            <w:tcW w:w="1040" w:type="dxa"/>
            <w:vAlign w:val="bottom"/>
          </w:tcPr>
          <w:p>
            <w:pPr>
              <w:ind w:left="60"/>
              <w:spacing w:after="0" w:line="120" w:lineRule="exact"/>
              <w:rPr>
                <w:sz w:val="20"/>
                <w:szCs w:val="20"/>
                <w:color w:val="auto"/>
              </w:rPr>
            </w:pPr>
            <w:r>
              <w:rPr>
                <w:rFonts w:ascii="Arial" w:cs="Arial" w:eastAsia="Arial" w:hAnsi="Arial"/>
                <w:sz w:val="12"/>
                <w:szCs w:val="12"/>
                <w:b w:val="1"/>
                <w:bCs w:val="1"/>
                <w:color w:val="292F72"/>
                <w:w w:val="97"/>
              </w:rPr>
              <w:t>COMPENSATION</w:t>
            </w:r>
          </w:p>
        </w:tc>
        <w:tc>
          <w:tcPr>
            <w:tcW w:w="180" w:type="dxa"/>
            <w:vAlign w:val="bottom"/>
          </w:tcPr>
          <w:p>
            <w:pPr>
              <w:spacing w:after="0"/>
              <w:rPr>
                <w:sz w:val="10"/>
                <w:szCs w:val="10"/>
                <w:color w:val="auto"/>
              </w:rPr>
            </w:pPr>
          </w:p>
        </w:tc>
        <w:tc>
          <w:tcPr>
            <w:tcW w:w="1120" w:type="dxa"/>
            <w:vAlign w:val="bottom"/>
          </w:tcPr>
          <w:p>
            <w:pPr>
              <w:ind w:left="60"/>
              <w:spacing w:after="0" w:line="120" w:lineRule="exact"/>
              <w:rPr>
                <w:sz w:val="20"/>
                <w:szCs w:val="20"/>
                <w:color w:val="auto"/>
              </w:rPr>
            </w:pPr>
            <w:r>
              <w:rPr>
                <w:rFonts w:ascii="Arial" w:cs="Arial" w:eastAsia="Arial" w:hAnsi="Arial"/>
                <w:sz w:val="12"/>
                <w:szCs w:val="12"/>
                <w:b w:val="1"/>
                <w:bCs w:val="1"/>
                <w:color w:val="292F72"/>
              </w:rPr>
              <w:t>EARNINGS</w:t>
            </w:r>
          </w:p>
        </w:tc>
        <w:tc>
          <w:tcPr>
            <w:tcW w:w="1060" w:type="dxa"/>
            <w:vAlign w:val="bottom"/>
          </w:tcPr>
          <w:p>
            <w:pPr>
              <w:ind w:left="80"/>
              <w:spacing w:after="0" w:line="120" w:lineRule="exact"/>
              <w:rPr>
                <w:sz w:val="20"/>
                <w:szCs w:val="20"/>
                <w:color w:val="auto"/>
              </w:rPr>
            </w:pPr>
            <w:r>
              <w:rPr>
                <w:rFonts w:ascii="Arial" w:cs="Arial" w:eastAsia="Arial" w:hAnsi="Arial"/>
                <w:sz w:val="12"/>
                <w:szCs w:val="12"/>
                <w:b w:val="1"/>
                <w:bCs w:val="1"/>
                <w:color w:val="292F72"/>
                <w:w w:val="97"/>
              </w:rPr>
              <w:t>COMPENSATION</w:t>
            </w:r>
          </w:p>
        </w:tc>
        <w:tc>
          <w:tcPr>
            <w:tcW w:w="18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480" w:type="dxa"/>
            <w:vAlign w:val="bottom"/>
          </w:tcPr>
          <w:p>
            <w:pPr>
              <w:spacing w:after="0"/>
              <w:rPr>
                <w:sz w:val="20"/>
                <w:szCs w:val="20"/>
                <w:color w:val="auto"/>
              </w:rPr>
            </w:pPr>
            <w:r>
              <w:rPr>
                <w:rFonts w:ascii="Arial" w:cs="Arial" w:eastAsia="Arial" w:hAnsi="Arial"/>
                <w:sz w:val="12"/>
                <w:szCs w:val="12"/>
                <w:b w:val="1"/>
                <w:bCs w:val="1"/>
                <w:color w:val="292F72"/>
              </w:rPr>
              <w:t>POSITION</w:t>
            </w:r>
          </w:p>
        </w:tc>
        <w:tc>
          <w:tcPr>
            <w:tcW w:w="460" w:type="dxa"/>
            <w:vAlign w:val="bottom"/>
            <w:vMerge w:val="continue"/>
          </w:tcPr>
          <w:p>
            <w:pPr>
              <w:spacing w:after="0"/>
              <w:rPr>
                <w:sz w:val="14"/>
                <w:szCs w:val="14"/>
                <w:color w:val="auto"/>
              </w:rPr>
            </w:pPr>
          </w:p>
        </w:tc>
        <w:tc>
          <w:tcPr>
            <w:tcW w:w="720" w:type="dxa"/>
            <w:vAlign w:val="bottom"/>
          </w:tcPr>
          <w:p>
            <w:pPr>
              <w:ind w:left="280"/>
              <w:spacing w:after="0"/>
              <w:rPr>
                <w:sz w:val="20"/>
                <w:szCs w:val="20"/>
                <w:color w:val="auto"/>
              </w:rPr>
            </w:pPr>
            <w:r>
              <w:rPr>
                <w:rFonts w:ascii="Arial" w:cs="Arial" w:eastAsia="Arial" w:hAnsi="Arial"/>
                <w:sz w:val="12"/>
                <w:szCs w:val="12"/>
                <w:b w:val="1"/>
                <w:bCs w:val="1"/>
                <w:color w:val="292F72"/>
              </w:rPr>
              <w:t>($)</w:t>
            </w:r>
          </w:p>
        </w:tc>
        <w:tc>
          <w:tcPr>
            <w:tcW w:w="620" w:type="dxa"/>
            <w:vAlign w:val="bottom"/>
          </w:tcPr>
          <w:p>
            <w:pPr>
              <w:ind w:left="240"/>
              <w:spacing w:after="0"/>
              <w:rPr>
                <w:sz w:val="20"/>
                <w:szCs w:val="20"/>
                <w:color w:val="auto"/>
              </w:rPr>
            </w:pPr>
            <w:r>
              <w:rPr>
                <w:rFonts w:ascii="Arial" w:cs="Arial" w:eastAsia="Arial" w:hAnsi="Arial"/>
                <w:sz w:val="12"/>
                <w:szCs w:val="12"/>
                <w:b w:val="1"/>
                <w:bCs w:val="1"/>
                <w:color w:val="292F72"/>
              </w:rPr>
              <w:t>($)</w:t>
            </w:r>
          </w:p>
        </w:tc>
        <w:tc>
          <w:tcPr>
            <w:tcW w:w="780" w:type="dxa"/>
            <w:vAlign w:val="bottom"/>
          </w:tcPr>
          <w:p>
            <w:pPr>
              <w:ind w:left="320"/>
              <w:spacing w:after="0"/>
              <w:rPr>
                <w:sz w:val="20"/>
                <w:szCs w:val="20"/>
                <w:color w:val="auto"/>
              </w:rPr>
            </w:pPr>
            <w:r>
              <w:rPr>
                <w:rFonts w:ascii="Arial" w:cs="Arial" w:eastAsia="Arial" w:hAnsi="Arial"/>
                <w:sz w:val="12"/>
                <w:szCs w:val="12"/>
                <w:b w:val="1"/>
                <w:bCs w:val="1"/>
                <w:color w:val="292F72"/>
              </w:rPr>
              <w:t>($)</w:t>
            </w:r>
          </w:p>
        </w:tc>
        <w:tc>
          <w:tcPr>
            <w:tcW w:w="640" w:type="dxa"/>
            <w:vAlign w:val="bottom"/>
          </w:tcPr>
          <w:p>
            <w:pPr>
              <w:ind w:left="240"/>
              <w:spacing w:after="0"/>
              <w:rPr>
                <w:sz w:val="20"/>
                <w:szCs w:val="20"/>
                <w:color w:val="auto"/>
              </w:rPr>
            </w:pPr>
            <w:r>
              <w:rPr>
                <w:rFonts w:ascii="Arial" w:cs="Arial" w:eastAsia="Arial" w:hAnsi="Arial"/>
                <w:sz w:val="12"/>
                <w:szCs w:val="12"/>
                <w:b w:val="1"/>
                <w:bCs w:val="1"/>
                <w:color w:val="292F72"/>
              </w:rPr>
              <w:t>($)</w:t>
            </w:r>
          </w:p>
        </w:tc>
        <w:tc>
          <w:tcPr>
            <w:tcW w:w="1040" w:type="dxa"/>
            <w:vAlign w:val="bottom"/>
          </w:tcPr>
          <w:p>
            <w:pPr>
              <w:ind w:left="540"/>
              <w:spacing w:after="0"/>
              <w:rPr>
                <w:sz w:val="20"/>
                <w:szCs w:val="20"/>
                <w:color w:val="auto"/>
              </w:rPr>
            </w:pPr>
            <w:r>
              <w:rPr>
                <w:rFonts w:ascii="Arial" w:cs="Arial" w:eastAsia="Arial" w:hAnsi="Arial"/>
                <w:sz w:val="12"/>
                <w:szCs w:val="12"/>
                <w:b w:val="1"/>
                <w:bCs w:val="1"/>
                <w:color w:val="292F72"/>
              </w:rPr>
              <w:t>($)</w:t>
            </w:r>
          </w:p>
        </w:tc>
        <w:tc>
          <w:tcPr>
            <w:tcW w:w="180" w:type="dxa"/>
            <w:vAlign w:val="bottom"/>
          </w:tcPr>
          <w:p>
            <w:pPr>
              <w:spacing w:after="0"/>
              <w:rPr>
                <w:sz w:val="14"/>
                <w:szCs w:val="14"/>
                <w:color w:val="auto"/>
              </w:rPr>
            </w:pPr>
          </w:p>
        </w:tc>
        <w:tc>
          <w:tcPr>
            <w:tcW w:w="1120" w:type="dxa"/>
            <w:vAlign w:val="bottom"/>
          </w:tcPr>
          <w:p>
            <w:pPr>
              <w:ind w:left="500"/>
              <w:spacing w:after="0"/>
              <w:rPr>
                <w:sz w:val="20"/>
                <w:szCs w:val="20"/>
                <w:color w:val="auto"/>
              </w:rPr>
            </w:pPr>
            <w:r>
              <w:rPr>
                <w:rFonts w:ascii="Arial" w:cs="Arial" w:eastAsia="Arial" w:hAnsi="Arial"/>
                <w:sz w:val="12"/>
                <w:szCs w:val="12"/>
                <w:b w:val="1"/>
                <w:bCs w:val="1"/>
                <w:color w:val="292F72"/>
              </w:rPr>
              <w:t>($)</w:t>
            </w:r>
          </w:p>
        </w:tc>
        <w:tc>
          <w:tcPr>
            <w:tcW w:w="1060" w:type="dxa"/>
            <w:vAlign w:val="bottom"/>
          </w:tcPr>
          <w:p>
            <w:pPr>
              <w:jc w:val="right"/>
              <w:ind w:right="292"/>
              <w:spacing w:after="0"/>
              <w:rPr>
                <w:sz w:val="20"/>
                <w:szCs w:val="20"/>
                <w:color w:val="auto"/>
              </w:rPr>
            </w:pPr>
            <w:r>
              <w:rPr>
                <w:rFonts w:ascii="Arial" w:cs="Arial" w:eastAsia="Arial" w:hAnsi="Arial"/>
                <w:sz w:val="12"/>
                <w:szCs w:val="12"/>
                <w:b w:val="1"/>
                <w:bCs w:val="1"/>
                <w:color w:val="292F72"/>
              </w:rPr>
              <w:t>($)</w:t>
            </w:r>
          </w:p>
        </w:tc>
        <w:tc>
          <w:tcPr>
            <w:tcW w:w="180" w:type="dxa"/>
            <w:vAlign w:val="bottom"/>
          </w:tcPr>
          <w:p>
            <w:pPr>
              <w:spacing w:after="0"/>
              <w:rPr>
                <w:sz w:val="14"/>
                <w:szCs w:val="14"/>
                <w:color w:val="auto"/>
              </w:rPr>
            </w:pPr>
          </w:p>
        </w:tc>
        <w:tc>
          <w:tcPr>
            <w:tcW w:w="760" w:type="dxa"/>
            <w:vAlign w:val="bottom"/>
          </w:tcPr>
          <w:p>
            <w:pPr>
              <w:jc w:val="right"/>
              <w:ind w:right="231"/>
              <w:spacing w:after="0"/>
              <w:rPr>
                <w:sz w:val="20"/>
                <w:szCs w:val="20"/>
                <w:color w:val="auto"/>
              </w:rPr>
            </w:pPr>
            <w:r>
              <w:rPr>
                <w:rFonts w:ascii="Arial" w:cs="Arial" w:eastAsia="Arial" w:hAnsi="Arial"/>
                <w:sz w:val="12"/>
                <w:szCs w:val="12"/>
                <w:b w:val="1"/>
                <w:bCs w:val="1"/>
                <w:color w:val="292F72"/>
              </w:rPr>
              <w:t>($)</w:t>
            </w:r>
          </w:p>
        </w:tc>
        <w:tc>
          <w:tcPr>
            <w:tcW w:w="0" w:type="dxa"/>
            <w:vAlign w:val="bottom"/>
          </w:tcPr>
          <w:p>
            <w:pPr>
              <w:spacing w:after="0"/>
              <w:rPr>
                <w:sz w:val="1"/>
                <w:szCs w:val="1"/>
                <w:color w:val="auto"/>
              </w:rPr>
            </w:pPr>
          </w:p>
        </w:tc>
      </w:tr>
      <w:tr>
        <w:trPr>
          <w:trHeight w:val="61"/>
        </w:trPr>
        <w:tc>
          <w:tcPr>
            <w:tcW w:w="1480" w:type="dxa"/>
            <w:vAlign w:val="bottom"/>
            <w:tcBorders>
              <w:bottom w:val="single" w:sz="8" w:color="292F72"/>
            </w:tcBorders>
          </w:tcPr>
          <w:p>
            <w:pPr>
              <w:spacing w:after="0"/>
              <w:rPr>
                <w:sz w:val="5"/>
                <w:szCs w:val="5"/>
                <w:color w:val="auto"/>
              </w:rPr>
            </w:pPr>
          </w:p>
        </w:tc>
        <w:tc>
          <w:tcPr>
            <w:tcW w:w="460" w:type="dxa"/>
            <w:vAlign w:val="bottom"/>
            <w:tcBorders>
              <w:bottom w:val="single" w:sz="8" w:color="292F72"/>
            </w:tcBorders>
          </w:tcPr>
          <w:p>
            <w:pPr>
              <w:spacing w:after="0"/>
              <w:rPr>
                <w:sz w:val="5"/>
                <w:szCs w:val="5"/>
                <w:color w:val="auto"/>
              </w:rPr>
            </w:pPr>
          </w:p>
        </w:tc>
        <w:tc>
          <w:tcPr>
            <w:tcW w:w="720" w:type="dxa"/>
            <w:vAlign w:val="bottom"/>
            <w:tcBorders>
              <w:bottom w:val="single" w:sz="8" w:color="292F72"/>
            </w:tcBorders>
          </w:tcPr>
          <w:p>
            <w:pPr>
              <w:spacing w:after="0"/>
              <w:rPr>
                <w:sz w:val="5"/>
                <w:szCs w:val="5"/>
                <w:color w:val="auto"/>
              </w:rPr>
            </w:pPr>
          </w:p>
        </w:tc>
        <w:tc>
          <w:tcPr>
            <w:tcW w:w="620" w:type="dxa"/>
            <w:vAlign w:val="bottom"/>
            <w:tcBorders>
              <w:bottom w:val="single" w:sz="8" w:color="292F72"/>
            </w:tcBorders>
          </w:tcPr>
          <w:p>
            <w:pPr>
              <w:spacing w:after="0"/>
              <w:rPr>
                <w:sz w:val="5"/>
                <w:szCs w:val="5"/>
                <w:color w:val="auto"/>
              </w:rPr>
            </w:pPr>
          </w:p>
        </w:tc>
        <w:tc>
          <w:tcPr>
            <w:tcW w:w="780" w:type="dxa"/>
            <w:vAlign w:val="bottom"/>
            <w:tcBorders>
              <w:bottom w:val="single" w:sz="8" w:color="292F72"/>
            </w:tcBorders>
          </w:tcPr>
          <w:p>
            <w:pPr>
              <w:spacing w:after="0"/>
              <w:rPr>
                <w:sz w:val="5"/>
                <w:szCs w:val="5"/>
                <w:color w:val="auto"/>
              </w:rPr>
            </w:pPr>
          </w:p>
        </w:tc>
        <w:tc>
          <w:tcPr>
            <w:tcW w:w="640" w:type="dxa"/>
            <w:vAlign w:val="bottom"/>
            <w:tcBorders>
              <w:bottom w:val="single" w:sz="8" w:color="292F72"/>
            </w:tcBorders>
          </w:tcPr>
          <w:p>
            <w:pPr>
              <w:spacing w:after="0"/>
              <w:rPr>
                <w:sz w:val="5"/>
                <w:szCs w:val="5"/>
                <w:color w:val="auto"/>
              </w:rPr>
            </w:pPr>
          </w:p>
        </w:tc>
        <w:tc>
          <w:tcPr>
            <w:tcW w:w="1040" w:type="dxa"/>
            <w:vAlign w:val="bottom"/>
            <w:tcBorders>
              <w:bottom w:val="single" w:sz="8" w:color="292F72"/>
            </w:tcBorders>
          </w:tcPr>
          <w:p>
            <w:pPr>
              <w:spacing w:after="0"/>
              <w:rPr>
                <w:sz w:val="5"/>
                <w:szCs w:val="5"/>
                <w:color w:val="auto"/>
              </w:rPr>
            </w:pPr>
          </w:p>
        </w:tc>
        <w:tc>
          <w:tcPr>
            <w:tcW w:w="180" w:type="dxa"/>
            <w:vAlign w:val="bottom"/>
            <w:tcBorders>
              <w:bottom w:val="single" w:sz="8" w:color="292F72"/>
            </w:tcBorders>
          </w:tcPr>
          <w:p>
            <w:pPr>
              <w:spacing w:after="0"/>
              <w:rPr>
                <w:sz w:val="5"/>
                <w:szCs w:val="5"/>
                <w:color w:val="auto"/>
              </w:rPr>
            </w:pPr>
          </w:p>
        </w:tc>
        <w:tc>
          <w:tcPr>
            <w:tcW w:w="1120" w:type="dxa"/>
            <w:vAlign w:val="bottom"/>
            <w:tcBorders>
              <w:bottom w:val="single" w:sz="8" w:color="292F72"/>
            </w:tcBorders>
          </w:tcPr>
          <w:p>
            <w:pPr>
              <w:spacing w:after="0"/>
              <w:rPr>
                <w:sz w:val="5"/>
                <w:szCs w:val="5"/>
                <w:color w:val="auto"/>
              </w:rPr>
            </w:pPr>
          </w:p>
        </w:tc>
        <w:tc>
          <w:tcPr>
            <w:tcW w:w="1060" w:type="dxa"/>
            <w:vAlign w:val="bottom"/>
            <w:tcBorders>
              <w:bottom w:val="single" w:sz="8" w:color="292F72"/>
            </w:tcBorders>
          </w:tcPr>
          <w:p>
            <w:pPr>
              <w:spacing w:after="0"/>
              <w:rPr>
                <w:sz w:val="5"/>
                <w:szCs w:val="5"/>
                <w:color w:val="auto"/>
              </w:rPr>
            </w:pPr>
          </w:p>
        </w:tc>
        <w:tc>
          <w:tcPr>
            <w:tcW w:w="180" w:type="dxa"/>
            <w:vAlign w:val="bottom"/>
            <w:tcBorders>
              <w:bottom w:val="single" w:sz="8" w:color="292F72"/>
            </w:tcBorders>
          </w:tcPr>
          <w:p>
            <w:pPr>
              <w:spacing w:after="0"/>
              <w:rPr>
                <w:sz w:val="5"/>
                <w:szCs w:val="5"/>
                <w:color w:val="auto"/>
              </w:rPr>
            </w:pPr>
          </w:p>
        </w:tc>
        <w:tc>
          <w:tcPr>
            <w:tcW w:w="760" w:type="dxa"/>
            <w:vAlign w:val="bottom"/>
            <w:tcBorders>
              <w:bottom w:val="single" w:sz="8" w:color="292F72"/>
            </w:tcBorders>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1480" w:type="dxa"/>
            <w:vAlign w:val="bottom"/>
          </w:tcPr>
          <w:p>
            <w:pPr>
              <w:spacing w:after="0"/>
              <w:rPr>
                <w:sz w:val="20"/>
                <w:szCs w:val="20"/>
                <w:color w:val="auto"/>
              </w:rPr>
            </w:pPr>
            <w:r>
              <w:rPr>
                <w:rFonts w:ascii="Arial" w:cs="Arial" w:eastAsia="Arial" w:hAnsi="Arial"/>
                <w:sz w:val="14"/>
                <w:szCs w:val="14"/>
                <w:b w:val="1"/>
                <w:bCs w:val="1"/>
                <w:color w:val="6D8CC3"/>
              </w:rPr>
              <w:t>Daniel Heaf</w:t>
            </w:r>
          </w:p>
        </w:tc>
        <w:tc>
          <w:tcPr>
            <w:tcW w:w="460" w:type="dxa"/>
            <w:vAlign w:val="bottom"/>
          </w:tcPr>
          <w:p>
            <w:pPr>
              <w:ind w:left="60"/>
              <w:spacing w:after="0"/>
              <w:rPr>
                <w:sz w:val="20"/>
                <w:szCs w:val="20"/>
                <w:color w:val="auto"/>
              </w:rPr>
            </w:pPr>
            <w:r>
              <w:rPr>
                <w:rFonts w:ascii="Arial" w:cs="Arial" w:eastAsia="Arial" w:hAnsi="Arial"/>
                <w:sz w:val="14"/>
                <w:szCs w:val="14"/>
                <w:b w:val="1"/>
                <w:bCs w:val="1"/>
                <w:color w:val="auto"/>
              </w:rPr>
              <w:t>2025</w:t>
            </w:r>
          </w:p>
        </w:tc>
        <w:tc>
          <w:tcPr>
            <w:tcW w:w="720" w:type="dxa"/>
            <w:vAlign w:val="bottom"/>
          </w:tcPr>
          <w:p>
            <w:pPr>
              <w:ind w:left="160"/>
              <w:spacing w:after="0"/>
              <w:rPr>
                <w:sz w:val="20"/>
                <w:szCs w:val="20"/>
                <w:color w:val="auto"/>
              </w:rPr>
            </w:pPr>
            <w:r>
              <w:rPr>
                <w:rFonts w:ascii="Arial" w:cs="Arial" w:eastAsia="Arial" w:hAnsi="Arial"/>
                <w:sz w:val="14"/>
                <w:szCs w:val="14"/>
                <w:b w:val="1"/>
                <w:bCs w:val="1"/>
                <w:color w:val="auto"/>
              </w:rPr>
              <w:t>913,846</w:t>
            </w:r>
          </w:p>
        </w:tc>
        <w:tc>
          <w:tcPr>
            <w:tcW w:w="620" w:type="dxa"/>
            <w:vAlign w:val="bottom"/>
          </w:tcPr>
          <w:p>
            <w:pPr>
              <w:ind w:left="420"/>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ind w:left="60"/>
              <w:spacing w:after="0"/>
              <w:rPr>
                <w:sz w:val="20"/>
                <w:szCs w:val="20"/>
                <w:color w:val="auto"/>
              </w:rPr>
            </w:pPr>
            <w:r>
              <w:rPr>
                <w:rFonts w:ascii="Arial" w:cs="Arial" w:eastAsia="Arial" w:hAnsi="Arial"/>
                <w:sz w:val="14"/>
                <w:szCs w:val="14"/>
                <w:b w:val="1"/>
                <w:bCs w:val="1"/>
                <w:color w:val="auto"/>
              </w:rPr>
              <w:t>5,043,771</w:t>
            </w:r>
          </w:p>
        </w:tc>
        <w:tc>
          <w:tcPr>
            <w:tcW w:w="640" w:type="dxa"/>
            <w:vAlign w:val="bottom"/>
          </w:tcPr>
          <w:p>
            <w:pPr>
              <w:ind w:left="240"/>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ind w:left="380"/>
              <w:spacing w:after="0"/>
              <w:rPr>
                <w:sz w:val="20"/>
                <w:szCs w:val="20"/>
                <w:color w:val="auto"/>
              </w:rPr>
            </w:pPr>
            <w:r>
              <w:rPr>
                <w:rFonts w:ascii="Arial" w:cs="Arial" w:eastAsia="Arial" w:hAnsi="Arial"/>
                <w:sz w:val="14"/>
                <w:szCs w:val="14"/>
                <w:b w:val="1"/>
                <w:bCs w:val="1"/>
                <w:color w:val="auto"/>
              </w:rPr>
              <w:t>358,953</w:t>
            </w:r>
          </w:p>
        </w:tc>
        <w:tc>
          <w:tcPr>
            <w:tcW w:w="180" w:type="dxa"/>
            <w:vAlign w:val="bottom"/>
          </w:tcPr>
          <w:p>
            <w:pPr>
              <w:spacing w:after="0"/>
              <w:rPr>
                <w:sz w:val="17"/>
                <w:szCs w:val="17"/>
                <w:color w:val="auto"/>
              </w:rPr>
            </w:pPr>
          </w:p>
        </w:tc>
        <w:tc>
          <w:tcPr>
            <w:tcW w:w="1120" w:type="dxa"/>
            <w:vAlign w:val="bottom"/>
          </w:tcPr>
          <w:p>
            <w:pPr>
              <w:ind w:left="480"/>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72"/>
              <w:spacing w:after="0"/>
              <w:rPr>
                <w:sz w:val="20"/>
                <w:szCs w:val="20"/>
                <w:color w:val="auto"/>
              </w:rPr>
            </w:pPr>
            <w:r>
              <w:rPr>
                <w:rFonts w:ascii="Arial" w:cs="Arial" w:eastAsia="Arial" w:hAnsi="Arial"/>
                <w:sz w:val="14"/>
                <w:szCs w:val="14"/>
                <w:b w:val="1"/>
                <w:bCs w:val="1"/>
                <w:color w:val="auto"/>
              </w:rPr>
              <w:t>271,332</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6,587,902</w:t>
            </w:r>
          </w:p>
        </w:tc>
        <w:tc>
          <w:tcPr>
            <w:tcW w:w="0" w:type="dxa"/>
            <w:vAlign w:val="bottom"/>
          </w:tcPr>
          <w:p>
            <w:pPr>
              <w:spacing w:after="0"/>
              <w:rPr>
                <w:sz w:val="1"/>
                <w:szCs w:val="1"/>
                <w:color w:val="auto"/>
              </w:rPr>
            </w:pPr>
          </w:p>
        </w:tc>
      </w:tr>
      <w:tr>
        <w:trPr>
          <w:trHeight w:val="88"/>
        </w:trPr>
        <w:tc>
          <w:tcPr>
            <w:tcW w:w="1480" w:type="dxa"/>
            <w:vAlign w:val="bottom"/>
            <w:vMerge w:val="restart"/>
          </w:tcPr>
          <w:p>
            <w:pPr>
              <w:spacing w:after="0"/>
              <w:rPr>
                <w:sz w:val="20"/>
                <w:szCs w:val="20"/>
                <w:color w:val="auto"/>
              </w:rPr>
            </w:pPr>
            <w:r>
              <w:rPr>
                <w:rFonts w:ascii="Arial" w:cs="Arial" w:eastAsia="Arial" w:hAnsi="Arial"/>
                <w:sz w:val="14"/>
                <w:szCs w:val="14"/>
                <w:color w:val="auto"/>
              </w:rPr>
              <w:t>Chief Executive Officer</w:t>
            </w:r>
          </w:p>
        </w:tc>
        <w:tc>
          <w:tcPr>
            <w:tcW w:w="460" w:type="dxa"/>
            <w:vAlign w:val="bottom"/>
            <w:tcBorders>
              <w:bottom w:val="single" w:sz="8" w:color="6D8CC3"/>
            </w:tcBorders>
          </w:tcPr>
          <w:p>
            <w:pPr>
              <w:spacing w:after="0"/>
              <w:rPr>
                <w:sz w:val="7"/>
                <w:szCs w:val="7"/>
                <w:color w:val="auto"/>
              </w:rPr>
            </w:pPr>
          </w:p>
        </w:tc>
        <w:tc>
          <w:tcPr>
            <w:tcW w:w="720" w:type="dxa"/>
            <w:vAlign w:val="bottom"/>
            <w:tcBorders>
              <w:bottom w:val="single" w:sz="8" w:color="6D8CC3"/>
            </w:tcBorders>
          </w:tcPr>
          <w:p>
            <w:pPr>
              <w:spacing w:after="0"/>
              <w:rPr>
                <w:sz w:val="7"/>
                <w:szCs w:val="7"/>
                <w:color w:val="auto"/>
              </w:rPr>
            </w:pPr>
          </w:p>
        </w:tc>
        <w:tc>
          <w:tcPr>
            <w:tcW w:w="620" w:type="dxa"/>
            <w:vAlign w:val="bottom"/>
            <w:tcBorders>
              <w:bottom w:val="single" w:sz="8" w:color="6D8CC3"/>
            </w:tcBorders>
          </w:tcPr>
          <w:p>
            <w:pPr>
              <w:spacing w:after="0"/>
              <w:rPr>
                <w:sz w:val="7"/>
                <w:szCs w:val="7"/>
                <w:color w:val="auto"/>
              </w:rPr>
            </w:pPr>
          </w:p>
        </w:tc>
        <w:tc>
          <w:tcPr>
            <w:tcW w:w="780" w:type="dxa"/>
            <w:vAlign w:val="bottom"/>
            <w:tcBorders>
              <w:bottom w:val="single" w:sz="8" w:color="6D8CC3"/>
            </w:tcBorders>
          </w:tcPr>
          <w:p>
            <w:pPr>
              <w:spacing w:after="0"/>
              <w:rPr>
                <w:sz w:val="7"/>
                <w:szCs w:val="7"/>
                <w:color w:val="auto"/>
              </w:rPr>
            </w:pPr>
          </w:p>
        </w:tc>
        <w:tc>
          <w:tcPr>
            <w:tcW w:w="640" w:type="dxa"/>
            <w:vAlign w:val="bottom"/>
            <w:tcBorders>
              <w:bottom w:val="single" w:sz="8" w:color="6D8CC3"/>
            </w:tcBorders>
          </w:tcPr>
          <w:p>
            <w:pPr>
              <w:spacing w:after="0"/>
              <w:rPr>
                <w:sz w:val="7"/>
                <w:szCs w:val="7"/>
                <w:color w:val="auto"/>
              </w:rPr>
            </w:pPr>
          </w:p>
        </w:tc>
        <w:tc>
          <w:tcPr>
            <w:tcW w:w="1040" w:type="dxa"/>
            <w:vAlign w:val="bottom"/>
            <w:tcBorders>
              <w:bottom w:val="single" w:sz="8" w:color="6D8CC3"/>
            </w:tcBorders>
          </w:tcPr>
          <w:p>
            <w:pPr>
              <w:spacing w:after="0"/>
              <w:rPr>
                <w:sz w:val="7"/>
                <w:szCs w:val="7"/>
                <w:color w:val="auto"/>
              </w:rPr>
            </w:pPr>
          </w:p>
        </w:tc>
        <w:tc>
          <w:tcPr>
            <w:tcW w:w="180" w:type="dxa"/>
            <w:vAlign w:val="bottom"/>
            <w:tcBorders>
              <w:bottom w:val="single" w:sz="8" w:color="6D8CC3"/>
            </w:tcBorders>
          </w:tcPr>
          <w:p>
            <w:pPr>
              <w:spacing w:after="0"/>
              <w:rPr>
                <w:sz w:val="7"/>
                <w:szCs w:val="7"/>
                <w:color w:val="auto"/>
              </w:rPr>
            </w:pPr>
          </w:p>
        </w:tc>
        <w:tc>
          <w:tcPr>
            <w:tcW w:w="1120" w:type="dxa"/>
            <w:vAlign w:val="bottom"/>
            <w:tcBorders>
              <w:bottom w:val="single" w:sz="8" w:color="6D8CC3"/>
            </w:tcBorders>
          </w:tcPr>
          <w:p>
            <w:pPr>
              <w:spacing w:after="0"/>
              <w:rPr>
                <w:sz w:val="7"/>
                <w:szCs w:val="7"/>
                <w:color w:val="auto"/>
              </w:rPr>
            </w:pPr>
          </w:p>
        </w:tc>
        <w:tc>
          <w:tcPr>
            <w:tcW w:w="1060" w:type="dxa"/>
            <w:vAlign w:val="bottom"/>
            <w:tcBorders>
              <w:bottom w:val="single" w:sz="8" w:color="6D8CC3"/>
            </w:tcBorders>
          </w:tcPr>
          <w:p>
            <w:pPr>
              <w:spacing w:after="0"/>
              <w:rPr>
                <w:sz w:val="7"/>
                <w:szCs w:val="7"/>
                <w:color w:val="auto"/>
              </w:rPr>
            </w:pPr>
          </w:p>
        </w:tc>
        <w:tc>
          <w:tcPr>
            <w:tcW w:w="180" w:type="dxa"/>
            <w:vAlign w:val="bottom"/>
            <w:tcBorders>
              <w:bottom w:val="single" w:sz="8" w:color="6D8CC3"/>
            </w:tcBorders>
          </w:tcPr>
          <w:p>
            <w:pPr>
              <w:spacing w:after="0"/>
              <w:rPr>
                <w:sz w:val="7"/>
                <w:szCs w:val="7"/>
                <w:color w:val="auto"/>
              </w:rPr>
            </w:pPr>
          </w:p>
        </w:tc>
        <w:tc>
          <w:tcPr>
            <w:tcW w:w="760" w:type="dxa"/>
            <w:vAlign w:val="bottom"/>
            <w:tcBorders>
              <w:bottom w:val="single" w:sz="8" w:color="6D8CC3"/>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1480" w:type="dxa"/>
            <w:vAlign w:val="bottom"/>
            <w:vMerge w:val="continue"/>
          </w:tcPr>
          <w:p>
            <w:pPr>
              <w:spacing w:after="0"/>
              <w:rPr>
                <w:sz w:val="6"/>
                <w:szCs w:val="6"/>
                <w:color w:val="auto"/>
              </w:rPr>
            </w:pPr>
          </w:p>
        </w:tc>
        <w:tc>
          <w:tcPr>
            <w:tcW w:w="4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w:t>
            </w:r>
          </w:p>
        </w:tc>
        <w:tc>
          <w:tcPr>
            <w:tcW w:w="72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ind w:left="240"/>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ind w:lef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6"/>
                <w:szCs w:val="6"/>
                <w:color w:val="auto"/>
              </w:rPr>
            </w:pPr>
          </w:p>
        </w:tc>
        <w:tc>
          <w:tcPr>
            <w:tcW w:w="1120" w:type="dxa"/>
            <w:vAlign w:val="bottom"/>
            <w:vMerge w:val="restart"/>
          </w:tcPr>
          <w:p>
            <w:pPr>
              <w:ind w:left="480"/>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ind w:left="3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6"/>
                <w:szCs w:val="6"/>
                <w:color w:val="auto"/>
              </w:rPr>
            </w:pPr>
          </w:p>
        </w:tc>
        <w:tc>
          <w:tcPr>
            <w:tcW w:w="76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14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1480" w:type="dxa"/>
            <w:vAlign w:val="bottom"/>
          </w:tcPr>
          <w:p>
            <w:pPr>
              <w:spacing w:after="0"/>
              <w:rPr>
                <w:sz w:val="3"/>
                <w:szCs w:val="3"/>
                <w:color w:val="auto"/>
              </w:rPr>
            </w:pPr>
          </w:p>
        </w:tc>
        <w:tc>
          <w:tcPr>
            <w:tcW w:w="460" w:type="dxa"/>
            <w:vAlign w:val="bottom"/>
            <w:tcBorders>
              <w:bottom w:val="single" w:sz="8" w:color="6D8CC3"/>
            </w:tcBorders>
          </w:tcPr>
          <w:p>
            <w:pPr>
              <w:spacing w:after="0"/>
              <w:rPr>
                <w:sz w:val="3"/>
                <w:szCs w:val="3"/>
                <w:color w:val="auto"/>
              </w:rPr>
            </w:pPr>
          </w:p>
        </w:tc>
        <w:tc>
          <w:tcPr>
            <w:tcW w:w="720" w:type="dxa"/>
            <w:vAlign w:val="bottom"/>
            <w:tcBorders>
              <w:bottom w:val="single" w:sz="8" w:color="6D8CC3"/>
            </w:tcBorders>
          </w:tcPr>
          <w:p>
            <w:pPr>
              <w:spacing w:after="0"/>
              <w:rPr>
                <w:sz w:val="3"/>
                <w:szCs w:val="3"/>
                <w:color w:val="auto"/>
              </w:rPr>
            </w:pPr>
          </w:p>
        </w:tc>
        <w:tc>
          <w:tcPr>
            <w:tcW w:w="620" w:type="dxa"/>
            <w:vAlign w:val="bottom"/>
            <w:tcBorders>
              <w:bottom w:val="single" w:sz="8" w:color="6D8CC3"/>
            </w:tcBorders>
          </w:tcPr>
          <w:p>
            <w:pPr>
              <w:spacing w:after="0"/>
              <w:rPr>
                <w:sz w:val="3"/>
                <w:szCs w:val="3"/>
                <w:color w:val="auto"/>
              </w:rPr>
            </w:pPr>
          </w:p>
        </w:tc>
        <w:tc>
          <w:tcPr>
            <w:tcW w:w="780" w:type="dxa"/>
            <w:vAlign w:val="bottom"/>
            <w:tcBorders>
              <w:bottom w:val="single" w:sz="8" w:color="6D8CC3"/>
            </w:tcBorders>
          </w:tcPr>
          <w:p>
            <w:pPr>
              <w:spacing w:after="0"/>
              <w:rPr>
                <w:sz w:val="3"/>
                <w:szCs w:val="3"/>
                <w:color w:val="auto"/>
              </w:rPr>
            </w:pPr>
          </w:p>
        </w:tc>
        <w:tc>
          <w:tcPr>
            <w:tcW w:w="640" w:type="dxa"/>
            <w:vAlign w:val="bottom"/>
            <w:tcBorders>
              <w:bottom w:val="single" w:sz="8" w:color="6D8CC3"/>
            </w:tcBorders>
          </w:tcPr>
          <w:p>
            <w:pPr>
              <w:spacing w:after="0"/>
              <w:rPr>
                <w:sz w:val="3"/>
                <w:szCs w:val="3"/>
                <w:color w:val="auto"/>
              </w:rPr>
            </w:pPr>
          </w:p>
        </w:tc>
        <w:tc>
          <w:tcPr>
            <w:tcW w:w="1040" w:type="dxa"/>
            <w:vAlign w:val="bottom"/>
            <w:tcBorders>
              <w:bottom w:val="single" w:sz="8" w:color="6D8CC3"/>
            </w:tcBorders>
          </w:tcPr>
          <w:p>
            <w:pPr>
              <w:spacing w:after="0"/>
              <w:rPr>
                <w:sz w:val="3"/>
                <w:szCs w:val="3"/>
                <w:color w:val="auto"/>
              </w:rPr>
            </w:pPr>
          </w:p>
        </w:tc>
        <w:tc>
          <w:tcPr>
            <w:tcW w:w="180" w:type="dxa"/>
            <w:vAlign w:val="bottom"/>
            <w:tcBorders>
              <w:bottom w:val="single" w:sz="8" w:color="6D8CC3"/>
            </w:tcBorders>
          </w:tcPr>
          <w:p>
            <w:pPr>
              <w:spacing w:after="0"/>
              <w:rPr>
                <w:sz w:val="3"/>
                <w:szCs w:val="3"/>
                <w:color w:val="auto"/>
              </w:rPr>
            </w:pPr>
          </w:p>
        </w:tc>
        <w:tc>
          <w:tcPr>
            <w:tcW w:w="1120" w:type="dxa"/>
            <w:vAlign w:val="bottom"/>
            <w:tcBorders>
              <w:bottom w:val="single" w:sz="8" w:color="6D8CC3"/>
            </w:tcBorders>
          </w:tcPr>
          <w:p>
            <w:pPr>
              <w:spacing w:after="0"/>
              <w:rPr>
                <w:sz w:val="3"/>
                <w:szCs w:val="3"/>
                <w:color w:val="auto"/>
              </w:rPr>
            </w:pPr>
          </w:p>
        </w:tc>
        <w:tc>
          <w:tcPr>
            <w:tcW w:w="1060" w:type="dxa"/>
            <w:vAlign w:val="bottom"/>
            <w:tcBorders>
              <w:bottom w:val="single" w:sz="8" w:color="6D8CC3"/>
            </w:tcBorders>
          </w:tcPr>
          <w:p>
            <w:pPr>
              <w:spacing w:after="0"/>
              <w:rPr>
                <w:sz w:val="3"/>
                <w:szCs w:val="3"/>
                <w:color w:val="auto"/>
              </w:rPr>
            </w:pPr>
          </w:p>
        </w:tc>
        <w:tc>
          <w:tcPr>
            <w:tcW w:w="180" w:type="dxa"/>
            <w:vAlign w:val="bottom"/>
            <w:tcBorders>
              <w:bottom w:val="single" w:sz="8" w:color="6D8CC3"/>
            </w:tcBorders>
          </w:tcPr>
          <w:p>
            <w:pPr>
              <w:spacing w:after="0"/>
              <w:rPr>
                <w:sz w:val="3"/>
                <w:szCs w:val="3"/>
                <w:color w:val="auto"/>
              </w:rPr>
            </w:pPr>
          </w:p>
        </w:tc>
        <w:tc>
          <w:tcPr>
            <w:tcW w:w="760" w:type="dxa"/>
            <w:vAlign w:val="bottom"/>
            <w:tcBorders>
              <w:bottom w:val="single" w:sz="8" w:color="6D8CC3"/>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460" w:type="dxa"/>
            <w:vAlign w:val="bottom"/>
          </w:tcPr>
          <w:p>
            <w:pPr>
              <w:ind w:left="60"/>
              <w:spacing w:after="0"/>
              <w:rPr>
                <w:sz w:val="20"/>
                <w:szCs w:val="20"/>
                <w:color w:val="auto"/>
              </w:rPr>
            </w:pPr>
            <w:r>
              <w:rPr>
                <w:rFonts w:ascii="Arial" w:cs="Arial" w:eastAsia="Arial" w:hAnsi="Arial"/>
                <w:sz w:val="14"/>
                <w:szCs w:val="14"/>
                <w:color w:val="auto"/>
              </w:rPr>
              <w:t>​</w:t>
            </w:r>
          </w:p>
        </w:tc>
        <w:tc>
          <w:tcPr>
            <w:tcW w:w="720" w:type="dxa"/>
            <w:vAlign w:val="bottom"/>
          </w:tcPr>
          <w:p>
            <w:pPr>
              <w:ind w:left="40"/>
              <w:spacing w:after="0"/>
              <w:rPr>
                <w:sz w:val="20"/>
                <w:szCs w:val="20"/>
                <w:color w:val="auto"/>
              </w:rPr>
            </w:pPr>
            <w:r>
              <w:rPr>
                <w:rFonts w:ascii="Arial" w:cs="Arial" w:eastAsia="Arial" w:hAnsi="Arial"/>
                <w:sz w:val="14"/>
                <w:szCs w:val="14"/>
                <w:color w:val="auto"/>
              </w:rPr>
              <w:t>​</w:t>
            </w:r>
          </w:p>
        </w:tc>
        <w:tc>
          <w:tcPr>
            <w:tcW w:w="620" w:type="dxa"/>
            <w:vAlign w:val="bottom"/>
          </w:tcPr>
          <w:p>
            <w:pPr>
              <w:ind w:left="60"/>
              <w:spacing w:after="0"/>
              <w:rPr>
                <w:sz w:val="20"/>
                <w:szCs w:val="20"/>
                <w:color w:val="auto"/>
              </w:rPr>
            </w:pPr>
            <w:r>
              <w:rPr>
                <w:rFonts w:ascii="Arial" w:cs="Arial" w:eastAsia="Arial" w:hAnsi="Arial"/>
                <w:sz w:val="14"/>
                <w:szCs w:val="14"/>
                <w:color w:val="auto"/>
              </w:rPr>
              <w:t>​</w:t>
            </w:r>
          </w:p>
        </w:tc>
        <w:tc>
          <w:tcPr>
            <w:tcW w:w="780" w:type="dxa"/>
            <w:vAlign w:val="bottom"/>
          </w:tcPr>
          <w:p>
            <w:pPr>
              <w:ind w:left="60"/>
              <w:spacing w:after="0"/>
              <w:rPr>
                <w:sz w:val="20"/>
                <w:szCs w:val="20"/>
                <w:color w:val="auto"/>
              </w:rPr>
            </w:pPr>
            <w:r>
              <w:rPr>
                <w:rFonts w:ascii="Arial" w:cs="Arial" w:eastAsia="Arial" w:hAnsi="Arial"/>
                <w:sz w:val="14"/>
                <w:szCs w:val="14"/>
                <w:color w:val="auto"/>
              </w:rPr>
              <w:t>​</w:t>
            </w:r>
          </w:p>
        </w:tc>
        <w:tc>
          <w:tcPr>
            <w:tcW w:w="640" w:type="dxa"/>
            <w:vAlign w:val="bottom"/>
          </w:tcPr>
          <w:p>
            <w:pPr>
              <w:ind w:left="240"/>
              <w:spacing w:after="0"/>
              <w:rPr>
                <w:sz w:val="20"/>
                <w:szCs w:val="20"/>
                <w:color w:val="auto"/>
              </w:rPr>
            </w:pPr>
            <w:r>
              <w:rPr>
                <w:rFonts w:ascii="Arial" w:cs="Arial" w:eastAsia="Arial" w:hAnsi="Arial"/>
                <w:sz w:val="14"/>
                <w:szCs w:val="14"/>
                <w:color w:val="auto"/>
              </w:rPr>
              <w:t>​</w:t>
            </w:r>
          </w:p>
        </w:tc>
        <w:tc>
          <w:tcPr>
            <w:tcW w:w="1040" w:type="dxa"/>
            <w:vAlign w:val="bottom"/>
          </w:tcPr>
          <w:p>
            <w:pPr>
              <w:ind w:lef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0"/>
                <w:szCs w:val="20"/>
                <w:color w:val="auto"/>
              </w:rPr>
            </w:pPr>
          </w:p>
        </w:tc>
        <w:tc>
          <w:tcPr>
            <w:tcW w:w="1120" w:type="dxa"/>
            <w:vAlign w:val="bottom"/>
          </w:tcPr>
          <w:p>
            <w:pPr>
              <w:ind w:left="480"/>
              <w:spacing w:after="0"/>
              <w:rPr>
                <w:sz w:val="20"/>
                <w:szCs w:val="20"/>
                <w:color w:val="auto"/>
              </w:rPr>
            </w:pPr>
            <w:r>
              <w:rPr>
                <w:rFonts w:ascii="Arial" w:cs="Arial" w:eastAsia="Arial" w:hAnsi="Arial"/>
                <w:sz w:val="14"/>
                <w:szCs w:val="14"/>
                <w:color w:val="auto"/>
              </w:rPr>
              <w:t>​</w:t>
            </w:r>
          </w:p>
        </w:tc>
        <w:tc>
          <w:tcPr>
            <w:tcW w:w="1060" w:type="dxa"/>
            <w:vAlign w:val="bottom"/>
          </w:tcPr>
          <w:p>
            <w:pPr>
              <w:ind w:left="3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0"/>
                <w:szCs w:val="20"/>
                <w:color w:val="auto"/>
              </w:rPr>
            </w:pPr>
          </w:p>
        </w:tc>
        <w:tc>
          <w:tcPr>
            <w:tcW w:w="760" w:type="dxa"/>
            <w:vAlign w:val="bottom"/>
          </w:tcPr>
          <w:p>
            <w:pPr>
              <w:ind w:lef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8"/>
        </w:trPr>
        <w:tc>
          <w:tcPr>
            <w:tcW w:w="1480" w:type="dxa"/>
            <w:vAlign w:val="bottom"/>
            <w:tcBorders>
              <w:bottom w:val="single" w:sz="8" w:color="292F72"/>
            </w:tcBorders>
          </w:tcPr>
          <w:p>
            <w:pPr>
              <w:spacing w:after="0"/>
              <w:rPr>
                <w:sz w:val="4"/>
                <w:szCs w:val="4"/>
                <w:color w:val="auto"/>
              </w:rPr>
            </w:pPr>
          </w:p>
        </w:tc>
        <w:tc>
          <w:tcPr>
            <w:tcW w:w="460" w:type="dxa"/>
            <w:vAlign w:val="bottom"/>
            <w:tcBorders>
              <w:bottom w:val="single" w:sz="8" w:color="292F72"/>
            </w:tcBorders>
          </w:tcPr>
          <w:p>
            <w:pPr>
              <w:spacing w:after="0"/>
              <w:rPr>
                <w:sz w:val="4"/>
                <w:szCs w:val="4"/>
                <w:color w:val="auto"/>
              </w:rPr>
            </w:pPr>
          </w:p>
        </w:tc>
        <w:tc>
          <w:tcPr>
            <w:tcW w:w="720" w:type="dxa"/>
            <w:vAlign w:val="bottom"/>
            <w:tcBorders>
              <w:bottom w:val="single" w:sz="8" w:color="292F72"/>
            </w:tcBorders>
          </w:tcPr>
          <w:p>
            <w:pPr>
              <w:spacing w:after="0"/>
              <w:rPr>
                <w:sz w:val="4"/>
                <w:szCs w:val="4"/>
                <w:color w:val="auto"/>
              </w:rPr>
            </w:pPr>
          </w:p>
        </w:tc>
        <w:tc>
          <w:tcPr>
            <w:tcW w:w="620" w:type="dxa"/>
            <w:vAlign w:val="bottom"/>
            <w:tcBorders>
              <w:bottom w:val="single" w:sz="8" w:color="292F72"/>
            </w:tcBorders>
          </w:tcPr>
          <w:p>
            <w:pPr>
              <w:spacing w:after="0"/>
              <w:rPr>
                <w:sz w:val="4"/>
                <w:szCs w:val="4"/>
                <w:color w:val="auto"/>
              </w:rPr>
            </w:pPr>
          </w:p>
        </w:tc>
        <w:tc>
          <w:tcPr>
            <w:tcW w:w="780" w:type="dxa"/>
            <w:vAlign w:val="bottom"/>
            <w:tcBorders>
              <w:bottom w:val="single" w:sz="8" w:color="292F72"/>
            </w:tcBorders>
          </w:tcPr>
          <w:p>
            <w:pPr>
              <w:spacing w:after="0"/>
              <w:rPr>
                <w:sz w:val="4"/>
                <w:szCs w:val="4"/>
                <w:color w:val="auto"/>
              </w:rPr>
            </w:pPr>
          </w:p>
        </w:tc>
        <w:tc>
          <w:tcPr>
            <w:tcW w:w="640" w:type="dxa"/>
            <w:vAlign w:val="bottom"/>
            <w:tcBorders>
              <w:bottom w:val="single" w:sz="8" w:color="292F72"/>
            </w:tcBorders>
          </w:tcPr>
          <w:p>
            <w:pPr>
              <w:spacing w:after="0"/>
              <w:rPr>
                <w:sz w:val="4"/>
                <w:szCs w:val="4"/>
                <w:color w:val="auto"/>
              </w:rPr>
            </w:pPr>
          </w:p>
        </w:tc>
        <w:tc>
          <w:tcPr>
            <w:tcW w:w="1040" w:type="dxa"/>
            <w:vAlign w:val="bottom"/>
            <w:tcBorders>
              <w:bottom w:val="single" w:sz="8" w:color="292F72"/>
            </w:tcBorders>
          </w:tcPr>
          <w:p>
            <w:pPr>
              <w:spacing w:after="0"/>
              <w:rPr>
                <w:sz w:val="4"/>
                <w:szCs w:val="4"/>
                <w:color w:val="auto"/>
              </w:rPr>
            </w:pPr>
          </w:p>
        </w:tc>
        <w:tc>
          <w:tcPr>
            <w:tcW w:w="180" w:type="dxa"/>
            <w:vAlign w:val="bottom"/>
            <w:tcBorders>
              <w:bottom w:val="single" w:sz="8" w:color="292F72"/>
            </w:tcBorders>
          </w:tcPr>
          <w:p>
            <w:pPr>
              <w:spacing w:after="0"/>
              <w:rPr>
                <w:sz w:val="4"/>
                <w:szCs w:val="4"/>
                <w:color w:val="auto"/>
              </w:rPr>
            </w:pPr>
          </w:p>
        </w:tc>
        <w:tc>
          <w:tcPr>
            <w:tcW w:w="1120" w:type="dxa"/>
            <w:vAlign w:val="bottom"/>
            <w:tcBorders>
              <w:bottom w:val="single" w:sz="8" w:color="292F72"/>
            </w:tcBorders>
          </w:tcPr>
          <w:p>
            <w:pPr>
              <w:spacing w:after="0"/>
              <w:rPr>
                <w:sz w:val="4"/>
                <w:szCs w:val="4"/>
                <w:color w:val="auto"/>
              </w:rPr>
            </w:pPr>
          </w:p>
        </w:tc>
        <w:tc>
          <w:tcPr>
            <w:tcW w:w="1060" w:type="dxa"/>
            <w:vAlign w:val="bottom"/>
            <w:tcBorders>
              <w:bottom w:val="single" w:sz="8" w:color="292F72"/>
            </w:tcBorders>
          </w:tcPr>
          <w:p>
            <w:pPr>
              <w:spacing w:after="0"/>
              <w:rPr>
                <w:sz w:val="4"/>
                <w:szCs w:val="4"/>
                <w:color w:val="auto"/>
              </w:rPr>
            </w:pPr>
          </w:p>
        </w:tc>
        <w:tc>
          <w:tcPr>
            <w:tcW w:w="180" w:type="dxa"/>
            <w:vAlign w:val="bottom"/>
            <w:tcBorders>
              <w:bottom w:val="single" w:sz="8" w:color="292F72"/>
            </w:tcBorders>
          </w:tcPr>
          <w:p>
            <w:pPr>
              <w:spacing w:after="0"/>
              <w:rPr>
                <w:sz w:val="4"/>
                <w:szCs w:val="4"/>
                <w:color w:val="auto"/>
              </w:rPr>
            </w:pPr>
          </w:p>
        </w:tc>
        <w:tc>
          <w:tcPr>
            <w:tcW w:w="760" w:type="dxa"/>
            <w:vAlign w:val="bottom"/>
            <w:tcBorders>
              <w:bottom w:val="single" w:sz="8" w:color="292F72"/>
            </w:tcBorders>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1480" w:type="dxa"/>
            <w:vAlign w:val="bottom"/>
          </w:tcPr>
          <w:p>
            <w:pPr>
              <w:spacing w:after="0"/>
              <w:rPr>
                <w:sz w:val="20"/>
                <w:szCs w:val="20"/>
                <w:color w:val="auto"/>
              </w:rPr>
            </w:pPr>
            <w:r>
              <w:rPr>
                <w:rFonts w:ascii="Arial" w:cs="Arial" w:eastAsia="Arial" w:hAnsi="Arial"/>
                <w:sz w:val="14"/>
                <w:szCs w:val="14"/>
                <w:b w:val="1"/>
                <w:bCs w:val="1"/>
                <w:color w:val="6D8CC3"/>
              </w:rPr>
              <w:t>Eva Boratto</w:t>
            </w:r>
          </w:p>
        </w:tc>
        <w:tc>
          <w:tcPr>
            <w:tcW w:w="460" w:type="dxa"/>
            <w:vAlign w:val="bottom"/>
          </w:tcPr>
          <w:p>
            <w:pPr>
              <w:ind w:left="60"/>
              <w:spacing w:after="0"/>
              <w:rPr>
                <w:sz w:val="20"/>
                <w:szCs w:val="20"/>
                <w:color w:val="auto"/>
              </w:rPr>
            </w:pPr>
            <w:r>
              <w:rPr>
                <w:rFonts w:ascii="Arial" w:cs="Arial" w:eastAsia="Arial" w:hAnsi="Arial"/>
                <w:sz w:val="14"/>
                <w:szCs w:val="14"/>
                <w:b w:val="1"/>
                <w:bCs w:val="1"/>
                <w:color w:val="auto"/>
              </w:rPr>
              <w:t>2025</w:t>
            </w:r>
          </w:p>
        </w:tc>
        <w:tc>
          <w:tcPr>
            <w:tcW w:w="720" w:type="dxa"/>
            <w:vAlign w:val="bottom"/>
          </w:tcPr>
          <w:p>
            <w:pPr>
              <w:ind w:left="160"/>
              <w:spacing w:after="0"/>
              <w:rPr>
                <w:sz w:val="20"/>
                <w:szCs w:val="20"/>
                <w:color w:val="auto"/>
              </w:rPr>
            </w:pPr>
            <w:r>
              <w:rPr>
                <w:rFonts w:ascii="Arial" w:cs="Arial" w:eastAsia="Arial" w:hAnsi="Arial"/>
                <w:sz w:val="14"/>
                <w:szCs w:val="14"/>
                <w:b w:val="1"/>
                <w:bCs w:val="1"/>
                <w:color w:val="auto"/>
              </w:rPr>
              <w:t>850,000</w:t>
            </w:r>
          </w:p>
        </w:tc>
        <w:tc>
          <w:tcPr>
            <w:tcW w:w="620" w:type="dxa"/>
            <w:vAlign w:val="bottom"/>
          </w:tcPr>
          <w:p>
            <w:pPr>
              <w:ind w:left="420"/>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ind w:left="60"/>
              <w:spacing w:after="0"/>
              <w:rPr>
                <w:sz w:val="20"/>
                <w:szCs w:val="20"/>
                <w:color w:val="auto"/>
              </w:rPr>
            </w:pPr>
            <w:r>
              <w:rPr>
                <w:rFonts w:ascii="Arial" w:cs="Arial" w:eastAsia="Arial" w:hAnsi="Arial"/>
                <w:sz w:val="14"/>
                <w:szCs w:val="14"/>
                <w:b w:val="1"/>
                <w:bCs w:val="1"/>
                <w:color w:val="auto"/>
              </w:rPr>
              <w:t>2,880,561</w:t>
            </w:r>
          </w:p>
        </w:tc>
        <w:tc>
          <w:tcPr>
            <w:tcW w:w="640" w:type="dxa"/>
            <w:vAlign w:val="bottom"/>
          </w:tcPr>
          <w:p>
            <w:pPr>
              <w:ind w:left="240"/>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ind w:left="380"/>
              <w:spacing w:after="0"/>
              <w:rPr>
                <w:sz w:val="20"/>
                <w:szCs w:val="20"/>
                <w:color w:val="auto"/>
              </w:rPr>
            </w:pPr>
            <w:r>
              <w:rPr>
                <w:rFonts w:ascii="Arial" w:cs="Arial" w:eastAsia="Arial" w:hAnsi="Arial"/>
                <w:sz w:val="14"/>
                <w:szCs w:val="14"/>
                <w:b w:val="1"/>
                <w:bCs w:val="1"/>
                <w:color w:val="auto"/>
              </w:rPr>
              <w:t>328,848</w:t>
            </w:r>
          </w:p>
        </w:tc>
        <w:tc>
          <w:tcPr>
            <w:tcW w:w="180" w:type="dxa"/>
            <w:vAlign w:val="bottom"/>
          </w:tcPr>
          <w:p>
            <w:pPr>
              <w:spacing w:after="0"/>
              <w:rPr>
                <w:sz w:val="17"/>
                <w:szCs w:val="17"/>
                <w:color w:val="auto"/>
              </w:rPr>
            </w:pPr>
          </w:p>
        </w:tc>
        <w:tc>
          <w:tcPr>
            <w:tcW w:w="1120" w:type="dxa"/>
            <w:vAlign w:val="bottom"/>
          </w:tcPr>
          <w:p>
            <w:pPr>
              <w:ind w:left="480"/>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72"/>
              <w:spacing w:after="0"/>
              <w:rPr>
                <w:sz w:val="20"/>
                <w:szCs w:val="20"/>
                <w:color w:val="auto"/>
              </w:rPr>
            </w:pPr>
            <w:r>
              <w:rPr>
                <w:rFonts w:ascii="Arial" w:cs="Arial" w:eastAsia="Arial" w:hAnsi="Arial"/>
                <w:sz w:val="14"/>
                <w:szCs w:val="14"/>
                <w:b w:val="1"/>
                <w:bCs w:val="1"/>
                <w:color w:val="auto"/>
              </w:rPr>
              <w:t>159,046</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4,218,455</w:t>
            </w:r>
          </w:p>
        </w:tc>
        <w:tc>
          <w:tcPr>
            <w:tcW w:w="0" w:type="dxa"/>
            <w:vAlign w:val="bottom"/>
          </w:tcPr>
          <w:p>
            <w:pPr>
              <w:spacing w:after="0"/>
              <w:rPr>
                <w:sz w:val="1"/>
                <w:szCs w:val="1"/>
                <w:color w:val="auto"/>
              </w:rPr>
            </w:pPr>
          </w:p>
        </w:tc>
      </w:tr>
      <w:tr>
        <w:trPr>
          <w:trHeight w:val="88"/>
        </w:trPr>
        <w:tc>
          <w:tcPr>
            <w:tcW w:w="1480" w:type="dxa"/>
            <w:vAlign w:val="bottom"/>
            <w:vMerge w:val="restart"/>
          </w:tcPr>
          <w:p>
            <w:pPr>
              <w:spacing w:after="0"/>
              <w:rPr>
                <w:sz w:val="20"/>
                <w:szCs w:val="20"/>
                <w:color w:val="auto"/>
              </w:rPr>
            </w:pPr>
            <w:r>
              <w:rPr>
                <w:rFonts w:ascii="Arial" w:cs="Arial" w:eastAsia="Arial" w:hAnsi="Arial"/>
                <w:sz w:val="14"/>
                <w:szCs w:val="14"/>
                <w:color w:val="auto"/>
              </w:rPr>
              <w:t>Chief Financial Officer</w:t>
            </w:r>
          </w:p>
        </w:tc>
        <w:tc>
          <w:tcPr>
            <w:tcW w:w="460" w:type="dxa"/>
            <w:vAlign w:val="bottom"/>
            <w:tcBorders>
              <w:bottom w:val="single" w:sz="8" w:color="6D8CC3"/>
            </w:tcBorders>
          </w:tcPr>
          <w:p>
            <w:pPr>
              <w:spacing w:after="0"/>
              <w:rPr>
                <w:sz w:val="7"/>
                <w:szCs w:val="7"/>
                <w:color w:val="auto"/>
              </w:rPr>
            </w:pPr>
          </w:p>
        </w:tc>
        <w:tc>
          <w:tcPr>
            <w:tcW w:w="720" w:type="dxa"/>
            <w:vAlign w:val="bottom"/>
            <w:tcBorders>
              <w:bottom w:val="single" w:sz="8" w:color="6D8CC3"/>
            </w:tcBorders>
          </w:tcPr>
          <w:p>
            <w:pPr>
              <w:spacing w:after="0"/>
              <w:rPr>
                <w:sz w:val="7"/>
                <w:szCs w:val="7"/>
                <w:color w:val="auto"/>
              </w:rPr>
            </w:pPr>
          </w:p>
        </w:tc>
        <w:tc>
          <w:tcPr>
            <w:tcW w:w="620" w:type="dxa"/>
            <w:vAlign w:val="bottom"/>
            <w:tcBorders>
              <w:bottom w:val="single" w:sz="8" w:color="6D8CC3"/>
            </w:tcBorders>
          </w:tcPr>
          <w:p>
            <w:pPr>
              <w:spacing w:after="0"/>
              <w:rPr>
                <w:sz w:val="7"/>
                <w:szCs w:val="7"/>
                <w:color w:val="auto"/>
              </w:rPr>
            </w:pPr>
          </w:p>
        </w:tc>
        <w:tc>
          <w:tcPr>
            <w:tcW w:w="780" w:type="dxa"/>
            <w:vAlign w:val="bottom"/>
            <w:tcBorders>
              <w:bottom w:val="single" w:sz="8" w:color="6D8CC3"/>
            </w:tcBorders>
          </w:tcPr>
          <w:p>
            <w:pPr>
              <w:spacing w:after="0"/>
              <w:rPr>
                <w:sz w:val="7"/>
                <w:szCs w:val="7"/>
                <w:color w:val="auto"/>
              </w:rPr>
            </w:pPr>
          </w:p>
        </w:tc>
        <w:tc>
          <w:tcPr>
            <w:tcW w:w="640" w:type="dxa"/>
            <w:vAlign w:val="bottom"/>
            <w:tcBorders>
              <w:bottom w:val="single" w:sz="8" w:color="6D8CC3"/>
            </w:tcBorders>
          </w:tcPr>
          <w:p>
            <w:pPr>
              <w:spacing w:after="0"/>
              <w:rPr>
                <w:sz w:val="7"/>
                <w:szCs w:val="7"/>
                <w:color w:val="auto"/>
              </w:rPr>
            </w:pPr>
          </w:p>
        </w:tc>
        <w:tc>
          <w:tcPr>
            <w:tcW w:w="1040" w:type="dxa"/>
            <w:vAlign w:val="bottom"/>
            <w:tcBorders>
              <w:bottom w:val="single" w:sz="8" w:color="6D8CC3"/>
            </w:tcBorders>
          </w:tcPr>
          <w:p>
            <w:pPr>
              <w:spacing w:after="0"/>
              <w:rPr>
                <w:sz w:val="7"/>
                <w:szCs w:val="7"/>
                <w:color w:val="auto"/>
              </w:rPr>
            </w:pPr>
          </w:p>
        </w:tc>
        <w:tc>
          <w:tcPr>
            <w:tcW w:w="180" w:type="dxa"/>
            <w:vAlign w:val="bottom"/>
            <w:tcBorders>
              <w:bottom w:val="single" w:sz="8" w:color="6D8CC3"/>
            </w:tcBorders>
          </w:tcPr>
          <w:p>
            <w:pPr>
              <w:spacing w:after="0"/>
              <w:rPr>
                <w:sz w:val="7"/>
                <w:szCs w:val="7"/>
                <w:color w:val="auto"/>
              </w:rPr>
            </w:pPr>
          </w:p>
        </w:tc>
        <w:tc>
          <w:tcPr>
            <w:tcW w:w="1120" w:type="dxa"/>
            <w:vAlign w:val="bottom"/>
            <w:tcBorders>
              <w:bottom w:val="single" w:sz="8" w:color="6D8CC3"/>
            </w:tcBorders>
          </w:tcPr>
          <w:p>
            <w:pPr>
              <w:spacing w:after="0"/>
              <w:rPr>
                <w:sz w:val="7"/>
                <w:szCs w:val="7"/>
                <w:color w:val="auto"/>
              </w:rPr>
            </w:pPr>
          </w:p>
        </w:tc>
        <w:tc>
          <w:tcPr>
            <w:tcW w:w="1060" w:type="dxa"/>
            <w:vAlign w:val="bottom"/>
            <w:tcBorders>
              <w:bottom w:val="single" w:sz="8" w:color="6D8CC3"/>
            </w:tcBorders>
          </w:tcPr>
          <w:p>
            <w:pPr>
              <w:spacing w:after="0"/>
              <w:rPr>
                <w:sz w:val="7"/>
                <w:szCs w:val="7"/>
                <w:color w:val="auto"/>
              </w:rPr>
            </w:pPr>
          </w:p>
        </w:tc>
        <w:tc>
          <w:tcPr>
            <w:tcW w:w="180" w:type="dxa"/>
            <w:vAlign w:val="bottom"/>
            <w:tcBorders>
              <w:bottom w:val="single" w:sz="8" w:color="6D8CC3"/>
            </w:tcBorders>
          </w:tcPr>
          <w:p>
            <w:pPr>
              <w:spacing w:after="0"/>
              <w:rPr>
                <w:sz w:val="7"/>
                <w:szCs w:val="7"/>
                <w:color w:val="auto"/>
              </w:rPr>
            </w:pPr>
          </w:p>
        </w:tc>
        <w:tc>
          <w:tcPr>
            <w:tcW w:w="760" w:type="dxa"/>
            <w:vAlign w:val="bottom"/>
            <w:tcBorders>
              <w:bottom w:val="single" w:sz="8" w:color="6D8CC3"/>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1480" w:type="dxa"/>
            <w:vAlign w:val="bottom"/>
            <w:vMerge w:val="continue"/>
          </w:tcPr>
          <w:p>
            <w:pPr>
              <w:spacing w:after="0"/>
              <w:rPr>
                <w:sz w:val="6"/>
                <w:szCs w:val="6"/>
                <w:color w:val="auto"/>
              </w:rPr>
            </w:pPr>
          </w:p>
        </w:tc>
        <w:tc>
          <w:tcPr>
            <w:tcW w:w="460" w:type="dxa"/>
            <w:vAlign w:val="bottom"/>
            <w:vMerge w:val="restart"/>
          </w:tcPr>
          <w:p>
            <w:pPr>
              <w:ind w:left="60"/>
              <w:spacing w:after="0"/>
              <w:rPr>
                <w:sz w:val="20"/>
                <w:szCs w:val="20"/>
                <w:color w:val="auto"/>
              </w:rPr>
            </w:pPr>
            <w:r>
              <w:rPr>
                <w:rFonts w:ascii="Arial" w:cs="Arial" w:eastAsia="Arial" w:hAnsi="Arial"/>
                <w:sz w:val="14"/>
                <w:szCs w:val="14"/>
                <w:color w:val="auto"/>
              </w:rPr>
              <w:t>2024</w:t>
            </w:r>
          </w:p>
        </w:tc>
        <w:tc>
          <w:tcPr>
            <w:tcW w:w="720" w:type="dxa"/>
            <w:vAlign w:val="bottom"/>
            <w:vMerge w:val="restart"/>
          </w:tcPr>
          <w:p>
            <w:pPr>
              <w:ind w:left="160"/>
              <w:spacing w:after="0"/>
              <w:rPr>
                <w:sz w:val="20"/>
                <w:szCs w:val="20"/>
                <w:color w:val="auto"/>
              </w:rPr>
            </w:pPr>
            <w:r>
              <w:rPr>
                <w:rFonts w:ascii="Arial" w:cs="Arial" w:eastAsia="Arial" w:hAnsi="Arial"/>
                <w:sz w:val="14"/>
                <w:szCs w:val="14"/>
                <w:color w:val="auto"/>
              </w:rPr>
              <w:t>850,000</w:t>
            </w:r>
          </w:p>
        </w:tc>
        <w:tc>
          <w:tcPr>
            <w:tcW w:w="620" w:type="dxa"/>
            <w:vAlign w:val="bottom"/>
            <w:vMerge w:val="restart"/>
          </w:tcPr>
          <w:p>
            <w:pPr>
              <w:ind w:left="60"/>
              <w:spacing w:after="0"/>
              <w:rPr>
                <w:sz w:val="20"/>
                <w:szCs w:val="20"/>
                <w:color w:val="auto"/>
              </w:rPr>
            </w:pPr>
            <w:r>
              <w:rPr>
                <w:rFonts w:ascii="Arial" w:cs="Arial" w:eastAsia="Arial" w:hAnsi="Arial"/>
                <w:sz w:val="14"/>
                <w:szCs w:val="14"/>
                <w:color w:val="auto"/>
              </w:rPr>
              <w:t>500,000</w:t>
            </w:r>
          </w:p>
        </w:tc>
        <w:tc>
          <w:tcPr>
            <w:tcW w:w="780" w:type="dxa"/>
            <w:vAlign w:val="bottom"/>
            <w:vMerge w:val="restart"/>
          </w:tcPr>
          <w:p>
            <w:pPr>
              <w:ind w:left="60"/>
              <w:spacing w:after="0"/>
              <w:rPr>
                <w:sz w:val="20"/>
                <w:szCs w:val="20"/>
                <w:color w:val="auto"/>
              </w:rPr>
            </w:pPr>
            <w:r>
              <w:rPr>
                <w:rFonts w:ascii="Arial" w:cs="Arial" w:eastAsia="Arial" w:hAnsi="Arial"/>
                <w:sz w:val="14"/>
                <w:szCs w:val="14"/>
                <w:color w:val="auto"/>
              </w:rPr>
              <w:t>2,784,937</w:t>
            </w:r>
          </w:p>
        </w:tc>
        <w:tc>
          <w:tcPr>
            <w:tcW w:w="640" w:type="dxa"/>
            <w:vAlign w:val="bottom"/>
            <w:vMerge w:val="restart"/>
          </w:tcPr>
          <w:p>
            <w:pPr>
              <w:ind w:left="240"/>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ind w:left="280"/>
              <w:spacing w:after="0"/>
              <w:rPr>
                <w:sz w:val="20"/>
                <w:szCs w:val="20"/>
                <w:color w:val="auto"/>
              </w:rPr>
            </w:pPr>
            <w:r>
              <w:rPr>
                <w:rFonts w:ascii="Arial" w:cs="Arial" w:eastAsia="Arial" w:hAnsi="Arial"/>
                <w:sz w:val="14"/>
                <w:szCs w:val="14"/>
                <w:color w:val="auto"/>
              </w:rPr>
              <w:t>1,016,328</w:t>
            </w:r>
          </w:p>
        </w:tc>
        <w:tc>
          <w:tcPr>
            <w:tcW w:w="180" w:type="dxa"/>
            <w:vAlign w:val="bottom"/>
          </w:tcPr>
          <w:p>
            <w:pPr>
              <w:spacing w:after="0"/>
              <w:rPr>
                <w:sz w:val="6"/>
                <w:szCs w:val="6"/>
                <w:color w:val="auto"/>
              </w:rPr>
            </w:pPr>
          </w:p>
        </w:tc>
        <w:tc>
          <w:tcPr>
            <w:tcW w:w="1120" w:type="dxa"/>
            <w:vAlign w:val="bottom"/>
            <w:vMerge w:val="restart"/>
          </w:tcPr>
          <w:p>
            <w:pPr>
              <w:ind w:left="480"/>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ind w:right="72"/>
              <w:spacing w:after="0"/>
              <w:rPr>
                <w:sz w:val="20"/>
                <w:szCs w:val="20"/>
                <w:color w:val="auto"/>
              </w:rPr>
            </w:pPr>
            <w:r>
              <w:rPr>
                <w:rFonts w:ascii="Arial" w:cs="Arial" w:eastAsia="Arial" w:hAnsi="Arial"/>
                <w:sz w:val="14"/>
                <w:szCs w:val="14"/>
                <w:color w:val="auto"/>
              </w:rPr>
              <w:t>150,971</w:t>
            </w:r>
          </w:p>
        </w:tc>
        <w:tc>
          <w:tcPr>
            <w:tcW w:w="180" w:type="dxa"/>
            <w:vAlign w:val="bottom"/>
          </w:tcPr>
          <w:p>
            <w:pPr>
              <w:spacing w:after="0"/>
              <w:rPr>
                <w:sz w:val="6"/>
                <w:szCs w:val="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5,302,236</w:t>
            </w:r>
          </w:p>
        </w:tc>
        <w:tc>
          <w:tcPr>
            <w:tcW w:w="0" w:type="dxa"/>
            <w:vAlign w:val="bottom"/>
          </w:tcPr>
          <w:p>
            <w:pPr>
              <w:spacing w:after="0"/>
              <w:rPr>
                <w:sz w:val="1"/>
                <w:szCs w:val="1"/>
                <w:color w:val="auto"/>
              </w:rPr>
            </w:pPr>
          </w:p>
        </w:tc>
      </w:tr>
      <w:tr>
        <w:trPr>
          <w:trHeight w:val="157"/>
        </w:trPr>
        <w:tc>
          <w:tcPr>
            <w:tcW w:w="148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1480" w:type="dxa"/>
            <w:vAlign w:val="bottom"/>
          </w:tcPr>
          <w:p>
            <w:pPr>
              <w:spacing w:after="0"/>
              <w:rPr>
                <w:sz w:val="4"/>
                <w:szCs w:val="4"/>
                <w:color w:val="auto"/>
              </w:rPr>
            </w:pPr>
          </w:p>
        </w:tc>
        <w:tc>
          <w:tcPr>
            <w:tcW w:w="460" w:type="dxa"/>
            <w:vAlign w:val="bottom"/>
            <w:tcBorders>
              <w:bottom w:val="single" w:sz="8" w:color="6D8CC3"/>
            </w:tcBorders>
          </w:tcPr>
          <w:p>
            <w:pPr>
              <w:spacing w:after="0"/>
              <w:rPr>
                <w:sz w:val="4"/>
                <w:szCs w:val="4"/>
                <w:color w:val="auto"/>
              </w:rPr>
            </w:pPr>
          </w:p>
        </w:tc>
        <w:tc>
          <w:tcPr>
            <w:tcW w:w="720" w:type="dxa"/>
            <w:vAlign w:val="bottom"/>
            <w:tcBorders>
              <w:bottom w:val="single" w:sz="8" w:color="6D8CC3"/>
            </w:tcBorders>
          </w:tcPr>
          <w:p>
            <w:pPr>
              <w:spacing w:after="0"/>
              <w:rPr>
                <w:sz w:val="4"/>
                <w:szCs w:val="4"/>
                <w:color w:val="auto"/>
              </w:rPr>
            </w:pPr>
          </w:p>
        </w:tc>
        <w:tc>
          <w:tcPr>
            <w:tcW w:w="620" w:type="dxa"/>
            <w:vAlign w:val="bottom"/>
            <w:tcBorders>
              <w:bottom w:val="single" w:sz="8" w:color="6D8CC3"/>
            </w:tcBorders>
          </w:tcPr>
          <w:p>
            <w:pPr>
              <w:spacing w:after="0"/>
              <w:rPr>
                <w:sz w:val="4"/>
                <w:szCs w:val="4"/>
                <w:color w:val="auto"/>
              </w:rPr>
            </w:pPr>
          </w:p>
        </w:tc>
        <w:tc>
          <w:tcPr>
            <w:tcW w:w="780" w:type="dxa"/>
            <w:vAlign w:val="bottom"/>
            <w:tcBorders>
              <w:bottom w:val="single" w:sz="8" w:color="6D8CC3"/>
            </w:tcBorders>
          </w:tcPr>
          <w:p>
            <w:pPr>
              <w:spacing w:after="0"/>
              <w:rPr>
                <w:sz w:val="4"/>
                <w:szCs w:val="4"/>
                <w:color w:val="auto"/>
              </w:rPr>
            </w:pPr>
          </w:p>
        </w:tc>
        <w:tc>
          <w:tcPr>
            <w:tcW w:w="640" w:type="dxa"/>
            <w:vAlign w:val="bottom"/>
            <w:tcBorders>
              <w:bottom w:val="single" w:sz="8" w:color="6D8CC3"/>
            </w:tcBorders>
          </w:tcPr>
          <w:p>
            <w:pPr>
              <w:spacing w:after="0"/>
              <w:rPr>
                <w:sz w:val="4"/>
                <w:szCs w:val="4"/>
                <w:color w:val="auto"/>
              </w:rPr>
            </w:pPr>
          </w:p>
        </w:tc>
        <w:tc>
          <w:tcPr>
            <w:tcW w:w="1040" w:type="dxa"/>
            <w:vAlign w:val="bottom"/>
            <w:tcBorders>
              <w:bottom w:val="single" w:sz="8" w:color="6D8CC3"/>
            </w:tcBorders>
          </w:tcPr>
          <w:p>
            <w:pPr>
              <w:spacing w:after="0"/>
              <w:rPr>
                <w:sz w:val="4"/>
                <w:szCs w:val="4"/>
                <w:color w:val="auto"/>
              </w:rPr>
            </w:pPr>
          </w:p>
        </w:tc>
        <w:tc>
          <w:tcPr>
            <w:tcW w:w="180" w:type="dxa"/>
            <w:vAlign w:val="bottom"/>
            <w:tcBorders>
              <w:bottom w:val="single" w:sz="8" w:color="6D8CC3"/>
            </w:tcBorders>
          </w:tcPr>
          <w:p>
            <w:pPr>
              <w:spacing w:after="0"/>
              <w:rPr>
                <w:sz w:val="4"/>
                <w:szCs w:val="4"/>
                <w:color w:val="auto"/>
              </w:rPr>
            </w:pPr>
          </w:p>
        </w:tc>
        <w:tc>
          <w:tcPr>
            <w:tcW w:w="1120" w:type="dxa"/>
            <w:vAlign w:val="bottom"/>
            <w:tcBorders>
              <w:bottom w:val="single" w:sz="8" w:color="6D8CC3"/>
            </w:tcBorders>
          </w:tcPr>
          <w:p>
            <w:pPr>
              <w:spacing w:after="0"/>
              <w:rPr>
                <w:sz w:val="4"/>
                <w:szCs w:val="4"/>
                <w:color w:val="auto"/>
              </w:rPr>
            </w:pPr>
          </w:p>
        </w:tc>
        <w:tc>
          <w:tcPr>
            <w:tcW w:w="1060" w:type="dxa"/>
            <w:vAlign w:val="bottom"/>
            <w:tcBorders>
              <w:bottom w:val="single" w:sz="8" w:color="6D8CC3"/>
            </w:tcBorders>
          </w:tcPr>
          <w:p>
            <w:pPr>
              <w:spacing w:after="0"/>
              <w:rPr>
                <w:sz w:val="4"/>
                <w:szCs w:val="4"/>
                <w:color w:val="auto"/>
              </w:rPr>
            </w:pPr>
          </w:p>
        </w:tc>
        <w:tc>
          <w:tcPr>
            <w:tcW w:w="180" w:type="dxa"/>
            <w:vAlign w:val="bottom"/>
            <w:tcBorders>
              <w:bottom w:val="single" w:sz="8" w:color="6D8CC3"/>
            </w:tcBorders>
          </w:tcPr>
          <w:p>
            <w:pPr>
              <w:spacing w:after="0"/>
              <w:rPr>
                <w:sz w:val="4"/>
                <w:szCs w:val="4"/>
                <w:color w:val="auto"/>
              </w:rPr>
            </w:pPr>
          </w:p>
        </w:tc>
        <w:tc>
          <w:tcPr>
            <w:tcW w:w="760" w:type="dxa"/>
            <w:vAlign w:val="bottom"/>
            <w:tcBorders>
              <w:bottom w:val="single" w:sz="8" w:color="6D8CC3"/>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460" w:type="dxa"/>
            <w:vAlign w:val="bottom"/>
          </w:tcPr>
          <w:p>
            <w:pPr>
              <w:ind w:left="60"/>
              <w:spacing w:after="0"/>
              <w:rPr>
                <w:sz w:val="20"/>
                <w:szCs w:val="20"/>
                <w:color w:val="auto"/>
              </w:rPr>
            </w:pPr>
            <w:r>
              <w:rPr>
                <w:rFonts w:ascii="Arial" w:cs="Arial" w:eastAsia="Arial" w:hAnsi="Arial"/>
                <w:sz w:val="14"/>
                <w:szCs w:val="14"/>
                <w:color w:val="auto"/>
              </w:rPr>
              <w:t>2023</w:t>
            </w:r>
          </w:p>
        </w:tc>
        <w:tc>
          <w:tcPr>
            <w:tcW w:w="720" w:type="dxa"/>
            <w:vAlign w:val="bottom"/>
          </w:tcPr>
          <w:p>
            <w:pPr>
              <w:ind w:left="160"/>
              <w:spacing w:after="0"/>
              <w:rPr>
                <w:sz w:val="20"/>
                <w:szCs w:val="20"/>
                <w:color w:val="auto"/>
              </w:rPr>
            </w:pPr>
            <w:r>
              <w:rPr>
                <w:rFonts w:ascii="Arial" w:cs="Arial" w:eastAsia="Arial" w:hAnsi="Arial"/>
                <w:sz w:val="14"/>
                <w:szCs w:val="14"/>
                <w:color w:val="auto"/>
              </w:rPr>
              <w:t>408,654</w:t>
            </w:r>
          </w:p>
        </w:tc>
        <w:tc>
          <w:tcPr>
            <w:tcW w:w="620" w:type="dxa"/>
            <w:vAlign w:val="bottom"/>
          </w:tcPr>
          <w:p>
            <w:pPr>
              <w:ind w:left="60"/>
              <w:spacing w:after="0"/>
              <w:rPr>
                <w:sz w:val="20"/>
                <w:szCs w:val="20"/>
                <w:color w:val="auto"/>
              </w:rPr>
            </w:pPr>
            <w:r>
              <w:rPr>
                <w:rFonts w:ascii="Arial" w:cs="Arial" w:eastAsia="Arial" w:hAnsi="Arial"/>
                <w:sz w:val="14"/>
                <w:szCs w:val="14"/>
                <w:color w:val="auto"/>
              </w:rPr>
              <w:t>500,000</w:t>
            </w:r>
          </w:p>
        </w:tc>
        <w:tc>
          <w:tcPr>
            <w:tcW w:w="780" w:type="dxa"/>
            <w:vAlign w:val="bottom"/>
          </w:tcPr>
          <w:p>
            <w:pPr>
              <w:ind w:left="60"/>
              <w:spacing w:after="0"/>
              <w:rPr>
                <w:sz w:val="20"/>
                <w:szCs w:val="20"/>
                <w:color w:val="auto"/>
              </w:rPr>
            </w:pPr>
            <w:r>
              <w:rPr>
                <w:rFonts w:ascii="Arial" w:cs="Arial" w:eastAsia="Arial" w:hAnsi="Arial"/>
                <w:sz w:val="14"/>
                <w:szCs w:val="14"/>
                <w:color w:val="auto"/>
              </w:rPr>
              <w:t>1,913,900</w:t>
            </w:r>
          </w:p>
        </w:tc>
        <w:tc>
          <w:tcPr>
            <w:tcW w:w="640" w:type="dxa"/>
            <w:vAlign w:val="bottom"/>
          </w:tcPr>
          <w:p>
            <w:pPr>
              <w:ind w:left="240"/>
              <w:spacing w:after="0"/>
              <w:rPr>
                <w:sz w:val="20"/>
                <w:szCs w:val="20"/>
                <w:color w:val="auto"/>
              </w:rPr>
            </w:pPr>
            <w:r>
              <w:rPr>
                <w:rFonts w:ascii="Arial" w:cs="Arial" w:eastAsia="Arial" w:hAnsi="Arial"/>
                <w:sz w:val="14"/>
                <w:szCs w:val="14"/>
                <w:color w:val="auto"/>
              </w:rPr>
              <w:t>—</w:t>
            </w:r>
          </w:p>
        </w:tc>
        <w:tc>
          <w:tcPr>
            <w:tcW w:w="1040" w:type="dxa"/>
            <w:vAlign w:val="bottom"/>
          </w:tcPr>
          <w:p>
            <w:pPr>
              <w:ind w:left="380"/>
              <w:spacing w:after="0"/>
              <w:rPr>
                <w:sz w:val="20"/>
                <w:szCs w:val="20"/>
                <w:color w:val="auto"/>
              </w:rPr>
            </w:pPr>
            <w:r>
              <w:rPr>
                <w:rFonts w:ascii="Arial" w:cs="Arial" w:eastAsia="Arial" w:hAnsi="Arial"/>
                <w:sz w:val="14"/>
                <w:szCs w:val="14"/>
                <w:color w:val="auto"/>
              </w:rPr>
              <w:t>911,880</w:t>
            </w:r>
          </w:p>
        </w:tc>
        <w:tc>
          <w:tcPr>
            <w:tcW w:w="180" w:type="dxa"/>
            <w:vAlign w:val="bottom"/>
          </w:tcPr>
          <w:p>
            <w:pPr>
              <w:spacing w:after="0"/>
              <w:rPr>
                <w:sz w:val="20"/>
                <w:szCs w:val="20"/>
                <w:color w:val="auto"/>
              </w:rPr>
            </w:pPr>
          </w:p>
        </w:tc>
        <w:tc>
          <w:tcPr>
            <w:tcW w:w="1120" w:type="dxa"/>
            <w:vAlign w:val="bottom"/>
          </w:tcPr>
          <w:p>
            <w:pPr>
              <w:ind w:left="48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72"/>
              <w:spacing w:after="0"/>
              <w:rPr>
                <w:sz w:val="20"/>
                <w:szCs w:val="20"/>
                <w:color w:val="auto"/>
              </w:rPr>
            </w:pPr>
            <w:r>
              <w:rPr>
                <w:rFonts w:ascii="Arial" w:cs="Arial" w:eastAsia="Arial" w:hAnsi="Arial"/>
                <w:sz w:val="14"/>
                <w:szCs w:val="14"/>
                <w:color w:val="auto"/>
              </w:rPr>
              <w:t>81,238</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3,815,672</w:t>
            </w:r>
          </w:p>
        </w:tc>
        <w:tc>
          <w:tcPr>
            <w:tcW w:w="0" w:type="dxa"/>
            <w:vAlign w:val="bottom"/>
          </w:tcPr>
          <w:p>
            <w:pPr>
              <w:spacing w:after="0"/>
              <w:rPr>
                <w:sz w:val="1"/>
                <w:szCs w:val="1"/>
                <w:color w:val="auto"/>
              </w:rPr>
            </w:pPr>
          </w:p>
        </w:tc>
      </w:tr>
      <w:tr>
        <w:trPr>
          <w:trHeight w:val="48"/>
        </w:trPr>
        <w:tc>
          <w:tcPr>
            <w:tcW w:w="1480" w:type="dxa"/>
            <w:vAlign w:val="bottom"/>
            <w:tcBorders>
              <w:bottom w:val="single" w:sz="8" w:color="292F72"/>
            </w:tcBorders>
          </w:tcPr>
          <w:p>
            <w:pPr>
              <w:spacing w:after="0"/>
              <w:rPr>
                <w:sz w:val="4"/>
                <w:szCs w:val="4"/>
                <w:color w:val="auto"/>
              </w:rPr>
            </w:pPr>
          </w:p>
        </w:tc>
        <w:tc>
          <w:tcPr>
            <w:tcW w:w="460" w:type="dxa"/>
            <w:vAlign w:val="bottom"/>
            <w:tcBorders>
              <w:bottom w:val="single" w:sz="8" w:color="292F72"/>
            </w:tcBorders>
          </w:tcPr>
          <w:p>
            <w:pPr>
              <w:spacing w:after="0"/>
              <w:rPr>
                <w:sz w:val="4"/>
                <w:szCs w:val="4"/>
                <w:color w:val="auto"/>
              </w:rPr>
            </w:pPr>
          </w:p>
        </w:tc>
        <w:tc>
          <w:tcPr>
            <w:tcW w:w="720" w:type="dxa"/>
            <w:vAlign w:val="bottom"/>
            <w:tcBorders>
              <w:bottom w:val="single" w:sz="8" w:color="292F72"/>
            </w:tcBorders>
          </w:tcPr>
          <w:p>
            <w:pPr>
              <w:spacing w:after="0"/>
              <w:rPr>
                <w:sz w:val="4"/>
                <w:szCs w:val="4"/>
                <w:color w:val="auto"/>
              </w:rPr>
            </w:pPr>
          </w:p>
        </w:tc>
        <w:tc>
          <w:tcPr>
            <w:tcW w:w="620" w:type="dxa"/>
            <w:vAlign w:val="bottom"/>
            <w:tcBorders>
              <w:bottom w:val="single" w:sz="8" w:color="292F72"/>
            </w:tcBorders>
          </w:tcPr>
          <w:p>
            <w:pPr>
              <w:spacing w:after="0"/>
              <w:rPr>
                <w:sz w:val="4"/>
                <w:szCs w:val="4"/>
                <w:color w:val="auto"/>
              </w:rPr>
            </w:pPr>
          </w:p>
        </w:tc>
        <w:tc>
          <w:tcPr>
            <w:tcW w:w="780" w:type="dxa"/>
            <w:vAlign w:val="bottom"/>
            <w:tcBorders>
              <w:bottom w:val="single" w:sz="8" w:color="292F72"/>
            </w:tcBorders>
          </w:tcPr>
          <w:p>
            <w:pPr>
              <w:spacing w:after="0"/>
              <w:rPr>
                <w:sz w:val="4"/>
                <w:szCs w:val="4"/>
                <w:color w:val="auto"/>
              </w:rPr>
            </w:pPr>
          </w:p>
        </w:tc>
        <w:tc>
          <w:tcPr>
            <w:tcW w:w="640" w:type="dxa"/>
            <w:vAlign w:val="bottom"/>
            <w:tcBorders>
              <w:bottom w:val="single" w:sz="8" w:color="292F72"/>
            </w:tcBorders>
          </w:tcPr>
          <w:p>
            <w:pPr>
              <w:spacing w:after="0"/>
              <w:rPr>
                <w:sz w:val="4"/>
                <w:szCs w:val="4"/>
                <w:color w:val="auto"/>
              </w:rPr>
            </w:pPr>
          </w:p>
        </w:tc>
        <w:tc>
          <w:tcPr>
            <w:tcW w:w="1040" w:type="dxa"/>
            <w:vAlign w:val="bottom"/>
            <w:tcBorders>
              <w:bottom w:val="single" w:sz="8" w:color="292F72"/>
            </w:tcBorders>
          </w:tcPr>
          <w:p>
            <w:pPr>
              <w:spacing w:after="0"/>
              <w:rPr>
                <w:sz w:val="4"/>
                <w:szCs w:val="4"/>
                <w:color w:val="auto"/>
              </w:rPr>
            </w:pPr>
          </w:p>
        </w:tc>
        <w:tc>
          <w:tcPr>
            <w:tcW w:w="180" w:type="dxa"/>
            <w:vAlign w:val="bottom"/>
            <w:tcBorders>
              <w:bottom w:val="single" w:sz="8" w:color="292F72"/>
            </w:tcBorders>
          </w:tcPr>
          <w:p>
            <w:pPr>
              <w:spacing w:after="0"/>
              <w:rPr>
                <w:sz w:val="4"/>
                <w:szCs w:val="4"/>
                <w:color w:val="auto"/>
              </w:rPr>
            </w:pPr>
          </w:p>
        </w:tc>
        <w:tc>
          <w:tcPr>
            <w:tcW w:w="1120" w:type="dxa"/>
            <w:vAlign w:val="bottom"/>
            <w:tcBorders>
              <w:bottom w:val="single" w:sz="8" w:color="292F72"/>
            </w:tcBorders>
          </w:tcPr>
          <w:p>
            <w:pPr>
              <w:spacing w:after="0"/>
              <w:rPr>
                <w:sz w:val="4"/>
                <w:szCs w:val="4"/>
                <w:color w:val="auto"/>
              </w:rPr>
            </w:pPr>
          </w:p>
        </w:tc>
        <w:tc>
          <w:tcPr>
            <w:tcW w:w="1060" w:type="dxa"/>
            <w:vAlign w:val="bottom"/>
            <w:tcBorders>
              <w:bottom w:val="single" w:sz="8" w:color="292F72"/>
            </w:tcBorders>
          </w:tcPr>
          <w:p>
            <w:pPr>
              <w:spacing w:after="0"/>
              <w:rPr>
                <w:sz w:val="4"/>
                <w:szCs w:val="4"/>
                <w:color w:val="auto"/>
              </w:rPr>
            </w:pPr>
          </w:p>
        </w:tc>
        <w:tc>
          <w:tcPr>
            <w:tcW w:w="180" w:type="dxa"/>
            <w:vAlign w:val="bottom"/>
            <w:tcBorders>
              <w:bottom w:val="single" w:sz="8" w:color="292F72"/>
            </w:tcBorders>
          </w:tcPr>
          <w:p>
            <w:pPr>
              <w:spacing w:after="0"/>
              <w:rPr>
                <w:sz w:val="4"/>
                <w:szCs w:val="4"/>
                <w:color w:val="auto"/>
              </w:rPr>
            </w:pPr>
          </w:p>
        </w:tc>
        <w:tc>
          <w:tcPr>
            <w:tcW w:w="760" w:type="dxa"/>
            <w:vAlign w:val="bottom"/>
            <w:tcBorders>
              <w:bottom w:val="single" w:sz="8" w:color="292F72"/>
            </w:tcBorders>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1480" w:type="dxa"/>
            <w:vAlign w:val="bottom"/>
          </w:tcPr>
          <w:p>
            <w:pPr>
              <w:spacing w:after="0"/>
              <w:rPr>
                <w:sz w:val="20"/>
                <w:szCs w:val="20"/>
                <w:color w:val="auto"/>
              </w:rPr>
            </w:pPr>
            <w:r>
              <w:rPr>
                <w:rFonts w:ascii="Arial" w:cs="Arial" w:eastAsia="Arial" w:hAnsi="Arial"/>
                <w:sz w:val="14"/>
                <w:szCs w:val="14"/>
                <w:b w:val="1"/>
                <w:bCs w:val="1"/>
                <w:color w:val="6D8CC3"/>
              </w:rPr>
              <w:t>Thomas Mazurek</w:t>
            </w:r>
          </w:p>
        </w:tc>
        <w:tc>
          <w:tcPr>
            <w:tcW w:w="460" w:type="dxa"/>
            <w:vAlign w:val="bottom"/>
          </w:tcPr>
          <w:p>
            <w:pPr>
              <w:ind w:left="60"/>
              <w:spacing w:after="0"/>
              <w:rPr>
                <w:sz w:val="20"/>
                <w:szCs w:val="20"/>
                <w:color w:val="auto"/>
              </w:rPr>
            </w:pPr>
            <w:r>
              <w:rPr>
                <w:rFonts w:ascii="Arial" w:cs="Arial" w:eastAsia="Arial" w:hAnsi="Arial"/>
                <w:sz w:val="14"/>
                <w:szCs w:val="14"/>
                <w:b w:val="1"/>
                <w:bCs w:val="1"/>
                <w:color w:val="auto"/>
              </w:rPr>
              <w:t>2025</w:t>
            </w:r>
          </w:p>
        </w:tc>
        <w:tc>
          <w:tcPr>
            <w:tcW w:w="720" w:type="dxa"/>
            <w:vAlign w:val="bottom"/>
          </w:tcPr>
          <w:p>
            <w:pPr>
              <w:ind w:left="160"/>
              <w:spacing w:after="0"/>
              <w:rPr>
                <w:sz w:val="20"/>
                <w:szCs w:val="20"/>
                <w:color w:val="auto"/>
              </w:rPr>
            </w:pPr>
            <w:r>
              <w:rPr>
                <w:rFonts w:ascii="Arial" w:cs="Arial" w:eastAsia="Arial" w:hAnsi="Arial"/>
                <w:sz w:val="14"/>
                <w:szCs w:val="14"/>
                <w:b w:val="1"/>
                <w:bCs w:val="1"/>
                <w:color w:val="auto"/>
              </w:rPr>
              <w:t>720,192</w:t>
            </w:r>
          </w:p>
        </w:tc>
        <w:tc>
          <w:tcPr>
            <w:tcW w:w="620" w:type="dxa"/>
            <w:vAlign w:val="bottom"/>
          </w:tcPr>
          <w:p>
            <w:pPr>
              <w:ind w:left="420"/>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ind w:left="60"/>
              <w:spacing w:after="0"/>
              <w:rPr>
                <w:sz w:val="20"/>
                <w:szCs w:val="20"/>
                <w:color w:val="auto"/>
              </w:rPr>
            </w:pPr>
            <w:r>
              <w:rPr>
                <w:rFonts w:ascii="Arial" w:cs="Arial" w:eastAsia="Arial" w:hAnsi="Arial"/>
                <w:sz w:val="14"/>
                <w:szCs w:val="14"/>
                <w:b w:val="1"/>
                <w:bCs w:val="1"/>
                <w:color w:val="auto"/>
              </w:rPr>
              <w:t>1,763,717</w:t>
            </w:r>
          </w:p>
        </w:tc>
        <w:tc>
          <w:tcPr>
            <w:tcW w:w="640" w:type="dxa"/>
            <w:vAlign w:val="bottom"/>
          </w:tcPr>
          <w:p>
            <w:pPr>
              <w:ind w:left="240"/>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ind w:left="380"/>
              <w:spacing w:after="0"/>
              <w:rPr>
                <w:sz w:val="20"/>
                <w:szCs w:val="20"/>
                <w:color w:val="auto"/>
              </w:rPr>
            </w:pPr>
            <w:r>
              <w:rPr>
                <w:rFonts w:ascii="Arial" w:cs="Arial" w:eastAsia="Arial" w:hAnsi="Arial"/>
                <w:sz w:val="14"/>
                <w:szCs w:val="14"/>
                <w:b w:val="1"/>
                <w:bCs w:val="1"/>
                <w:color w:val="auto"/>
              </w:rPr>
              <w:t>233,740</w:t>
            </w:r>
          </w:p>
        </w:tc>
        <w:tc>
          <w:tcPr>
            <w:tcW w:w="180" w:type="dxa"/>
            <w:vAlign w:val="bottom"/>
          </w:tcPr>
          <w:p>
            <w:pPr>
              <w:spacing w:after="0"/>
              <w:rPr>
                <w:sz w:val="17"/>
                <w:szCs w:val="17"/>
                <w:color w:val="auto"/>
              </w:rPr>
            </w:pPr>
          </w:p>
        </w:tc>
        <w:tc>
          <w:tcPr>
            <w:tcW w:w="1120" w:type="dxa"/>
            <w:vAlign w:val="bottom"/>
          </w:tcPr>
          <w:p>
            <w:pPr>
              <w:ind w:left="480"/>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72"/>
              <w:spacing w:after="0"/>
              <w:rPr>
                <w:sz w:val="20"/>
                <w:szCs w:val="20"/>
                <w:color w:val="auto"/>
              </w:rPr>
            </w:pPr>
            <w:r>
              <w:rPr>
                <w:rFonts w:ascii="Arial" w:cs="Arial" w:eastAsia="Arial" w:hAnsi="Arial"/>
                <w:sz w:val="14"/>
                <w:szCs w:val="14"/>
                <w:b w:val="1"/>
                <w:bCs w:val="1"/>
                <w:color w:val="auto"/>
              </w:rPr>
              <w:t>21,080</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2,738,729</w:t>
            </w:r>
          </w:p>
        </w:tc>
        <w:tc>
          <w:tcPr>
            <w:tcW w:w="0" w:type="dxa"/>
            <w:vAlign w:val="bottom"/>
          </w:tcPr>
          <w:p>
            <w:pPr>
              <w:spacing w:after="0"/>
              <w:rPr>
                <w:sz w:val="1"/>
                <w:szCs w:val="1"/>
                <w:color w:val="auto"/>
              </w:rPr>
            </w:pPr>
          </w:p>
        </w:tc>
      </w:tr>
      <w:tr>
        <w:trPr>
          <w:trHeight w:val="88"/>
        </w:trPr>
        <w:tc>
          <w:tcPr>
            <w:tcW w:w="1480" w:type="dxa"/>
            <w:vAlign w:val="bottom"/>
            <w:vMerge w:val="restart"/>
          </w:tcPr>
          <w:p>
            <w:pPr>
              <w:spacing w:after="0" w:line="157" w:lineRule="exact"/>
              <w:rPr>
                <w:sz w:val="20"/>
                <w:szCs w:val="20"/>
                <w:color w:val="auto"/>
              </w:rPr>
            </w:pPr>
            <w:r>
              <w:rPr>
                <w:rFonts w:ascii="Arial" w:cs="Arial" w:eastAsia="Arial" w:hAnsi="Arial"/>
                <w:sz w:val="14"/>
                <w:szCs w:val="14"/>
                <w:color w:val="auto"/>
              </w:rPr>
              <w:t>Chief Supply Chain</w:t>
            </w:r>
          </w:p>
        </w:tc>
        <w:tc>
          <w:tcPr>
            <w:tcW w:w="460" w:type="dxa"/>
            <w:vAlign w:val="bottom"/>
            <w:tcBorders>
              <w:bottom w:val="single" w:sz="8" w:color="6D8CC3"/>
            </w:tcBorders>
          </w:tcPr>
          <w:p>
            <w:pPr>
              <w:spacing w:after="0"/>
              <w:rPr>
                <w:sz w:val="7"/>
                <w:szCs w:val="7"/>
                <w:color w:val="auto"/>
              </w:rPr>
            </w:pPr>
          </w:p>
        </w:tc>
        <w:tc>
          <w:tcPr>
            <w:tcW w:w="720" w:type="dxa"/>
            <w:vAlign w:val="bottom"/>
            <w:tcBorders>
              <w:bottom w:val="single" w:sz="8" w:color="6D8CC3"/>
            </w:tcBorders>
          </w:tcPr>
          <w:p>
            <w:pPr>
              <w:spacing w:after="0"/>
              <w:rPr>
                <w:sz w:val="7"/>
                <w:szCs w:val="7"/>
                <w:color w:val="auto"/>
              </w:rPr>
            </w:pPr>
          </w:p>
        </w:tc>
        <w:tc>
          <w:tcPr>
            <w:tcW w:w="620" w:type="dxa"/>
            <w:vAlign w:val="bottom"/>
            <w:tcBorders>
              <w:bottom w:val="single" w:sz="8" w:color="6D8CC3"/>
            </w:tcBorders>
          </w:tcPr>
          <w:p>
            <w:pPr>
              <w:spacing w:after="0"/>
              <w:rPr>
                <w:sz w:val="7"/>
                <w:szCs w:val="7"/>
                <w:color w:val="auto"/>
              </w:rPr>
            </w:pPr>
          </w:p>
        </w:tc>
        <w:tc>
          <w:tcPr>
            <w:tcW w:w="780" w:type="dxa"/>
            <w:vAlign w:val="bottom"/>
            <w:tcBorders>
              <w:bottom w:val="single" w:sz="8" w:color="6D8CC3"/>
            </w:tcBorders>
          </w:tcPr>
          <w:p>
            <w:pPr>
              <w:spacing w:after="0"/>
              <w:rPr>
                <w:sz w:val="7"/>
                <w:szCs w:val="7"/>
                <w:color w:val="auto"/>
              </w:rPr>
            </w:pPr>
          </w:p>
        </w:tc>
        <w:tc>
          <w:tcPr>
            <w:tcW w:w="640" w:type="dxa"/>
            <w:vAlign w:val="bottom"/>
            <w:tcBorders>
              <w:bottom w:val="single" w:sz="8" w:color="6D8CC3"/>
            </w:tcBorders>
          </w:tcPr>
          <w:p>
            <w:pPr>
              <w:spacing w:after="0"/>
              <w:rPr>
                <w:sz w:val="7"/>
                <w:szCs w:val="7"/>
                <w:color w:val="auto"/>
              </w:rPr>
            </w:pPr>
          </w:p>
        </w:tc>
        <w:tc>
          <w:tcPr>
            <w:tcW w:w="1040" w:type="dxa"/>
            <w:vAlign w:val="bottom"/>
            <w:tcBorders>
              <w:bottom w:val="single" w:sz="8" w:color="6D8CC3"/>
            </w:tcBorders>
          </w:tcPr>
          <w:p>
            <w:pPr>
              <w:spacing w:after="0"/>
              <w:rPr>
                <w:sz w:val="7"/>
                <w:szCs w:val="7"/>
                <w:color w:val="auto"/>
              </w:rPr>
            </w:pPr>
          </w:p>
        </w:tc>
        <w:tc>
          <w:tcPr>
            <w:tcW w:w="180" w:type="dxa"/>
            <w:vAlign w:val="bottom"/>
            <w:tcBorders>
              <w:bottom w:val="single" w:sz="8" w:color="6D8CC3"/>
            </w:tcBorders>
          </w:tcPr>
          <w:p>
            <w:pPr>
              <w:spacing w:after="0"/>
              <w:rPr>
                <w:sz w:val="7"/>
                <w:szCs w:val="7"/>
                <w:color w:val="auto"/>
              </w:rPr>
            </w:pPr>
          </w:p>
        </w:tc>
        <w:tc>
          <w:tcPr>
            <w:tcW w:w="1120" w:type="dxa"/>
            <w:vAlign w:val="bottom"/>
            <w:tcBorders>
              <w:bottom w:val="single" w:sz="8" w:color="6D8CC3"/>
            </w:tcBorders>
          </w:tcPr>
          <w:p>
            <w:pPr>
              <w:spacing w:after="0"/>
              <w:rPr>
                <w:sz w:val="7"/>
                <w:szCs w:val="7"/>
                <w:color w:val="auto"/>
              </w:rPr>
            </w:pPr>
          </w:p>
        </w:tc>
        <w:tc>
          <w:tcPr>
            <w:tcW w:w="1060" w:type="dxa"/>
            <w:vAlign w:val="bottom"/>
            <w:tcBorders>
              <w:bottom w:val="single" w:sz="8" w:color="6D8CC3"/>
            </w:tcBorders>
          </w:tcPr>
          <w:p>
            <w:pPr>
              <w:spacing w:after="0"/>
              <w:rPr>
                <w:sz w:val="7"/>
                <w:szCs w:val="7"/>
                <w:color w:val="auto"/>
              </w:rPr>
            </w:pPr>
          </w:p>
        </w:tc>
        <w:tc>
          <w:tcPr>
            <w:tcW w:w="180" w:type="dxa"/>
            <w:vAlign w:val="bottom"/>
            <w:tcBorders>
              <w:bottom w:val="single" w:sz="8" w:color="6D8CC3"/>
            </w:tcBorders>
          </w:tcPr>
          <w:p>
            <w:pPr>
              <w:spacing w:after="0"/>
              <w:rPr>
                <w:sz w:val="7"/>
                <w:szCs w:val="7"/>
                <w:color w:val="auto"/>
              </w:rPr>
            </w:pPr>
          </w:p>
        </w:tc>
        <w:tc>
          <w:tcPr>
            <w:tcW w:w="760" w:type="dxa"/>
            <w:vAlign w:val="bottom"/>
            <w:tcBorders>
              <w:bottom w:val="single" w:sz="8" w:color="6D8CC3"/>
            </w:tcBorders>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148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1480" w:type="dxa"/>
            <w:vAlign w:val="bottom"/>
          </w:tcPr>
          <w:p>
            <w:pPr>
              <w:spacing w:after="0"/>
              <w:rPr>
                <w:sz w:val="20"/>
                <w:szCs w:val="20"/>
                <w:color w:val="auto"/>
              </w:rPr>
            </w:pPr>
            <w:r>
              <w:rPr>
                <w:rFonts w:ascii="Arial" w:cs="Arial" w:eastAsia="Arial" w:hAnsi="Arial"/>
                <w:sz w:val="14"/>
                <w:szCs w:val="14"/>
                <w:color w:val="auto"/>
              </w:rPr>
              <w:t>Officer</w:t>
            </w:r>
          </w:p>
        </w:tc>
        <w:tc>
          <w:tcPr>
            <w:tcW w:w="460" w:type="dxa"/>
            <w:vAlign w:val="bottom"/>
          </w:tcPr>
          <w:p>
            <w:pPr>
              <w:ind w:left="60"/>
              <w:spacing w:after="0"/>
              <w:rPr>
                <w:sz w:val="20"/>
                <w:szCs w:val="20"/>
                <w:color w:val="auto"/>
              </w:rPr>
            </w:pPr>
            <w:r>
              <w:rPr>
                <w:rFonts w:ascii="Arial" w:cs="Arial" w:eastAsia="Arial" w:hAnsi="Arial"/>
                <w:sz w:val="14"/>
                <w:szCs w:val="14"/>
                <w:color w:val="auto"/>
              </w:rPr>
              <w:t>2024</w:t>
            </w:r>
          </w:p>
        </w:tc>
        <w:tc>
          <w:tcPr>
            <w:tcW w:w="720" w:type="dxa"/>
            <w:vAlign w:val="bottom"/>
          </w:tcPr>
          <w:p>
            <w:pPr>
              <w:ind w:left="160"/>
              <w:spacing w:after="0"/>
              <w:rPr>
                <w:sz w:val="20"/>
                <w:szCs w:val="20"/>
                <w:color w:val="auto"/>
              </w:rPr>
            </w:pPr>
            <w:r>
              <w:rPr>
                <w:rFonts w:ascii="Arial" w:cs="Arial" w:eastAsia="Arial" w:hAnsi="Arial"/>
                <w:sz w:val="14"/>
                <w:szCs w:val="14"/>
                <w:color w:val="auto"/>
              </w:rPr>
              <w:t>700,000</w:t>
            </w:r>
          </w:p>
        </w:tc>
        <w:tc>
          <w:tcPr>
            <w:tcW w:w="620" w:type="dxa"/>
            <w:vAlign w:val="bottom"/>
          </w:tcPr>
          <w:p>
            <w:pPr>
              <w:ind w:left="420"/>
              <w:spacing w:after="0"/>
              <w:rPr>
                <w:sz w:val="20"/>
                <w:szCs w:val="20"/>
                <w:color w:val="auto"/>
              </w:rPr>
            </w:pPr>
            <w:r>
              <w:rPr>
                <w:rFonts w:ascii="Arial" w:cs="Arial" w:eastAsia="Arial" w:hAnsi="Arial"/>
                <w:sz w:val="14"/>
                <w:szCs w:val="14"/>
                <w:color w:val="auto"/>
              </w:rPr>
              <w:t>—</w:t>
            </w:r>
          </w:p>
        </w:tc>
        <w:tc>
          <w:tcPr>
            <w:tcW w:w="780" w:type="dxa"/>
            <w:vAlign w:val="bottom"/>
          </w:tcPr>
          <w:p>
            <w:pPr>
              <w:ind w:left="60"/>
              <w:spacing w:after="0"/>
              <w:rPr>
                <w:sz w:val="20"/>
                <w:szCs w:val="20"/>
                <w:color w:val="auto"/>
              </w:rPr>
            </w:pPr>
            <w:r>
              <w:rPr>
                <w:rFonts w:ascii="Arial" w:cs="Arial" w:eastAsia="Arial" w:hAnsi="Arial"/>
                <w:sz w:val="14"/>
                <w:szCs w:val="14"/>
                <w:color w:val="auto"/>
              </w:rPr>
              <w:t>1,502,843</w:t>
            </w:r>
          </w:p>
        </w:tc>
        <w:tc>
          <w:tcPr>
            <w:tcW w:w="640" w:type="dxa"/>
            <w:vAlign w:val="bottom"/>
          </w:tcPr>
          <w:p>
            <w:pPr>
              <w:ind w:left="240"/>
              <w:spacing w:after="0"/>
              <w:rPr>
                <w:sz w:val="20"/>
                <w:szCs w:val="20"/>
                <w:color w:val="auto"/>
              </w:rPr>
            </w:pPr>
            <w:r>
              <w:rPr>
                <w:rFonts w:ascii="Arial" w:cs="Arial" w:eastAsia="Arial" w:hAnsi="Arial"/>
                <w:sz w:val="14"/>
                <w:szCs w:val="14"/>
                <w:color w:val="auto"/>
              </w:rPr>
              <w:t>—</w:t>
            </w:r>
          </w:p>
        </w:tc>
        <w:tc>
          <w:tcPr>
            <w:tcW w:w="1040" w:type="dxa"/>
            <w:vAlign w:val="bottom"/>
          </w:tcPr>
          <w:p>
            <w:pPr>
              <w:ind w:left="380"/>
              <w:spacing w:after="0"/>
              <w:rPr>
                <w:sz w:val="20"/>
                <w:szCs w:val="20"/>
                <w:color w:val="auto"/>
              </w:rPr>
            </w:pPr>
            <w:r>
              <w:rPr>
                <w:rFonts w:ascii="Arial" w:cs="Arial" w:eastAsia="Arial" w:hAnsi="Arial"/>
                <w:sz w:val="14"/>
                <w:szCs w:val="14"/>
                <w:color w:val="auto"/>
              </w:rPr>
              <w:t>697,480</w:t>
            </w:r>
          </w:p>
        </w:tc>
        <w:tc>
          <w:tcPr>
            <w:tcW w:w="180" w:type="dxa"/>
            <w:vAlign w:val="bottom"/>
          </w:tcPr>
          <w:p>
            <w:pPr>
              <w:spacing w:after="0"/>
              <w:rPr>
                <w:sz w:val="16"/>
                <w:szCs w:val="16"/>
                <w:color w:val="auto"/>
              </w:rPr>
            </w:pPr>
          </w:p>
        </w:tc>
        <w:tc>
          <w:tcPr>
            <w:tcW w:w="1120" w:type="dxa"/>
            <w:vAlign w:val="bottom"/>
          </w:tcPr>
          <w:p>
            <w:pPr>
              <w:ind w:left="48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72"/>
              <w:spacing w:after="0"/>
              <w:rPr>
                <w:sz w:val="20"/>
                <w:szCs w:val="20"/>
                <w:color w:val="auto"/>
              </w:rPr>
            </w:pPr>
            <w:r>
              <w:rPr>
                <w:rFonts w:ascii="Arial" w:cs="Arial" w:eastAsia="Arial" w:hAnsi="Arial"/>
                <w:sz w:val="14"/>
                <w:szCs w:val="14"/>
                <w:color w:val="auto"/>
              </w:rPr>
              <w:t>25,931</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2,926,254</w:t>
            </w:r>
          </w:p>
        </w:tc>
        <w:tc>
          <w:tcPr>
            <w:tcW w:w="0" w:type="dxa"/>
            <w:vAlign w:val="bottom"/>
          </w:tcPr>
          <w:p>
            <w:pPr>
              <w:spacing w:after="0"/>
              <w:rPr>
                <w:sz w:val="1"/>
                <w:szCs w:val="1"/>
                <w:color w:val="auto"/>
              </w:rPr>
            </w:pPr>
          </w:p>
        </w:tc>
      </w:tr>
      <w:tr>
        <w:trPr>
          <w:trHeight w:val="48"/>
        </w:trPr>
        <w:tc>
          <w:tcPr>
            <w:tcW w:w="1480" w:type="dxa"/>
            <w:vAlign w:val="bottom"/>
          </w:tcPr>
          <w:p>
            <w:pPr>
              <w:spacing w:after="0"/>
              <w:rPr>
                <w:sz w:val="4"/>
                <w:szCs w:val="4"/>
                <w:color w:val="auto"/>
              </w:rPr>
            </w:pPr>
          </w:p>
        </w:tc>
        <w:tc>
          <w:tcPr>
            <w:tcW w:w="460" w:type="dxa"/>
            <w:vAlign w:val="bottom"/>
            <w:tcBorders>
              <w:bottom w:val="single" w:sz="8" w:color="6D8CC3"/>
            </w:tcBorders>
          </w:tcPr>
          <w:p>
            <w:pPr>
              <w:spacing w:after="0"/>
              <w:rPr>
                <w:sz w:val="4"/>
                <w:szCs w:val="4"/>
                <w:color w:val="auto"/>
              </w:rPr>
            </w:pPr>
          </w:p>
        </w:tc>
        <w:tc>
          <w:tcPr>
            <w:tcW w:w="720" w:type="dxa"/>
            <w:vAlign w:val="bottom"/>
            <w:tcBorders>
              <w:bottom w:val="single" w:sz="8" w:color="6D8CC3"/>
            </w:tcBorders>
          </w:tcPr>
          <w:p>
            <w:pPr>
              <w:spacing w:after="0"/>
              <w:rPr>
                <w:sz w:val="4"/>
                <w:szCs w:val="4"/>
                <w:color w:val="auto"/>
              </w:rPr>
            </w:pPr>
          </w:p>
        </w:tc>
        <w:tc>
          <w:tcPr>
            <w:tcW w:w="620" w:type="dxa"/>
            <w:vAlign w:val="bottom"/>
            <w:tcBorders>
              <w:bottom w:val="single" w:sz="8" w:color="6D8CC3"/>
            </w:tcBorders>
          </w:tcPr>
          <w:p>
            <w:pPr>
              <w:spacing w:after="0"/>
              <w:rPr>
                <w:sz w:val="4"/>
                <w:szCs w:val="4"/>
                <w:color w:val="auto"/>
              </w:rPr>
            </w:pPr>
          </w:p>
        </w:tc>
        <w:tc>
          <w:tcPr>
            <w:tcW w:w="780" w:type="dxa"/>
            <w:vAlign w:val="bottom"/>
            <w:tcBorders>
              <w:bottom w:val="single" w:sz="8" w:color="6D8CC3"/>
            </w:tcBorders>
          </w:tcPr>
          <w:p>
            <w:pPr>
              <w:spacing w:after="0"/>
              <w:rPr>
                <w:sz w:val="4"/>
                <w:szCs w:val="4"/>
                <w:color w:val="auto"/>
              </w:rPr>
            </w:pPr>
          </w:p>
        </w:tc>
        <w:tc>
          <w:tcPr>
            <w:tcW w:w="640" w:type="dxa"/>
            <w:vAlign w:val="bottom"/>
            <w:tcBorders>
              <w:bottom w:val="single" w:sz="8" w:color="6D8CC3"/>
            </w:tcBorders>
          </w:tcPr>
          <w:p>
            <w:pPr>
              <w:spacing w:after="0"/>
              <w:rPr>
                <w:sz w:val="4"/>
                <w:szCs w:val="4"/>
                <w:color w:val="auto"/>
              </w:rPr>
            </w:pPr>
          </w:p>
        </w:tc>
        <w:tc>
          <w:tcPr>
            <w:tcW w:w="1040" w:type="dxa"/>
            <w:vAlign w:val="bottom"/>
            <w:tcBorders>
              <w:bottom w:val="single" w:sz="8" w:color="6D8CC3"/>
            </w:tcBorders>
          </w:tcPr>
          <w:p>
            <w:pPr>
              <w:spacing w:after="0"/>
              <w:rPr>
                <w:sz w:val="4"/>
                <w:szCs w:val="4"/>
                <w:color w:val="auto"/>
              </w:rPr>
            </w:pPr>
          </w:p>
        </w:tc>
        <w:tc>
          <w:tcPr>
            <w:tcW w:w="180" w:type="dxa"/>
            <w:vAlign w:val="bottom"/>
            <w:tcBorders>
              <w:bottom w:val="single" w:sz="8" w:color="6D8CC3"/>
            </w:tcBorders>
          </w:tcPr>
          <w:p>
            <w:pPr>
              <w:spacing w:after="0"/>
              <w:rPr>
                <w:sz w:val="4"/>
                <w:szCs w:val="4"/>
                <w:color w:val="auto"/>
              </w:rPr>
            </w:pPr>
          </w:p>
        </w:tc>
        <w:tc>
          <w:tcPr>
            <w:tcW w:w="1120" w:type="dxa"/>
            <w:vAlign w:val="bottom"/>
            <w:tcBorders>
              <w:bottom w:val="single" w:sz="8" w:color="6D8CC3"/>
            </w:tcBorders>
          </w:tcPr>
          <w:p>
            <w:pPr>
              <w:spacing w:after="0"/>
              <w:rPr>
                <w:sz w:val="4"/>
                <w:szCs w:val="4"/>
                <w:color w:val="auto"/>
              </w:rPr>
            </w:pPr>
          </w:p>
        </w:tc>
        <w:tc>
          <w:tcPr>
            <w:tcW w:w="1060" w:type="dxa"/>
            <w:vAlign w:val="bottom"/>
            <w:tcBorders>
              <w:bottom w:val="single" w:sz="8" w:color="6D8CC3"/>
            </w:tcBorders>
          </w:tcPr>
          <w:p>
            <w:pPr>
              <w:spacing w:after="0"/>
              <w:rPr>
                <w:sz w:val="4"/>
                <w:szCs w:val="4"/>
                <w:color w:val="auto"/>
              </w:rPr>
            </w:pPr>
          </w:p>
        </w:tc>
        <w:tc>
          <w:tcPr>
            <w:tcW w:w="180" w:type="dxa"/>
            <w:vAlign w:val="bottom"/>
            <w:tcBorders>
              <w:bottom w:val="single" w:sz="8" w:color="6D8CC3"/>
            </w:tcBorders>
          </w:tcPr>
          <w:p>
            <w:pPr>
              <w:spacing w:after="0"/>
              <w:rPr>
                <w:sz w:val="4"/>
                <w:szCs w:val="4"/>
                <w:color w:val="auto"/>
              </w:rPr>
            </w:pPr>
          </w:p>
        </w:tc>
        <w:tc>
          <w:tcPr>
            <w:tcW w:w="760" w:type="dxa"/>
            <w:vAlign w:val="bottom"/>
            <w:tcBorders>
              <w:bottom w:val="single" w:sz="8" w:color="6D8CC3"/>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460" w:type="dxa"/>
            <w:vAlign w:val="bottom"/>
          </w:tcPr>
          <w:p>
            <w:pPr>
              <w:ind w:left="60"/>
              <w:spacing w:after="0"/>
              <w:rPr>
                <w:sz w:val="20"/>
                <w:szCs w:val="20"/>
                <w:color w:val="auto"/>
              </w:rPr>
            </w:pPr>
            <w:r>
              <w:rPr>
                <w:rFonts w:ascii="Arial" w:cs="Arial" w:eastAsia="Arial" w:hAnsi="Arial"/>
                <w:sz w:val="14"/>
                <w:szCs w:val="14"/>
                <w:color w:val="auto"/>
              </w:rPr>
              <w:t>​</w:t>
            </w:r>
          </w:p>
        </w:tc>
        <w:tc>
          <w:tcPr>
            <w:tcW w:w="720" w:type="dxa"/>
            <w:vAlign w:val="bottom"/>
          </w:tcPr>
          <w:p>
            <w:pPr>
              <w:ind w:left="40"/>
              <w:spacing w:after="0"/>
              <w:rPr>
                <w:sz w:val="20"/>
                <w:szCs w:val="20"/>
                <w:color w:val="auto"/>
              </w:rPr>
            </w:pPr>
            <w:r>
              <w:rPr>
                <w:rFonts w:ascii="Arial" w:cs="Arial" w:eastAsia="Arial" w:hAnsi="Arial"/>
                <w:sz w:val="14"/>
                <w:szCs w:val="14"/>
                <w:color w:val="auto"/>
              </w:rPr>
              <w:t>​</w:t>
            </w:r>
          </w:p>
        </w:tc>
        <w:tc>
          <w:tcPr>
            <w:tcW w:w="620" w:type="dxa"/>
            <w:vAlign w:val="bottom"/>
          </w:tcPr>
          <w:p>
            <w:pPr>
              <w:ind w:left="60"/>
              <w:spacing w:after="0"/>
              <w:rPr>
                <w:sz w:val="20"/>
                <w:szCs w:val="20"/>
                <w:color w:val="auto"/>
              </w:rPr>
            </w:pPr>
            <w:r>
              <w:rPr>
                <w:rFonts w:ascii="Arial" w:cs="Arial" w:eastAsia="Arial" w:hAnsi="Arial"/>
                <w:sz w:val="14"/>
                <w:szCs w:val="14"/>
                <w:color w:val="auto"/>
              </w:rPr>
              <w:t>​</w:t>
            </w:r>
          </w:p>
        </w:tc>
        <w:tc>
          <w:tcPr>
            <w:tcW w:w="780" w:type="dxa"/>
            <w:vAlign w:val="bottom"/>
          </w:tcPr>
          <w:p>
            <w:pPr>
              <w:ind w:left="60"/>
              <w:spacing w:after="0"/>
              <w:rPr>
                <w:sz w:val="20"/>
                <w:szCs w:val="20"/>
                <w:color w:val="auto"/>
              </w:rPr>
            </w:pPr>
            <w:r>
              <w:rPr>
                <w:rFonts w:ascii="Arial" w:cs="Arial" w:eastAsia="Arial" w:hAnsi="Arial"/>
                <w:sz w:val="14"/>
                <w:szCs w:val="14"/>
                <w:color w:val="auto"/>
              </w:rPr>
              <w:t>​</w:t>
            </w:r>
          </w:p>
        </w:tc>
        <w:tc>
          <w:tcPr>
            <w:tcW w:w="640" w:type="dxa"/>
            <w:vAlign w:val="bottom"/>
          </w:tcPr>
          <w:p>
            <w:pPr>
              <w:ind w:left="240"/>
              <w:spacing w:after="0"/>
              <w:rPr>
                <w:sz w:val="20"/>
                <w:szCs w:val="20"/>
                <w:color w:val="auto"/>
              </w:rPr>
            </w:pPr>
            <w:r>
              <w:rPr>
                <w:rFonts w:ascii="Arial" w:cs="Arial" w:eastAsia="Arial" w:hAnsi="Arial"/>
                <w:sz w:val="14"/>
                <w:szCs w:val="14"/>
                <w:color w:val="auto"/>
              </w:rPr>
              <w:t>​</w:t>
            </w:r>
          </w:p>
        </w:tc>
        <w:tc>
          <w:tcPr>
            <w:tcW w:w="1040" w:type="dxa"/>
            <w:vAlign w:val="bottom"/>
          </w:tcPr>
          <w:p>
            <w:pPr>
              <w:ind w:lef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0"/>
                <w:szCs w:val="20"/>
                <w:color w:val="auto"/>
              </w:rPr>
            </w:pPr>
          </w:p>
        </w:tc>
        <w:tc>
          <w:tcPr>
            <w:tcW w:w="1120" w:type="dxa"/>
            <w:vAlign w:val="bottom"/>
          </w:tcPr>
          <w:p>
            <w:pPr>
              <w:ind w:left="480"/>
              <w:spacing w:after="0"/>
              <w:rPr>
                <w:sz w:val="20"/>
                <w:szCs w:val="20"/>
                <w:color w:val="auto"/>
              </w:rPr>
            </w:pPr>
            <w:r>
              <w:rPr>
                <w:rFonts w:ascii="Arial" w:cs="Arial" w:eastAsia="Arial" w:hAnsi="Arial"/>
                <w:sz w:val="14"/>
                <w:szCs w:val="14"/>
                <w:color w:val="auto"/>
              </w:rPr>
              <w:t>​</w:t>
            </w:r>
          </w:p>
        </w:tc>
        <w:tc>
          <w:tcPr>
            <w:tcW w:w="1060" w:type="dxa"/>
            <w:vAlign w:val="bottom"/>
          </w:tcPr>
          <w:p>
            <w:pPr>
              <w:ind w:left="3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0"/>
                <w:szCs w:val="20"/>
                <w:color w:val="auto"/>
              </w:rPr>
            </w:pPr>
          </w:p>
        </w:tc>
        <w:tc>
          <w:tcPr>
            <w:tcW w:w="760" w:type="dxa"/>
            <w:vAlign w:val="bottom"/>
          </w:tcPr>
          <w:p>
            <w:pPr>
              <w:ind w:lef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8"/>
        </w:trPr>
        <w:tc>
          <w:tcPr>
            <w:tcW w:w="1480" w:type="dxa"/>
            <w:vAlign w:val="bottom"/>
            <w:tcBorders>
              <w:bottom w:val="single" w:sz="8" w:color="292F72"/>
            </w:tcBorders>
          </w:tcPr>
          <w:p>
            <w:pPr>
              <w:spacing w:after="0"/>
              <w:rPr>
                <w:sz w:val="4"/>
                <w:szCs w:val="4"/>
                <w:color w:val="auto"/>
              </w:rPr>
            </w:pPr>
          </w:p>
        </w:tc>
        <w:tc>
          <w:tcPr>
            <w:tcW w:w="460" w:type="dxa"/>
            <w:vAlign w:val="bottom"/>
            <w:tcBorders>
              <w:bottom w:val="single" w:sz="8" w:color="292F72"/>
            </w:tcBorders>
          </w:tcPr>
          <w:p>
            <w:pPr>
              <w:spacing w:after="0"/>
              <w:rPr>
                <w:sz w:val="4"/>
                <w:szCs w:val="4"/>
                <w:color w:val="auto"/>
              </w:rPr>
            </w:pPr>
          </w:p>
        </w:tc>
        <w:tc>
          <w:tcPr>
            <w:tcW w:w="720" w:type="dxa"/>
            <w:vAlign w:val="bottom"/>
            <w:tcBorders>
              <w:bottom w:val="single" w:sz="8" w:color="292F72"/>
            </w:tcBorders>
          </w:tcPr>
          <w:p>
            <w:pPr>
              <w:spacing w:after="0"/>
              <w:rPr>
                <w:sz w:val="4"/>
                <w:szCs w:val="4"/>
                <w:color w:val="auto"/>
              </w:rPr>
            </w:pPr>
          </w:p>
        </w:tc>
        <w:tc>
          <w:tcPr>
            <w:tcW w:w="620" w:type="dxa"/>
            <w:vAlign w:val="bottom"/>
            <w:tcBorders>
              <w:bottom w:val="single" w:sz="8" w:color="292F72"/>
            </w:tcBorders>
          </w:tcPr>
          <w:p>
            <w:pPr>
              <w:spacing w:after="0"/>
              <w:rPr>
                <w:sz w:val="4"/>
                <w:szCs w:val="4"/>
                <w:color w:val="auto"/>
              </w:rPr>
            </w:pPr>
          </w:p>
        </w:tc>
        <w:tc>
          <w:tcPr>
            <w:tcW w:w="780" w:type="dxa"/>
            <w:vAlign w:val="bottom"/>
            <w:tcBorders>
              <w:bottom w:val="single" w:sz="8" w:color="292F72"/>
            </w:tcBorders>
          </w:tcPr>
          <w:p>
            <w:pPr>
              <w:spacing w:after="0"/>
              <w:rPr>
                <w:sz w:val="4"/>
                <w:szCs w:val="4"/>
                <w:color w:val="auto"/>
              </w:rPr>
            </w:pPr>
          </w:p>
        </w:tc>
        <w:tc>
          <w:tcPr>
            <w:tcW w:w="640" w:type="dxa"/>
            <w:vAlign w:val="bottom"/>
            <w:tcBorders>
              <w:bottom w:val="single" w:sz="8" w:color="292F72"/>
            </w:tcBorders>
          </w:tcPr>
          <w:p>
            <w:pPr>
              <w:spacing w:after="0"/>
              <w:rPr>
                <w:sz w:val="4"/>
                <w:szCs w:val="4"/>
                <w:color w:val="auto"/>
              </w:rPr>
            </w:pPr>
          </w:p>
        </w:tc>
        <w:tc>
          <w:tcPr>
            <w:tcW w:w="1040" w:type="dxa"/>
            <w:vAlign w:val="bottom"/>
            <w:tcBorders>
              <w:bottom w:val="single" w:sz="8" w:color="292F72"/>
            </w:tcBorders>
          </w:tcPr>
          <w:p>
            <w:pPr>
              <w:spacing w:after="0"/>
              <w:rPr>
                <w:sz w:val="4"/>
                <w:szCs w:val="4"/>
                <w:color w:val="auto"/>
              </w:rPr>
            </w:pPr>
          </w:p>
        </w:tc>
        <w:tc>
          <w:tcPr>
            <w:tcW w:w="180" w:type="dxa"/>
            <w:vAlign w:val="bottom"/>
            <w:tcBorders>
              <w:bottom w:val="single" w:sz="8" w:color="292F72"/>
            </w:tcBorders>
          </w:tcPr>
          <w:p>
            <w:pPr>
              <w:spacing w:after="0"/>
              <w:rPr>
                <w:sz w:val="4"/>
                <w:szCs w:val="4"/>
                <w:color w:val="auto"/>
              </w:rPr>
            </w:pPr>
          </w:p>
        </w:tc>
        <w:tc>
          <w:tcPr>
            <w:tcW w:w="1120" w:type="dxa"/>
            <w:vAlign w:val="bottom"/>
            <w:tcBorders>
              <w:bottom w:val="single" w:sz="8" w:color="292F72"/>
            </w:tcBorders>
          </w:tcPr>
          <w:p>
            <w:pPr>
              <w:spacing w:after="0"/>
              <w:rPr>
                <w:sz w:val="4"/>
                <w:szCs w:val="4"/>
                <w:color w:val="auto"/>
              </w:rPr>
            </w:pPr>
          </w:p>
        </w:tc>
        <w:tc>
          <w:tcPr>
            <w:tcW w:w="1060" w:type="dxa"/>
            <w:vAlign w:val="bottom"/>
            <w:tcBorders>
              <w:bottom w:val="single" w:sz="8" w:color="292F72"/>
            </w:tcBorders>
          </w:tcPr>
          <w:p>
            <w:pPr>
              <w:spacing w:after="0"/>
              <w:rPr>
                <w:sz w:val="4"/>
                <w:szCs w:val="4"/>
                <w:color w:val="auto"/>
              </w:rPr>
            </w:pPr>
          </w:p>
        </w:tc>
        <w:tc>
          <w:tcPr>
            <w:tcW w:w="180" w:type="dxa"/>
            <w:vAlign w:val="bottom"/>
            <w:tcBorders>
              <w:bottom w:val="single" w:sz="8" w:color="292F72"/>
            </w:tcBorders>
          </w:tcPr>
          <w:p>
            <w:pPr>
              <w:spacing w:after="0"/>
              <w:rPr>
                <w:sz w:val="4"/>
                <w:szCs w:val="4"/>
                <w:color w:val="auto"/>
              </w:rPr>
            </w:pPr>
          </w:p>
        </w:tc>
        <w:tc>
          <w:tcPr>
            <w:tcW w:w="760" w:type="dxa"/>
            <w:vAlign w:val="bottom"/>
            <w:tcBorders>
              <w:bottom w:val="single" w:sz="8" w:color="292F72"/>
            </w:tcBorders>
          </w:tcPr>
          <w:p>
            <w:pPr>
              <w:spacing w:after="0"/>
              <w:rPr>
                <w:sz w:val="4"/>
                <w:szCs w:val="4"/>
                <w:color w:val="auto"/>
              </w:rPr>
            </w:pPr>
          </w:p>
        </w:tc>
        <w:tc>
          <w:tcPr>
            <w:tcW w:w="0" w:type="dxa"/>
            <w:vAlign w:val="bottom"/>
          </w:tcPr>
          <w:p>
            <w:pPr>
              <w:spacing w:after="0"/>
              <w:rPr>
                <w:sz w:val="1"/>
                <w:szCs w:val="1"/>
                <w:color w:val="auto"/>
              </w:rPr>
            </w:pPr>
          </w:p>
        </w:tc>
      </w:tr>
      <w:tr>
        <w:trPr>
          <w:trHeight w:val="233"/>
        </w:trPr>
        <w:tc>
          <w:tcPr>
            <w:tcW w:w="1480" w:type="dxa"/>
            <w:vAlign w:val="bottom"/>
          </w:tcPr>
          <w:p>
            <w:pPr>
              <w:spacing w:after="0" w:line="233" w:lineRule="exact"/>
              <w:rPr>
                <w:sz w:val="20"/>
                <w:szCs w:val="20"/>
                <w:color w:val="auto"/>
              </w:rPr>
            </w:pPr>
            <w:r>
              <w:rPr>
                <w:rFonts w:ascii="Arial" w:cs="Arial" w:eastAsia="Arial" w:hAnsi="Arial"/>
                <w:sz w:val="14"/>
                <w:szCs w:val="14"/>
                <w:b w:val="1"/>
                <w:bCs w:val="1"/>
                <w:color w:val="6D8CC3"/>
              </w:rPr>
              <w:t>Gina Boswell</w:t>
            </w:r>
            <w:r>
              <w:rPr>
                <w:rFonts w:ascii="Arial" w:cs="Arial" w:eastAsia="Arial" w:hAnsi="Arial"/>
                <w:sz w:val="23"/>
                <w:szCs w:val="23"/>
                <w:b w:val="1"/>
                <w:bCs w:val="1"/>
                <w:color w:val="6D8CC3"/>
                <w:vertAlign w:val="superscript"/>
              </w:rPr>
              <w:t>(4)</w:t>
            </w:r>
          </w:p>
        </w:tc>
        <w:tc>
          <w:tcPr>
            <w:tcW w:w="460" w:type="dxa"/>
            <w:vAlign w:val="bottom"/>
          </w:tcPr>
          <w:p>
            <w:pPr>
              <w:ind w:left="60"/>
              <w:spacing w:after="0"/>
              <w:rPr>
                <w:sz w:val="20"/>
                <w:szCs w:val="20"/>
                <w:color w:val="auto"/>
              </w:rPr>
            </w:pPr>
            <w:r>
              <w:rPr>
                <w:rFonts w:ascii="Arial" w:cs="Arial" w:eastAsia="Arial" w:hAnsi="Arial"/>
                <w:sz w:val="14"/>
                <w:szCs w:val="14"/>
                <w:b w:val="1"/>
                <w:bCs w:val="1"/>
                <w:color w:val="auto"/>
              </w:rPr>
              <w:t>2025</w:t>
            </w:r>
          </w:p>
        </w:tc>
        <w:tc>
          <w:tcPr>
            <w:tcW w:w="720" w:type="dxa"/>
            <w:vAlign w:val="bottom"/>
          </w:tcPr>
          <w:p>
            <w:pPr>
              <w:ind w:left="160"/>
              <w:spacing w:after="0"/>
              <w:rPr>
                <w:sz w:val="20"/>
                <w:szCs w:val="20"/>
                <w:color w:val="auto"/>
              </w:rPr>
            </w:pPr>
            <w:r>
              <w:rPr>
                <w:rFonts w:ascii="Arial" w:cs="Arial" w:eastAsia="Arial" w:hAnsi="Arial"/>
                <w:sz w:val="14"/>
                <w:szCs w:val="14"/>
                <w:b w:val="1"/>
                <w:bCs w:val="1"/>
                <w:color w:val="auto"/>
              </w:rPr>
              <w:t>486,264</w:t>
            </w:r>
          </w:p>
        </w:tc>
        <w:tc>
          <w:tcPr>
            <w:tcW w:w="620" w:type="dxa"/>
            <w:vAlign w:val="bottom"/>
          </w:tcPr>
          <w:p>
            <w:pPr>
              <w:ind w:left="420"/>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ind w:left="60"/>
              <w:spacing w:after="0"/>
              <w:rPr>
                <w:sz w:val="20"/>
                <w:szCs w:val="20"/>
                <w:color w:val="auto"/>
              </w:rPr>
            </w:pPr>
            <w:r>
              <w:rPr>
                <w:rFonts w:ascii="Arial" w:cs="Arial" w:eastAsia="Arial" w:hAnsi="Arial"/>
                <w:sz w:val="14"/>
                <w:szCs w:val="14"/>
                <w:b w:val="1"/>
                <w:bCs w:val="1"/>
                <w:color w:val="auto"/>
              </w:rPr>
              <w:t>8,141,147</w:t>
            </w:r>
          </w:p>
        </w:tc>
        <w:tc>
          <w:tcPr>
            <w:tcW w:w="640" w:type="dxa"/>
            <w:vAlign w:val="bottom"/>
          </w:tcPr>
          <w:p>
            <w:pPr>
              <w:ind w:left="240"/>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ind w:left="380"/>
              <w:spacing w:after="0"/>
              <w:rPr>
                <w:sz w:val="20"/>
                <w:szCs w:val="20"/>
                <w:color w:val="auto"/>
              </w:rPr>
            </w:pPr>
            <w:r>
              <w:rPr>
                <w:rFonts w:ascii="Arial" w:cs="Arial" w:eastAsia="Arial" w:hAnsi="Arial"/>
                <w:sz w:val="14"/>
                <w:szCs w:val="14"/>
                <w:b w:val="1"/>
                <w:bCs w:val="1"/>
                <w:color w:val="auto"/>
              </w:rPr>
              <w:t>676,509</w:t>
            </w:r>
          </w:p>
        </w:tc>
        <w:tc>
          <w:tcPr>
            <w:tcW w:w="180" w:type="dxa"/>
            <w:vAlign w:val="bottom"/>
          </w:tcPr>
          <w:p>
            <w:pPr>
              <w:spacing w:after="0"/>
              <w:rPr>
                <w:sz w:val="20"/>
                <w:szCs w:val="20"/>
                <w:color w:val="auto"/>
              </w:rPr>
            </w:pPr>
          </w:p>
        </w:tc>
        <w:tc>
          <w:tcPr>
            <w:tcW w:w="1120" w:type="dxa"/>
            <w:vAlign w:val="bottom"/>
          </w:tcPr>
          <w:p>
            <w:pPr>
              <w:ind w:left="480"/>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ind w:left="300"/>
              <w:spacing w:after="0"/>
              <w:rPr>
                <w:sz w:val="20"/>
                <w:szCs w:val="20"/>
                <w:color w:val="auto"/>
              </w:rPr>
            </w:pPr>
            <w:r>
              <w:rPr>
                <w:rFonts w:ascii="Arial" w:cs="Arial" w:eastAsia="Arial" w:hAnsi="Arial"/>
                <w:sz w:val="14"/>
                <w:szCs w:val="14"/>
                <w:b w:val="1"/>
                <w:bCs w:val="1"/>
                <w:color w:val="auto"/>
              </w:rPr>
              <w:t>3,263,216</w:t>
            </w:r>
          </w:p>
        </w:tc>
        <w:tc>
          <w:tcPr>
            <w:tcW w:w="180" w:type="dxa"/>
            <w:vAlign w:val="bottom"/>
          </w:tcPr>
          <w:p>
            <w:pPr>
              <w:spacing w:after="0"/>
              <w:rPr>
                <w:sz w:val="20"/>
                <w:szCs w:val="20"/>
                <w:color w:val="auto"/>
              </w:rPr>
            </w:pPr>
          </w:p>
        </w:tc>
        <w:tc>
          <w:tcPr>
            <w:tcW w:w="760" w:type="dxa"/>
            <w:vAlign w:val="bottom"/>
          </w:tcPr>
          <w:p>
            <w:pPr>
              <w:ind w:left="60"/>
              <w:spacing w:after="0"/>
              <w:rPr>
                <w:sz w:val="20"/>
                <w:szCs w:val="20"/>
                <w:color w:val="auto"/>
              </w:rPr>
            </w:pPr>
            <w:r>
              <w:rPr>
                <w:rFonts w:ascii="Arial" w:cs="Arial" w:eastAsia="Arial" w:hAnsi="Arial"/>
                <w:sz w:val="14"/>
                <w:szCs w:val="14"/>
                <w:b w:val="1"/>
                <w:bCs w:val="1"/>
                <w:color w:val="auto"/>
                <w:w w:val="96"/>
              </w:rPr>
              <w:t>12,567,136</w:t>
            </w:r>
          </w:p>
        </w:tc>
        <w:tc>
          <w:tcPr>
            <w:tcW w:w="0" w:type="dxa"/>
            <w:vAlign w:val="bottom"/>
          </w:tcPr>
          <w:p>
            <w:pPr>
              <w:spacing w:after="0"/>
              <w:rPr>
                <w:sz w:val="1"/>
                <w:szCs w:val="1"/>
                <w:color w:val="auto"/>
              </w:rPr>
            </w:pPr>
          </w:p>
        </w:tc>
      </w:tr>
      <w:tr>
        <w:trPr>
          <w:trHeight w:val="62"/>
        </w:trPr>
        <w:tc>
          <w:tcPr>
            <w:tcW w:w="1480" w:type="dxa"/>
            <w:vAlign w:val="bottom"/>
            <w:vMerge w:val="restart"/>
          </w:tcPr>
          <w:p>
            <w:pPr>
              <w:spacing w:after="0" w:line="157" w:lineRule="exact"/>
              <w:rPr>
                <w:sz w:val="20"/>
                <w:szCs w:val="20"/>
                <w:color w:val="auto"/>
              </w:rPr>
            </w:pPr>
            <w:r>
              <w:rPr>
                <w:rFonts w:ascii="Arial" w:cs="Arial" w:eastAsia="Arial" w:hAnsi="Arial"/>
                <w:sz w:val="14"/>
                <w:szCs w:val="14"/>
                <w:color w:val="auto"/>
              </w:rPr>
              <w:t>Former Chief</w:t>
            </w:r>
          </w:p>
        </w:tc>
        <w:tc>
          <w:tcPr>
            <w:tcW w:w="460" w:type="dxa"/>
            <w:vAlign w:val="bottom"/>
            <w:tcBorders>
              <w:bottom w:val="single" w:sz="8" w:color="6D8CC3"/>
            </w:tcBorders>
          </w:tcPr>
          <w:p>
            <w:pPr>
              <w:spacing w:after="0"/>
              <w:rPr>
                <w:sz w:val="5"/>
                <w:szCs w:val="5"/>
                <w:color w:val="auto"/>
              </w:rPr>
            </w:pPr>
          </w:p>
        </w:tc>
        <w:tc>
          <w:tcPr>
            <w:tcW w:w="720" w:type="dxa"/>
            <w:vAlign w:val="bottom"/>
            <w:tcBorders>
              <w:bottom w:val="single" w:sz="8" w:color="6D8CC3"/>
            </w:tcBorders>
          </w:tcPr>
          <w:p>
            <w:pPr>
              <w:spacing w:after="0"/>
              <w:rPr>
                <w:sz w:val="5"/>
                <w:szCs w:val="5"/>
                <w:color w:val="auto"/>
              </w:rPr>
            </w:pPr>
          </w:p>
        </w:tc>
        <w:tc>
          <w:tcPr>
            <w:tcW w:w="620" w:type="dxa"/>
            <w:vAlign w:val="bottom"/>
            <w:tcBorders>
              <w:bottom w:val="single" w:sz="8" w:color="6D8CC3"/>
            </w:tcBorders>
          </w:tcPr>
          <w:p>
            <w:pPr>
              <w:spacing w:after="0"/>
              <w:rPr>
                <w:sz w:val="5"/>
                <w:szCs w:val="5"/>
                <w:color w:val="auto"/>
              </w:rPr>
            </w:pPr>
          </w:p>
        </w:tc>
        <w:tc>
          <w:tcPr>
            <w:tcW w:w="780" w:type="dxa"/>
            <w:vAlign w:val="bottom"/>
            <w:tcBorders>
              <w:bottom w:val="single" w:sz="8" w:color="6D8CC3"/>
            </w:tcBorders>
          </w:tcPr>
          <w:p>
            <w:pPr>
              <w:spacing w:after="0"/>
              <w:rPr>
                <w:sz w:val="5"/>
                <w:szCs w:val="5"/>
                <w:color w:val="auto"/>
              </w:rPr>
            </w:pPr>
          </w:p>
        </w:tc>
        <w:tc>
          <w:tcPr>
            <w:tcW w:w="640" w:type="dxa"/>
            <w:vAlign w:val="bottom"/>
            <w:tcBorders>
              <w:bottom w:val="single" w:sz="8" w:color="6D8CC3"/>
            </w:tcBorders>
          </w:tcPr>
          <w:p>
            <w:pPr>
              <w:spacing w:after="0"/>
              <w:rPr>
                <w:sz w:val="5"/>
                <w:szCs w:val="5"/>
                <w:color w:val="auto"/>
              </w:rPr>
            </w:pPr>
          </w:p>
        </w:tc>
        <w:tc>
          <w:tcPr>
            <w:tcW w:w="1040" w:type="dxa"/>
            <w:vAlign w:val="bottom"/>
            <w:tcBorders>
              <w:bottom w:val="single" w:sz="8" w:color="6D8CC3"/>
            </w:tcBorders>
          </w:tcPr>
          <w:p>
            <w:pPr>
              <w:spacing w:after="0"/>
              <w:rPr>
                <w:sz w:val="5"/>
                <w:szCs w:val="5"/>
                <w:color w:val="auto"/>
              </w:rPr>
            </w:pPr>
          </w:p>
        </w:tc>
        <w:tc>
          <w:tcPr>
            <w:tcW w:w="180" w:type="dxa"/>
            <w:vAlign w:val="bottom"/>
            <w:tcBorders>
              <w:bottom w:val="single" w:sz="8" w:color="6D8CC3"/>
            </w:tcBorders>
          </w:tcPr>
          <w:p>
            <w:pPr>
              <w:spacing w:after="0"/>
              <w:rPr>
                <w:sz w:val="5"/>
                <w:szCs w:val="5"/>
                <w:color w:val="auto"/>
              </w:rPr>
            </w:pPr>
          </w:p>
        </w:tc>
        <w:tc>
          <w:tcPr>
            <w:tcW w:w="1120" w:type="dxa"/>
            <w:vAlign w:val="bottom"/>
            <w:tcBorders>
              <w:bottom w:val="single" w:sz="8" w:color="6D8CC3"/>
            </w:tcBorders>
          </w:tcPr>
          <w:p>
            <w:pPr>
              <w:spacing w:after="0"/>
              <w:rPr>
                <w:sz w:val="5"/>
                <w:szCs w:val="5"/>
                <w:color w:val="auto"/>
              </w:rPr>
            </w:pPr>
          </w:p>
        </w:tc>
        <w:tc>
          <w:tcPr>
            <w:tcW w:w="1060" w:type="dxa"/>
            <w:vAlign w:val="bottom"/>
            <w:tcBorders>
              <w:bottom w:val="single" w:sz="8" w:color="6D8CC3"/>
            </w:tcBorders>
          </w:tcPr>
          <w:p>
            <w:pPr>
              <w:spacing w:after="0"/>
              <w:rPr>
                <w:sz w:val="5"/>
                <w:szCs w:val="5"/>
                <w:color w:val="auto"/>
              </w:rPr>
            </w:pPr>
          </w:p>
        </w:tc>
        <w:tc>
          <w:tcPr>
            <w:tcW w:w="180" w:type="dxa"/>
            <w:vAlign w:val="bottom"/>
            <w:tcBorders>
              <w:bottom w:val="single" w:sz="8" w:color="6D8CC3"/>
            </w:tcBorders>
          </w:tcPr>
          <w:p>
            <w:pPr>
              <w:spacing w:after="0"/>
              <w:rPr>
                <w:sz w:val="5"/>
                <w:szCs w:val="5"/>
                <w:color w:val="auto"/>
              </w:rPr>
            </w:pPr>
          </w:p>
        </w:tc>
        <w:tc>
          <w:tcPr>
            <w:tcW w:w="760" w:type="dxa"/>
            <w:vAlign w:val="bottom"/>
            <w:tcBorders>
              <w:bottom w:val="single" w:sz="8" w:color="6D8CC3"/>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1480" w:type="dxa"/>
            <w:vAlign w:val="bottom"/>
            <w:vMerge w:val="continue"/>
          </w:tcPr>
          <w:p>
            <w:pPr>
              <w:spacing w:after="0"/>
              <w:rPr>
                <w:sz w:val="6"/>
                <w:szCs w:val="6"/>
                <w:color w:val="auto"/>
              </w:rPr>
            </w:pPr>
          </w:p>
        </w:tc>
        <w:tc>
          <w:tcPr>
            <w:tcW w:w="460" w:type="dxa"/>
            <w:vAlign w:val="bottom"/>
            <w:vMerge w:val="restart"/>
          </w:tcPr>
          <w:p>
            <w:pPr>
              <w:ind w:left="60"/>
              <w:spacing w:after="0"/>
              <w:rPr>
                <w:sz w:val="20"/>
                <w:szCs w:val="20"/>
                <w:color w:val="auto"/>
              </w:rPr>
            </w:pPr>
            <w:r>
              <w:rPr>
                <w:rFonts w:ascii="Arial" w:cs="Arial" w:eastAsia="Arial" w:hAnsi="Arial"/>
                <w:sz w:val="14"/>
                <w:szCs w:val="14"/>
                <w:color w:val="auto"/>
              </w:rPr>
              <w:t>2024</w:t>
            </w:r>
          </w:p>
        </w:tc>
        <w:tc>
          <w:tcPr>
            <w:tcW w:w="720" w:type="dxa"/>
            <w:vAlign w:val="bottom"/>
            <w:vMerge w:val="restart"/>
          </w:tcPr>
          <w:p>
            <w:pPr>
              <w:ind w:left="40"/>
              <w:spacing w:after="0"/>
              <w:rPr>
                <w:sz w:val="20"/>
                <w:szCs w:val="20"/>
                <w:color w:val="auto"/>
              </w:rPr>
            </w:pPr>
            <w:r>
              <w:rPr>
                <w:rFonts w:ascii="Arial" w:cs="Arial" w:eastAsia="Arial" w:hAnsi="Arial"/>
                <w:sz w:val="14"/>
                <w:szCs w:val="14"/>
                <w:color w:val="auto"/>
              </w:rPr>
              <w:t>1,500,000</w:t>
            </w:r>
          </w:p>
        </w:tc>
        <w:tc>
          <w:tcPr>
            <w:tcW w:w="620" w:type="dxa"/>
            <w:vAlign w:val="bottom"/>
            <w:vMerge w:val="restart"/>
          </w:tcPr>
          <w:p>
            <w:pPr>
              <w:ind w:left="42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ind w:left="60"/>
              <w:spacing w:after="0"/>
              <w:rPr>
                <w:sz w:val="20"/>
                <w:szCs w:val="20"/>
                <w:color w:val="auto"/>
              </w:rPr>
            </w:pPr>
            <w:r>
              <w:rPr>
                <w:rFonts w:ascii="Arial" w:cs="Arial" w:eastAsia="Arial" w:hAnsi="Arial"/>
                <w:sz w:val="14"/>
                <w:szCs w:val="14"/>
                <w:color w:val="auto"/>
              </w:rPr>
              <w:t>8,126,164</w:t>
            </w:r>
          </w:p>
        </w:tc>
        <w:tc>
          <w:tcPr>
            <w:tcW w:w="640" w:type="dxa"/>
            <w:vAlign w:val="bottom"/>
            <w:vMerge w:val="restart"/>
          </w:tcPr>
          <w:p>
            <w:pPr>
              <w:ind w:left="240"/>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ind w:left="280"/>
              <w:spacing w:after="0"/>
              <w:rPr>
                <w:sz w:val="20"/>
                <w:szCs w:val="20"/>
                <w:color w:val="auto"/>
              </w:rPr>
            </w:pPr>
            <w:r>
              <w:rPr>
                <w:rFonts w:ascii="Arial" w:cs="Arial" w:eastAsia="Arial" w:hAnsi="Arial"/>
                <w:sz w:val="14"/>
                <w:szCs w:val="14"/>
                <w:color w:val="auto"/>
              </w:rPr>
              <w:t>2,839,740</w:t>
            </w:r>
          </w:p>
        </w:tc>
        <w:tc>
          <w:tcPr>
            <w:tcW w:w="180" w:type="dxa"/>
            <w:vAlign w:val="bottom"/>
          </w:tcPr>
          <w:p>
            <w:pPr>
              <w:spacing w:after="0"/>
              <w:rPr>
                <w:sz w:val="6"/>
                <w:szCs w:val="6"/>
                <w:color w:val="auto"/>
              </w:rPr>
            </w:pPr>
          </w:p>
        </w:tc>
        <w:tc>
          <w:tcPr>
            <w:tcW w:w="1120" w:type="dxa"/>
            <w:vAlign w:val="bottom"/>
            <w:vMerge w:val="restart"/>
          </w:tcPr>
          <w:p>
            <w:pPr>
              <w:ind w:left="480"/>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ind w:right="72"/>
              <w:spacing w:after="0"/>
              <w:rPr>
                <w:sz w:val="20"/>
                <w:szCs w:val="20"/>
                <w:color w:val="auto"/>
              </w:rPr>
            </w:pPr>
            <w:r>
              <w:rPr>
                <w:rFonts w:ascii="Arial" w:cs="Arial" w:eastAsia="Arial" w:hAnsi="Arial"/>
                <w:sz w:val="14"/>
                <w:szCs w:val="14"/>
                <w:color w:val="auto"/>
              </w:rPr>
              <w:t>104,389</w:t>
            </w:r>
          </w:p>
        </w:tc>
        <w:tc>
          <w:tcPr>
            <w:tcW w:w="180" w:type="dxa"/>
            <w:vAlign w:val="bottom"/>
          </w:tcPr>
          <w:p>
            <w:pPr>
              <w:spacing w:after="0"/>
              <w:rPr>
                <w:sz w:val="6"/>
                <w:szCs w:val="6"/>
                <w:color w:val="auto"/>
              </w:rPr>
            </w:pPr>
          </w:p>
        </w:tc>
        <w:tc>
          <w:tcPr>
            <w:tcW w:w="760" w:type="dxa"/>
            <w:vAlign w:val="bottom"/>
            <w:vMerge w:val="restart"/>
          </w:tcPr>
          <w:p>
            <w:pPr>
              <w:ind w:left="60"/>
              <w:spacing w:after="0"/>
              <w:rPr>
                <w:sz w:val="20"/>
                <w:szCs w:val="20"/>
                <w:color w:val="auto"/>
              </w:rPr>
            </w:pPr>
            <w:r>
              <w:rPr>
                <w:rFonts w:ascii="Arial" w:cs="Arial" w:eastAsia="Arial" w:hAnsi="Arial"/>
                <w:sz w:val="14"/>
                <w:szCs w:val="14"/>
                <w:color w:val="auto"/>
                <w:w w:val="96"/>
              </w:rPr>
              <w:t>12,570,293</w:t>
            </w:r>
          </w:p>
        </w:tc>
        <w:tc>
          <w:tcPr>
            <w:tcW w:w="0" w:type="dxa"/>
            <w:vAlign w:val="bottom"/>
          </w:tcPr>
          <w:p>
            <w:pPr>
              <w:spacing w:after="0"/>
              <w:rPr>
                <w:sz w:val="1"/>
                <w:szCs w:val="1"/>
                <w:color w:val="auto"/>
              </w:rPr>
            </w:pPr>
          </w:p>
        </w:tc>
      </w:tr>
      <w:tr>
        <w:trPr>
          <w:trHeight w:val="185"/>
        </w:trPr>
        <w:tc>
          <w:tcPr>
            <w:tcW w:w="1480" w:type="dxa"/>
            <w:vAlign w:val="bottom"/>
          </w:tcPr>
          <w:p>
            <w:pPr>
              <w:spacing w:after="0"/>
              <w:rPr>
                <w:sz w:val="20"/>
                <w:szCs w:val="20"/>
                <w:color w:val="auto"/>
              </w:rPr>
            </w:pPr>
            <w:r>
              <w:rPr>
                <w:rFonts w:ascii="Arial" w:cs="Arial" w:eastAsia="Arial" w:hAnsi="Arial"/>
                <w:sz w:val="14"/>
                <w:szCs w:val="14"/>
                <w:color w:val="auto"/>
              </w:rPr>
              <w:t>Executive Officer</w:t>
            </w:r>
          </w:p>
        </w:tc>
        <w:tc>
          <w:tcPr>
            <w:tcW w:w="46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480" w:type="dxa"/>
            <w:vAlign w:val="bottom"/>
          </w:tcPr>
          <w:p>
            <w:pPr>
              <w:spacing w:after="0" w:line="20" w:lineRule="exact"/>
              <w:rPr>
                <w:sz w:val="1"/>
                <w:szCs w:val="1"/>
                <w:color w:val="auto"/>
              </w:rPr>
            </w:pPr>
          </w:p>
        </w:tc>
        <w:tc>
          <w:tcPr>
            <w:tcW w:w="460" w:type="dxa"/>
            <w:vAlign w:val="bottom"/>
            <w:tcBorders>
              <w:bottom w:val="single" w:sz="8" w:color="6D8CC3"/>
            </w:tcBorders>
          </w:tcPr>
          <w:p>
            <w:pPr>
              <w:spacing w:after="0" w:line="20" w:lineRule="exact"/>
              <w:rPr>
                <w:sz w:val="1"/>
                <w:szCs w:val="1"/>
                <w:color w:val="auto"/>
              </w:rPr>
            </w:pPr>
          </w:p>
        </w:tc>
        <w:tc>
          <w:tcPr>
            <w:tcW w:w="720" w:type="dxa"/>
            <w:vAlign w:val="bottom"/>
            <w:tcBorders>
              <w:bottom w:val="single" w:sz="8" w:color="6D8CC3"/>
            </w:tcBorders>
          </w:tcPr>
          <w:p>
            <w:pPr>
              <w:spacing w:after="0" w:line="20" w:lineRule="exact"/>
              <w:rPr>
                <w:sz w:val="1"/>
                <w:szCs w:val="1"/>
                <w:color w:val="auto"/>
              </w:rPr>
            </w:pPr>
          </w:p>
        </w:tc>
        <w:tc>
          <w:tcPr>
            <w:tcW w:w="620" w:type="dxa"/>
            <w:vAlign w:val="bottom"/>
            <w:tcBorders>
              <w:bottom w:val="single" w:sz="8" w:color="6D8CC3"/>
            </w:tcBorders>
          </w:tcPr>
          <w:p>
            <w:pPr>
              <w:spacing w:after="0" w:line="20" w:lineRule="exact"/>
              <w:rPr>
                <w:sz w:val="1"/>
                <w:szCs w:val="1"/>
                <w:color w:val="auto"/>
              </w:rPr>
            </w:pPr>
          </w:p>
        </w:tc>
        <w:tc>
          <w:tcPr>
            <w:tcW w:w="780" w:type="dxa"/>
            <w:vAlign w:val="bottom"/>
            <w:tcBorders>
              <w:bottom w:val="single" w:sz="8" w:color="6D8CC3"/>
            </w:tcBorders>
          </w:tcPr>
          <w:p>
            <w:pPr>
              <w:spacing w:after="0" w:line="20" w:lineRule="exact"/>
              <w:rPr>
                <w:sz w:val="1"/>
                <w:szCs w:val="1"/>
                <w:color w:val="auto"/>
              </w:rPr>
            </w:pPr>
          </w:p>
        </w:tc>
        <w:tc>
          <w:tcPr>
            <w:tcW w:w="640" w:type="dxa"/>
            <w:vAlign w:val="bottom"/>
            <w:tcBorders>
              <w:bottom w:val="single" w:sz="8" w:color="6D8CC3"/>
            </w:tcBorders>
          </w:tcPr>
          <w:p>
            <w:pPr>
              <w:spacing w:after="0" w:line="20" w:lineRule="exact"/>
              <w:rPr>
                <w:sz w:val="1"/>
                <w:szCs w:val="1"/>
                <w:color w:val="auto"/>
              </w:rPr>
            </w:pPr>
          </w:p>
        </w:tc>
        <w:tc>
          <w:tcPr>
            <w:tcW w:w="1040" w:type="dxa"/>
            <w:vAlign w:val="bottom"/>
            <w:tcBorders>
              <w:bottom w:val="single" w:sz="8" w:color="6D8CC3"/>
            </w:tcBorders>
          </w:tcPr>
          <w:p>
            <w:pPr>
              <w:spacing w:after="0" w:line="20" w:lineRule="exact"/>
              <w:rPr>
                <w:sz w:val="1"/>
                <w:szCs w:val="1"/>
                <w:color w:val="auto"/>
              </w:rPr>
            </w:pPr>
          </w:p>
        </w:tc>
        <w:tc>
          <w:tcPr>
            <w:tcW w:w="180" w:type="dxa"/>
            <w:vAlign w:val="bottom"/>
            <w:tcBorders>
              <w:bottom w:val="single" w:sz="8" w:color="6D8CC3"/>
            </w:tcBorders>
          </w:tcPr>
          <w:p>
            <w:pPr>
              <w:spacing w:after="0" w:line="20" w:lineRule="exact"/>
              <w:rPr>
                <w:sz w:val="1"/>
                <w:szCs w:val="1"/>
                <w:color w:val="auto"/>
              </w:rPr>
            </w:pPr>
          </w:p>
        </w:tc>
        <w:tc>
          <w:tcPr>
            <w:tcW w:w="1120" w:type="dxa"/>
            <w:vAlign w:val="bottom"/>
            <w:tcBorders>
              <w:bottom w:val="single" w:sz="8" w:color="6D8CC3"/>
            </w:tcBorders>
          </w:tcPr>
          <w:p>
            <w:pPr>
              <w:spacing w:after="0" w:line="20" w:lineRule="exact"/>
              <w:rPr>
                <w:sz w:val="1"/>
                <w:szCs w:val="1"/>
                <w:color w:val="auto"/>
              </w:rPr>
            </w:pPr>
          </w:p>
        </w:tc>
        <w:tc>
          <w:tcPr>
            <w:tcW w:w="1060" w:type="dxa"/>
            <w:vAlign w:val="bottom"/>
            <w:tcBorders>
              <w:bottom w:val="single" w:sz="8" w:color="6D8CC3"/>
            </w:tcBorders>
          </w:tcPr>
          <w:p>
            <w:pPr>
              <w:spacing w:after="0" w:line="20" w:lineRule="exact"/>
              <w:rPr>
                <w:sz w:val="1"/>
                <w:szCs w:val="1"/>
                <w:color w:val="auto"/>
              </w:rPr>
            </w:pPr>
          </w:p>
        </w:tc>
        <w:tc>
          <w:tcPr>
            <w:tcW w:w="180" w:type="dxa"/>
            <w:vAlign w:val="bottom"/>
            <w:tcBorders>
              <w:bottom w:val="single" w:sz="8" w:color="6D8CC3"/>
            </w:tcBorders>
          </w:tcPr>
          <w:p>
            <w:pPr>
              <w:spacing w:after="0" w:line="20" w:lineRule="exact"/>
              <w:rPr>
                <w:sz w:val="1"/>
                <w:szCs w:val="1"/>
                <w:color w:val="auto"/>
              </w:rPr>
            </w:pPr>
          </w:p>
        </w:tc>
        <w:tc>
          <w:tcPr>
            <w:tcW w:w="760" w:type="dxa"/>
            <w:vAlign w:val="bottom"/>
            <w:tcBorders>
              <w:bottom w:val="single" w:sz="8" w:color="6D8CC3"/>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460" w:type="dxa"/>
            <w:vAlign w:val="bottom"/>
          </w:tcPr>
          <w:p>
            <w:pPr>
              <w:ind w:left="60"/>
              <w:spacing w:after="0"/>
              <w:rPr>
                <w:sz w:val="20"/>
                <w:szCs w:val="20"/>
                <w:color w:val="auto"/>
              </w:rPr>
            </w:pPr>
            <w:r>
              <w:rPr>
                <w:rFonts w:ascii="Arial" w:cs="Arial" w:eastAsia="Arial" w:hAnsi="Arial"/>
                <w:sz w:val="14"/>
                <w:szCs w:val="14"/>
                <w:color w:val="auto"/>
              </w:rPr>
              <w:t>2023</w:t>
            </w:r>
          </w:p>
        </w:tc>
        <w:tc>
          <w:tcPr>
            <w:tcW w:w="720" w:type="dxa"/>
            <w:vAlign w:val="bottom"/>
          </w:tcPr>
          <w:p>
            <w:pPr>
              <w:ind w:left="40"/>
              <w:spacing w:after="0"/>
              <w:rPr>
                <w:sz w:val="20"/>
                <w:szCs w:val="20"/>
                <w:color w:val="auto"/>
              </w:rPr>
            </w:pPr>
            <w:r>
              <w:rPr>
                <w:rFonts w:ascii="Arial" w:cs="Arial" w:eastAsia="Arial" w:hAnsi="Arial"/>
                <w:sz w:val="14"/>
                <w:szCs w:val="14"/>
                <w:color w:val="auto"/>
              </w:rPr>
              <w:t>1,500,000</w:t>
            </w:r>
          </w:p>
        </w:tc>
        <w:tc>
          <w:tcPr>
            <w:tcW w:w="620" w:type="dxa"/>
            <w:vAlign w:val="bottom"/>
          </w:tcPr>
          <w:p>
            <w:pPr>
              <w:ind w:left="420"/>
              <w:spacing w:after="0"/>
              <w:rPr>
                <w:sz w:val="20"/>
                <w:szCs w:val="20"/>
                <w:color w:val="auto"/>
              </w:rPr>
            </w:pPr>
            <w:r>
              <w:rPr>
                <w:rFonts w:ascii="Arial" w:cs="Arial" w:eastAsia="Arial" w:hAnsi="Arial"/>
                <w:sz w:val="14"/>
                <w:szCs w:val="14"/>
                <w:color w:val="auto"/>
              </w:rPr>
              <w:t>—</w:t>
            </w:r>
          </w:p>
        </w:tc>
        <w:tc>
          <w:tcPr>
            <w:tcW w:w="780" w:type="dxa"/>
            <w:vAlign w:val="bottom"/>
          </w:tcPr>
          <w:p>
            <w:pPr>
              <w:ind w:left="60"/>
              <w:spacing w:after="0"/>
              <w:rPr>
                <w:sz w:val="20"/>
                <w:szCs w:val="20"/>
                <w:color w:val="auto"/>
              </w:rPr>
            </w:pPr>
            <w:r>
              <w:rPr>
                <w:rFonts w:ascii="Arial" w:cs="Arial" w:eastAsia="Arial" w:hAnsi="Arial"/>
                <w:sz w:val="14"/>
                <w:szCs w:val="14"/>
                <w:color w:val="auto"/>
              </w:rPr>
              <w:t>7,333,900</w:t>
            </w:r>
          </w:p>
        </w:tc>
        <w:tc>
          <w:tcPr>
            <w:tcW w:w="640" w:type="dxa"/>
            <w:vAlign w:val="bottom"/>
          </w:tcPr>
          <w:p>
            <w:pPr>
              <w:ind w:left="240"/>
              <w:spacing w:after="0"/>
              <w:rPr>
                <w:sz w:val="20"/>
                <w:szCs w:val="20"/>
                <w:color w:val="auto"/>
              </w:rPr>
            </w:pPr>
            <w:r>
              <w:rPr>
                <w:rFonts w:ascii="Arial" w:cs="Arial" w:eastAsia="Arial" w:hAnsi="Arial"/>
                <w:sz w:val="14"/>
                <w:szCs w:val="14"/>
                <w:color w:val="auto"/>
              </w:rPr>
              <w:t>—</w:t>
            </w:r>
          </w:p>
        </w:tc>
        <w:tc>
          <w:tcPr>
            <w:tcW w:w="1040" w:type="dxa"/>
            <w:vAlign w:val="bottom"/>
          </w:tcPr>
          <w:p>
            <w:pPr>
              <w:ind w:left="280"/>
              <w:spacing w:after="0"/>
              <w:rPr>
                <w:sz w:val="20"/>
                <w:szCs w:val="20"/>
                <w:color w:val="auto"/>
              </w:rPr>
            </w:pPr>
            <w:r>
              <w:rPr>
                <w:rFonts w:ascii="Arial" w:cs="Arial" w:eastAsia="Arial" w:hAnsi="Arial"/>
                <w:sz w:val="14"/>
                <w:szCs w:val="14"/>
                <w:color w:val="auto"/>
              </w:rPr>
              <w:t>2,547,900</w:t>
            </w:r>
          </w:p>
        </w:tc>
        <w:tc>
          <w:tcPr>
            <w:tcW w:w="180" w:type="dxa"/>
            <w:vAlign w:val="bottom"/>
          </w:tcPr>
          <w:p>
            <w:pPr>
              <w:spacing w:after="0"/>
              <w:rPr>
                <w:sz w:val="20"/>
                <w:szCs w:val="20"/>
                <w:color w:val="auto"/>
              </w:rPr>
            </w:pPr>
          </w:p>
        </w:tc>
        <w:tc>
          <w:tcPr>
            <w:tcW w:w="1120" w:type="dxa"/>
            <w:vAlign w:val="bottom"/>
          </w:tcPr>
          <w:p>
            <w:pPr>
              <w:ind w:left="48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72"/>
              <w:spacing w:after="0"/>
              <w:rPr>
                <w:sz w:val="20"/>
                <w:szCs w:val="20"/>
                <w:color w:val="auto"/>
              </w:rPr>
            </w:pPr>
            <w:r>
              <w:rPr>
                <w:rFonts w:ascii="Arial" w:cs="Arial" w:eastAsia="Arial" w:hAnsi="Arial"/>
                <w:sz w:val="14"/>
                <w:szCs w:val="14"/>
                <w:color w:val="auto"/>
              </w:rPr>
              <w:t>312,713</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11,694,513</w:t>
            </w:r>
          </w:p>
        </w:tc>
        <w:tc>
          <w:tcPr>
            <w:tcW w:w="0" w:type="dxa"/>
            <w:vAlign w:val="bottom"/>
          </w:tcPr>
          <w:p>
            <w:pPr>
              <w:spacing w:after="0"/>
              <w:rPr>
                <w:sz w:val="1"/>
                <w:szCs w:val="1"/>
                <w:color w:val="auto"/>
              </w:rPr>
            </w:pPr>
          </w:p>
        </w:tc>
      </w:tr>
      <w:tr>
        <w:trPr>
          <w:trHeight w:val="48"/>
        </w:trPr>
        <w:tc>
          <w:tcPr>
            <w:tcW w:w="1480" w:type="dxa"/>
            <w:vAlign w:val="bottom"/>
            <w:tcBorders>
              <w:bottom w:val="single" w:sz="8" w:color="292F72"/>
            </w:tcBorders>
          </w:tcPr>
          <w:p>
            <w:pPr>
              <w:spacing w:after="0"/>
              <w:rPr>
                <w:sz w:val="4"/>
                <w:szCs w:val="4"/>
                <w:color w:val="auto"/>
              </w:rPr>
            </w:pPr>
          </w:p>
        </w:tc>
        <w:tc>
          <w:tcPr>
            <w:tcW w:w="460" w:type="dxa"/>
            <w:vAlign w:val="bottom"/>
            <w:tcBorders>
              <w:bottom w:val="single" w:sz="8" w:color="292F72"/>
            </w:tcBorders>
          </w:tcPr>
          <w:p>
            <w:pPr>
              <w:spacing w:after="0"/>
              <w:rPr>
                <w:sz w:val="4"/>
                <w:szCs w:val="4"/>
                <w:color w:val="auto"/>
              </w:rPr>
            </w:pPr>
          </w:p>
        </w:tc>
        <w:tc>
          <w:tcPr>
            <w:tcW w:w="720" w:type="dxa"/>
            <w:vAlign w:val="bottom"/>
            <w:tcBorders>
              <w:bottom w:val="single" w:sz="8" w:color="292F72"/>
            </w:tcBorders>
          </w:tcPr>
          <w:p>
            <w:pPr>
              <w:spacing w:after="0"/>
              <w:rPr>
                <w:sz w:val="4"/>
                <w:szCs w:val="4"/>
                <w:color w:val="auto"/>
              </w:rPr>
            </w:pPr>
          </w:p>
        </w:tc>
        <w:tc>
          <w:tcPr>
            <w:tcW w:w="620" w:type="dxa"/>
            <w:vAlign w:val="bottom"/>
            <w:tcBorders>
              <w:bottom w:val="single" w:sz="8" w:color="292F72"/>
            </w:tcBorders>
          </w:tcPr>
          <w:p>
            <w:pPr>
              <w:spacing w:after="0"/>
              <w:rPr>
                <w:sz w:val="4"/>
                <w:szCs w:val="4"/>
                <w:color w:val="auto"/>
              </w:rPr>
            </w:pPr>
          </w:p>
        </w:tc>
        <w:tc>
          <w:tcPr>
            <w:tcW w:w="780" w:type="dxa"/>
            <w:vAlign w:val="bottom"/>
            <w:tcBorders>
              <w:bottom w:val="single" w:sz="8" w:color="292F72"/>
            </w:tcBorders>
          </w:tcPr>
          <w:p>
            <w:pPr>
              <w:spacing w:after="0"/>
              <w:rPr>
                <w:sz w:val="4"/>
                <w:szCs w:val="4"/>
                <w:color w:val="auto"/>
              </w:rPr>
            </w:pPr>
          </w:p>
        </w:tc>
        <w:tc>
          <w:tcPr>
            <w:tcW w:w="640" w:type="dxa"/>
            <w:vAlign w:val="bottom"/>
            <w:tcBorders>
              <w:bottom w:val="single" w:sz="8" w:color="292F72"/>
            </w:tcBorders>
          </w:tcPr>
          <w:p>
            <w:pPr>
              <w:spacing w:after="0"/>
              <w:rPr>
                <w:sz w:val="4"/>
                <w:szCs w:val="4"/>
                <w:color w:val="auto"/>
              </w:rPr>
            </w:pPr>
          </w:p>
        </w:tc>
        <w:tc>
          <w:tcPr>
            <w:tcW w:w="1040" w:type="dxa"/>
            <w:vAlign w:val="bottom"/>
            <w:tcBorders>
              <w:bottom w:val="single" w:sz="8" w:color="292F72"/>
            </w:tcBorders>
          </w:tcPr>
          <w:p>
            <w:pPr>
              <w:spacing w:after="0"/>
              <w:rPr>
                <w:sz w:val="4"/>
                <w:szCs w:val="4"/>
                <w:color w:val="auto"/>
              </w:rPr>
            </w:pPr>
          </w:p>
        </w:tc>
        <w:tc>
          <w:tcPr>
            <w:tcW w:w="180" w:type="dxa"/>
            <w:vAlign w:val="bottom"/>
            <w:tcBorders>
              <w:bottom w:val="single" w:sz="8" w:color="292F72"/>
            </w:tcBorders>
          </w:tcPr>
          <w:p>
            <w:pPr>
              <w:spacing w:after="0"/>
              <w:rPr>
                <w:sz w:val="4"/>
                <w:szCs w:val="4"/>
                <w:color w:val="auto"/>
              </w:rPr>
            </w:pPr>
          </w:p>
        </w:tc>
        <w:tc>
          <w:tcPr>
            <w:tcW w:w="1120" w:type="dxa"/>
            <w:vAlign w:val="bottom"/>
            <w:tcBorders>
              <w:bottom w:val="single" w:sz="8" w:color="292F72"/>
            </w:tcBorders>
          </w:tcPr>
          <w:p>
            <w:pPr>
              <w:spacing w:after="0"/>
              <w:rPr>
                <w:sz w:val="4"/>
                <w:szCs w:val="4"/>
                <w:color w:val="auto"/>
              </w:rPr>
            </w:pPr>
          </w:p>
        </w:tc>
        <w:tc>
          <w:tcPr>
            <w:tcW w:w="1060" w:type="dxa"/>
            <w:vAlign w:val="bottom"/>
            <w:tcBorders>
              <w:bottom w:val="single" w:sz="8" w:color="292F72"/>
            </w:tcBorders>
          </w:tcPr>
          <w:p>
            <w:pPr>
              <w:spacing w:after="0"/>
              <w:rPr>
                <w:sz w:val="4"/>
                <w:szCs w:val="4"/>
                <w:color w:val="auto"/>
              </w:rPr>
            </w:pPr>
          </w:p>
        </w:tc>
        <w:tc>
          <w:tcPr>
            <w:tcW w:w="180" w:type="dxa"/>
            <w:vAlign w:val="bottom"/>
            <w:tcBorders>
              <w:bottom w:val="single" w:sz="8" w:color="292F72"/>
            </w:tcBorders>
          </w:tcPr>
          <w:p>
            <w:pPr>
              <w:spacing w:after="0"/>
              <w:rPr>
                <w:sz w:val="4"/>
                <w:szCs w:val="4"/>
                <w:color w:val="auto"/>
              </w:rPr>
            </w:pPr>
          </w:p>
        </w:tc>
        <w:tc>
          <w:tcPr>
            <w:tcW w:w="760" w:type="dxa"/>
            <w:vAlign w:val="bottom"/>
            <w:tcBorders>
              <w:bottom w:val="single" w:sz="8" w:color="292F72"/>
            </w:tcBorders>
          </w:tcPr>
          <w:p>
            <w:pPr>
              <w:spacing w:after="0"/>
              <w:rPr>
                <w:sz w:val="4"/>
                <w:szCs w:val="4"/>
                <w:color w:val="auto"/>
              </w:rPr>
            </w:pPr>
          </w:p>
        </w:tc>
        <w:tc>
          <w:tcPr>
            <w:tcW w:w="0" w:type="dxa"/>
            <w:vAlign w:val="bottom"/>
          </w:tcPr>
          <w:p>
            <w:pPr>
              <w:spacing w:after="0"/>
              <w:rPr>
                <w:sz w:val="1"/>
                <w:szCs w:val="1"/>
                <w:color w:val="auto"/>
              </w:rPr>
            </w:pPr>
          </w:p>
        </w:tc>
      </w:tr>
      <w:tr>
        <w:trPr>
          <w:trHeight w:val="233"/>
        </w:trPr>
        <w:tc>
          <w:tcPr>
            <w:tcW w:w="1480" w:type="dxa"/>
            <w:vAlign w:val="bottom"/>
          </w:tcPr>
          <w:p>
            <w:pPr>
              <w:spacing w:after="0" w:line="233" w:lineRule="exact"/>
              <w:rPr>
                <w:sz w:val="20"/>
                <w:szCs w:val="20"/>
                <w:color w:val="auto"/>
              </w:rPr>
            </w:pPr>
            <w:r>
              <w:rPr>
                <w:rFonts w:ascii="Arial" w:cs="Arial" w:eastAsia="Arial" w:hAnsi="Arial"/>
                <w:sz w:val="14"/>
                <w:szCs w:val="14"/>
                <w:b w:val="1"/>
                <w:bCs w:val="1"/>
                <w:color w:val="6D8CC3"/>
              </w:rPr>
              <w:t>Michael Wu</w:t>
            </w:r>
            <w:r>
              <w:rPr>
                <w:rFonts w:ascii="Arial" w:cs="Arial" w:eastAsia="Arial" w:hAnsi="Arial"/>
                <w:sz w:val="23"/>
                <w:szCs w:val="23"/>
                <w:b w:val="1"/>
                <w:bCs w:val="1"/>
                <w:color w:val="6D8CC3"/>
                <w:vertAlign w:val="superscript"/>
              </w:rPr>
              <w:t>(5)</w:t>
            </w:r>
          </w:p>
        </w:tc>
        <w:tc>
          <w:tcPr>
            <w:tcW w:w="460" w:type="dxa"/>
            <w:vAlign w:val="bottom"/>
          </w:tcPr>
          <w:p>
            <w:pPr>
              <w:ind w:left="60"/>
              <w:spacing w:after="0"/>
              <w:rPr>
                <w:sz w:val="20"/>
                <w:szCs w:val="20"/>
                <w:color w:val="auto"/>
              </w:rPr>
            </w:pPr>
            <w:r>
              <w:rPr>
                <w:rFonts w:ascii="Arial" w:cs="Arial" w:eastAsia="Arial" w:hAnsi="Arial"/>
                <w:sz w:val="14"/>
                <w:szCs w:val="14"/>
                <w:b w:val="1"/>
                <w:bCs w:val="1"/>
                <w:color w:val="auto"/>
              </w:rPr>
              <w:t>2025</w:t>
            </w:r>
          </w:p>
        </w:tc>
        <w:tc>
          <w:tcPr>
            <w:tcW w:w="720" w:type="dxa"/>
            <w:vAlign w:val="bottom"/>
          </w:tcPr>
          <w:p>
            <w:pPr>
              <w:ind w:left="160"/>
              <w:spacing w:after="0"/>
              <w:rPr>
                <w:sz w:val="20"/>
                <w:szCs w:val="20"/>
                <w:color w:val="auto"/>
              </w:rPr>
            </w:pPr>
            <w:r>
              <w:rPr>
                <w:rFonts w:ascii="Arial" w:cs="Arial" w:eastAsia="Arial" w:hAnsi="Arial"/>
                <w:sz w:val="14"/>
                <w:szCs w:val="14"/>
                <w:b w:val="1"/>
                <w:bCs w:val="1"/>
                <w:color w:val="auto"/>
              </w:rPr>
              <w:t>725,000</w:t>
            </w:r>
          </w:p>
        </w:tc>
        <w:tc>
          <w:tcPr>
            <w:tcW w:w="620" w:type="dxa"/>
            <w:vAlign w:val="bottom"/>
          </w:tcPr>
          <w:p>
            <w:pPr>
              <w:ind w:left="420"/>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ind w:left="60"/>
              <w:spacing w:after="0"/>
              <w:rPr>
                <w:sz w:val="20"/>
                <w:szCs w:val="20"/>
                <w:color w:val="auto"/>
              </w:rPr>
            </w:pPr>
            <w:r>
              <w:rPr>
                <w:rFonts w:ascii="Arial" w:cs="Arial" w:eastAsia="Arial" w:hAnsi="Arial"/>
                <w:sz w:val="14"/>
                <w:szCs w:val="14"/>
                <w:b w:val="1"/>
                <w:bCs w:val="1"/>
                <w:color w:val="auto"/>
              </w:rPr>
              <w:t>1,629,258</w:t>
            </w:r>
          </w:p>
        </w:tc>
        <w:tc>
          <w:tcPr>
            <w:tcW w:w="640" w:type="dxa"/>
            <w:vAlign w:val="bottom"/>
          </w:tcPr>
          <w:p>
            <w:pPr>
              <w:ind w:left="240"/>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ind w:left="380"/>
              <w:spacing w:after="0"/>
              <w:rPr>
                <w:sz w:val="20"/>
                <w:szCs w:val="20"/>
                <w:color w:val="auto"/>
              </w:rPr>
            </w:pPr>
            <w:r>
              <w:rPr>
                <w:rFonts w:ascii="Arial" w:cs="Arial" w:eastAsia="Arial" w:hAnsi="Arial"/>
                <w:sz w:val="14"/>
                <w:szCs w:val="14"/>
                <w:b w:val="1"/>
                <w:bCs w:val="1"/>
                <w:color w:val="auto"/>
              </w:rPr>
              <w:t>233,740</w:t>
            </w:r>
          </w:p>
        </w:tc>
        <w:tc>
          <w:tcPr>
            <w:tcW w:w="180" w:type="dxa"/>
            <w:vAlign w:val="bottom"/>
          </w:tcPr>
          <w:p>
            <w:pPr>
              <w:spacing w:after="0"/>
              <w:rPr>
                <w:sz w:val="20"/>
                <w:szCs w:val="20"/>
                <w:color w:val="auto"/>
              </w:rPr>
            </w:pPr>
          </w:p>
        </w:tc>
        <w:tc>
          <w:tcPr>
            <w:tcW w:w="1120" w:type="dxa"/>
            <w:vAlign w:val="bottom"/>
          </w:tcPr>
          <w:p>
            <w:pPr>
              <w:ind w:left="480"/>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72"/>
              <w:spacing w:after="0"/>
              <w:rPr>
                <w:sz w:val="20"/>
                <w:szCs w:val="20"/>
                <w:color w:val="auto"/>
              </w:rPr>
            </w:pPr>
            <w:r>
              <w:rPr>
                <w:rFonts w:ascii="Arial" w:cs="Arial" w:eastAsia="Arial" w:hAnsi="Arial"/>
                <w:sz w:val="14"/>
                <w:szCs w:val="14"/>
                <w:b w:val="1"/>
                <w:bCs w:val="1"/>
                <w:color w:val="auto"/>
              </w:rPr>
              <w:t>30,867</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2,618,865</w:t>
            </w:r>
          </w:p>
        </w:tc>
        <w:tc>
          <w:tcPr>
            <w:tcW w:w="0" w:type="dxa"/>
            <w:vAlign w:val="bottom"/>
          </w:tcPr>
          <w:p>
            <w:pPr>
              <w:spacing w:after="0"/>
              <w:rPr>
                <w:sz w:val="1"/>
                <w:szCs w:val="1"/>
                <w:color w:val="auto"/>
              </w:rPr>
            </w:pPr>
          </w:p>
        </w:tc>
      </w:tr>
      <w:tr>
        <w:trPr>
          <w:trHeight w:val="62"/>
        </w:trPr>
        <w:tc>
          <w:tcPr>
            <w:tcW w:w="1480" w:type="dxa"/>
            <w:vAlign w:val="bottom"/>
            <w:vMerge w:val="restart"/>
          </w:tcPr>
          <w:p>
            <w:pPr>
              <w:spacing w:after="0" w:line="157" w:lineRule="exact"/>
              <w:rPr>
                <w:sz w:val="20"/>
                <w:szCs w:val="20"/>
                <w:color w:val="auto"/>
              </w:rPr>
            </w:pPr>
            <w:r>
              <w:rPr>
                <w:rFonts w:ascii="Arial" w:cs="Arial" w:eastAsia="Arial" w:hAnsi="Arial"/>
                <w:sz w:val="14"/>
                <w:szCs w:val="14"/>
                <w:color w:val="auto"/>
              </w:rPr>
              <w:t>Former Chief Legal</w:t>
            </w:r>
          </w:p>
        </w:tc>
        <w:tc>
          <w:tcPr>
            <w:tcW w:w="460" w:type="dxa"/>
            <w:vAlign w:val="bottom"/>
            <w:tcBorders>
              <w:bottom w:val="single" w:sz="8" w:color="6D8CC3"/>
            </w:tcBorders>
          </w:tcPr>
          <w:p>
            <w:pPr>
              <w:spacing w:after="0"/>
              <w:rPr>
                <w:sz w:val="5"/>
                <w:szCs w:val="5"/>
                <w:color w:val="auto"/>
              </w:rPr>
            </w:pPr>
          </w:p>
        </w:tc>
        <w:tc>
          <w:tcPr>
            <w:tcW w:w="720" w:type="dxa"/>
            <w:vAlign w:val="bottom"/>
            <w:tcBorders>
              <w:bottom w:val="single" w:sz="8" w:color="6D8CC3"/>
            </w:tcBorders>
          </w:tcPr>
          <w:p>
            <w:pPr>
              <w:spacing w:after="0"/>
              <w:rPr>
                <w:sz w:val="5"/>
                <w:szCs w:val="5"/>
                <w:color w:val="auto"/>
              </w:rPr>
            </w:pPr>
          </w:p>
        </w:tc>
        <w:tc>
          <w:tcPr>
            <w:tcW w:w="620" w:type="dxa"/>
            <w:vAlign w:val="bottom"/>
            <w:tcBorders>
              <w:bottom w:val="single" w:sz="8" w:color="6D8CC3"/>
            </w:tcBorders>
          </w:tcPr>
          <w:p>
            <w:pPr>
              <w:spacing w:after="0"/>
              <w:rPr>
                <w:sz w:val="5"/>
                <w:szCs w:val="5"/>
                <w:color w:val="auto"/>
              </w:rPr>
            </w:pPr>
          </w:p>
        </w:tc>
        <w:tc>
          <w:tcPr>
            <w:tcW w:w="780" w:type="dxa"/>
            <w:vAlign w:val="bottom"/>
            <w:tcBorders>
              <w:bottom w:val="single" w:sz="8" w:color="6D8CC3"/>
            </w:tcBorders>
          </w:tcPr>
          <w:p>
            <w:pPr>
              <w:spacing w:after="0"/>
              <w:rPr>
                <w:sz w:val="5"/>
                <w:szCs w:val="5"/>
                <w:color w:val="auto"/>
              </w:rPr>
            </w:pPr>
          </w:p>
        </w:tc>
        <w:tc>
          <w:tcPr>
            <w:tcW w:w="640" w:type="dxa"/>
            <w:vAlign w:val="bottom"/>
            <w:tcBorders>
              <w:bottom w:val="single" w:sz="8" w:color="6D8CC3"/>
            </w:tcBorders>
          </w:tcPr>
          <w:p>
            <w:pPr>
              <w:spacing w:after="0"/>
              <w:rPr>
                <w:sz w:val="5"/>
                <w:szCs w:val="5"/>
                <w:color w:val="auto"/>
              </w:rPr>
            </w:pPr>
          </w:p>
        </w:tc>
        <w:tc>
          <w:tcPr>
            <w:tcW w:w="1040" w:type="dxa"/>
            <w:vAlign w:val="bottom"/>
            <w:tcBorders>
              <w:bottom w:val="single" w:sz="8" w:color="6D8CC3"/>
            </w:tcBorders>
          </w:tcPr>
          <w:p>
            <w:pPr>
              <w:spacing w:after="0"/>
              <w:rPr>
                <w:sz w:val="5"/>
                <w:szCs w:val="5"/>
                <w:color w:val="auto"/>
              </w:rPr>
            </w:pPr>
          </w:p>
        </w:tc>
        <w:tc>
          <w:tcPr>
            <w:tcW w:w="180" w:type="dxa"/>
            <w:vAlign w:val="bottom"/>
            <w:tcBorders>
              <w:bottom w:val="single" w:sz="8" w:color="6D8CC3"/>
            </w:tcBorders>
          </w:tcPr>
          <w:p>
            <w:pPr>
              <w:spacing w:after="0"/>
              <w:rPr>
                <w:sz w:val="5"/>
                <w:szCs w:val="5"/>
                <w:color w:val="auto"/>
              </w:rPr>
            </w:pPr>
          </w:p>
        </w:tc>
        <w:tc>
          <w:tcPr>
            <w:tcW w:w="1120" w:type="dxa"/>
            <w:vAlign w:val="bottom"/>
            <w:tcBorders>
              <w:bottom w:val="single" w:sz="8" w:color="6D8CC3"/>
            </w:tcBorders>
          </w:tcPr>
          <w:p>
            <w:pPr>
              <w:spacing w:after="0"/>
              <w:rPr>
                <w:sz w:val="5"/>
                <w:szCs w:val="5"/>
                <w:color w:val="auto"/>
              </w:rPr>
            </w:pPr>
          </w:p>
        </w:tc>
        <w:tc>
          <w:tcPr>
            <w:tcW w:w="1060" w:type="dxa"/>
            <w:vAlign w:val="bottom"/>
            <w:tcBorders>
              <w:bottom w:val="single" w:sz="8" w:color="6D8CC3"/>
            </w:tcBorders>
          </w:tcPr>
          <w:p>
            <w:pPr>
              <w:spacing w:after="0"/>
              <w:rPr>
                <w:sz w:val="5"/>
                <w:szCs w:val="5"/>
                <w:color w:val="auto"/>
              </w:rPr>
            </w:pPr>
          </w:p>
        </w:tc>
        <w:tc>
          <w:tcPr>
            <w:tcW w:w="180" w:type="dxa"/>
            <w:vAlign w:val="bottom"/>
            <w:tcBorders>
              <w:bottom w:val="single" w:sz="8" w:color="6D8CC3"/>
            </w:tcBorders>
          </w:tcPr>
          <w:p>
            <w:pPr>
              <w:spacing w:after="0"/>
              <w:rPr>
                <w:sz w:val="5"/>
                <w:szCs w:val="5"/>
                <w:color w:val="auto"/>
              </w:rPr>
            </w:pPr>
          </w:p>
        </w:tc>
        <w:tc>
          <w:tcPr>
            <w:tcW w:w="760" w:type="dxa"/>
            <w:vAlign w:val="bottom"/>
            <w:tcBorders>
              <w:bottom w:val="single" w:sz="8" w:color="6D8CC3"/>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1480" w:type="dxa"/>
            <w:vAlign w:val="bottom"/>
            <w:vMerge w:val="continue"/>
          </w:tcPr>
          <w:p>
            <w:pPr>
              <w:spacing w:after="0"/>
              <w:rPr>
                <w:sz w:val="6"/>
                <w:szCs w:val="6"/>
                <w:color w:val="auto"/>
              </w:rPr>
            </w:pPr>
          </w:p>
        </w:tc>
        <w:tc>
          <w:tcPr>
            <w:tcW w:w="460" w:type="dxa"/>
            <w:vAlign w:val="bottom"/>
            <w:vMerge w:val="restart"/>
          </w:tcPr>
          <w:p>
            <w:pPr>
              <w:ind w:left="60"/>
              <w:spacing w:after="0"/>
              <w:rPr>
                <w:sz w:val="20"/>
                <w:szCs w:val="20"/>
                <w:color w:val="auto"/>
              </w:rPr>
            </w:pPr>
            <w:r>
              <w:rPr>
                <w:rFonts w:ascii="Arial" w:cs="Arial" w:eastAsia="Arial" w:hAnsi="Arial"/>
                <w:sz w:val="14"/>
                <w:szCs w:val="14"/>
                <w:color w:val="auto"/>
              </w:rPr>
              <w:t>2024</w:t>
            </w:r>
          </w:p>
        </w:tc>
        <w:tc>
          <w:tcPr>
            <w:tcW w:w="720" w:type="dxa"/>
            <w:vAlign w:val="bottom"/>
            <w:vMerge w:val="restart"/>
          </w:tcPr>
          <w:p>
            <w:pPr>
              <w:ind w:left="160"/>
              <w:spacing w:after="0"/>
              <w:rPr>
                <w:sz w:val="20"/>
                <w:szCs w:val="20"/>
                <w:color w:val="auto"/>
              </w:rPr>
            </w:pPr>
            <w:r>
              <w:rPr>
                <w:rFonts w:ascii="Arial" w:cs="Arial" w:eastAsia="Arial" w:hAnsi="Arial"/>
                <w:sz w:val="14"/>
                <w:szCs w:val="14"/>
                <w:color w:val="auto"/>
              </w:rPr>
              <w:t>725,000</w:t>
            </w:r>
          </w:p>
        </w:tc>
        <w:tc>
          <w:tcPr>
            <w:tcW w:w="620" w:type="dxa"/>
            <w:vAlign w:val="bottom"/>
            <w:vMerge w:val="restart"/>
          </w:tcPr>
          <w:p>
            <w:pPr>
              <w:ind w:left="42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ind w:left="60"/>
              <w:spacing w:after="0"/>
              <w:rPr>
                <w:sz w:val="20"/>
                <w:szCs w:val="20"/>
                <w:color w:val="auto"/>
              </w:rPr>
            </w:pPr>
            <w:r>
              <w:rPr>
                <w:rFonts w:ascii="Arial" w:cs="Arial" w:eastAsia="Arial" w:hAnsi="Arial"/>
                <w:sz w:val="14"/>
                <w:szCs w:val="14"/>
                <w:color w:val="auto"/>
              </w:rPr>
              <w:t>1,556,493</w:t>
            </w:r>
          </w:p>
        </w:tc>
        <w:tc>
          <w:tcPr>
            <w:tcW w:w="640" w:type="dxa"/>
            <w:vAlign w:val="bottom"/>
            <w:vMerge w:val="restart"/>
          </w:tcPr>
          <w:p>
            <w:pPr>
              <w:ind w:left="240"/>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ind w:left="380"/>
              <w:spacing w:after="0"/>
              <w:rPr>
                <w:sz w:val="20"/>
                <w:szCs w:val="20"/>
                <w:color w:val="auto"/>
              </w:rPr>
            </w:pPr>
            <w:r>
              <w:rPr>
                <w:rFonts w:ascii="Arial" w:cs="Arial" w:eastAsia="Arial" w:hAnsi="Arial"/>
                <w:sz w:val="14"/>
                <w:szCs w:val="14"/>
                <w:color w:val="auto"/>
              </w:rPr>
              <w:t>722,390</w:t>
            </w:r>
          </w:p>
        </w:tc>
        <w:tc>
          <w:tcPr>
            <w:tcW w:w="180" w:type="dxa"/>
            <w:vAlign w:val="bottom"/>
          </w:tcPr>
          <w:p>
            <w:pPr>
              <w:spacing w:after="0"/>
              <w:rPr>
                <w:sz w:val="6"/>
                <w:szCs w:val="6"/>
                <w:color w:val="auto"/>
              </w:rPr>
            </w:pPr>
          </w:p>
        </w:tc>
        <w:tc>
          <w:tcPr>
            <w:tcW w:w="1120" w:type="dxa"/>
            <w:vAlign w:val="bottom"/>
            <w:vMerge w:val="restart"/>
          </w:tcPr>
          <w:p>
            <w:pPr>
              <w:ind w:left="480"/>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ind w:right="92"/>
              <w:spacing w:after="0"/>
              <w:rPr>
                <w:sz w:val="20"/>
                <w:szCs w:val="20"/>
                <w:color w:val="auto"/>
              </w:rPr>
            </w:pPr>
            <w:r>
              <w:rPr>
                <w:rFonts w:ascii="Arial" w:cs="Arial" w:eastAsia="Arial" w:hAnsi="Arial"/>
                <w:sz w:val="14"/>
                <w:szCs w:val="14"/>
                <w:color w:val="auto"/>
              </w:rPr>
              <w:t>33,113</w:t>
            </w:r>
          </w:p>
        </w:tc>
        <w:tc>
          <w:tcPr>
            <w:tcW w:w="180" w:type="dxa"/>
            <w:vAlign w:val="bottom"/>
          </w:tcPr>
          <w:p>
            <w:pPr>
              <w:spacing w:after="0"/>
              <w:rPr>
                <w:sz w:val="6"/>
                <w:szCs w:val="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3,036,996</w:t>
            </w:r>
          </w:p>
        </w:tc>
        <w:tc>
          <w:tcPr>
            <w:tcW w:w="0" w:type="dxa"/>
            <w:vAlign w:val="bottom"/>
          </w:tcPr>
          <w:p>
            <w:pPr>
              <w:spacing w:after="0"/>
              <w:rPr>
                <w:sz w:val="1"/>
                <w:szCs w:val="1"/>
                <w:color w:val="auto"/>
              </w:rPr>
            </w:pPr>
          </w:p>
        </w:tc>
      </w:tr>
      <w:tr>
        <w:trPr>
          <w:trHeight w:val="185"/>
        </w:trPr>
        <w:tc>
          <w:tcPr>
            <w:tcW w:w="1480" w:type="dxa"/>
            <w:vAlign w:val="bottom"/>
          </w:tcPr>
          <w:p>
            <w:pPr>
              <w:spacing w:after="0"/>
              <w:rPr>
                <w:sz w:val="20"/>
                <w:szCs w:val="20"/>
                <w:color w:val="auto"/>
              </w:rPr>
            </w:pPr>
            <w:r>
              <w:rPr>
                <w:rFonts w:ascii="Arial" w:cs="Arial" w:eastAsia="Arial" w:hAnsi="Arial"/>
                <w:sz w:val="14"/>
                <w:szCs w:val="14"/>
                <w:color w:val="auto"/>
              </w:rPr>
              <w:t>Officer</w:t>
            </w:r>
          </w:p>
        </w:tc>
        <w:tc>
          <w:tcPr>
            <w:tcW w:w="46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480" w:type="dxa"/>
            <w:vAlign w:val="bottom"/>
          </w:tcPr>
          <w:p>
            <w:pPr>
              <w:spacing w:after="0" w:line="20" w:lineRule="exact"/>
              <w:rPr>
                <w:sz w:val="1"/>
                <w:szCs w:val="1"/>
                <w:color w:val="auto"/>
              </w:rPr>
            </w:pPr>
          </w:p>
        </w:tc>
        <w:tc>
          <w:tcPr>
            <w:tcW w:w="460" w:type="dxa"/>
            <w:vAlign w:val="bottom"/>
            <w:tcBorders>
              <w:bottom w:val="single" w:sz="8" w:color="6D8CC3"/>
            </w:tcBorders>
          </w:tcPr>
          <w:p>
            <w:pPr>
              <w:spacing w:after="0" w:line="20" w:lineRule="exact"/>
              <w:rPr>
                <w:sz w:val="1"/>
                <w:szCs w:val="1"/>
                <w:color w:val="auto"/>
              </w:rPr>
            </w:pPr>
          </w:p>
        </w:tc>
        <w:tc>
          <w:tcPr>
            <w:tcW w:w="720" w:type="dxa"/>
            <w:vAlign w:val="bottom"/>
            <w:tcBorders>
              <w:bottom w:val="single" w:sz="8" w:color="6D8CC3"/>
            </w:tcBorders>
          </w:tcPr>
          <w:p>
            <w:pPr>
              <w:spacing w:after="0" w:line="20" w:lineRule="exact"/>
              <w:rPr>
                <w:sz w:val="1"/>
                <w:szCs w:val="1"/>
                <w:color w:val="auto"/>
              </w:rPr>
            </w:pPr>
          </w:p>
        </w:tc>
        <w:tc>
          <w:tcPr>
            <w:tcW w:w="620" w:type="dxa"/>
            <w:vAlign w:val="bottom"/>
            <w:tcBorders>
              <w:bottom w:val="single" w:sz="8" w:color="6D8CC3"/>
            </w:tcBorders>
          </w:tcPr>
          <w:p>
            <w:pPr>
              <w:spacing w:after="0" w:line="20" w:lineRule="exact"/>
              <w:rPr>
                <w:sz w:val="1"/>
                <w:szCs w:val="1"/>
                <w:color w:val="auto"/>
              </w:rPr>
            </w:pPr>
          </w:p>
        </w:tc>
        <w:tc>
          <w:tcPr>
            <w:tcW w:w="780" w:type="dxa"/>
            <w:vAlign w:val="bottom"/>
            <w:tcBorders>
              <w:bottom w:val="single" w:sz="8" w:color="6D8CC3"/>
            </w:tcBorders>
          </w:tcPr>
          <w:p>
            <w:pPr>
              <w:spacing w:after="0" w:line="20" w:lineRule="exact"/>
              <w:rPr>
                <w:sz w:val="1"/>
                <w:szCs w:val="1"/>
                <w:color w:val="auto"/>
              </w:rPr>
            </w:pPr>
          </w:p>
        </w:tc>
        <w:tc>
          <w:tcPr>
            <w:tcW w:w="640" w:type="dxa"/>
            <w:vAlign w:val="bottom"/>
            <w:tcBorders>
              <w:bottom w:val="single" w:sz="8" w:color="6D8CC3"/>
            </w:tcBorders>
          </w:tcPr>
          <w:p>
            <w:pPr>
              <w:spacing w:after="0" w:line="20" w:lineRule="exact"/>
              <w:rPr>
                <w:sz w:val="1"/>
                <w:szCs w:val="1"/>
                <w:color w:val="auto"/>
              </w:rPr>
            </w:pPr>
          </w:p>
        </w:tc>
        <w:tc>
          <w:tcPr>
            <w:tcW w:w="1040" w:type="dxa"/>
            <w:vAlign w:val="bottom"/>
            <w:tcBorders>
              <w:bottom w:val="single" w:sz="8" w:color="6D8CC3"/>
            </w:tcBorders>
          </w:tcPr>
          <w:p>
            <w:pPr>
              <w:spacing w:after="0" w:line="20" w:lineRule="exact"/>
              <w:rPr>
                <w:sz w:val="1"/>
                <w:szCs w:val="1"/>
                <w:color w:val="auto"/>
              </w:rPr>
            </w:pPr>
          </w:p>
        </w:tc>
        <w:tc>
          <w:tcPr>
            <w:tcW w:w="180" w:type="dxa"/>
            <w:vAlign w:val="bottom"/>
            <w:tcBorders>
              <w:bottom w:val="single" w:sz="8" w:color="6D8CC3"/>
            </w:tcBorders>
          </w:tcPr>
          <w:p>
            <w:pPr>
              <w:spacing w:after="0" w:line="20" w:lineRule="exact"/>
              <w:rPr>
                <w:sz w:val="1"/>
                <w:szCs w:val="1"/>
                <w:color w:val="auto"/>
              </w:rPr>
            </w:pPr>
          </w:p>
        </w:tc>
        <w:tc>
          <w:tcPr>
            <w:tcW w:w="1120" w:type="dxa"/>
            <w:vAlign w:val="bottom"/>
            <w:tcBorders>
              <w:bottom w:val="single" w:sz="8" w:color="6D8CC3"/>
            </w:tcBorders>
          </w:tcPr>
          <w:p>
            <w:pPr>
              <w:spacing w:after="0" w:line="20" w:lineRule="exact"/>
              <w:rPr>
                <w:sz w:val="1"/>
                <w:szCs w:val="1"/>
                <w:color w:val="auto"/>
              </w:rPr>
            </w:pPr>
          </w:p>
        </w:tc>
        <w:tc>
          <w:tcPr>
            <w:tcW w:w="1060" w:type="dxa"/>
            <w:vAlign w:val="bottom"/>
            <w:tcBorders>
              <w:bottom w:val="single" w:sz="8" w:color="6D8CC3"/>
            </w:tcBorders>
          </w:tcPr>
          <w:p>
            <w:pPr>
              <w:spacing w:after="0" w:line="20" w:lineRule="exact"/>
              <w:rPr>
                <w:sz w:val="1"/>
                <w:szCs w:val="1"/>
                <w:color w:val="auto"/>
              </w:rPr>
            </w:pPr>
          </w:p>
        </w:tc>
        <w:tc>
          <w:tcPr>
            <w:tcW w:w="180" w:type="dxa"/>
            <w:vAlign w:val="bottom"/>
            <w:tcBorders>
              <w:bottom w:val="single" w:sz="8" w:color="6D8CC3"/>
            </w:tcBorders>
          </w:tcPr>
          <w:p>
            <w:pPr>
              <w:spacing w:after="0" w:line="20" w:lineRule="exact"/>
              <w:rPr>
                <w:sz w:val="1"/>
                <w:szCs w:val="1"/>
                <w:color w:val="auto"/>
              </w:rPr>
            </w:pPr>
          </w:p>
        </w:tc>
        <w:tc>
          <w:tcPr>
            <w:tcW w:w="760" w:type="dxa"/>
            <w:vAlign w:val="bottom"/>
            <w:tcBorders>
              <w:bottom w:val="single" w:sz="8" w:color="6D8CC3"/>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460" w:type="dxa"/>
            <w:vAlign w:val="bottom"/>
          </w:tcPr>
          <w:p>
            <w:pPr>
              <w:ind w:left="60"/>
              <w:spacing w:after="0"/>
              <w:rPr>
                <w:sz w:val="20"/>
                <w:szCs w:val="20"/>
                <w:color w:val="auto"/>
              </w:rPr>
            </w:pPr>
            <w:r>
              <w:rPr>
                <w:rFonts w:ascii="Arial" w:cs="Arial" w:eastAsia="Arial" w:hAnsi="Arial"/>
                <w:sz w:val="14"/>
                <w:szCs w:val="14"/>
                <w:color w:val="auto"/>
              </w:rPr>
              <w:t>2023</w:t>
            </w:r>
          </w:p>
        </w:tc>
        <w:tc>
          <w:tcPr>
            <w:tcW w:w="720" w:type="dxa"/>
            <w:vAlign w:val="bottom"/>
          </w:tcPr>
          <w:p>
            <w:pPr>
              <w:ind w:left="160"/>
              <w:spacing w:after="0"/>
              <w:rPr>
                <w:sz w:val="20"/>
                <w:szCs w:val="20"/>
                <w:color w:val="auto"/>
              </w:rPr>
            </w:pPr>
            <w:r>
              <w:rPr>
                <w:rFonts w:ascii="Arial" w:cs="Arial" w:eastAsia="Arial" w:hAnsi="Arial"/>
                <w:sz w:val="14"/>
                <w:szCs w:val="14"/>
                <w:color w:val="auto"/>
              </w:rPr>
              <w:t>725,000</w:t>
            </w:r>
          </w:p>
        </w:tc>
        <w:tc>
          <w:tcPr>
            <w:tcW w:w="620" w:type="dxa"/>
            <w:vAlign w:val="bottom"/>
          </w:tcPr>
          <w:p>
            <w:pPr>
              <w:ind w:left="60"/>
              <w:spacing w:after="0"/>
              <w:rPr>
                <w:sz w:val="20"/>
                <w:szCs w:val="20"/>
                <w:color w:val="auto"/>
              </w:rPr>
            </w:pPr>
            <w:r>
              <w:rPr>
                <w:rFonts w:ascii="Arial" w:cs="Arial" w:eastAsia="Arial" w:hAnsi="Arial"/>
                <w:sz w:val="14"/>
                <w:szCs w:val="14"/>
                <w:color w:val="auto"/>
              </w:rPr>
              <w:t>326,250</w:t>
            </w:r>
          </w:p>
        </w:tc>
        <w:tc>
          <w:tcPr>
            <w:tcW w:w="780" w:type="dxa"/>
            <w:vAlign w:val="bottom"/>
          </w:tcPr>
          <w:p>
            <w:pPr>
              <w:ind w:left="60"/>
              <w:spacing w:after="0"/>
              <w:rPr>
                <w:sz w:val="20"/>
                <w:szCs w:val="20"/>
                <w:color w:val="auto"/>
              </w:rPr>
            </w:pPr>
            <w:r>
              <w:rPr>
                <w:rFonts w:ascii="Arial" w:cs="Arial" w:eastAsia="Arial" w:hAnsi="Arial"/>
                <w:sz w:val="14"/>
                <w:szCs w:val="14"/>
                <w:color w:val="auto"/>
              </w:rPr>
              <w:t>1,417,874</w:t>
            </w:r>
          </w:p>
        </w:tc>
        <w:tc>
          <w:tcPr>
            <w:tcW w:w="640" w:type="dxa"/>
            <w:vAlign w:val="bottom"/>
          </w:tcPr>
          <w:p>
            <w:pPr>
              <w:ind w:left="240"/>
              <w:spacing w:after="0"/>
              <w:rPr>
                <w:sz w:val="20"/>
                <w:szCs w:val="20"/>
                <w:color w:val="auto"/>
              </w:rPr>
            </w:pPr>
            <w:r>
              <w:rPr>
                <w:rFonts w:ascii="Arial" w:cs="Arial" w:eastAsia="Arial" w:hAnsi="Arial"/>
                <w:sz w:val="14"/>
                <w:szCs w:val="14"/>
                <w:color w:val="auto"/>
              </w:rPr>
              <w:t>—</w:t>
            </w:r>
          </w:p>
        </w:tc>
        <w:tc>
          <w:tcPr>
            <w:tcW w:w="1040" w:type="dxa"/>
            <w:vAlign w:val="bottom"/>
          </w:tcPr>
          <w:p>
            <w:pPr>
              <w:ind w:left="380"/>
              <w:spacing w:after="0"/>
              <w:rPr>
                <w:sz w:val="20"/>
                <w:szCs w:val="20"/>
                <w:color w:val="auto"/>
              </w:rPr>
            </w:pPr>
            <w:r>
              <w:rPr>
                <w:rFonts w:ascii="Arial" w:cs="Arial" w:eastAsia="Arial" w:hAnsi="Arial"/>
                <w:sz w:val="14"/>
                <w:szCs w:val="14"/>
                <w:color w:val="auto"/>
              </w:rPr>
              <w:t>648,150</w:t>
            </w:r>
          </w:p>
        </w:tc>
        <w:tc>
          <w:tcPr>
            <w:tcW w:w="180" w:type="dxa"/>
            <w:vAlign w:val="bottom"/>
          </w:tcPr>
          <w:p>
            <w:pPr>
              <w:spacing w:after="0"/>
              <w:rPr>
                <w:sz w:val="20"/>
                <w:szCs w:val="20"/>
                <w:color w:val="auto"/>
              </w:rPr>
            </w:pPr>
          </w:p>
        </w:tc>
        <w:tc>
          <w:tcPr>
            <w:tcW w:w="1120" w:type="dxa"/>
            <w:vAlign w:val="bottom"/>
          </w:tcPr>
          <w:p>
            <w:pPr>
              <w:ind w:left="48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72"/>
              <w:spacing w:after="0"/>
              <w:rPr>
                <w:sz w:val="20"/>
                <w:szCs w:val="20"/>
                <w:color w:val="auto"/>
              </w:rPr>
            </w:pPr>
            <w:r>
              <w:rPr>
                <w:rFonts w:ascii="Arial" w:cs="Arial" w:eastAsia="Arial" w:hAnsi="Arial"/>
                <w:sz w:val="14"/>
                <w:szCs w:val="14"/>
                <w:color w:val="auto"/>
              </w:rPr>
              <w:t>34,559</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3,151,833</w:t>
            </w:r>
          </w:p>
        </w:tc>
        <w:tc>
          <w:tcPr>
            <w:tcW w:w="0" w:type="dxa"/>
            <w:vAlign w:val="bottom"/>
          </w:tcPr>
          <w:p>
            <w:pPr>
              <w:spacing w:after="0"/>
              <w:rPr>
                <w:sz w:val="1"/>
                <w:szCs w:val="1"/>
                <w:color w:val="auto"/>
              </w:rPr>
            </w:pPr>
          </w:p>
        </w:tc>
      </w:tr>
      <w:tr>
        <w:trPr>
          <w:trHeight w:val="22"/>
        </w:trPr>
        <w:tc>
          <w:tcPr>
            <w:tcW w:w="1480" w:type="dxa"/>
            <w:vAlign w:val="bottom"/>
            <w:tcBorders>
              <w:bottom w:val="single" w:sz="8" w:color="292F72"/>
            </w:tcBorders>
          </w:tcPr>
          <w:p>
            <w:pPr>
              <w:spacing w:after="0" w:line="20" w:lineRule="exact"/>
              <w:rPr>
                <w:sz w:val="1"/>
                <w:szCs w:val="1"/>
                <w:color w:val="auto"/>
              </w:rPr>
            </w:pPr>
          </w:p>
        </w:tc>
        <w:tc>
          <w:tcPr>
            <w:tcW w:w="460" w:type="dxa"/>
            <w:vAlign w:val="bottom"/>
            <w:tcBorders>
              <w:bottom w:val="single" w:sz="8" w:color="292F72"/>
            </w:tcBorders>
          </w:tcPr>
          <w:p>
            <w:pPr>
              <w:spacing w:after="0" w:line="20" w:lineRule="exact"/>
              <w:rPr>
                <w:sz w:val="1"/>
                <w:szCs w:val="1"/>
                <w:color w:val="auto"/>
              </w:rPr>
            </w:pPr>
          </w:p>
        </w:tc>
        <w:tc>
          <w:tcPr>
            <w:tcW w:w="720" w:type="dxa"/>
            <w:vAlign w:val="bottom"/>
            <w:tcBorders>
              <w:bottom w:val="single" w:sz="8" w:color="292F72"/>
            </w:tcBorders>
          </w:tcPr>
          <w:p>
            <w:pPr>
              <w:spacing w:after="0" w:line="20" w:lineRule="exact"/>
              <w:rPr>
                <w:sz w:val="1"/>
                <w:szCs w:val="1"/>
                <w:color w:val="auto"/>
              </w:rPr>
            </w:pPr>
          </w:p>
        </w:tc>
        <w:tc>
          <w:tcPr>
            <w:tcW w:w="620" w:type="dxa"/>
            <w:vAlign w:val="bottom"/>
            <w:tcBorders>
              <w:bottom w:val="single" w:sz="8" w:color="292F72"/>
            </w:tcBorders>
          </w:tcPr>
          <w:p>
            <w:pPr>
              <w:spacing w:after="0" w:line="20" w:lineRule="exact"/>
              <w:rPr>
                <w:sz w:val="1"/>
                <w:szCs w:val="1"/>
                <w:color w:val="auto"/>
              </w:rPr>
            </w:pPr>
          </w:p>
        </w:tc>
        <w:tc>
          <w:tcPr>
            <w:tcW w:w="780" w:type="dxa"/>
            <w:vAlign w:val="bottom"/>
            <w:tcBorders>
              <w:bottom w:val="single" w:sz="8" w:color="292F72"/>
            </w:tcBorders>
          </w:tcPr>
          <w:p>
            <w:pPr>
              <w:spacing w:after="0" w:line="20" w:lineRule="exact"/>
              <w:rPr>
                <w:sz w:val="1"/>
                <w:szCs w:val="1"/>
                <w:color w:val="auto"/>
              </w:rPr>
            </w:pPr>
          </w:p>
        </w:tc>
        <w:tc>
          <w:tcPr>
            <w:tcW w:w="640" w:type="dxa"/>
            <w:vAlign w:val="bottom"/>
            <w:tcBorders>
              <w:bottom w:val="single" w:sz="8" w:color="292F72"/>
            </w:tcBorders>
          </w:tcPr>
          <w:p>
            <w:pPr>
              <w:spacing w:after="0" w:line="20" w:lineRule="exact"/>
              <w:rPr>
                <w:sz w:val="1"/>
                <w:szCs w:val="1"/>
                <w:color w:val="auto"/>
              </w:rPr>
            </w:pPr>
          </w:p>
        </w:tc>
        <w:tc>
          <w:tcPr>
            <w:tcW w:w="1040" w:type="dxa"/>
            <w:vAlign w:val="bottom"/>
            <w:tcBorders>
              <w:bottom w:val="single" w:sz="8" w:color="292F72"/>
            </w:tcBorders>
          </w:tcPr>
          <w:p>
            <w:pPr>
              <w:spacing w:after="0" w:line="20" w:lineRule="exact"/>
              <w:rPr>
                <w:sz w:val="1"/>
                <w:szCs w:val="1"/>
                <w:color w:val="auto"/>
              </w:rPr>
            </w:pPr>
          </w:p>
        </w:tc>
        <w:tc>
          <w:tcPr>
            <w:tcW w:w="180" w:type="dxa"/>
            <w:vAlign w:val="bottom"/>
            <w:tcBorders>
              <w:bottom w:val="single" w:sz="8" w:color="292F72"/>
            </w:tcBorders>
          </w:tcPr>
          <w:p>
            <w:pPr>
              <w:spacing w:after="0" w:line="20" w:lineRule="exact"/>
              <w:rPr>
                <w:sz w:val="1"/>
                <w:szCs w:val="1"/>
                <w:color w:val="auto"/>
              </w:rPr>
            </w:pPr>
          </w:p>
        </w:tc>
        <w:tc>
          <w:tcPr>
            <w:tcW w:w="1120" w:type="dxa"/>
            <w:vAlign w:val="bottom"/>
            <w:tcBorders>
              <w:bottom w:val="single" w:sz="8" w:color="292F72"/>
            </w:tcBorders>
          </w:tcPr>
          <w:p>
            <w:pPr>
              <w:spacing w:after="0" w:line="20" w:lineRule="exact"/>
              <w:rPr>
                <w:sz w:val="1"/>
                <w:szCs w:val="1"/>
                <w:color w:val="auto"/>
              </w:rPr>
            </w:pPr>
          </w:p>
        </w:tc>
        <w:tc>
          <w:tcPr>
            <w:tcW w:w="1060" w:type="dxa"/>
            <w:vAlign w:val="bottom"/>
            <w:tcBorders>
              <w:bottom w:val="single" w:sz="8" w:color="292F72"/>
            </w:tcBorders>
          </w:tcPr>
          <w:p>
            <w:pPr>
              <w:spacing w:after="0" w:line="20" w:lineRule="exact"/>
              <w:rPr>
                <w:sz w:val="1"/>
                <w:szCs w:val="1"/>
                <w:color w:val="auto"/>
              </w:rPr>
            </w:pPr>
          </w:p>
        </w:tc>
        <w:tc>
          <w:tcPr>
            <w:tcW w:w="180" w:type="dxa"/>
            <w:vAlign w:val="bottom"/>
            <w:tcBorders>
              <w:bottom w:val="single" w:sz="8" w:color="292F72"/>
            </w:tcBorders>
          </w:tcPr>
          <w:p>
            <w:pPr>
              <w:spacing w:after="0" w:line="20" w:lineRule="exact"/>
              <w:rPr>
                <w:sz w:val="1"/>
                <w:szCs w:val="1"/>
                <w:color w:val="auto"/>
              </w:rPr>
            </w:pPr>
          </w:p>
        </w:tc>
        <w:tc>
          <w:tcPr>
            <w:tcW w:w="760" w:type="dxa"/>
            <w:vAlign w:val="bottom"/>
            <w:tcBorders>
              <w:bottom w:val="single" w:sz="8" w:color="292F72"/>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260" w:right="80" w:hanging="256"/>
        <w:spacing w:after="0" w:line="246" w:lineRule="auto"/>
        <w:tabs>
          <w:tab w:leader="none" w:pos="260" w:val="left"/>
        </w:tabs>
        <w:numPr>
          <w:ilvl w:val="0"/>
          <w:numId w:val="68"/>
        </w:numPr>
        <w:rPr>
          <w:rFonts w:ascii="Arial" w:cs="Arial" w:eastAsia="Arial" w:hAnsi="Arial"/>
          <w:sz w:val="14"/>
          <w:szCs w:val="14"/>
          <w:color w:val="auto"/>
        </w:rPr>
      </w:pPr>
      <w:r>
        <w:rPr>
          <w:rFonts w:ascii="Arial" w:cs="Arial" w:eastAsia="Arial" w:hAnsi="Arial"/>
          <w:sz w:val="14"/>
          <w:szCs w:val="14"/>
          <w:color w:val="auto"/>
        </w:rPr>
        <w:t xml:space="preserve">Stock awards were granted to each NEO under the 2020 Plan. Awards are long-term compensation and generally vest over three years and are not realizable on an annual basis. See discussion under the heading “—Compensation Discussion and Analysis—Compensation for NEOs—Compensation Components—Long-term Equity Incentive Compensation” beginning on page </w:t>
      </w:r>
      <w:r>
        <w:rPr>
          <w:rFonts w:ascii="Arial" w:cs="Arial" w:eastAsia="Arial" w:hAnsi="Arial"/>
          <w:sz w:val="14"/>
          <w:szCs w:val="14"/>
          <w:u w:val="single" w:color="auto"/>
          <w:color w:val="0000EE"/>
        </w:rPr>
        <w:t>37</w:t>
      </w:r>
      <w:r>
        <w:rPr>
          <w:rFonts w:ascii="Arial" w:cs="Arial" w:eastAsia="Arial" w:hAnsi="Arial"/>
          <w:sz w:val="14"/>
          <w:szCs w:val="14"/>
          <w:color w:val="auto"/>
        </w:rPr>
        <w:t xml:space="preserve"> of this proxy statement for additional details.</w:t>
      </w:r>
    </w:p>
    <w:p>
      <w:pPr>
        <w:spacing w:after="0" w:line="35" w:lineRule="exact"/>
        <w:rPr>
          <w:sz w:val="20"/>
          <w:szCs w:val="20"/>
          <w:color w:val="auto"/>
        </w:rPr>
      </w:pPr>
    </w:p>
    <w:p>
      <w:pPr>
        <w:ind w:left="260" w:right="20" w:hanging="256"/>
        <w:spacing w:after="0" w:line="263" w:lineRule="auto"/>
        <w:tabs>
          <w:tab w:leader="none" w:pos="260" w:val="left"/>
        </w:tabs>
        <w:numPr>
          <w:ilvl w:val="0"/>
          <w:numId w:val="69"/>
        </w:numPr>
        <w:rPr>
          <w:rFonts w:ascii="Arial" w:cs="Arial" w:eastAsia="Arial" w:hAnsi="Arial"/>
          <w:sz w:val="13"/>
          <w:szCs w:val="13"/>
          <w:color w:val="auto"/>
        </w:rPr>
      </w:pPr>
      <w:r>
        <w:rPr>
          <w:rFonts w:ascii="Arial" w:cs="Arial" w:eastAsia="Arial" w:hAnsi="Arial"/>
          <w:sz w:val="13"/>
          <w:szCs w:val="13"/>
          <w:color w:val="auto"/>
        </w:rPr>
        <w:t>The value of stock awards reflects the aggregate grant date fair value computed in accordance with ASC Topic 718 Compensation—Stock Compensation for each award. The grant date fair values of the PSUs granted to the NEOs during fiscal 2025 were calculated based on the probable outcome of the performance conditions as of the grant date, consistent with the estimate of aggregate compensation cost to be recognized over the service period determined as of the grant date under ASC Subtopic 718-10, excluding the effect of estimated forfeitures. The grant date value of the PSUs granted to the NEOs in fiscal 2025 assuming the maximum level of performance conditions will be achieved is $5,350,180 for Mr. Heaf, $3,070,394 for Ms. Boratto, $1,879,948 for Mr. Mazurek, $10,277,741 for Ms. Boswell, and $1,736,629 for Mr. Wu.</w:t>
      </w:r>
    </w:p>
    <w:p>
      <w:pPr>
        <w:spacing w:after="0" w:line="26" w:lineRule="exact"/>
        <w:rPr>
          <w:rFonts w:ascii="Arial" w:cs="Arial" w:eastAsia="Arial" w:hAnsi="Arial"/>
          <w:sz w:val="13"/>
          <w:szCs w:val="13"/>
          <w:color w:val="auto"/>
        </w:rPr>
      </w:pPr>
    </w:p>
    <w:p>
      <w:pPr>
        <w:ind w:left="260" w:right="160" w:hanging="256"/>
        <w:spacing w:after="0" w:line="269" w:lineRule="auto"/>
        <w:tabs>
          <w:tab w:leader="none" w:pos="260" w:val="left"/>
        </w:tabs>
        <w:numPr>
          <w:ilvl w:val="0"/>
          <w:numId w:val="69"/>
        </w:numPr>
        <w:rPr>
          <w:rFonts w:ascii="Arial" w:cs="Arial" w:eastAsia="Arial" w:hAnsi="Arial"/>
          <w:sz w:val="14"/>
          <w:szCs w:val="14"/>
          <w:color w:val="auto"/>
        </w:rPr>
      </w:pPr>
      <w:r>
        <w:rPr>
          <w:rFonts w:ascii="Arial" w:cs="Arial" w:eastAsia="Arial" w:hAnsi="Arial"/>
          <w:sz w:val="14"/>
          <w:szCs w:val="14"/>
          <w:color w:val="auto"/>
        </w:rPr>
        <w:t>See Note 14 to the Company’s financial statements filed in the 2025 10-K for the related assumptions for stock awards granted during fiscal 2025 and for a discussion of our assumptions in determining the aggregate grant date fair value of these awards.</w:t>
      </w:r>
    </w:p>
    <w:p>
      <w:pPr>
        <w:spacing w:after="0" w:line="33" w:lineRule="exact"/>
        <w:rPr>
          <w:sz w:val="20"/>
          <w:szCs w:val="20"/>
          <w:color w:val="auto"/>
        </w:rPr>
      </w:pPr>
    </w:p>
    <w:p>
      <w:pPr>
        <w:ind w:left="260" w:right="140" w:hanging="256"/>
        <w:spacing w:after="0" w:line="260" w:lineRule="auto"/>
        <w:tabs>
          <w:tab w:leader="none" w:pos="260" w:val="left"/>
        </w:tabs>
        <w:numPr>
          <w:ilvl w:val="0"/>
          <w:numId w:val="70"/>
        </w:numPr>
        <w:rPr>
          <w:rFonts w:ascii="Arial" w:cs="Arial" w:eastAsia="Arial" w:hAnsi="Arial"/>
          <w:sz w:val="13"/>
          <w:szCs w:val="13"/>
          <w:color w:val="auto"/>
        </w:rPr>
      </w:pPr>
      <w:r>
        <w:rPr>
          <w:rFonts w:ascii="Arial" w:cs="Arial" w:eastAsia="Arial" w:hAnsi="Arial"/>
          <w:sz w:val="13"/>
          <w:szCs w:val="13"/>
          <w:color w:val="auto"/>
        </w:rPr>
        <w:t>Represents the aggregate of the non-equity performance-based incentive compensation for the applicable first half and second half payouts (mid-year and full year payouts for 2025). Incentive compensation targets are set based on a percentage of base salary and are paid semi-annually based on the achievement of adjusted operating income and net sales first half and second half results (annual results for 2025).</w:t>
      </w:r>
    </w:p>
    <w:p>
      <w:pPr>
        <w:ind w:left="260" w:right="20"/>
        <w:spacing w:after="0" w:line="237" w:lineRule="auto"/>
        <w:rPr>
          <w:rFonts w:ascii="Arial" w:cs="Arial" w:eastAsia="Arial" w:hAnsi="Arial"/>
          <w:sz w:val="13"/>
          <w:szCs w:val="13"/>
          <w:color w:val="auto"/>
        </w:rPr>
      </w:pPr>
      <w:r>
        <w:rPr>
          <w:rFonts w:ascii="Arial" w:cs="Arial" w:eastAsia="Arial" w:hAnsi="Arial"/>
          <w:sz w:val="14"/>
          <w:szCs w:val="14"/>
          <w:color w:val="auto"/>
        </w:rPr>
        <w:t xml:space="preserve">See the discussion under the heading “—Compensation Discussion and Analysis—Compensation for NEOs—Short-term Performance-based Incentive Compensation” beginning on page </w:t>
      </w:r>
      <w:r>
        <w:rPr>
          <w:rFonts w:ascii="Arial" w:cs="Arial" w:eastAsia="Arial" w:hAnsi="Arial"/>
          <w:sz w:val="14"/>
          <w:szCs w:val="14"/>
          <w:u w:val="single" w:color="auto"/>
          <w:color w:val="0000EE"/>
        </w:rPr>
        <w:t>35</w:t>
      </w:r>
      <w:r>
        <w:rPr>
          <w:rFonts w:ascii="Arial" w:cs="Arial" w:eastAsia="Arial" w:hAnsi="Arial"/>
          <w:sz w:val="14"/>
          <w:szCs w:val="14"/>
          <w:color w:val="auto"/>
        </w:rPr>
        <w:t xml:space="preserve"> of this proxy statement for additional details. Ms. Boswell received the Spring 2025 incentive compensation payment pursuant to her existing separation agreement in connection with her termination of employment. For additional details regarding Ms. Boswell’s separation agreement, see “—Compensation Discussion and Analysis—Compensation for NEOs—Severance and Change in Control Agreements” beginning on page </w:t>
      </w:r>
      <w:r>
        <w:rPr>
          <w:rFonts w:ascii="Arial" w:cs="Arial" w:eastAsia="Arial" w:hAnsi="Arial"/>
          <w:sz w:val="14"/>
          <w:szCs w:val="14"/>
          <w:u w:val="single" w:color="auto"/>
          <w:color w:val="0000EE"/>
        </w:rPr>
        <w:t>41</w:t>
      </w:r>
      <w:r>
        <w:rPr>
          <w:rFonts w:ascii="Arial" w:cs="Arial" w:eastAsia="Arial" w:hAnsi="Arial"/>
          <w:sz w:val="14"/>
          <w:szCs w:val="14"/>
          <w:color w:val="auto"/>
        </w:rPr>
        <w:t xml:space="preserve"> of this proxy statement and “—Potential Payments Upon Termination or Change in Control— Ms. Boswell’s Separation Agreement” on page </w:t>
      </w:r>
      <w:r>
        <w:rPr>
          <w:rFonts w:ascii="Arial" w:cs="Arial" w:eastAsia="Arial" w:hAnsi="Arial"/>
          <w:sz w:val="14"/>
          <w:szCs w:val="14"/>
          <w:u w:val="single" w:color="auto"/>
          <w:color w:val="0000EE"/>
        </w:rPr>
        <w:t>51</w:t>
      </w:r>
      <w:r>
        <w:rPr>
          <w:rFonts w:ascii="Arial" w:cs="Arial" w:eastAsia="Arial" w:hAnsi="Arial"/>
          <w:sz w:val="14"/>
          <w:szCs w:val="14"/>
          <w:color w:val="auto"/>
        </w:rPr>
        <w:t xml:space="preserve">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123825</wp:posOffset>
            </wp:positionV>
            <wp:extent cx="573722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737225" cy="8255"/>
                    </a:xfrm>
                    <a:prstGeom prst="rect">
                      <a:avLst/>
                    </a:prstGeom>
                    <a:noFill/>
                  </pic:spPr>
                </pic:pic>
              </a:graphicData>
            </a:graphic>
          </wp:anchor>
        </w:drawing>
      </w:r>
    </w:p>
    <w:p>
      <w:pPr>
        <w:spacing w:after="0" w:line="271" w:lineRule="exact"/>
        <w:rPr>
          <w:sz w:val="20"/>
          <w:szCs w:val="20"/>
          <w:color w:val="auto"/>
        </w:rPr>
      </w:pPr>
    </w:p>
    <w:p>
      <w:pPr>
        <w:ind w:left="5460"/>
        <w:spacing w:after="0"/>
        <w:rPr>
          <w:sz w:val="20"/>
          <w:szCs w:val="20"/>
          <w:color w:val="auto"/>
        </w:rPr>
      </w:pPr>
      <w:r>
        <w:rPr>
          <w:rFonts w:ascii="Arial" w:cs="Arial" w:eastAsia="Arial" w:hAnsi="Arial"/>
          <w:sz w:val="13"/>
          <w:szCs w:val="13"/>
          <w:color w:val="292F72"/>
        </w:rPr>
        <w:t>Bath &amp; Body Works, Inc.</w:t>
      </w:r>
      <w:r>
        <w:rPr>
          <w:rFonts w:ascii="Arial" w:cs="Arial" w:eastAsia="Arial" w:hAnsi="Arial"/>
          <w:sz w:val="13"/>
          <w:szCs w:val="13"/>
          <w:color w:val="6D8CC3"/>
        </w:rPr>
        <w:t xml:space="preserve">   | </w:t>
      </w:r>
      <w:r>
        <w:rPr>
          <w:rFonts w:ascii="Arial" w:cs="Arial" w:eastAsia="Arial" w:hAnsi="Arial"/>
          <w:sz w:val="13"/>
          <w:szCs w:val="13"/>
          <w:color w:val="292F72"/>
        </w:rPr>
        <w:t xml:space="preserve">  2026 Proxy Statement     </w:t>
      </w:r>
      <w:r>
        <w:rPr>
          <w:rFonts w:ascii="Arial" w:cs="Arial" w:eastAsia="Arial" w:hAnsi="Arial"/>
          <w:sz w:val="13"/>
          <w:szCs w:val="13"/>
          <w:b w:val="1"/>
          <w:bCs w:val="1"/>
          <w:color w:val="292F72"/>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152400</wp:posOffset>
            </wp:positionV>
            <wp:extent cx="6795135" cy="1651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795135" cy="16510"/>
                    </a:xfrm>
                    <a:prstGeom prst="rect">
                      <a:avLst/>
                    </a:prstGeom>
                    <a:noFill/>
                  </pic:spPr>
                </pic:pic>
              </a:graphicData>
            </a:graphic>
          </wp:anchor>
        </w:drawing>
      </w:r>
    </w:p>
    <w:p>
      <w:pPr>
        <w:sectPr>
          <w:pgSz w:w="11900" w:h="16838" w:orient="portrait"/>
          <w:cols w:equalWidth="0" w:num="1">
            <w:col w:w="9040"/>
          </w:cols>
          <w:pgMar w:left="1420" w:top="116" w:right="14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6"/>
          <w:szCs w:val="16"/>
          <w:color w:val="292F72"/>
        </w:rPr>
        <w:t>Compensation-Related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40640</wp:posOffset>
            </wp:positionV>
            <wp:extent cx="1407160" cy="3302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407160" cy="33020"/>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(3) The following table and related footnotes detail all other compensation paid to each NEO during fiscal 2025:</w:t>
      </w:r>
    </w:p>
    <w:p>
      <w:pPr>
        <w:spacing w:after="0" w:line="229" w:lineRule="exact"/>
        <w:rPr>
          <w:sz w:val="20"/>
          <w:szCs w:val="20"/>
          <w:color w:val="auto"/>
        </w:rPr>
      </w:pPr>
    </w:p>
    <w:tbl>
      <w:tblPr>
        <w:tblLayout w:type="fixed"/>
        <w:tblInd w:w="360" w:type="dxa"/>
        <w:tblCellMar>
          <w:top w:w="0" w:type="dxa"/>
          <w:left w:w="0" w:type="dxa"/>
          <w:bottom w:w="0" w:type="dxa"/>
          <w:right w:w="0" w:type="dxa"/>
        </w:tblCellMar>
      </w:tblPr>
      <w:tr>
        <w:trPr>
          <w:trHeight w:val="118"/>
        </w:trPr>
        <w:tc>
          <w:tcPr>
            <w:tcW w:w="820" w:type="dxa"/>
            <w:vAlign w:val="bottom"/>
          </w:tcPr>
          <w:p>
            <w:pPr>
              <w:spacing w:after="0"/>
              <w:rPr>
                <w:sz w:val="10"/>
                <w:szCs w:val="10"/>
                <w:color w:val="auto"/>
              </w:rPr>
            </w:pPr>
          </w:p>
        </w:tc>
        <w:tc>
          <w:tcPr>
            <w:tcW w:w="860" w:type="dxa"/>
            <w:vAlign w:val="bottom"/>
          </w:tcPr>
          <w:p>
            <w:pPr>
              <w:ind w:left="40"/>
              <w:spacing w:after="0"/>
              <w:rPr>
                <w:sz w:val="20"/>
                <w:szCs w:val="20"/>
                <w:color w:val="auto"/>
              </w:rPr>
            </w:pPr>
            <w:r>
              <w:rPr>
                <w:rFonts w:ascii="Arial" w:cs="Arial" w:eastAsia="Arial" w:hAnsi="Arial"/>
                <w:sz w:val="10"/>
                <w:szCs w:val="10"/>
                <w:b w:val="1"/>
                <w:bCs w:val="1"/>
                <w:color w:val="292F72"/>
              </w:rPr>
              <w:t>INCREMENTAL</w:t>
            </w:r>
          </w:p>
        </w:tc>
        <w:tc>
          <w:tcPr>
            <w:tcW w:w="980" w:type="dxa"/>
            <w:vAlign w:val="bottom"/>
          </w:tcPr>
          <w:p>
            <w:pPr>
              <w:ind w:left="80"/>
              <w:spacing w:after="0"/>
              <w:rPr>
                <w:sz w:val="20"/>
                <w:szCs w:val="20"/>
                <w:color w:val="auto"/>
              </w:rPr>
            </w:pPr>
            <w:r>
              <w:rPr>
                <w:rFonts w:ascii="Arial" w:cs="Arial" w:eastAsia="Arial" w:hAnsi="Arial"/>
                <w:sz w:val="10"/>
                <w:szCs w:val="10"/>
                <w:b w:val="1"/>
                <w:bCs w:val="1"/>
                <w:color w:val="292F72"/>
              </w:rPr>
              <w:t>COMPANY</w:t>
            </w: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20" w:type="dxa"/>
            <w:vAlign w:val="bottom"/>
          </w:tcPr>
          <w:p>
            <w:pPr>
              <w:spacing w:after="0"/>
              <w:rPr>
                <w:sz w:val="10"/>
                <w:szCs w:val="10"/>
                <w:color w:val="auto"/>
              </w:rPr>
            </w:pPr>
          </w:p>
        </w:tc>
        <w:tc>
          <w:tcPr>
            <w:tcW w:w="1840" w:type="dxa"/>
            <w:vAlign w:val="bottom"/>
            <w:gridSpan w:val="2"/>
          </w:tcPr>
          <w:p>
            <w:pPr>
              <w:ind w:left="40"/>
              <w:spacing w:after="0"/>
              <w:rPr>
                <w:sz w:val="20"/>
                <w:szCs w:val="20"/>
                <w:color w:val="auto"/>
              </w:rPr>
            </w:pPr>
            <w:r>
              <w:rPr>
                <w:rFonts w:ascii="Arial" w:cs="Arial" w:eastAsia="Arial" w:hAnsi="Arial"/>
                <w:sz w:val="10"/>
                <w:szCs w:val="10"/>
                <w:b w:val="1"/>
                <w:bCs w:val="1"/>
                <w:color w:val="292F72"/>
              </w:rPr>
              <w:t>COMPANY COST CONTRIBUTIONS</w:t>
            </w: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20" w:type="dxa"/>
            <w:vAlign w:val="bottom"/>
          </w:tcPr>
          <w:p>
            <w:pPr>
              <w:spacing w:after="0"/>
              <w:rPr>
                <w:sz w:val="10"/>
                <w:szCs w:val="10"/>
                <w:color w:val="auto"/>
              </w:rPr>
            </w:pPr>
          </w:p>
        </w:tc>
        <w:tc>
          <w:tcPr>
            <w:tcW w:w="860" w:type="dxa"/>
            <w:vAlign w:val="bottom"/>
          </w:tcPr>
          <w:p>
            <w:pPr>
              <w:ind w:left="40"/>
              <w:spacing w:after="0"/>
              <w:rPr>
                <w:sz w:val="20"/>
                <w:szCs w:val="20"/>
                <w:color w:val="auto"/>
              </w:rPr>
            </w:pPr>
            <w:r>
              <w:rPr>
                <w:rFonts w:ascii="Arial" w:cs="Arial" w:eastAsia="Arial" w:hAnsi="Arial"/>
                <w:sz w:val="10"/>
                <w:szCs w:val="10"/>
                <w:b w:val="1"/>
                <w:bCs w:val="1"/>
                <w:color w:val="292F72"/>
              </w:rPr>
              <w:t>TO PROVIDE</w:t>
            </w:r>
          </w:p>
        </w:tc>
        <w:tc>
          <w:tcPr>
            <w:tcW w:w="980" w:type="dxa"/>
            <w:vAlign w:val="bottom"/>
          </w:tcPr>
          <w:p>
            <w:pPr>
              <w:ind w:left="80"/>
              <w:spacing w:after="0"/>
              <w:rPr>
                <w:sz w:val="20"/>
                <w:szCs w:val="20"/>
                <w:color w:val="auto"/>
              </w:rPr>
            </w:pPr>
            <w:r>
              <w:rPr>
                <w:rFonts w:ascii="Arial" w:cs="Arial" w:eastAsia="Arial" w:hAnsi="Arial"/>
                <w:sz w:val="10"/>
                <w:szCs w:val="10"/>
                <w:b w:val="1"/>
                <w:bCs w:val="1"/>
                <w:color w:val="292F72"/>
              </w:rPr>
              <w:t>TO THE</w:t>
            </w: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20" w:type="dxa"/>
            <w:vAlign w:val="bottom"/>
          </w:tcPr>
          <w:p>
            <w:pPr>
              <w:spacing w:after="0"/>
              <w:rPr>
                <w:sz w:val="10"/>
                <w:szCs w:val="10"/>
                <w:color w:val="auto"/>
              </w:rPr>
            </w:pPr>
          </w:p>
        </w:tc>
        <w:tc>
          <w:tcPr>
            <w:tcW w:w="1840" w:type="dxa"/>
            <w:vAlign w:val="bottom"/>
            <w:gridSpan w:val="2"/>
          </w:tcPr>
          <w:p>
            <w:pPr>
              <w:ind w:left="40"/>
              <w:spacing w:after="0"/>
              <w:rPr>
                <w:sz w:val="20"/>
                <w:szCs w:val="20"/>
                <w:color w:val="auto"/>
              </w:rPr>
            </w:pPr>
            <w:r>
              <w:rPr>
                <w:rFonts w:ascii="Arial" w:cs="Arial" w:eastAsia="Arial" w:hAnsi="Arial"/>
                <w:sz w:val="10"/>
                <w:szCs w:val="10"/>
                <w:b w:val="1"/>
                <w:bCs w:val="1"/>
                <w:color w:val="292F72"/>
              </w:rPr>
              <w:t>SUPPLEMENTAL EXECUTIVES’</w:t>
            </w: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20" w:type="dxa"/>
            <w:vAlign w:val="bottom"/>
          </w:tcPr>
          <w:p>
            <w:pPr>
              <w:spacing w:after="0"/>
              <w:rPr>
                <w:sz w:val="10"/>
                <w:szCs w:val="10"/>
                <w:color w:val="auto"/>
              </w:rPr>
            </w:pPr>
          </w:p>
        </w:tc>
        <w:tc>
          <w:tcPr>
            <w:tcW w:w="860" w:type="dxa"/>
            <w:vAlign w:val="bottom"/>
          </w:tcPr>
          <w:p>
            <w:pPr>
              <w:ind w:left="40"/>
              <w:spacing w:after="0"/>
              <w:rPr>
                <w:sz w:val="20"/>
                <w:szCs w:val="20"/>
                <w:color w:val="auto"/>
              </w:rPr>
            </w:pPr>
            <w:r>
              <w:rPr>
                <w:rFonts w:ascii="Arial" w:cs="Arial" w:eastAsia="Arial" w:hAnsi="Arial"/>
                <w:sz w:val="10"/>
                <w:szCs w:val="10"/>
                <w:b w:val="1"/>
                <w:bCs w:val="1"/>
                <w:color w:val="292F72"/>
              </w:rPr>
              <w:t>LIFE</w:t>
            </w:r>
          </w:p>
        </w:tc>
        <w:tc>
          <w:tcPr>
            <w:tcW w:w="980" w:type="dxa"/>
            <w:vAlign w:val="bottom"/>
          </w:tcPr>
          <w:p>
            <w:pPr>
              <w:ind w:left="80"/>
              <w:spacing w:after="0"/>
              <w:rPr>
                <w:sz w:val="20"/>
                <w:szCs w:val="20"/>
                <w:color w:val="auto"/>
              </w:rPr>
            </w:pPr>
            <w:r>
              <w:rPr>
                <w:rFonts w:ascii="Arial" w:cs="Arial" w:eastAsia="Arial" w:hAnsi="Arial"/>
                <w:sz w:val="10"/>
                <w:szCs w:val="10"/>
                <w:b w:val="1"/>
                <w:bCs w:val="1"/>
                <w:color w:val="292F72"/>
              </w:rPr>
              <w:t>QUALIFIED</w:t>
            </w:r>
          </w:p>
        </w:tc>
        <w:tc>
          <w:tcPr>
            <w:tcW w:w="1380" w:type="dxa"/>
            <w:vAlign w:val="bottom"/>
            <w:gridSpan w:val="2"/>
          </w:tcPr>
          <w:p>
            <w:pPr>
              <w:ind w:left="40"/>
              <w:spacing w:after="0"/>
              <w:rPr>
                <w:sz w:val="20"/>
                <w:szCs w:val="20"/>
                <w:color w:val="auto"/>
              </w:rPr>
            </w:pPr>
            <w:r>
              <w:rPr>
                <w:rFonts w:ascii="Arial" w:cs="Arial" w:eastAsia="Arial" w:hAnsi="Arial"/>
                <w:sz w:val="10"/>
                <w:szCs w:val="10"/>
                <w:b w:val="1"/>
                <w:bCs w:val="1"/>
                <w:color w:val="292F72"/>
              </w:rPr>
              <w:t>FINANCIAL IDENTITY</w:t>
            </w:r>
          </w:p>
        </w:tc>
        <w:tc>
          <w:tcPr>
            <w:tcW w:w="680" w:type="dxa"/>
            <w:vAlign w:val="bottom"/>
          </w:tcPr>
          <w:p>
            <w:pPr>
              <w:spacing w:after="0"/>
              <w:rPr>
                <w:sz w:val="10"/>
                <w:szCs w:val="10"/>
                <w:color w:val="auto"/>
              </w:rPr>
            </w:pPr>
          </w:p>
        </w:tc>
        <w:tc>
          <w:tcPr>
            <w:tcW w:w="920" w:type="dxa"/>
            <w:vAlign w:val="bottom"/>
          </w:tcPr>
          <w:p>
            <w:pPr>
              <w:ind w:left="40"/>
              <w:spacing w:after="0"/>
              <w:rPr>
                <w:sz w:val="20"/>
                <w:szCs w:val="20"/>
                <w:color w:val="auto"/>
              </w:rPr>
            </w:pPr>
            <w:r>
              <w:rPr>
                <w:rFonts w:ascii="Arial" w:cs="Arial" w:eastAsia="Arial" w:hAnsi="Arial"/>
                <w:sz w:val="10"/>
                <w:szCs w:val="10"/>
                <w:b w:val="1"/>
                <w:bCs w:val="1"/>
                <w:color w:val="292F72"/>
              </w:rPr>
              <w:t>PERSONAL USE</w:t>
            </w:r>
          </w:p>
        </w:tc>
        <w:tc>
          <w:tcPr>
            <w:tcW w:w="760" w:type="dxa"/>
            <w:vAlign w:val="bottom"/>
          </w:tcPr>
          <w:p>
            <w:pPr>
              <w:ind w:left="60"/>
              <w:spacing w:after="0"/>
              <w:rPr>
                <w:sz w:val="20"/>
                <w:szCs w:val="20"/>
                <w:color w:val="auto"/>
              </w:rPr>
            </w:pPr>
            <w:r>
              <w:rPr>
                <w:rFonts w:ascii="Arial" w:cs="Arial" w:eastAsia="Arial" w:hAnsi="Arial"/>
                <w:sz w:val="10"/>
                <w:szCs w:val="10"/>
                <w:b w:val="1"/>
                <w:bCs w:val="1"/>
                <w:color w:val="292F72"/>
              </w:rPr>
              <w:t>COMMUTING</w:t>
            </w: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820" w:type="dxa"/>
            <w:vAlign w:val="bottom"/>
          </w:tcPr>
          <w:p>
            <w:pPr>
              <w:spacing w:after="0"/>
              <w:rPr>
                <w:sz w:val="9"/>
                <w:szCs w:val="9"/>
                <w:color w:val="auto"/>
              </w:rPr>
            </w:pPr>
          </w:p>
        </w:tc>
        <w:tc>
          <w:tcPr>
            <w:tcW w:w="860" w:type="dxa"/>
            <w:vAlign w:val="bottom"/>
          </w:tcPr>
          <w:p>
            <w:pPr>
              <w:ind w:left="40"/>
              <w:spacing w:after="0" w:line="105" w:lineRule="exact"/>
              <w:rPr>
                <w:sz w:val="20"/>
                <w:szCs w:val="20"/>
                <w:color w:val="auto"/>
              </w:rPr>
            </w:pPr>
            <w:r>
              <w:rPr>
                <w:rFonts w:ascii="Arial" w:cs="Arial" w:eastAsia="Arial" w:hAnsi="Arial"/>
                <w:sz w:val="10"/>
                <w:szCs w:val="10"/>
                <w:b w:val="1"/>
                <w:bCs w:val="1"/>
                <w:color w:val="292F72"/>
              </w:rPr>
              <w:t>INSURANCE</w:t>
            </w:r>
          </w:p>
        </w:tc>
        <w:tc>
          <w:tcPr>
            <w:tcW w:w="980" w:type="dxa"/>
            <w:vAlign w:val="bottom"/>
          </w:tcPr>
          <w:p>
            <w:pPr>
              <w:ind w:left="80"/>
              <w:spacing w:after="0" w:line="105" w:lineRule="exact"/>
              <w:rPr>
                <w:sz w:val="20"/>
                <w:szCs w:val="20"/>
                <w:color w:val="auto"/>
              </w:rPr>
            </w:pPr>
            <w:r>
              <w:rPr>
                <w:rFonts w:ascii="Arial" w:cs="Arial" w:eastAsia="Arial" w:hAnsi="Arial"/>
                <w:sz w:val="10"/>
                <w:szCs w:val="10"/>
                <w:b w:val="1"/>
                <w:bCs w:val="1"/>
                <w:color w:val="292F72"/>
              </w:rPr>
              <w:t>RETIREMENT</w:t>
            </w:r>
          </w:p>
        </w:tc>
        <w:tc>
          <w:tcPr>
            <w:tcW w:w="620" w:type="dxa"/>
            <w:vAlign w:val="bottom"/>
          </w:tcPr>
          <w:p>
            <w:pPr>
              <w:jc w:val="center"/>
              <w:spacing w:after="0" w:line="105" w:lineRule="exact"/>
              <w:rPr>
                <w:sz w:val="20"/>
                <w:szCs w:val="20"/>
                <w:color w:val="auto"/>
              </w:rPr>
            </w:pPr>
            <w:r>
              <w:rPr>
                <w:rFonts w:ascii="Arial" w:cs="Arial" w:eastAsia="Arial" w:hAnsi="Arial"/>
                <w:sz w:val="10"/>
                <w:szCs w:val="10"/>
                <w:b w:val="1"/>
                <w:bCs w:val="1"/>
                <w:color w:val="292F72"/>
              </w:rPr>
              <w:t>PLANNING</w:t>
            </w:r>
          </w:p>
        </w:tc>
        <w:tc>
          <w:tcPr>
            <w:tcW w:w="1440" w:type="dxa"/>
            <w:vAlign w:val="bottom"/>
            <w:gridSpan w:val="2"/>
          </w:tcPr>
          <w:p>
            <w:pPr>
              <w:ind w:left="40"/>
              <w:spacing w:after="0" w:line="105" w:lineRule="exact"/>
              <w:rPr>
                <w:sz w:val="20"/>
                <w:szCs w:val="20"/>
                <w:color w:val="auto"/>
              </w:rPr>
            </w:pPr>
            <w:r>
              <w:rPr>
                <w:rFonts w:ascii="Arial" w:cs="Arial" w:eastAsia="Arial" w:hAnsi="Arial"/>
                <w:sz w:val="10"/>
                <w:szCs w:val="10"/>
                <w:b w:val="1"/>
                <w:bCs w:val="1"/>
                <w:color w:val="292F72"/>
              </w:rPr>
              <w:t>PROTECTION/ EXECUTIVE</w:t>
            </w:r>
          </w:p>
        </w:tc>
        <w:tc>
          <w:tcPr>
            <w:tcW w:w="920" w:type="dxa"/>
            <w:vAlign w:val="bottom"/>
          </w:tcPr>
          <w:p>
            <w:pPr>
              <w:ind w:left="40"/>
              <w:spacing w:after="0" w:line="105" w:lineRule="exact"/>
              <w:rPr>
                <w:sz w:val="20"/>
                <w:szCs w:val="20"/>
                <w:color w:val="auto"/>
              </w:rPr>
            </w:pPr>
            <w:r>
              <w:rPr>
                <w:rFonts w:ascii="Arial" w:cs="Arial" w:eastAsia="Arial" w:hAnsi="Arial"/>
                <w:sz w:val="10"/>
                <w:szCs w:val="10"/>
                <w:b w:val="1"/>
                <w:bCs w:val="1"/>
                <w:color w:val="292F72"/>
              </w:rPr>
              <w:t>OF COMPANY</w:t>
            </w:r>
          </w:p>
        </w:tc>
        <w:tc>
          <w:tcPr>
            <w:tcW w:w="760" w:type="dxa"/>
            <w:vAlign w:val="bottom"/>
          </w:tcPr>
          <w:p>
            <w:pPr>
              <w:ind w:left="60"/>
              <w:spacing w:after="0" w:line="105" w:lineRule="exact"/>
              <w:rPr>
                <w:sz w:val="20"/>
                <w:szCs w:val="20"/>
                <w:color w:val="auto"/>
              </w:rPr>
            </w:pPr>
            <w:r>
              <w:rPr>
                <w:rFonts w:ascii="Arial" w:cs="Arial" w:eastAsia="Arial" w:hAnsi="Arial"/>
                <w:sz w:val="10"/>
                <w:szCs w:val="10"/>
                <w:b w:val="1"/>
                <w:bCs w:val="1"/>
                <w:color w:val="292F72"/>
              </w:rPr>
              <w:t>EXPENSE</w:t>
            </w:r>
          </w:p>
        </w:tc>
        <w:tc>
          <w:tcPr>
            <w:tcW w:w="880" w:type="dxa"/>
            <w:vAlign w:val="bottom"/>
            <w:vMerge w:val="restart"/>
          </w:tcPr>
          <w:p>
            <w:pPr>
              <w:jc w:val="right"/>
              <w:spacing w:after="0"/>
              <w:rPr>
                <w:sz w:val="20"/>
                <w:szCs w:val="20"/>
                <w:color w:val="auto"/>
              </w:rPr>
            </w:pPr>
            <w:r>
              <w:rPr>
                <w:rFonts w:ascii="Arial" w:cs="Arial" w:eastAsia="Arial" w:hAnsi="Arial"/>
                <w:sz w:val="10"/>
                <w:szCs w:val="10"/>
                <w:b w:val="1"/>
                <w:bCs w:val="1"/>
                <w:color w:val="292F72"/>
              </w:rPr>
              <w:t>RELOCATION</w:t>
            </w:r>
            <w:r>
              <w:rPr>
                <w:rFonts w:ascii="Arial" w:cs="Arial" w:eastAsia="Arial" w:hAnsi="Arial"/>
                <w:sz w:val="15"/>
                <w:szCs w:val="15"/>
                <w:b w:val="1"/>
                <w:bCs w:val="1"/>
                <w:color w:val="292F72"/>
                <w:vertAlign w:val="superscript"/>
              </w:rPr>
              <w:t>(</w:t>
            </w:r>
            <w:r>
              <w:rPr>
                <w:rFonts w:ascii="Arial" w:cs="Arial" w:eastAsia="Arial" w:hAnsi="Arial"/>
                <w:sz w:val="7"/>
                <w:szCs w:val="7"/>
                <w:b w:val="1"/>
                <w:bCs w:val="1"/>
                <w:color w:val="292F72"/>
              </w:rPr>
              <w:t>c)</w:t>
            </w:r>
          </w:p>
        </w:tc>
        <w:tc>
          <w:tcPr>
            <w:tcW w:w="740" w:type="dxa"/>
            <w:vAlign w:val="bottom"/>
          </w:tcPr>
          <w:p>
            <w:pPr>
              <w:ind w:left="40"/>
              <w:spacing w:after="0" w:line="105" w:lineRule="exact"/>
              <w:rPr>
                <w:sz w:val="20"/>
                <w:szCs w:val="20"/>
                <w:color w:val="auto"/>
              </w:rPr>
            </w:pPr>
            <w:r>
              <w:rPr>
                <w:rFonts w:ascii="Arial" w:cs="Arial" w:eastAsia="Arial" w:hAnsi="Arial"/>
                <w:sz w:val="10"/>
                <w:szCs w:val="10"/>
                <w:b w:val="1"/>
                <w:bCs w:val="1"/>
                <w:color w:val="292F72"/>
              </w:rPr>
              <w:t>SEVERANCE</w:t>
            </w: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820" w:type="dxa"/>
            <w:vAlign w:val="bottom"/>
          </w:tcPr>
          <w:p>
            <w:pPr>
              <w:spacing w:after="0"/>
              <w:rPr>
                <w:sz w:val="11"/>
                <w:szCs w:val="11"/>
                <w:color w:val="auto"/>
              </w:rPr>
            </w:pPr>
          </w:p>
        </w:tc>
        <w:tc>
          <w:tcPr>
            <w:tcW w:w="860" w:type="dxa"/>
            <w:vAlign w:val="bottom"/>
          </w:tcPr>
          <w:p>
            <w:pPr>
              <w:ind w:left="40"/>
              <w:spacing w:after="0"/>
              <w:rPr>
                <w:sz w:val="20"/>
                <w:szCs w:val="20"/>
                <w:color w:val="auto"/>
              </w:rPr>
            </w:pPr>
            <w:r>
              <w:rPr>
                <w:rFonts w:ascii="Arial" w:cs="Arial" w:eastAsia="Arial" w:hAnsi="Arial"/>
                <w:sz w:val="10"/>
                <w:szCs w:val="10"/>
                <w:b w:val="1"/>
                <w:bCs w:val="1"/>
                <w:color w:val="292F72"/>
              </w:rPr>
              <w:t>COVERAGE</w:t>
            </w:r>
          </w:p>
        </w:tc>
        <w:tc>
          <w:tcPr>
            <w:tcW w:w="980" w:type="dxa"/>
            <w:vAlign w:val="bottom"/>
          </w:tcPr>
          <w:p>
            <w:pPr>
              <w:ind w:left="80"/>
              <w:spacing w:after="0"/>
              <w:rPr>
                <w:sz w:val="20"/>
                <w:szCs w:val="20"/>
                <w:color w:val="auto"/>
              </w:rPr>
            </w:pPr>
            <w:r>
              <w:rPr>
                <w:rFonts w:ascii="Arial" w:cs="Arial" w:eastAsia="Arial" w:hAnsi="Arial"/>
                <w:sz w:val="10"/>
                <w:szCs w:val="10"/>
                <w:b w:val="1"/>
                <w:bCs w:val="1"/>
                <w:color w:val="292F72"/>
              </w:rPr>
              <w:t>PLAN ACCOUNT</w:t>
            </w:r>
          </w:p>
        </w:tc>
        <w:tc>
          <w:tcPr>
            <w:tcW w:w="620" w:type="dxa"/>
            <w:vAlign w:val="bottom"/>
          </w:tcPr>
          <w:p>
            <w:pPr>
              <w:ind w:left="40"/>
              <w:spacing w:after="0"/>
              <w:rPr>
                <w:sz w:val="20"/>
                <w:szCs w:val="20"/>
                <w:color w:val="auto"/>
              </w:rPr>
            </w:pPr>
            <w:r>
              <w:rPr>
                <w:rFonts w:ascii="Arial" w:cs="Arial" w:eastAsia="Arial" w:hAnsi="Arial"/>
                <w:sz w:val="10"/>
                <w:szCs w:val="10"/>
                <w:b w:val="1"/>
                <w:bCs w:val="1"/>
                <w:color w:val="292F72"/>
              </w:rPr>
              <w:t>BENEFIT</w:t>
            </w:r>
          </w:p>
        </w:tc>
        <w:tc>
          <w:tcPr>
            <w:tcW w:w="760" w:type="dxa"/>
            <w:vAlign w:val="bottom"/>
          </w:tcPr>
          <w:p>
            <w:pPr>
              <w:ind w:left="40"/>
              <w:spacing w:after="0"/>
              <w:rPr>
                <w:sz w:val="20"/>
                <w:szCs w:val="20"/>
                <w:color w:val="auto"/>
              </w:rPr>
            </w:pPr>
            <w:r>
              <w:rPr>
                <w:rFonts w:ascii="Arial" w:cs="Arial" w:eastAsia="Arial" w:hAnsi="Arial"/>
                <w:sz w:val="10"/>
                <w:szCs w:val="10"/>
                <w:b w:val="1"/>
                <w:bCs w:val="1"/>
                <w:color w:val="292F72"/>
              </w:rPr>
              <w:t>MONITORING</w:t>
            </w:r>
          </w:p>
        </w:tc>
        <w:tc>
          <w:tcPr>
            <w:tcW w:w="680" w:type="dxa"/>
            <w:vAlign w:val="bottom"/>
          </w:tcPr>
          <w:p>
            <w:pPr>
              <w:jc w:val="right"/>
              <w:ind w:right="35"/>
              <w:spacing w:after="0"/>
              <w:rPr>
                <w:sz w:val="20"/>
                <w:szCs w:val="20"/>
                <w:color w:val="auto"/>
              </w:rPr>
            </w:pPr>
            <w:r>
              <w:rPr>
                <w:rFonts w:ascii="Arial" w:cs="Arial" w:eastAsia="Arial" w:hAnsi="Arial"/>
                <w:sz w:val="10"/>
                <w:szCs w:val="10"/>
                <w:b w:val="1"/>
                <w:bCs w:val="1"/>
                <w:color w:val="292F72"/>
              </w:rPr>
              <w:t>PHYSICAL</w:t>
            </w:r>
          </w:p>
        </w:tc>
        <w:tc>
          <w:tcPr>
            <w:tcW w:w="920" w:type="dxa"/>
            <w:vAlign w:val="bottom"/>
          </w:tcPr>
          <w:p>
            <w:pPr>
              <w:ind w:left="40"/>
              <w:spacing w:after="0" w:line="131" w:lineRule="exact"/>
              <w:rPr>
                <w:sz w:val="20"/>
                <w:szCs w:val="20"/>
                <w:color w:val="auto"/>
              </w:rPr>
            </w:pPr>
            <w:r>
              <w:rPr>
                <w:rFonts w:ascii="Arial" w:cs="Arial" w:eastAsia="Arial" w:hAnsi="Arial"/>
                <w:sz w:val="10"/>
                <w:szCs w:val="10"/>
                <w:b w:val="1"/>
                <w:bCs w:val="1"/>
                <w:color w:val="292F72"/>
              </w:rPr>
              <w:t>AIRCRAFT</w:t>
            </w:r>
            <w:r>
              <w:rPr>
                <w:rFonts w:ascii="Arial" w:cs="Arial" w:eastAsia="Arial" w:hAnsi="Arial"/>
                <w:sz w:val="15"/>
                <w:szCs w:val="15"/>
                <w:b w:val="1"/>
                <w:bCs w:val="1"/>
                <w:color w:val="292F72"/>
                <w:vertAlign w:val="superscript"/>
              </w:rPr>
              <w:t>(</w:t>
            </w:r>
            <w:r>
              <w:rPr>
                <w:rFonts w:ascii="Arial" w:cs="Arial" w:eastAsia="Arial" w:hAnsi="Arial"/>
                <w:sz w:val="7"/>
                <w:szCs w:val="7"/>
                <w:b w:val="1"/>
                <w:bCs w:val="1"/>
                <w:color w:val="292F72"/>
              </w:rPr>
              <w:t>a)</w:t>
            </w:r>
          </w:p>
        </w:tc>
        <w:tc>
          <w:tcPr>
            <w:tcW w:w="760" w:type="dxa"/>
            <w:vAlign w:val="bottom"/>
          </w:tcPr>
          <w:p>
            <w:pPr>
              <w:ind w:left="60"/>
              <w:spacing w:after="0" w:line="131" w:lineRule="exact"/>
              <w:rPr>
                <w:sz w:val="20"/>
                <w:szCs w:val="20"/>
                <w:color w:val="auto"/>
              </w:rPr>
            </w:pPr>
            <w:r>
              <w:rPr>
                <w:rFonts w:ascii="Arial" w:cs="Arial" w:eastAsia="Arial" w:hAnsi="Arial"/>
                <w:sz w:val="10"/>
                <w:szCs w:val="10"/>
                <w:b w:val="1"/>
                <w:bCs w:val="1"/>
                <w:color w:val="292F72"/>
              </w:rPr>
              <w:t>STIPEND</w:t>
            </w:r>
            <w:r>
              <w:rPr>
                <w:rFonts w:ascii="Arial" w:cs="Arial" w:eastAsia="Arial" w:hAnsi="Arial"/>
                <w:sz w:val="15"/>
                <w:szCs w:val="15"/>
                <w:b w:val="1"/>
                <w:bCs w:val="1"/>
                <w:color w:val="292F72"/>
                <w:vertAlign w:val="superscript"/>
              </w:rPr>
              <w:t>(</w:t>
            </w:r>
            <w:r>
              <w:rPr>
                <w:rFonts w:ascii="Arial" w:cs="Arial" w:eastAsia="Arial" w:hAnsi="Arial"/>
                <w:sz w:val="7"/>
                <w:szCs w:val="7"/>
                <w:b w:val="1"/>
                <w:bCs w:val="1"/>
                <w:color w:val="292F72"/>
              </w:rPr>
              <w:t>b)</w:t>
            </w:r>
          </w:p>
        </w:tc>
        <w:tc>
          <w:tcPr>
            <w:tcW w:w="880" w:type="dxa"/>
            <w:vAlign w:val="bottom"/>
            <w:vMerge w:val="continue"/>
          </w:tcPr>
          <w:p>
            <w:pPr>
              <w:spacing w:after="0"/>
              <w:rPr>
                <w:sz w:val="11"/>
                <w:szCs w:val="11"/>
                <w:color w:val="auto"/>
              </w:rPr>
            </w:pPr>
          </w:p>
        </w:tc>
        <w:tc>
          <w:tcPr>
            <w:tcW w:w="740" w:type="dxa"/>
            <w:vAlign w:val="bottom"/>
          </w:tcPr>
          <w:p>
            <w:pPr>
              <w:ind w:left="40"/>
              <w:spacing w:after="0" w:line="131" w:lineRule="exact"/>
              <w:rPr>
                <w:sz w:val="20"/>
                <w:szCs w:val="20"/>
                <w:color w:val="auto"/>
              </w:rPr>
            </w:pPr>
            <w:r>
              <w:rPr>
                <w:rFonts w:ascii="Arial" w:cs="Arial" w:eastAsia="Arial" w:hAnsi="Arial"/>
                <w:sz w:val="10"/>
                <w:szCs w:val="10"/>
                <w:b w:val="1"/>
                <w:bCs w:val="1"/>
                <w:color w:val="292F72"/>
              </w:rPr>
              <w:t>PAY</w:t>
            </w:r>
            <w:r>
              <w:rPr>
                <w:rFonts w:ascii="Arial" w:cs="Arial" w:eastAsia="Arial" w:hAnsi="Arial"/>
                <w:sz w:val="15"/>
                <w:szCs w:val="15"/>
                <w:b w:val="1"/>
                <w:bCs w:val="1"/>
                <w:color w:val="292F72"/>
                <w:vertAlign w:val="superscript"/>
              </w:rPr>
              <w:t>(</w:t>
            </w:r>
            <w:r>
              <w:rPr>
                <w:rFonts w:ascii="Arial" w:cs="Arial" w:eastAsia="Arial" w:hAnsi="Arial"/>
                <w:sz w:val="7"/>
                <w:szCs w:val="7"/>
                <w:b w:val="1"/>
                <w:bCs w:val="1"/>
                <w:color w:val="292F72"/>
              </w:rPr>
              <w:t>d)</w:t>
            </w:r>
          </w:p>
        </w:tc>
        <w:tc>
          <w:tcPr>
            <w:tcW w:w="660" w:type="dxa"/>
            <w:vAlign w:val="bottom"/>
          </w:tcPr>
          <w:p>
            <w:pPr>
              <w:ind w:left="40"/>
              <w:spacing w:after="0"/>
              <w:rPr>
                <w:sz w:val="20"/>
                <w:szCs w:val="20"/>
                <w:color w:val="auto"/>
              </w:rPr>
            </w:pPr>
            <w:r>
              <w:rPr>
                <w:rFonts w:ascii="Arial" w:cs="Arial" w:eastAsia="Arial" w:hAnsi="Arial"/>
                <w:sz w:val="10"/>
                <w:szCs w:val="10"/>
                <w:b w:val="1"/>
                <w:bCs w:val="1"/>
                <w:color w:val="292F72"/>
              </w:rPr>
              <w:t>TOTAL</w:t>
            </w:r>
          </w:p>
        </w:tc>
        <w:tc>
          <w:tcPr>
            <w:tcW w:w="0" w:type="dxa"/>
            <w:vAlign w:val="bottom"/>
          </w:tcPr>
          <w:p>
            <w:pPr>
              <w:spacing w:after="0"/>
              <w:rPr>
                <w:sz w:val="1"/>
                <w:szCs w:val="1"/>
                <w:color w:val="auto"/>
              </w:rPr>
            </w:pPr>
          </w:p>
        </w:tc>
      </w:tr>
      <w:tr>
        <w:trPr>
          <w:trHeight w:val="143"/>
        </w:trPr>
        <w:tc>
          <w:tcPr>
            <w:tcW w:w="820" w:type="dxa"/>
            <w:vAlign w:val="bottom"/>
          </w:tcPr>
          <w:p>
            <w:pPr>
              <w:spacing w:after="0"/>
              <w:rPr>
                <w:sz w:val="12"/>
                <w:szCs w:val="12"/>
                <w:color w:val="auto"/>
              </w:rPr>
            </w:pPr>
          </w:p>
        </w:tc>
        <w:tc>
          <w:tcPr>
            <w:tcW w:w="860" w:type="dxa"/>
            <w:vAlign w:val="bottom"/>
          </w:tcPr>
          <w:p>
            <w:pPr>
              <w:ind w:left="400"/>
              <w:spacing w:after="0"/>
              <w:rPr>
                <w:sz w:val="20"/>
                <w:szCs w:val="20"/>
                <w:color w:val="auto"/>
              </w:rPr>
            </w:pPr>
            <w:r>
              <w:rPr>
                <w:rFonts w:ascii="Arial" w:cs="Arial" w:eastAsia="Arial" w:hAnsi="Arial"/>
                <w:sz w:val="10"/>
                <w:szCs w:val="10"/>
                <w:b w:val="1"/>
                <w:bCs w:val="1"/>
                <w:color w:val="292F72"/>
              </w:rPr>
              <w:t>($)</w:t>
            </w:r>
          </w:p>
        </w:tc>
        <w:tc>
          <w:tcPr>
            <w:tcW w:w="980" w:type="dxa"/>
            <w:vAlign w:val="bottom"/>
          </w:tcPr>
          <w:p>
            <w:pPr>
              <w:ind w:left="460"/>
              <w:spacing w:after="0"/>
              <w:rPr>
                <w:sz w:val="20"/>
                <w:szCs w:val="20"/>
                <w:color w:val="auto"/>
              </w:rPr>
            </w:pPr>
            <w:r>
              <w:rPr>
                <w:rFonts w:ascii="Arial" w:cs="Arial" w:eastAsia="Arial" w:hAnsi="Arial"/>
                <w:sz w:val="10"/>
                <w:szCs w:val="10"/>
                <w:b w:val="1"/>
                <w:bCs w:val="1"/>
                <w:color w:val="292F72"/>
              </w:rPr>
              <w:t>($)</w:t>
            </w:r>
          </w:p>
        </w:tc>
        <w:tc>
          <w:tcPr>
            <w:tcW w:w="620" w:type="dxa"/>
            <w:vAlign w:val="bottom"/>
          </w:tcPr>
          <w:p>
            <w:pPr>
              <w:jc w:val="center"/>
              <w:spacing w:after="0"/>
              <w:rPr>
                <w:sz w:val="20"/>
                <w:szCs w:val="20"/>
                <w:color w:val="auto"/>
              </w:rPr>
            </w:pPr>
            <w:r>
              <w:rPr>
                <w:rFonts w:ascii="Arial" w:cs="Arial" w:eastAsia="Arial" w:hAnsi="Arial"/>
                <w:sz w:val="10"/>
                <w:szCs w:val="10"/>
                <w:b w:val="1"/>
                <w:bCs w:val="1"/>
                <w:color w:val="292F72"/>
                <w:w w:val="97"/>
              </w:rPr>
              <w:t>($)</w:t>
            </w:r>
          </w:p>
        </w:tc>
        <w:tc>
          <w:tcPr>
            <w:tcW w:w="760" w:type="dxa"/>
            <w:vAlign w:val="bottom"/>
          </w:tcPr>
          <w:p>
            <w:pPr>
              <w:jc w:val="right"/>
              <w:ind w:right="237"/>
              <w:spacing w:after="0"/>
              <w:rPr>
                <w:sz w:val="20"/>
                <w:szCs w:val="20"/>
                <w:color w:val="auto"/>
              </w:rPr>
            </w:pPr>
            <w:r>
              <w:rPr>
                <w:rFonts w:ascii="Arial" w:cs="Arial" w:eastAsia="Arial" w:hAnsi="Arial"/>
                <w:sz w:val="10"/>
                <w:szCs w:val="10"/>
                <w:b w:val="1"/>
                <w:bCs w:val="1"/>
                <w:color w:val="292F72"/>
              </w:rPr>
              <w:t>($)</w:t>
            </w:r>
          </w:p>
        </w:tc>
        <w:tc>
          <w:tcPr>
            <w:tcW w:w="680" w:type="dxa"/>
            <w:vAlign w:val="bottom"/>
          </w:tcPr>
          <w:p>
            <w:pPr>
              <w:jc w:val="right"/>
              <w:ind w:right="195"/>
              <w:spacing w:after="0"/>
              <w:rPr>
                <w:sz w:val="20"/>
                <w:szCs w:val="20"/>
                <w:color w:val="auto"/>
              </w:rPr>
            </w:pPr>
            <w:r>
              <w:rPr>
                <w:rFonts w:ascii="Arial" w:cs="Arial" w:eastAsia="Arial" w:hAnsi="Arial"/>
                <w:sz w:val="10"/>
                <w:szCs w:val="10"/>
                <w:b w:val="1"/>
                <w:bCs w:val="1"/>
                <w:color w:val="292F72"/>
              </w:rPr>
              <w:t>($)</w:t>
            </w:r>
          </w:p>
        </w:tc>
        <w:tc>
          <w:tcPr>
            <w:tcW w:w="920" w:type="dxa"/>
            <w:vAlign w:val="bottom"/>
          </w:tcPr>
          <w:p>
            <w:pPr>
              <w:jc w:val="right"/>
              <w:ind w:right="318"/>
              <w:spacing w:after="0"/>
              <w:rPr>
                <w:sz w:val="20"/>
                <w:szCs w:val="20"/>
                <w:color w:val="auto"/>
              </w:rPr>
            </w:pPr>
            <w:r>
              <w:rPr>
                <w:rFonts w:ascii="Arial" w:cs="Arial" w:eastAsia="Arial" w:hAnsi="Arial"/>
                <w:sz w:val="10"/>
                <w:szCs w:val="10"/>
                <w:b w:val="1"/>
                <w:bCs w:val="1"/>
                <w:color w:val="292F72"/>
              </w:rPr>
              <w:t>($)</w:t>
            </w:r>
          </w:p>
        </w:tc>
        <w:tc>
          <w:tcPr>
            <w:tcW w:w="760" w:type="dxa"/>
            <w:vAlign w:val="bottom"/>
          </w:tcPr>
          <w:p>
            <w:pPr>
              <w:jc w:val="right"/>
              <w:ind w:right="238"/>
              <w:spacing w:after="0"/>
              <w:rPr>
                <w:sz w:val="20"/>
                <w:szCs w:val="20"/>
                <w:color w:val="auto"/>
              </w:rPr>
            </w:pPr>
            <w:r>
              <w:rPr>
                <w:rFonts w:ascii="Arial" w:cs="Arial" w:eastAsia="Arial" w:hAnsi="Arial"/>
                <w:sz w:val="10"/>
                <w:szCs w:val="10"/>
                <w:b w:val="1"/>
                <w:bCs w:val="1"/>
                <w:color w:val="292F72"/>
              </w:rPr>
              <w:t>($)</w:t>
            </w:r>
          </w:p>
        </w:tc>
        <w:tc>
          <w:tcPr>
            <w:tcW w:w="880" w:type="dxa"/>
            <w:vAlign w:val="bottom"/>
          </w:tcPr>
          <w:p>
            <w:pPr>
              <w:jc w:val="right"/>
              <w:ind w:right="295"/>
              <w:spacing w:after="0"/>
              <w:rPr>
                <w:sz w:val="20"/>
                <w:szCs w:val="20"/>
                <w:color w:val="auto"/>
              </w:rPr>
            </w:pPr>
            <w:r>
              <w:rPr>
                <w:rFonts w:ascii="Arial" w:cs="Arial" w:eastAsia="Arial" w:hAnsi="Arial"/>
                <w:sz w:val="10"/>
                <w:szCs w:val="10"/>
                <w:b w:val="1"/>
                <w:bCs w:val="1"/>
                <w:color w:val="292F72"/>
              </w:rPr>
              <w:t>($)</w:t>
            </w:r>
          </w:p>
        </w:tc>
        <w:tc>
          <w:tcPr>
            <w:tcW w:w="740" w:type="dxa"/>
            <w:vAlign w:val="bottom"/>
          </w:tcPr>
          <w:p>
            <w:pPr>
              <w:jc w:val="right"/>
              <w:ind w:right="237"/>
              <w:spacing w:after="0"/>
              <w:rPr>
                <w:sz w:val="20"/>
                <w:szCs w:val="20"/>
                <w:color w:val="auto"/>
              </w:rPr>
            </w:pPr>
            <w:r>
              <w:rPr>
                <w:rFonts w:ascii="Arial" w:cs="Arial" w:eastAsia="Arial" w:hAnsi="Arial"/>
                <w:sz w:val="10"/>
                <w:szCs w:val="10"/>
                <w:b w:val="1"/>
                <w:bCs w:val="1"/>
                <w:color w:val="292F72"/>
              </w:rPr>
              <w:t>($)</w:t>
            </w:r>
          </w:p>
        </w:tc>
        <w:tc>
          <w:tcPr>
            <w:tcW w:w="660" w:type="dxa"/>
            <w:vAlign w:val="bottom"/>
          </w:tcPr>
          <w:p>
            <w:pPr>
              <w:jc w:val="right"/>
              <w:ind w:right="195"/>
              <w:spacing w:after="0"/>
              <w:rPr>
                <w:sz w:val="20"/>
                <w:szCs w:val="20"/>
                <w:color w:val="auto"/>
              </w:rPr>
            </w:pPr>
            <w:r>
              <w:rPr>
                <w:rFonts w:ascii="Arial" w:cs="Arial" w:eastAsia="Arial" w:hAnsi="Arial"/>
                <w:sz w:val="10"/>
                <w:szCs w:val="10"/>
                <w:b w:val="1"/>
                <w:bCs w:val="1"/>
                <w:color w:val="292F72"/>
              </w:rPr>
              <w:t>($)</w:t>
            </w:r>
          </w:p>
        </w:tc>
        <w:tc>
          <w:tcPr>
            <w:tcW w:w="0" w:type="dxa"/>
            <w:vAlign w:val="bottom"/>
          </w:tcPr>
          <w:p>
            <w:pPr>
              <w:spacing w:after="0"/>
              <w:rPr>
                <w:sz w:val="1"/>
                <w:szCs w:val="1"/>
                <w:color w:val="auto"/>
              </w:rPr>
            </w:pPr>
          </w:p>
        </w:tc>
      </w:tr>
      <w:tr>
        <w:trPr>
          <w:trHeight w:val="67"/>
        </w:trPr>
        <w:tc>
          <w:tcPr>
            <w:tcW w:w="820" w:type="dxa"/>
            <w:vAlign w:val="bottom"/>
            <w:tcBorders>
              <w:bottom w:val="single" w:sz="8" w:color="292F72"/>
            </w:tcBorders>
          </w:tcPr>
          <w:p>
            <w:pPr>
              <w:spacing w:after="0"/>
              <w:rPr>
                <w:sz w:val="5"/>
                <w:szCs w:val="5"/>
                <w:color w:val="auto"/>
              </w:rPr>
            </w:pPr>
          </w:p>
        </w:tc>
        <w:tc>
          <w:tcPr>
            <w:tcW w:w="860" w:type="dxa"/>
            <w:vAlign w:val="bottom"/>
            <w:tcBorders>
              <w:bottom w:val="single" w:sz="8" w:color="292F72"/>
            </w:tcBorders>
          </w:tcPr>
          <w:p>
            <w:pPr>
              <w:spacing w:after="0"/>
              <w:rPr>
                <w:sz w:val="5"/>
                <w:szCs w:val="5"/>
                <w:color w:val="auto"/>
              </w:rPr>
            </w:pPr>
          </w:p>
        </w:tc>
        <w:tc>
          <w:tcPr>
            <w:tcW w:w="980" w:type="dxa"/>
            <w:vAlign w:val="bottom"/>
            <w:tcBorders>
              <w:bottom w:val="single" w:sz="8" w:color="292F72"/>
            </w:tcBorders>
          </w:tcPr>
          <w:p>
            <w:pPr>
              <w:spacing w:after="0"/>
              <w:rPr>
                <w:sz w:val="5"/>
                <w:szCs w:val="5"/>
                <w:color w:val="auto"/>
              </w:rPr>
            </w:pPr>
          </w:p>
        </w:tc>
        <w:tc>
          <w:tcPr>
            <w:tcW w:w="620" w:type="dxa"/>
            <w:vAlign w:val="bottom"/>
            <w:tcBorders>
              <w:bottom w:val="single" w:sz="8" w:color="292F72"/>
            </w:tcBorders>
          </w:tcPr>
          <w:p>
            <w:pPr>
              <w:spacing w:after="0"/>
              <w:rPr>
                <w:sz w:val="5"/>
                <w:szCs w:val="5"/>
                <w:color w:val="auto"/>
              </w:rPr>
            </w:pPr>
          </w:p>
        </w:tc>
        <w:tc>
          <w:tcPr>
            <w:tcW w:w="760" w:type="dxa"/>
            <w:vAlign w:val="bottom"/>
            <w:tcBorders>
              <w:bottom w:val="single" w:sz="8" w:color="292F72"/>
            </w:tcBorders>
          </w:tcPr>
          <w:p>
            <w:pPr>
              <w:spacing w:after="0"/>
              <w:rPr>
                <w:sz w:val="5"/>
                <w:szCs w:val="5"/>
                <w:color w:val="auto"/>
              </w:rPr>
            </w:pPr>
          </w:p>
        </w:tc>
        <w:tc>
          <w:tcPr>
            <w:tcW w:w="680" w:type="dxa"/>
            <w:vAlign w:val="bottom"/>
            <w:tcBorders>
              <w:bottom w:val="single" w:sz="8" w:color="292F72"/>
            </w:tcBorders>
          </w:tcPr>
          <w:p>
            <w:pPr>
              <w:spacing w:after="0"/>
              <w:rPr>
                <w:sz w:val="5"/>
                <w:szCs w:val="5"/>
                <w:color w:val="auto"/>
              </w:rPr>
            </w:pPr>
          </w:p>
        </w:tc>
        <w:tc>
          <w:tcPr>
            <w:tcW w:w="920" w:type="dxa"/>
            <w:vAlign w:val="bottom"/>
            <w:tcBorders>
              <w:bottom w:val="single" w:sz="8" w:color="292F72"/>
            </w:tcBorders>
          </w:tcPr>
          <w:p>
            <w:pPr>
              <w:spacing w:after="0"/>
              <w:rPr>
                <w:sz w:val="5"/>
                <w:szCs w:val="5"/>
                <w:color w:val="auto"/>
              </w:rPr>
            </w:pPr>
          </w:p>
        </w:tc>
        <w:tc>
          <w:tcPr>
            <w:tcW w:w="760" w:type="dxa"/>
            <w:vAlign w:val="bottom"/>
            <w:tcBorders>
              <w:bottom w:val="single" w:sz="8" w:color="292F72"/>
            </w:tcBorders>
          </w:tcPr>
          <w:p>
            <w:pPr>
              <w:spacing w:after="0"/>
              <w:rPr>
                <w:sz w:val="5"/>
                <w:szCs w:val="5"/>
                <w:color w:val="auto"/>
              </w:rPr>
            </w:pPr>
          </w:p>
        </w:tc>
        <w:tc>
          <w:tcPr>
            <w:tcW w:w="880" w:type="dxa"/>
            <w:vAlign w:val="bottom"/>
            <w:tcBorders>
              <w:bottom w:val="single" w:sz="8" w:color="292F72"/>
            </w:tcBorders>
          </w:tcPr>
          <w:p>
            <w:pPr>
              <w:spacing w:after="0"/>
              <w:rPr>
                <w:sz w:val="5"/>
                <w:szCs w:val="5"/>
                <w:color w:val="auto"/>
              </w:rPr>
            </w:pPr>
          </w:p>
        </w:tc>
        <w:tc>
          <w:tcPr>
            <w:tcW w:w="740" w:type="dxa"/>
            <w:vAlign w:val="bottom"/>
            <w:tcBorders>
              <w:bottom w:val="single" w:sz="8" w:color="292F72"/>
            </w:tcBorders>
          </w:tcPr>
          <w:p>
            <w:pPr>
              <w:spacing w:after="0"/>
              <w:rPr>
                <w:sz w:val="5"/>
                <w:szCs w:val="5"/>
                <w:color w:val="auto"/>
              </w:rPr>
            </w:pPr>
          </w:p>
        </w:tc>
        <w:tc>
          <w:tcPr>
            <w:tcW w:w="660" w:type="dxa"/>
            <w:vAlign w:val="bottom"/>
            <w:tcBorders>
              <w:bottom w:val="single" w:sz="8" w:color="292F72"/>
            </w:tcBorders>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820" w:type="dxa"/>
            <w:vAlign w:val="bottom"/>
          </w:tcPr>
          <w:p>
            <w:pPr>
              <w:spacing w:after="0"/>
              <w:rPr>
                <w:sz w:val="20"/>
                <w:szCs w:val="20"/>
                <w:color w:val="auto"/>
              </w:rPr>
            </w:pPr>
            <w:r>
              <w:rPr>
                <w:rFonts w:ascii="Arial" w:cs="Arial" w:eastAsia="Arial" w:hAnsi="Arial"/>
                <w:sz w:val="14"/>
                <w:szCs w:val="14"/>
                <w:b w:val="1"/>
                <w:bCs w:val="1"/>
                <w:color w:val="auto"/>
              </w:rPr>
              <w:t>Mr. Heaf</w:t>
            </w:r>
          </w:p>
        </w:tc>
        <w:tc>
          <w:tcPr>
            <w:tcW w:w="860" w:type="dxa"/>
            <w:vAlign w:val="bottom"/>
          </w:tcPr>
          <w:p>
            <w:pPr>
              <w:ind w:left="340"/>
              <w:spacing w:after="0"/>
              <w:rPr>
                <w:sz w:val="20"/>
                <w:szCs w:val="20"/>
                <w:color w:val="auto"/>
              </w:rPr>
            </w:pPr>
            <w:r>
              <w:rPr>
                <w:rFonts w:ascii="Arial" w:cs="Arial" w:eastAsia="Arial" w:hAnsi="Arial"/>
                <w:sz w:val="14"/>
                <w:szCs w:val="14"/>
                <w:color w:val="auto"/>
              </w:rPr>
              <w:t>291</w:t>
            </w:r>
          </w:p>
        </w:tc>
        <w:tc>
          <w:tcPr>
            <w:tcW w:w="980" w:type="dxa"/>
            <w:vAlign w:val="bottom"/>
          </w:tcPr>
          <w:p>
            <w:pPr>
              <w:ind w:left="580"/>
              <w:spacing w:after="0"/>
              <w:rPr>
                <w:sz w:val="20"/>
                <w:szCs w:val="20"/>
                <w:color w:val="auto"/>
              </w:rPr>
            </w:pPr>
            <w:r>
              <w:rPr>
                <w:rFonts w:ascii="Arial" w:cs="Arial" w:eastAsia="Arial" w:hAnsi="Arial"/>
                <w:sz w:val="14"/>
                <w:szCs w:val="14"/>
                <w:color w:val="auto"/>
              </w:rPr>
              <w:t>—</w:t>
            </w:r>
          </w:p>
        </w:tc>
        <w:tc>
          <w:tcPr>
            <w:tcW w:w="620" w:type="dxa"/>
            <w:vAlign w:val="bottom"/>
          </w:tcPr>
          <w:p>
            <w:pPr>
              <w:jc w:val="center"/>
              <w:spacing w:after="0"/>
              <w:rPr>
                <w:sz w:val="20"/>
                <w:szCs w:val="20"/>
                <w:color w:val="auto"/>
              </w:rPr>
            </w:pPr>
            <w:r>
              <w:rPr>
                <w:rFonts w:ascii="Arial" w:cs="Arial" w:eastAsia="Arial" w:hAnsi="Arial"/>
                <w:sz w:val="14"/>
                <w:szCs w:val="14"/>
                <w:color w:val="auto"/>
                <w:w w:val="97"/>
              </w:rPr>
              <w:t>14,000</w:t>
            </w:r>
          </w:p>
        </w:tc>
        <w:tc>
          <w:tcPr>
            <w:tcW w:w="760" w:type="dxa"/>
            <w:vAlign w:val="bottom"/>
          </w:tcPr>
          <w:p>
            <w:pPr>
              <w:jc w:val="right"/>
              <w:ind w:right="117"/>
              <w:spacing w:after="0"/>
              <w:rPr>
                <w:sz w:val="20"/>
                <w:szCs w:val="20"/>
                <w:color w:val="auto"/>
              </w:rPr>
            </w:pPr>
            <w:r>
              <w:rPr>
                <w:rFonts w:ascii="Arial" w:cs="Arial" w:eastAsia="Arial" w:hAnsi="Arial"/>
                <w:sz w:val="14"/>
                <w:szCs w:val="14"/>
                <w:color w:val="auto"/>
              </w:rPr>
              <w:t>3,999</w:t>
            </w:r>
          </w:p>
        </w:tc>
        <w:tc>
          <w:tcPr>
            <w:tcW w:w="680" w:type="dxa"/>
            <w:vAlign w:val="bottom"/>
          </w:tcPr>
          <w:p>
            <w:pPr>
              <w:jc w:val="right"/>
              <w:ind w:right="95"/>
              <w:spacing w:after="0"/>
              <w:rPr>
                <w:sz w:val="20"/>
                <w:szCs w:val="20"/>
                <w:color w:val="auto"/>
              </w:rPr>
            </w:pPr>
            <w:r>
              <w:rPr>
                <w:rFonts w:ascii="Arial" w:cs="Arial" w:eastAsia="Arial" w:hAnsi="Arial"/>
                <w:sz w:val="14"/>
                <w:szCs w:val="14"/>
                <w:color w:val="auto"/>
              </w:rPr>
              <w:t>5,186</w:t>
            </w:r>
          </w:p>
        </w:tc>
        <w:tc>
          <w:tcPr>
            <w:tcW w:w="920" w:type="dxa"/>
            <w:vAlign w:val="bottom"/>
          </w:tcPr>
          <w:p>
            <w:pPr>
              <w:jc w:val="right"/>
              <w:ind w:right="21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8"/>
              <w:spacing w:after="0"/>
              <w:rPr>
                <w:sz w:val="20"/>
                <w:szCs w:val="20"/>
                <w:color w:val="auto"/>
              </w:rPr>
            </w:pPr>
            <w:r>
              <w:rPr>
                <w:rFonts w:ascii="Arial" w:cs="Arial" w:eastAsia="Arial" w:hAnsi="Arial"/>
                <w:sz w:val="14"/>
                <w:szCs w:val="14"/>
                <w:color w:val="auto"/>
              </w:rPr>
              <w:t>135,385</w:t>
            </w:r>
          </w:p>
        </w:tc>
        <w:tc>
          <w:tcPr>
            <w:tcW w:w="880" w:type="dxa"/>
            <w:vAlign w:val="bottom"/>
          </w:tcPr>
          <w:p>
            <w:pPr>
              <w:jc w:val="right"/>
              <w:ind w:right="135"/>
              <w:spacing w:after="0"/>
              <w:rPr>
                <w:sz w:val="20"/>
                <w:szCs w:val="20"/>
                <w:color w:val="auto"/>
              </w:rPr>
            </w:pPr>
            <w:r>
              <w:rPr>
                <w:rFonts w:ascii="Arial" w:cs="Arial" w:eastAsia="Arial" w:hAnsi="Arial"/>
                <w:sz w:val="14"/>
                <w:szCs w:val="14"/>
                <w:color w:val="auto"/>
              </w:rPr>
              <w:t>112,471</w:t>
            </w:r>
          </w:p>
        </w:tc>
        <w:tc>
          <w:tcPr>
            <w:tcW w:w="740" w:type="dxa"/>
            <w:vAlign w:val="bottom"/>
          </w:tcPr>
          <w:p>
            <w:pPr>
              <w:jc w:val="right"/>
              <w:ind w:right="17"/>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271,332</w:t>
            </w:r>
          </w:p>
        </w:tc>
        <w:tc>
          <w:tcPr>
            <w:tcW w:w="0" w:type="dxa"/>
            <w:vAlign w:val="bottom"/>
          </w:tcPr>
          <w:p>
            <w:pPr>
              <w:spacing w:after="0"/>
              <w:rPr>
                <w:sz w:val="1"/>
                <w:szCs w:val="1"/>
                <w:color w:val="auto"/>
              </w:rPr>
            </w:pPr>
          </w:p>
        </w:tc>
      </w:tr>
      <w:tr>
        <w:trPr>
          <w:trHeight w:val="40"/>
        </w:trPr>
        <w:tc>
          <w:tcPr>
            <w:tcW w:w="820" w:type="dxa"/>
            <w:vAlign w:val="bottom"/>
            <w:tcBorders>
              <w:bottom w:val="single" w:sz="8" w:color="6D8CC3"/>
            </w:tcBorders>
          </w:tcPr>
          <w:p>
            <w:pPr>
              <w:spacing w:after="0"/>
              <w:rPr>
                <w:sz w:val="3"/>
                <w:szCs w:val="3"/>
                <w:color w:val="auto"/>
              </w:rPr>
            </w:pPr>
          </w:p>
        </w:tc>
        <w:tc>
          <w:tcPr>
            <w:tcW w:w="860" w:type="dxa"/>
            <w:vAlign w:val="bottom"/>
            <w:tcBorders>
              <w:bottom w:val="single" w:sz="8" w:color="6D8CC3"/>
            </w:tcBorders>
          </w:tcPr>
          <w:p>
            <w:pPr>
              <w:spacing w:after="0"/>
              <w:rPr>
                <w:sz w:val="3"/>
                <w:szCs w:val="3"/>
                <w:color w:val="auto"/>
              </w:rPr>
            </w:pPr>
          </w:p>
        </w:tc>
        <w:tc>
          <w:tcPr>
            <w:tcW w:w="980" w:type="dxa"/>
            <w:vAlign w:val="bottom"/>
            <w:tcBorders>
              <w:bottom w:val="single" w:sz="8" w:color="6D8CC3"/>
            </w:tcBorders>
          </w:tcPr>
          <w:p>
            <w:pPr>
              <w:spacing w:after="0"/>
              <w:rPr>
                <w:sz w:val="3"/>
                <w:szCs w:val="3"/>
                <w:color w:val="auto"/>
              </w:rPr>
            </w:pPr>
          </w:p>
        </w:tc>
        <w:tc>
          <w:tcPr>
            <w:tcW w:w="620" w:type="dxa"/>
            <w:vAlign w:val="bottom"/>
            <w:tcBorders>
              <w:bottom w:val="single" w:sz="8" w:color="6D8CC3"/>
            </w:tcBorders>
          </w:tcPr>
          <w:p>
            <w:pPr>
              <w:spacing w:after="0"/>
              <w:rPr>
                <w:sz w:val="3"/>
                <w:szCs w:val="3"/>
                <w:color w:val="auto"/>
              </w:rPr>
            </w:pPr>
          </w:p>
        </w:tc>
        <w:tc>
          <w:tcPr>
            <w:tcW w:w="760" w:type="dxa"/>
            <w:vAlign w:val="bottom"/>
            <w:tcBorders>
              <w:bottom w:val="single" w:sz="8" w:color="6D8CC3"/>
            </w:tcBorders>
          </w:tcPr>
          <w:p>
            <w:pPr>
              <w:spacing w:after="0"/>
              <w:rPr>
                <w:sz w:val="3"/>
                <w:szCs w:val="3"/>
                <w:color w:val="auto"/>
              </w:rPr>
            </w:pPr>
          </w:p>
        </w:tc>
        <w:tc>
          <w:tcPr>
            <w:tcW w:w="680" w:type="dxa"/>
            <w:vAlign w:val="bottom"/>
            <w:tcBorders>
              <w:bottom w:val="single" w:sz="8" w:color="6D8CC3"/>
            </w:tcBorders>
          </w:tcPr>
          <w:p>
            <w:pPr>
              <w:spacing w:after="0"/>
              <w:rPr>
                <w:sz w:val="3"/>
                <w:szCs w:val="3"/>
                <w:color w:val="auto"/>
              </w:rPr>
            </w:pPr>
          </w:p>
        </w:tc>
        <w:tc>
          <w:tcPr>
            <w:tcW w:w="920" w:type="dxa"/>
            <w:vAlign w:val="bottom"/>
            <w:tcBorders>
              <w:bottom w:val="single" w:sz="8" w:color="6D8CC3"/>
            </w:tcBorders>
          </w:tcPr>
          <w:p>
            <w:pPr>
              <w:spacing w:after="0"/>
              <w:rPr>
                <w:sz w:val="3"/>
                <w:szCs w:val="3"/>
                <w:color w:val="auto"/>
              </w:rPr>
            </w:pPr>
          </w:p>
        </w:tc>
        <w:tc>
          <w:tcPr>
            <w:tcW w:w="760" w:type="dxa"/>
            <w:vAlign w:val="bottom"/>
            <w:tcBorders>
              <w:bottom w:val="single" w:sz="8" w:color="6D8CC3"/>
            </w:tcBorders>
          </w:tcPr>
          <w:p>
            <w:pPr>
              <w:spacing w:after="0"/>
              <w:rPr>
                <w:sz w:val="3"/>
                <w:szCs w:val="3"/>
                <w:color w:val="auto"/>
              </w:rPr>
            </w:pPr>
          </w:p>
        </w:tc>
        <w:tc>
          <w:tcPr>
            <w:tcW w:w="880" w:type="dxa"/>
            <w:vAlign w:val="bottom"/>
            <w:tcBorders>
              <w:bottom w:val="single" w:sz="8" w:color="6D8CC3"/>
            </w:tcBorders>
          </w:tcPr>
          <w:p>
            <w:pPr>
              <w:spacing w:after="0"/>
              <w:rPr>
                <w:sz w:val="3"/>
                <w:szCs w:val="3"/>
                <w:color w:val="auto"/>
              </w:rPr>
            </w:pPr>
          </w:p>
        </w:tc>
        <w:tc>
          <w:tcPr>
            <w:tcW w:w="740" w:type="dxa"/>
            <w:vAlign w:val="bottom"/>
            <w:tcBorders>
              <w:bottom w:val="single" w:sz="8" w:color="6D8CC3"/>
            </w:tcBorders>
          </w:tcPr>
          <w:p>
            <w:pPr>
              <w:spacing w:after="0"/>
              <w:rPr>
                <w:sz w:val="3"/>
                <w:szCs w:val="3"/>
                <w:color w:val="auto"/>
              </w:rPr>
            </w:pPr>
          </w:p>
        </w:tc>
        <w:tc>
          <w:tcPr>
            <w:tcW w:w="660" w:type="dxa"/>
            <w:vAlign w:val="bottom"/>
            <w:tcBorders>
              <w:bottom w:val="single" w:sz="8" w:color="6D8CC3"/>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820" w:type="dxa"/>
            <w:vAlign w:val="bottom"/>
          </w:tcPr>
          <w:p>
            <w:pPr>
              <w:spacing w:after="0"/>
              <w:rPr>
                <w:sz w:val="20"/>
                <w:szCs w:val="20"/>
                <w:color w:val="auto"/>
              </w:rPr>
            </w:pPr>
            <w:r>
              <w:rPr>
                <w:rFonts w:ascii="Arial" w:cs="Arial" w:eastAsia="Arial" w:hAnsi="Arial"/>
                <w:sz w:val="14"/>
                <w:szCs w:val="14"/>
                <w:b w:val="1"/>
                <w:bCs w:val="1"/>
                <w:color w:val="auto"/>
              </w:rPr>
              <w:t>Ms. Boratto</w:t>
            </w:r>
          </w:p>
        </w:tc>
        <w:tc>
          <w:tcPr>
            <w:tcW w:w="860" w:type="dxa"/>
            <w:vAlign w:val="bottom"/>
          </w:tcPr>
          <w:p>
            <w:pPr>
              <w:ind w:left="340"/>
              <w:spacing w:after="0"/>
              <w:rPr>
                <w:sz w:val="20"/>
                <w:szCs w:val="20"/>
                <w:color w:val="auto"/>
              </w:rPr>
            </w:pPr>
            <w:r>
              <w:rPr>
                <w:rFonts w:ascii="Arial" w:cs="Arial" w:eastAsia="Arial" w:hAnsi="Arial"/>
                <w:sz w:val="14"/>
                <w:szCs w:val="14"/>
                <w:color w:val="auto"/>
              </w:rPr>
              <w:t>571</w:t>
            </w:r>
          </w:p>
        </w:tc>
        <w:tc>
          <w:tcPr>
            <w:tcW w:w="980" w:type="dxa"/>
            <w:vAlign w:val="bottom"/>
          </w:tcPr>
          <w:p>
            <w:pPr>
              <w:ind w:left="300"/>
              <w:spacing w:after="0"/>
              <w:rPr>
                <w:sz w:val="20"/>
                <w:szCs w:val="20"/>
                <w:color w:val="auto"/>
              </w:rPr>
            </w:pPr>
            <w:r>
              <w:rPr>
                <w:rFonts w:ascii="Arial" w:cs="Arial" w:eastAsia="Arial" w:hAnsi="Arial"/>
                <w:sz w:val="14"/>
                <w:szCs w:val="14"/>
                <w:color w:val="auto"/>
              </w:rPr>
              <w:t>17,500</w:t>
            </w:r>
          </w:p>
        </w:tc>
        <w:tc>
          <w:tcPr>
            <w:tcW w:w="620" w:type="dxa"/>
            <w:vAlign w:val="bottom"/>
          </w:tcPr>
          <w:p>
            <w:pPr>
              <w:jc w:val="center"/>
              <w:spacing w:after="0"/>
              <w:rPr>
                <w:sz w:val="20"/>
                <w:szCs w:val="20"/>
                <w:color w:val="auto"/>
              </w:rPr>
            </w:pPr>
            <w:r>
              <w:rPr>
                <w:rFonts w:ascii="Arial" w:cs="Arial" w:eastAsia="Arial" w:hAnsi="Arial"/>
                <w:sz w:val="14"/>
                <w:szCs w:val="14"/>
                <w:color w:val="auto"/>
                <w:w w:val="97"/>
              </w:rPr>
              <w:t>14,000</w:t>
            </w:r>
          </w:p>
        </w:tc>
        <w:tc>
          <w:tcPr>
            <w:tcW w:w="760" w:type="dxa"/>
            <w:vAlign w:val="bottom"/>
          </w:tcPr>
          <w:p>
            <w:pPr>
              <w:jc w:val="right"/>
              <w:ind w:right="117"/>
              <w:spacing w:after="0"/>
              <w:rPr>
                <w:sz w:val="20"/>
                <w:szCs w:val="20"/>
                <w:color w:val="auto"/>
              </w:rPr>
            </w:pPr>
            <w:r>
              <w:rPr>
                <w:rFonts w:ascii="Arial" w:cs="Arial" w:eastAsia="Arial" w:hAnsi="Arial"/>
                <w:sz w:val="14"/>
                <w:szCs w:val="14"/>
                <w:color w:val="auto"/>
              </w:rPr>
              <w:t>2,999</w:t>
            </w:r>
          </w:p>
        </w:tc>
        <w:tc>
          <w:tcPr>
            <w:tcW w:w="680" w:type="dxa"/>
            <w:vAlign w:val="bottom"/>
          </w:tcPr>
          <w:p>
            <w:pPr>
              <w:jc w:val="right"/>
              <w:ind w:right="95"/>
              <w:spacing w:after="0"/>
              <w:rPr>
                <w:sz w:val="20"/>
                <w:szCs w:val="20"/>
                <w:color w:val="auto"/>
              </w:rPr>
            </w:pPr>
            <w:r>
              <w:rPr>
                <w:rFonts w:ascii="Arial" w:cs="Arial" w:eastAsia="Arial" w:hAnsi="Arial"/>
                <w:sz w:val="14"/>
                <w:szCs w:val="14"/>
                <w:color w:val="auto"/>
              </w:rPr>
              <w:t>5,690</w:t>
            </w:r>
          </w:p>
        </w:tc>
        <w:tc>
          <w:tcPr>
            <w:tcW w:w="920" w:type="dxa"/>
            <w:vAlign w:val="bottom"/>
          </w:tcPr>
          <w:p>
            <w:pPr>
              <w:jc w:val="right"/>
              <w:ind w:right="21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8"/>
              <w:spacing w:after="0"/>
              <w:rPr>
                <w:sz w:val="20"/>
                <w:szCs w:val="20"/>
                <w:color w:val="auto"/>
              </w:rPr>
            </w:pPr>
            <w:r>
              <w:rPr>
                <w:rFonts w:ascii="Arial" w:cs="Arial" w:eastAsia="Arial" w:hAnsi="Arial"/>
                <w:sz w:val="14"/>
                <w:szCs w:val="14"/>
                <w:color w:val="auto"/>
              </w:rPr>
              <w:t>53,000</w:t>
            </w:r>
          </w:p>
        </w:tc>
        <w:tc>
          <w:tcPr>
            <w:tcW w:w="880" w:type="dxa"/>
            <w:vAlign w:val="bottom"/>
          </w:tcPr>
          <w:p>
            <w:pPr>
              <w:jc w:val="right"/>
              <w:ind w:right="155"/>
              <w:spacing w:after="0"/>
              <w:rPr>
                <w:sz w:val="20"/>
                <w:szCs w:val="20"/>
                <w:color w:val="auto"/>
              </w:rPr>
            </w:pPr>
            <w:r>
              <w:rPr>
                <w:rFonts w:ascii="Arial" w:cs="Arial" w:eastAsia="Arial" w:hAnsi="Arial"/>
                <w:sz w:val="14"/>
                <w:szCs w:val="14"/>
                <w:color w:val="auto"/>
              </w:rPr>
              <w:t>65,286</w:t>
            </w:r>
          </w:p>
        </w:tc>
        <w:tc>
          <w:tcPr>
            <w:tcW w:w="740" w:type="dxa"/>
            <w:vAlign w:val="bottom"/>
          </w:tcPr>
          <w:p>
            <w:pPr>
              <w:jc w:val="right"/>
              <w:ind w:right="17"/>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159,046</w:t>
            </w:r>
          </w:p>
        </w:tc>
        <w:tc>
          <w:tcPr>
            <w:tcW w:w="0" w:type="dxa"/>
            <w:vAlign w:val="bottom"/>
          </w:tcPr>
          <w:p>
            <w:pPr>
              <w:spacing w:after="0"/>
              <w:rPr>
                <w:sz w:val="1"/>
                <w:szCs w:val="1"/>
                <w:color w:val="auto"/>
              </w:rPr>
            </w:pPr>
          </w:p>
        </w:tc>
      </w:tr>
      <w:tr>
        <w:trPr>
          <w:trHeight w:val="40"/>
        </w:trPr>
        <w:tc>
          <w:tcPr>
            <w:tcW w:w="820" w:type="dxa"/>
            <w:vAlign w:val="bottom"/>
            <w:tcBorders>
              <w:bottom w:val="single" w:sz="8" w:color="6D8CC3"/>
            </w:tcBorders>
          </w:tcPr>
          <w:p>
            <w:pPr>
              <w:spacing w:after="0"/>
              <w:rPr>
                <w:sz w:val="3"/>
                <w:szCs w:val="3"/>
                <w:color w:val="auto"/>
              </w:rPr>
            </w:pPr>
          </w:p>
        </w:tc>
        <w:tc>
          <w:tcPr>
            <w:tcW w:w="860" w:type="dxa"/>
            <w:vAlign w:val="bottom"/>
            <w:tcBorders>
              <w:bottom w:val="single" w:sz="8" w:color="6D8CC3"/>
            </w:tcBorders>
          </w:tcPr>
          <w:p>
            <w:pPr>
              <w:spacing w:after="0"/>
              <w:rPr>
                <w:sz w:val="3"/>
                <w:szCs w:val="3"/>
                <w:color w:val="auto"/>
              </w:rPr>
            </w:pPr>
          </w:p>
        </w:tc>
        <w:tc>
          <w:tcPr>
            <w:tcW w:w="980" w:type="dxa"/>
            <w:vAlign w:val="bottom"/>
            <w:tcBorders>
              <w:bottom w:val="single" w:sz="8" w:color="6D8CC3"/>
            </w:tcBorders>
          </w:tcPr>
          <w:p>
            <w:pPr>
              <w:spacing w:after="0"/>
              <w:rPr>
                <w:sz w:val="3"/>
                <w:szCs w:val="3"/>
                <w:color w:val="auto"/>
              </w:rPr>
            </w:pPr>
          </w:p>
        </w:tc>
        <w:tc>
          <w:tcPr>
            <w:tcW w:w="620" w:type="dxa"/>
            <w:vAlign w:val="bottom"/>
            <w:tcBorders>
              <w:bottom w:val="single" w:sz="8" w:color="6D8CC3"/>
            </w:tcBorders>
          </w:tcPr>
          <w:p>
            <w:pPr>
              <w:spacing w:after="0"/>
              <w:rPr>
                <w:sz w:val="3"/>
                <w:szCs w:val="3"/>
                <w:color w:val="auto"/>
              </w:rPr>
            </w:pPr>
          </w:p>
        </w:tc>
        <w:tc>
          <w:tcPr>
            <w:tcW w:w="760" w:type="dxa"/>
            <w:vAlign w:val="bottom"/>
            <w:tcBorders>
              <w:bottom w:val="single" w:sz="8" w:color="6D8CC3"/>
            </w:tcBorders>
          </w:tcPr>
          <w:p>
            <w:pPr>
              <w:spacing w:after="0"/>
              <w:rPr>
                <w:sz w:val="3"/>
                <w:szCs w:val="3"/>
                <w:color w:val="auto"/>
              </w:rPr>
            </w:pPr>
          </w:p>
        </w:tc>
        <w:tc>
          <w:tcPr>
            <w:tcW w:w="680" w:type="dxa"/>
            <w:vAlign w:val="bottom"/>
            <w:tcBorders>
              <w:bottom w:val="single" w:sz="8" w:color="6D8CC3"/>
            </w:tcBorders>
          </w:tcPr>
          <w:p>
            <w:pPr>
              <w:spacing w:after="0"/>
              <w:rPr>
                <w:sz w:val="3"/>
                <w:szCs w:val="3"/>
                <w:color w:val="auto"/>
              </w:rPr>
            </w:pPr>
          </w:p>
        </w:tc>
        <w:tc>
          <w:tcPr>
            <w:tcW w:w="920" w:type="dxa"/>
            <w:vAlign w:val="bottom"/>
            <w:tcBorders>
              <w:bottom w:val="single" w:sz="8" w:color="6D8CC3"/>
            </w:tcBorders>
          </w:tcPr>
          <w:p>
            <w:pPr>
              <w:spacing w:after="0"/>
              <w:rPr>
                <w:sz w:val="3"/>
                <w:szCs w:val="3"/>
                <w:color w:val="auto"/>
              </w:rPr>
            </w:pPr>
          </w:p>
        </w:tc>
        <w:tc>
          <w:tcPr>
            <w:tcW w:w="760" w:type="dxa"/>
            <w:vAlign w:val="bottom"/>
            <w:tcBorders>
              <w:bottom w:val="single" w:sz="8" w:color="6D8CC3"/>
            </w:tcBorders>
          </w:tcPr>
          <w:p>
            <w:pPr>
              <w:spacing w:after="0"/>
              <w:rPr>
                <w:sz w:val="3"/>
                <w:szCs w:val="3"/>
                <w:color w:val="auto"/>
              </w:rPr>
            </w:pPr>
          </w:p>
        </w:tc>
        <w:tc>
          <w:tcPr>
            <w:tcW w:w="880" w:type="dxa"/>
            <w:vAlign w:val="bottom"/>
            <w:tcBorders>
              <w:bottom w:val="single" w:sz="8" w:color="6D8CC3"/>
            </w:tcBorders>
          </w:tcPr>
          <w:p>
            <w:pPr>
              <w:spacing w:after="0"/>
              <w:rPr>
                <w:sz w:val="3"/>
                <w:szCs w:val="3"/>
                <w:color w:val="auto"/>
              </w:rPr>
            </w:pPr>
          </w:p>
        </w:tc>
        <w:tc>
          <w:tcPr>
            <w:tcW w:w="740" w:type="dxa"/>
            <w:vAlign w:val="bottom"/>
            <w:tcBorders>
              <w:bottom w:val="single" w:sz="8" w:color="6D8CC3"/>
            </w:tcBorders>
          </w:tcPr>
          <w:p>
            <w:pPr>
              <w:spacing w:after="0"/>
              <w:rPr>
                <w:sz w:val="3"/>
                <w:szCs w:val="3"/>
                <w:color w:val="auto"/>
              </w:rPr>
            </w:pPr>
          </w:p>
        </w:tc>
        <w:tc>
          <w:tcPr>
            <w:tcW w:w="660" w:type="dxa"/>
            <w:vAlign w:val="bottom"/>
            <w:tcBorders>
              <w:bottom w:val="single" w:sz="8" w:color="6D8CC3"/>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820" w:type="dxa"/>
            <w:vAlign w:val="bottom"/>
          </w:tcPr>
          <w:p>
            <w:pPr>
              <w:spacing w:after="0"/>
              <w:rPr>
                <w:sz w:val="20"/>
                <w:szCs w:val="20"/>
                <w:color w:val="auto"/>
              </w:rPr>
            </w:pPr>
            <w:r>
              <w:rPr>
                <w:rFonts w:ascii="Arial" w:cs="Arial" w:eastAsia="Arial" w:hAnsi="Arial"/>
                <w:sz w:val="14"/>
                <w:szCs w:val="14"/>
                <w:b w:val="1"/>
                <w:bCs w:val="1"/>
                <w:color w:val="auto"/>
                <w:w w:val="98"/>
              </w:rPr>
              <w:t>Mr. Mazurek</w:t>
            </w:r>
          </w:p>
        </w:tc>
        <w:tc>
          <w:tcPr>
            <w:tcW w:w="860" w:type="dxa"/>
            <w:vAlign w:val="bottom"/>
          </w:tcPr>
          <w:p>
            <w:pPr>
              <w:ind w:left="340"/>
              <w:spacing w:after="0"/>
              <w:rPr>
                <w:sz w:val="20"/>
                <w:szCs w:val="20"/>
                <w:color w:val="auto"/>
              </w:rPr>
            </w:pPr>
            <w:r>
              <w:rPr>
                <w:rFonts w:ascii="Arial" w:cs="Arial" w:eastAsia="Arial" w:hAnsi="Arial"/>
                <w:sz w:val="14"/>
                <w:szCs w:val="14"/>
                <w:color w:val="auto"/>
              </w:rPr>
              <w:t>485</w:t>
            </w:r>
          </w:p>
        </w:tc>
        <w:tc>
          <w:tcPr>
            <w:tcW w:w="980" w:type="dxa"/>
            <w:vAlign w:val="bottom"/>
          </w:tcPr>
          <w:p>
            <w:pPr>
              <w:ind w:left="300"/>
              <w:spacing w:after="0"/>
              <w:rPr>
                <w:sz w:val="20"/>
                <w:szCs w:val="20"/>
                <w:color w:val="auto"/>
              </w:rPr>
            </w:pPr>
            <w:r>
              <w:rPr>
                <w:rFonts w:ascii="Arial" w:cs="Arial" w:eastAsia="Arial" w:hAnsi="Arial"/>
                <w:sz w:val="14"/>
                <w:szCs w:val="14"/>
                <w:color w:val="auto"/>
              </w:rPr>
              <w:t>17,596</w:t>
            </w:r>
          </w:p>
        </w:tc>
        <w:tc>
          <w:tcPr>
            <w:tcW w:w="620" w:type="dxa"/>
            <w:vAlign w:val="bottom"/>
          </w:tcPr>
          <w:p>
            <w:pPr>
              <w:jc w:val="right"/>
              <w:ind w:right="5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17"/>
              <w:spacing w:after="0"/>
              <w:rPr>
                <w:sz w:val="20"/>
                <w:szCs w:val="20"/>
                <w:color w:val="auto"/>
              </w:rPr>
            </w:pPr>
            <w:r>
              <w:rPr>
                <w:rFonts w:ascii="Arial" w:cs="Arial" w:eastAsia="Arial" w:hAnsi="Arial"/>
                <w:sz w:val="14"/>
                <w:szCs w:val="14"/>
                <w:color w:val="auto"/>
              </w:rPr>
              <w:t>2,999</w:t>
            </w:r>
          </w:p>
        </w:tc>
        <w:tc>
          <w:tcPr>
            <w:tcW w:w="680" w:type="dxa"/>
            <w:vAlign w:val="bottom"/>
          </w:tcPr>
          <w:p>
            <w:pPr>
              <w:jc w:val="right"/>
              <w:ind w:right="95"/>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1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35"/>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7"/>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21,080</w:t>
            </w:r>
          </w:p>
        </w:tc>
        <w:tc>
          <w:tcPr>
            <w:tcW w:w="0" w:type="dxa"/>
            <w:vAlign w:val="bottom"/>
          </w:tcPr>
          <w:p>
            <w:pPr>
              <w:spacing w:after="0"/>
              <w:rPr>
                <w:sz w:val="1"/>
                <w:szCs w:val="1"/>
                <w:color w:val="auto"/>
              </w:rPr>
            </w:pPr>
          </w:p>
        </w:tc>
      </w:tr>
      <w:tr>
        <w:trPr>
          <w:trHeight w:val="40"/>
        </w:trPr>
        <w:tc>
          <w:tcPr>
            <w:tcW w:w="820" w:type="dxa"/>
            <w:vAlign w:val="bottom"/>
            <w:tcBorders>
              <w:bottom w:val="single" w:sz="8" w:color="6D8CC3"/>
            </w:tcBorders>
          </w:tcPr>
          <w:p>
            <w:pPr>
              <w:spacing w:after="0"/>
              <w:rPr>
                <w:sz w:val="3"/>
                <w:szCs w:val="3"/>
                <w:color w:val="auto"/>
              </w:rPr>
            </w:pPr>
          </w:p>
        </w:tc>
        <w:tc>
          <w:tcPr>
            <w:tcW w:w="860" w:type="dxa"/>
            <w:vAlign w:val="bottom"/>
            <w:tcBorders>
              <w:bottom w:val="single" w:sz="8" w:color="6D8CC3"/>
            </w:tcBorders>
          </w:tcPr>
          <w:p>
            <w:pPr>
              <w:spacing w:after="0"/>
              <w:rPr>
                <w:sz w:val="3"/>
                <w:szCs w:val="3"/>
                <w:color w:val="auto"/>
              </w:rPr>
            </w:pPr>
          </w:p>
        </w:tc>
        <w:tc>
          <w:tcPr>
            <w:tcW w:w="980" w:type="dxa"/>
            <w:vAlign w:val="bottom"/>
            <w:tcBorders>
              <w:bottom w:val="single" w:sz="8" w:color="6D8CC3"/>
            </w:tcBorders>
          </w:tcPr>
          <w:p>
            <w:pPr>
              <w:spacing w:after="0"/>
              <w:rPr>
                <w:sz w:val="3"/>
                <w:szCs w:val="3"/>
                <w:color w:val="auto"/>
              </w:rPr>
            </w:pPr>
          </w:p>
        </w:tc>
        <w:tc>
          <w:tcPr>
            <w:tcW w:w="620" w:type="dxa"/>
            <w:vAlign w:val="bottom"/>
            <w:tcBorders>
              <w:bottom w:val="single" w:sz="8" w:color="6D8CC3"/>
            </w:tcBorders>
          </w:tcPr>
          <w:p>
            <w:pPr>
              <w:spacing w:after="0"/>
              <w:rPr>
                <w:sz w:val="3"/>
                <w:szCs w:val="3"/>
                <w:color w:val="auto"/>
              </w:rPr>
            </w:pPr>
          </w:p>
        </w:tc>
        <w:tc>
          <w:tcPr>
            <w:tcW w:w="760" w:type="dxa"/>
            <w:vAlign w:val="bottom"/>
            <w:tcBorders>
              <w:bottom w:val="single" w:sz="8" w:color="6D8CC3"/>
            </w:tcBorders>
          </w:tcPr>
          <w:p>
            <w:pPr>
              <w:spacing w:after="0"/>
              <w:rPr>
                <w:sz w:val="3"/>
                <w:szCs w:val="3"/>
                <w:color w:val="auto"/>
              </w:rPr>
            </w:pPr>
          </w:p>
        </w:tc>
        <w:tc>
          <w:tcPr>
            <w:tcW w:w="680" w:type="dxa"/>
            <w:vAlign w:val="bottom"/>
            <w:tcBorders>
              <w:bottom w:val="single" w:sz="8" w:color="6D8CC3"/>
            </w:tcBorders>
          </w:tcPr>
          <w:p>
            <w:pPr>
              <w:spacing w:after="0"/>
              <w:rPr>
                <w:sz w:val="3"/>
                <w:szCs w:val="3"/>
                <w:color w:val="auto"/>
              </w:rPr>
            </w:pPr>
          </w:p>
        </w:tc>
        <w:tc>
          <w:tcPr>
            <w:tcW w:w="920" w:type="dxa"/>
            <w:vAlign w:val="bottom"/>
            <w:tcBorders>
              <w:bottom w:val="single" w:sz="8" w:color="6D8CC3"/>
            </w:tcBorders>
          </w:tcPr>
          <w:p>
            <w:pPr>
              <w:spacing w:after="0"/>
              <w:rPr>
                <w:sz w:val="3"/>
                <w:szCs w:val="3"/>
                <w:color w:val="auto"/>
              </w:rPr>
            </w:pPr>
          </w:p>
        </w:tc>
        <w:tc>
          <w:tcPr>
            <w:tcW w:w="760" w:type="dxa"/>
            <w:vAlign w:val="bottom"/>
            <w:tcBorders>
              <w:bottom w:val="single" w:sz="8" w:color="6D8CC3"/>
            </w:tcBorders>
          </w:tcPr>
          <w:p>
            <w:pPr>
              <w:spacing w:after="0"/>
              <w:rPr>
                <w:sz w:val="3"/>
                <w:szCs w:val="3"/>
                <w:color w:val="auto"/>
              </w:rPr>
            </w:pPr>
          </w:p>
        </w:tc>
        <w:tc>
          <w:tcPr>
            <w:tcW w:w="880" w:type="dxa"/>
            <w:vAlign w:val="bottom"/>
            <w:tcBorders>
              <w:bottom w:val="single" w:sz="8" w:color="6D8CC3"/>
            </w:tcBorders>
          </w:tcPr>
          <w:p>
            <w:pPr>
              <w:spacing w:after="0"/>
              <w:rPr>
                <w:sz w:val="3"/>
                <w:szCs w:val="3"/>
                <w:color w:val="auto"/>
              </w:rPr>
            </w:pPr>
          </w:p>
        </w:tc>
        <w:tc>
          <w:tcPr>
            <w:tcW w:w="740" w:type="dxa"/>
            <w:vAlign w:val="bottom"/>
            <w:tcBorders>
              <w:bottom w:val="single" w:sz="8" w:color="6D8CC3"/>
            </w:tcBorders>
          </w:tcPr>
          <w:p>
            <w:pPr>
              <w:spacing w:after="0"/>
              <w:rPr>
                <w:sz w:val="3"/>
                <w:szCs w:val="3"/>
                <w:color w:val="auto"/>
              </w:rPr>
            </w:pPr>
          </w:p>
        </w:tc>
        <w:tc>
          <w:tcPr>
            <w:tcW w:w="660" w:type="dxa"/>
            <w:vAlign w:val="bottom"/>
            <w:tcBorders>
              <w:bottom w:val="single" w:sz="8" w:color="6D8CC3"/>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820" w:type="dxa"/>
            <w:vAlign w:val="bottom"/>
          </w:tcPr>
          <w:p>
            <w:pPr>
              <w:spacing w:after="0"/>
              <w:rPr>
                <w:sz w:val="20"/>
                <w:szCs w:val="20"/>
                <w:color w:val="auto"/>
              </w:rPr>
            </w:pPr>
            <w:r>
              <w:rPr>
                <w:rFonts w:ascii="Arial" w:cs="Arial" w:eastAsia="Arial" w:hAnsi="Arial"/>
                <w:sz w:val="14"/>
                <w:szCs w:val="14"/>
                <w:b w:val="1"/>
                <w:bCs w:val="1"/>
                <w:color w:val="auto"/>
                <w:w w:val="99"/>
              </w:rPr>
              <w:t>Ms. Boswell</w:t>
            </w:r>
          </w:p>
        </w:tc>
        <w:tc>
          <w:tcPr>
            <w:tcW w:w="860" w:type="dxa"/>
            <w:vAlign w:val="bottom"/>
          </w:tcPr>
          <w:p>
            <w:pPr>
              <w:ind w:left="340"/>
              <w:spacing w:after="0"/>
              <w:rPr>
                <w:sz w:val="20"/>
                <w:szCs w:val="20"/>
                <w:color w:val="auto"/>
              </w:rPr>
            </w:pPr>
            <w:r>
              <w:rPr>
                <w:rFonts w:ascii="Arial" w:cs="Arial" w:eastAsia="Arial" w:hAnsi="Arial"/>
                <w:sz w:val="14"/>
                <w:szCs w:val="14"/>
                <w:color w:val="auto"/>
              </w:rPr>
              <w:t>112</w:t>
            </w:r>
          </w:p>
        </w:tc>
        <w:tc>
          <w:tcPr>
            <w:tcW w:w="980" w:type="dxa"/>
            <w:vAlign w:val="bottom"/>
          </w:tcPr>
          <w:p>
            <w:pPr>
              <w:ind w:left="300"/>
              <w:spacing w:after="0"/>
              <w:rPr>
                <w:sz w:val="20"/>
                <w:szCs w:val="20"/>
                <w:color w:val="auto"/>
              </w:rPr>
            </w:pPr>
            <w:r>
              <w:rPr>
                <w:rFonts w:ascii="Arial" w:cs="Arial" w:eastAsia="Arial" w:hAnsi="Arial"/>
                <w:sz w:val="14"/>
                <w:szCs w:val="14"/>
                <w:color w:val="auto"/>
              </w:rPr>
              <w:t>11,731</w:t>
            </w:r>
          </w:p>
        </w:tc>
        <w:tc>
          <w:tcPr>
            <w:tcW w:w="620" w:type="dxa"/>
            <w:vAlign w:val="bottom"/>
          </w:tcPr>
          <w:p>
            <w:pPr>
              <w:jc w:val="center"/>
              <w:spacing w:after="0"/>
              <w:rPr>
                <w:sz w:val="20"/>
                <w:szCs w:val="20"/>
                <w:color w:val="auto"/>
              </w:rPr>
            </w:pPr>
            <w:r>
              <w:rPr>
                <w:rFonts w:ascii="Arial" w:cs="Arial" w:eastAsia="Arial" w:hAnsi="Arial"/>
                <w:sz w:val="14"/>
                <w:szCs w:val="14"/>
                <w:color w:val="auto"/>
                <w:w w:val="97"/>
              </w:rPr>
              <w:t>14,000</w:t>
            </w:r>
          </w:p>
        </w:tc>
        <w:tc>
          <w:tcPr>
            <w:tcW w:w="760" w:type="dxa"/>
            <w:vAlign w:val="bottom"/>
          </w:tcPr>
          <w:p>
            <w:pPr>
              <w:jc w:val="right"/>
              <w:ind w:right="117"/>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95"/>
              <w:spacing w:after="0"/>
              <w:rPr>
                <w:sz w:val="20"/>
                <w:szCs w:val="20"/>
                <w:color w:val="auto"/>
              </w:rPr>
            </w:pPr>
            <w:r>
              <w:rPr>
                <w:rFonts w:ascii="Arial" w:cs="Arial" w:eastAsia="Arial" w:hAnsi="Arial"/>
                <w:sz w:val="14"/>
                <w:szCs w:val="14"/>
                <w:color w:val="auto"/>
              </w:rPr>
              <w:t>2,966</w:t>
            </w:r>
          </w:p>
        </w:tc>
        <w:tc>
          <w:tcPr>
            <w:tcW w:w="920" w:type="dxa"/>
            <w:vAlign w:val="bottom"/>
          </w:tcPr>
          <w:p>
            <w:pPr>
              <w:jc w:val="right"/>
              <w:ind w:right="198"/>
              <w:spacing w:after="0"/>
              <w:rPr>
                <w:sz w:val="20"/>
                <w:szCs w:val="20"/>
                <w:color w:val="auto"/>
              </w:rPr>
            </w:pPr>
            <w:r>
              <w:rPr>
                <w:rFonts w:ascii="Arial" w:cs="Arial" w:eastAsia="Arial" w:hAnsi="Arial"/>
                <w:sz w:val="14"/>
                <w:szCs w:val="14"/>
                <w:color w:val="auto"/>
              </w:rPr>
              <w:t>59,321</w:t>
            </w:r>
          </w:p>
        </w:tc>
        <w:tc>
          <w:tcPr>
            <w:tcW w:w="760" w:type="dxa"/>
            <w:vAlign w:val="bottom"/>
          </w:tcPr>
          <w:p>
            <w:pPr>
              <w:jc w:val="right"/>
              <w:ind w:right="5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35"/>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7"/>
              <w:spacing w:after="0"/>
              <w:rPr>
                <w:sz w:val="20"/>
                <w:szCs w:val="20"/>
                <w:color w:val="auto"/>
              </w:rPr>
            </w:pPr>
            <w:r>
              <w:rPr>
                <w:rFonts w:ascii="Arial" w:cs="Arial" w:eastAsia="Arial" w:hAnsi="Arial"/>
                <w:sz w:val="14"/>
                <w:szCs w:val="14"/>
                <w:color w:val="auto"/>
              </w:rPr>
              <w:t>3,175,086</w:t>
            </w:r>
          </w:p>
        </w:tc>
        <w:tc>
          <w:tcPr>
            <w:tcW w:w="660" w:type="dxa"/>
            <w:vAlign w:val="bottom"/>
          </w:tcPr>
          <w:p>
            <w:pPr>
              <w:ind w:left="40"/>
              <w:spacing w:after="0"/>
              <w:rPr>
                <w:sz w:val="20"/>
                <w:szCs w:val="20"/>
                <w:color w:val="auto"/>
              </w:rPr>
            </w:pPr>
            <w:r>
              <w:rPr>
                <w:rFonts w:ascii="Arial" w:cs="Arial" w:eastAsia="Arial" w:hAnsi="Arial"/>
                <w:sz w:val="14"/>
                <w:szCs w:val="14"/>
                <w:color w:val="auto"/>
                <w:w w:val="96"/>
              </w:rPr>
              <w:t>3,263,216</w:t>
            </w:r>
          </w:p>
        </w:tc>
        <w:tc>
          <w:tcPr>
            <w:tcW w:w="0" w:type="dxa"/>
            <w:vAlign w:val="bottom"/>
          </w:tcPr>
          <w:p>
            <w:pPr>
              <w:spacing w:after="0"/>
              <w:rPr>
                <w:sz w:val="1"/>
                <w:szCs w:val="1"/>
                <w:color w:val="auto"/>
              </w:rPr>
            </w:pPr>
          </w:p>
        </w:tc>
      </w:tr>
      <w:tr>
        <w:trPr>
          <w:trHeight w:val="40"/>
        </w:trPr>
        <w:tc>
          <w:tcPr>
            <w:tcW w:w="820" w:type="dxa"/>
            <w:vAlign w:val="bottom"/>
            <w:tcBorders>
              <w:bottom w:val="single" w:sz="8" w:color="6D8CC3"/>
            </w:tcBorders>
          </w:tcPr>
          <w:p>
            <w:pPr>
              <w:spacing w:after="0"/>
              <w:rPr>
                <w:sz w:val="3"/>
                <w:szCs w:val="3"/>
                <w:color w:val="auto"/>
              </w:rPr>
            </w:pPr>
          </w:p>
        </w:tc>
        <w:tc>
          <w:tcPr>
            <w:tcW w:w="860" w:type="dxa"/>
            <w:vAlign w:val="bottom"/>
            <w:tcBorders>
              <w:bottom w:val="single" w:sz="8" w:color="6D8CC3"/>
            </w:tcBorders>
          </w:tcPr>
          <w:p>
            <w:pPr>
              <w:spacing w:after="0"/>
              <w:rPr>
                <w:sz w:val="3"/>
                <w:szCs w:val="3"/>
                <w:color w:val="auto"/>
              </w:rPr>
            </w:pPr>
          </w:p>
        </w:tc>
        <w:tc>
          <w:tcPr>
            <w:tcW w:w="980" w:type="dxa"/>
            <w:vAlign w:val="bottom"/>
            <w:tcBorders>
              <w:bottom w:val="single" w:sz="8" w:color="6D8CC3"/>
            </w:tcBorders>
          </w:tcPr>
          <w:p>
            <w:pPr>
              <w:spacing w:after="0"/>
              <w:rPr>
                <w:sz w:val="3"/>
                <w:szCs w:val="3"/>
                <w:color w:val="auto"/>
              </w:rPr>
            </w:pPr>
          </w:p>
        </w:tc>
        <w:tc>
          <w:tcPr>
            <w:tcW w:w="620" w:type="dxa"/>
            <w:vAlign w:val="bottom"/>
            <w:tcBorders>
              <w:bottom w:val="single" w:sz="8" w:color="6D8CC3"/>
            </w:tcBorders>
          </w:tcPr>
          <w:p>
            <w:pPr>
              <w:spacing w:after="0"/>
              <w:rPr>
                <w:sz w:val="3"/>
                <w:szCs w:val="3"/>
                <w:color w:val="auto"/>
              </w:rPr>
            </w:pPr>
          </w:p>
        </w:tc>
        <w:tc>
          <w:tcPr>
            <w:tcW w:w="760" w:type="dxa"/>
            <w:vAlign w:val="bottom"/>
            <w:tcBorders>
              <w:bottom w:val="single" w:sz="8" w:color="6D8CC3"/>
            </w:tcBorders>
          </w:tcPr>
          <w:p>
            <w:pPr>
              <w:spacing w:after="0"/>
              <w:rPr>
                <w:sz w:val="3"/>
                <w:szCs w:val="3"/>
                <w:color w:val="auto"/>
              </w:rPr>
            </w:pPr>
          </w:p>
        </w:tc>
        <w:tc>
          <w:tcPr>
            <w:tcW w:w="680" w:type="dxa"/>
            <w:vAlign w:val="bottom"/>
            <w:tcBorders>
              <w:bottom w:val="single" w:sz="8" w:color="6D8CC3"/>
            </w:tcBorders>
          </w:tcPr>
          <w:p>
            <w:pPr>
              <w:spacing w:after="0"/>
              <w:rPr>
                <w:sz w:val="3"/>
                <w:szCs w:val="3"/>
                <w:color w:val="auto"/>
              </w:rPr>
            </w:pPr>
          </w:p>
        </w:tc>
        <w:tc>
          <w:tcPr>
            <w:tcW w:w="920" w:type="dxa"/>
            <w:vAlign w:val="bottom"/>
            <w:tcBorders>
              <w:bottom w:val="single" w:sz="8" w:color="6D8CC3"/>
            </w:tcBorders>
          </w:tcPr>
          <w:p>
            <w:pPr>
              <w:spacing w:after="0"/>
              <w:rPr>
                <w:sz w:val="3"/>
                <w:szCs w:val="3"/>
                <w:color w:val="auto"/>
              </w:rPr>
            </w:pPr>
          </w:p>
        </w:tc>
        <w:tc>
          <w:tcPr>
            <w:tcW w:w="760" w:type="dxa"/>
            <w:vAlign w:val="bottom"/>
            <w:tcBorders>
              <w:bottom w:val="single" w:sz="8" w:color="6D8CC3"/>
            </w:tcBorders>
          </w:tcPr>
          <w:p>
            <w:pPr>
              <w:spacing w:after="0"/>
              <w:rPr>
                <w:sz w:val="3"/>
                <w:szCs w:val="3"/>
                <w:color w:val="auto"/>
              </w:rPr>
            </w:pPr>
          </w:p>
        </w:tc>
        <w:tc>
          <w:tcPr>
            <w:tcW w:w="880" w:type="dxa"/>
            <w:vAlign w:val="bottom"/>
            <w:tcBorders>
              <w:bottom w:val="single" w:sz="8" w:color="6D8CC3"/>
            </w:tcBorders>
          </w:tcPr>
          <w:p>
            <w:pPr>
              <w:spacing w:after="0"/>
              <w:rPr>
                <w:sz w:val="3"/>
                <w:szCs w:val="3"/>
                <w:color w:val="auto"/>
              </w:rPr>
            </w:pPr>
          </w:p>
        </w:tc>
        <w:tc>
          <w:tcPr>
            <w:tcW w:w="740" w:type="dxa"/>
            <w:vAlign w:val="bottom"/>
            <w:tcBorders>
              <w:bottom w:val="single" w:sz="8" w:color="6D8CC3"/>
            </w:tcBorders>
          </w:tcPr>
          <w:p>
            <w:pPr>
              <w:spacing w:after="0"/>
              <w:rPr>
                <w:sz w:val="3"/>
                <w:szCs w:val="3"/>
                <w:color w:val="auto"/>
              </w:rPr>
            </w:pPr>
          </w:p>
        </w:tc>
        <w:tc>
          <w:tcPr>
            <w:tcW w:w="660" w:type="dxa"/>
            <w:vAlign w:val="bottom"/>
            <w:tcBorders>
              <w:bottom w:val="single" w:sz="8" w:color="6D8CC3"/>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820" w:type="dxa"/>
            <w:vAlign w:val="bottom"/>
          </w:tcPr>
          <w:p>
            <w:pPr>
              <w:spacing w:after="0"/>
              <w:rPr>
                <w:sz w:val="20"/>
                <w:szCs w:val="20"/>
                <w:color w:val="auto"/>
              </w:rPr>
            </w:pPr>
            <w:r>
              <w:rPr>
                <w:rFonts w:ascii="Arial" w:cs="Arial" w:eastAsia="Arial" w:hAnsi="Arial"/>
                <w:sz w:val="14"/>
                <w:szCs w:val="14"/>
                <w:b w:val="1"/>
                <w:bCs w:val="1"/>
                <w:color w:val="auto"/>
              </w:rPr>
              <w:t>Mr. Wu</w:t>
            </w:r>
          </w:p>
        </w:tc>
        <w:tc>
          <w:tcPr>
            <w:tcW w:w="860" w:type="dxa"/>
            <w:vAlign w:val="bottom"/>
          </w:tcPr>
          <w:p>
            <w:pPr>
              <w:ind w:left="340"/>
              <w:spacing w:after="0"/>
              <w:rPr>
                <w:sz w:val="20"/>
                <w:szCs w:val="20"/>
                <w:color w:val="auto"/>
              </w:rPr>
            </w:pPr>
            <w:r>
              <w:rPr>
                <w:rFonts w:ascii="Arial" w:cs="Arial" w:eastAsia="Arial" w:hAnsi="Arial"/>
                <w:sz w:val="14"/>
                <w:szCs w:val="14"/>
                <w:color w:val="auto"/>
              </w:rPr>
              <w:t>487</w:t>
            </w:r>
          </w:p>
        </w:tc>
        <w:tc>
          <w:tcPr>
            <w:tcW w:w="980" w:type="dxa"/>
            <w:vAlign w:val="bottom"/>
          </w:tcPr>
          <w:p>
            <w:pPr>
              <w:ind w:left="300"/>
              <w:spacing w:after="0"/>
              <w:rPr>
                <w:sz w:val="20"/>
                <w:szCs w:val="20"/>
                <w:color w:val="auto"/>
              </w:rPr>
            </w:pPr>
            <w:r>
              <w:rPr>
                <w:rFonts w:ascii="Arial" w:cs="Arial" w:eastAsia="Arial" w:hAnsi="Arial"/>
                <w:sz w:val="14"/>
                <w:szCs w:val="14"/>
                <w:color w:val="auto"/>
              </w:rPr>
              <w:t>17,500</w:t>
            </w:r>
          </w:p>
        </w:tc>
        <w:tc>
          <w:tcPr>
            <w:tcW w:w="620" w:type="dxa"/>
            <w:vAlign w:val="bottom"/>
          </w:tcPr>
          <w:p>
            <w:pPr>
              <w:jc w:val="right"/>
              <w:ind w:right="58"/>
              <w:spacing w:after="0"/>
              <w:rPr>
                <w:sz w:val="20"/>
                <w:szCs w:val="20"/>
                <w:color w:val="auto"/>
              </w:rPr>
            </w:pPr>
            <w:r>
              <w:rPr>
                <w:rFonts w:ascii="Arial" w:cs="Arial" w:eastAsia="Arial" w:hAnsi="Arial"/>
                <w:sz w:val="14"/>
                <w:szCs w:val="14"/>
                <w:color w:val="auto"/>
              </w:rPr>
              <w:t>6,774</w:t>
            </w:r>
          </w:p>
        </w:tc>
        <w:tc>
          <w:tcPr>
            <w:tcW w:w="760" w:type="dxa"/>
            <w:vAlign w:val="bottom"/>
          </w:tcPr>
          <w:p>
            <w:pPr>
              <w:jc w:val="right"/>
              <w:ind w:right="117"/>
              <w:spacing w:after="0"/>
              <w:rPr>
                <w:sz w:val="20"/>
                <w:szCs w:val="20"/>
                <w:color w:val="auto"/>
              </w:rPr>
            </w:pPr>
            <w:r>
              <w:rPr>
                <w:rFonts w:ascii="Arial" w:cs="Arial" w:eastAsia="Arial" w:hAnsi="Arial"/>
                <w:sz w:val="14"/>
                <w:szCs w:val="14"/>
                <w:color w:val="auto"/>
              </w:rPr>
              <w:t>2,999</w:t>
            </w:r>
          </w:p>
        </w:tc>
        <w:tc>
          <w:tcPr>
            <w:tcW w:w="680" w:type="dxa"/>
            <w:vAlign w:val="bottom"/>
          </w:tcPr>
          <w:p>
            <w:pPr>
              <w:jc w:val="right"/>
              <w:ind w:right="95"/>
              <w:spacing w:after="0"/>
              <w:rPr>
                <w:sz w:val="20"/>
                <w:szCs w:val="20"/>
                <w:color w:val="auto"/>
              </w:rPr>
            </w:pPr>
            <w:r>
              <w:rPr>
                <w:rFonts w:ascii="Arial" w:cs="Arial" w:eastAsia="Arial" w:hAnsi="Arial"/>
                <w:sz w:val="14"/>
                <w:szCs w:val="14"/>
                <w:color w:val="auto"/>
              </w:rPr>
              <w:t>3,107</w:t>
            </w:r>
          </w:p>
        </w:tc>
        <w:tc>
          <w:tcPr>
            <w:tcW w:w="920" w:type="dxa"/>
            <w:vAlign w:val="bottom"/>
          </w:tcPr>
          <w:p>
            <w:pPr>
              <w:jc w:val="right"/>
              <w:ind w:right="21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35"/>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7"/>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30,867</w:t>
            </w:r>
          </w:p>
        </w:tc>
        <w:tc>
          <w:tcPr>
            <w:tcW w:w="0" w:type="dxa"/>
            <w:vAlign w:val="bottom"/>
          </w:tcPr>
          <w:p>
            <w:pPr>
              <w:spacing w:after="0"/>
              <w:rPr>
                <w:sz w:val="1"/>
                <w:szCs w:val="1"/>
                <w:color w:val="auto"/>
              </w:rPr>
            </w:pPr>
          </w:p>
        </w:tc>
      </w:tr>
      <w:tr>
        <w:trPr>
          <w:trHeight w:val="27"/>
        </w:trPr>
        <w:tc>
          <w:tcPr>
            <w:tcW w:w="820" w:type="dxa"/>
            <w:vAlign w:val="bottom"/>
            <w:tcBorders>
              <w:bottom w:val="single" w:sz="8" w:color="6D8CC3"/>
            </w:tcBorders>
          </w:tcPr>
          <w:p>
            <w:pPr>
              <w:spacing w:after="0"/>
              <w:rPr>
                <w:sz w:val="2"/>
                <w:szCs w:val="2"/>
                <w:color w:val="auto"/>
              </w:rPr>
            </w:pPr>
          </w:p>
        </w:tc>
        <w:tc>
          <w:tcPr>
            <w:tcW w:w="860" w:type="dxa"/>
            <w:vAlign w:val="bottom"/>
            <w:tcBorders>
              <w:bottom w:val="single" w:sz="8" w:color="6D8CC3"/>
            </w:tcBorders>
          </w:tcPr>
          <w:p>
            <w:pPr>
              <w:spacing w:after="0"/>
              <w:rPr>
                <w:sz w:val="2"/>
                <w:szCs w:val="2"/>
                <w:color w:val="auto"/>
              </w:rPr>
            </w:pPr>
          </w:p>
        </w:tc>
        <w:tc>
          <w:tcPr>
            <w:tcW w:w="980" w:type="dxa"/>
            <w:vAlign w:val="bottom"/>
            <w:tcBorders>
              <w:bottom w:val="single" w:sz="8" w:color="6D8CC3"/>
            </w:tcBorders>
          </w:tcPr>
          <w:p>
            <w:pPr>
              <w:spacing w:after="0"/>
              <w:rPr>
                <w:sz w:val="2"/>
                <w:szCs w:val="2"/>
                <w:color w:val="auto"/>
              </w:rPr>
            </w:pPr>
          </w:p>
        </w:tc>
        <w:tc>
          <w:tcPr>
            <w:tcW w:w="620" w:type="dxa"/>
            <w:vAlign w:val="bottom"/>
            <w:tcBorders>
              <w:bottom w:val="single" w:sz="8" w:color="6D8CC3"/>
            </w:tcBorders>
          </w:tcPr>
          <w:p>
            <w:pPr>
              <w:spacing w:after="0"/>
              <w:rPr>
                <w:sz w:val="2"/>
                <w:szCs w:val="2"/>
                <w:color w:val="auto"/>
              </w:rPr>
            </w:pPr>
          </w:p>
        </w:tc>
        <w:tc>
          <w:tcPr>
            <w:tcW w:w="760" w:type="dxa"/>
            <w:vAlign w:val="bottom"/>
            <w:tcBorders>
              <w:bottom w:val="single" w:sz="8" w:color="6D8CC3"/>
            </w:tcBorders>
          </w:tcPr>
          <w:p>
            <w:pPr>
              <w:spacing w:after="0"/>
              <w:rPr>
                <w:sz w:val="2"/>
                <w:szCs w:val="2"/>
                <w:color w:val="auto"/>
              </w:rPr>
            </w:pPr>
          </w:p>
        </w:tc>
        <w:tc>
          <w:tcPr>
            <w:tcW w:w="680" w:type="dxa"/>
            <w:vAlign w:val="bottom"/>
            <w:tcBorders>
              <w:bottom w:val="single" w:sz="8" w:color="6D8CC3"/>
            </w:tcBorders>
          </w:tcPr>
          <w:p>
            <w:pPr>
              <w:spacing w:after="0"/>
              <w:rPr>
                <w:sz w:val="2"/>
                <w:szCs w:val="2"/>
                <w:color w:val="auto"/>
              </w:rPr>
            </w:pPr>
          </w:p>
        </w:tc>
        <w:tc>
          <w:tcPr>
            <w:tcW w:w="920" w:type="dxa"/>
            <w:vAlign w:val="bottom"/>
            <w:tcBorders>
              <w:bottom w:val="single" w:sz="8" w:color="6D8CC3"/>
            </w:tcBorders>
          </w:tcPr>
          <w:p>
            <w:pPr>
              <w:spacing w:after="0"/>
              <w:rPr>
                <w:sz w:val="2"/>
                <w:szCs w:val="2"/>
                <w:color w:val="auto"/>
              </w:rPr>
            </w:pPr>
          </w:p>
        </w:tc>
        <w:tc>
          <w:tcPr>
            <w:tcW w:w="760" w:type="dxa"/>
            <w:vAlign w:val="bottom"/>
            <w:tcBorders>
              <w:bottom w:val="single" w:sz="8" w:color="6D8CC3"/>
            </w:tcBorders>
          </w:tcPr>
          <w:p>
            <w:pPr>
              <w:spacing w:after="0"/>
              <w:rPr>
                <w:sz w:val="2"/>
                <w:szCs w:val="2"/>
                <w:color w:val="auto"/>
              </w:rPr>
            </w:pPr>
          </w:p>
        </w:tc>
        <w:tc>
          <w:tcPr>
            <w:tcW w:w="880" w:type="dxa"/>
            <w:vAlign w:val="bottom"/>
            <w:tcBorders>
              <w:bottom w:val="single" w:sz="8" w:color="6D8CC3"/>
            </w:tcBorders>
          </w:tcPr>
          <w:p>
            <w:pPr>
              <w:spacing w:after="0"/>
              <w:rPr>
                <w:sz w:val="2"/>
                <w:szCs w:val="2"/>
                <w:color w:val="auto"/>
              </w:rPr>
            </w:pPr>
          </w:p>
        </w:tc>
        <w:tc>
          <w:tcPr>
            <w:tcW w:w="740" w:type="dxa"/>
            <w:vAlign w:val="bottom"/>
            <w:tcBorders>
              <w:bottom w:val="single" w:sz="8" w:color="6D8CC3"/>
            </w:tcBorders>
          </w:tcPr>
          <w:p>
            <w:pPr>
              <w:spacing w:after="0"/>
              <w:rPr>
                <w:sz w:val="2"/>
                <w:szCs w:val="2"/>
                <w:color w:val="auto"/>
              </w:rPr>
            </w:pPr>
          </w:p>
        </w:tc>
        <w:tc>
          <w:tcPr>
            <w:tcW w:w="660" w:type="dxa"/>
            <w:vAlign w:val="bottom"/>
            <w:tcBorders>
              <w:bottom w:val="single" w:sz="8" w:color="6D8CC3"/>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620" w:right="80" w:hanging="266"/>
        <w:spacing w:after="0" w:line="238" w:lineRule="auto"/>
        <w:tabs>
          <w:tab w:leader="none" w:pos="620" w:val="left"/>
        </w:tabs>
        <w:numPr>
          <w:ilvl w:val="1"/>
          <w:numId w:val="71"/>
        </w:numPr>
        <w:rPr>
          <w:rFonts w:ascii="Arial" w:cs="Arial" w:eastAsia="Arial" w:hAnsi="Arial"/>
          <w:sz w:val="14"/>
          <w:szCs w:val="14"/>
          <w:color w:val="auto"/>
        </w:rPr>
      </w:pPr>
      <w:r>
        <w:rPr>
          <w:rFonts w:ascii="Arial" w:cs="Arial" w:eastAsia="Arial" w:hAnsi="Arial"/>
          <w:sz w:val="14"/>
          <w:szCs w:val="14"/>
          <w:color w:val="auto"/>
        </w:rPr>
        <w:t>The Company contracts with a private jet service for senior management business travel. During fiscal 2025, the HCC Committee approved the use of the contracted private jet service for personal purposes by Ms. Boswell, and in connection with his appointment as Chief Executive Officer, Mr. Heaf, to ensure safety and security and promote the efficient and effective use of their time while traveling. The use of contracted private jet service also provides the Company’s Chief Executive Officer with an environment that permits the Chief Executive Officer to perform confidential work while traveling for personal purposes, which would otherwise be impossible on commercial aircraft. Mr. Heaf did not use the contracted private jet service for personal purposes in fiscal 2025. Ms. Boswell did use the contracted private jet service for personal purposes in fiscal 2025, and her spouse accompanied her on one flight. We do not cover, reimburse or otherwise gross-up the income taxes owed for personal use of corporate aircraft or the contracted private jet service. The Company calculates the aggregate incremental cost to the Company based on the invoiced fees from NetJets for each personal flight, which includes variable charges such as fuel and flight hours and excludes certain fixed leasing and management fees charged by NetJets on a monthly basis.</w:t>
      </w:r>
    </w:p>
    <w:p>
      <w:pPr>
        <w:spacing w:after="0" w:line="40" w:lineRule="exact"/>
        <w:rPr>
          <w:rFonts w:ascii="Arial" w:cs="Arial" w:eastAsia="Arial" w:hAnsi="Arial"/>
          <w:sz w:val="14"/>
          <w:szCs w:val="14"/>
          <w:color w:val="auto"/>
        </w:rPr>
      </w:pPr>
    </w:p>
    <w:p>
      <w:pPr>
        <w:ind w:left="620" w:right="100" w:hanging="266"/>
        <w:spacing w:after="0" w:line="239" w:lineRule="auto"/>
        <w:tabs>
          <w:tab w:leader="none" w:pos="620" w:val="left"/>
        </w:tabs>
        <w:numPr>
          <w:ilvl w:val="1"/>
          <w:numId w:val="71"/>
        </w:numPr>
        <w:rPr>
          <w:rFonts w:ascii="Arial" w:cs="Arial" w:eastAsia="Arial" w:hAnsi="Arial"/>
          <w:sz w:val="14"/>
          <w:szCs w:val="14"/>
          <w:color w:val="auto"/>
        </w:rPr>
      </w:pPr>
      <w:r>
        <w:rPr>
          <w:rFonts w:ascii="Arial" w:cs="Arial" w:eastAsia="Arial" w:hAnsi="Arial"/>
          <w:sz w:val="14"/>
          <w:szCs w:val="14"/>
          <w:color w:val="auto"/>
        </w:rPr>
        <w:t>In connection with trips to and from the Company’s headquarters in Columbus, Ohio during her service as Chief Financial Officer of the Company prior to Ms. Boratto’s relocation to Columbus, Ohio on or prior to June 30, 2025, pursuant to the terms of her offer letter, Ms. Boratto is provided an annual stipend in the amount of $130,000 to offset travel and lodging expenses. The Company entered into an updated offer letter on July 21, 2025 (“Updated Offer Letter”) where she is no longer required to relocate to Columbus, Ohio.</w:t>
      </w:r>
    </w:p>
    <w:p>
      <w:pPr>
        <w:spacing w:after="0" w:line="2" w:lineRule="exact"/>
        <w:rPr>
          <w:rFonts w:ascii="Arial" w:cs="Arial" w:eastAsia="Arial" w:hAnsi="Arial"/>
          <w:sz w:val="14"/>
          <w:szCs w:val="14"/>
          <w:color w:val="auto"/>
        </w:rPr>
      </w:pPr>
    </w:p>
    <w:p>
      <w:pPr>
        <w:ind w:left="620"/>
        <w:spacing w:after="0"/>
        <w:rPr>
          <w:rFonts w:ascii="Arial" w:cs="Arial" w:eastAsia="Arial" w:hAnsi="Arial"/>
          <w:sz w:val="14"/>
          <w:szCs w:val="14"/>
          <w:color w:val="auto"/>
        </w:rPr>
      </w:pPr>
      <w:r>
        <w:rPr>
          <w:rFonts w:ascii="Arial" w:cs="Arial" w:eastAsia="Arial" w:hAnsi="Arial"/>
          <w:sz w:val="14"/>
          <w:szCs w:val="14"/>
          <w:color w:val="auto"/>
        </w:rPr>
        <w:t>Ms. Boratto’s annual stipend ended on June 30, 2025.</w:t>
      </w:r>
    </w:p>
    <w:p>
      <w:pPr>
        <w:spacing w:after="0" w:line="47" w:lineRule="exact"/>
        <w:rPr>
          <w:rFonts w:ascii="Arial" w:cs="Arial" w:eastAsia="Arial" w:hAnsi="Arial"/>
          <w:sz w:val="14"/>
          <w:szCs w:val="14"/>
          <w:color w:val="auto"/>
        </w:rPr>
      </w:pPr>
    </w:p>
    <w:p>
      <w:pPr>
        <w:ind w:left="620" w:right="120"/>
        <w:spacing w:after="0" w:line="246" w:lineRule="auto"/>
        <w:rPr>
          <w:rFonts w:ascii="Arial" w:cs="Arial" w:eastAsia="Arial" w:hAnsi="Arial"/>
          <w:sz w:val="14"/>
          <w:szCs w:val="14"/>
          <w:color w:val="auto"/>
        </w:rPr>
      </w:pPr>
      <w:r>
        <w:rPr>
          <w:rFonts w:ascii="Arial" w:cs="Arial" w:eastAsia="Arial" w:hAnsi="Arial"/>
          <w:sz w:val="14"/>
          <w:szCs w:val="14"/>
          <w:color w:val="auto"/>
        </w:rPr>
        <w:t xml:space="preserve">Mr. Heaf received an annualized travel stipend of $200,000 prorated for a partial year of service due to temporary family obligations he continues to have in his current home region. This benefit will cease on the date of his permanent relocation to Columbus, Ohio but no later than June 30, 2027. See “—Compensation Discussion and Analysis—Compensation for NEOs—Compensation Components— Other Benefits and Perquisites—Perquisites” beginning on page </w:t>
      </w:r>
      <w:r>
        <w:rPr>
          <w:rFonts w:ascii="Arial" w:cs="Arial" w:eastAsia="Arial" w:hAnsi="Arial"/>
          <w:sz w:val="14"/>
          <w:szCs w:val="14"/>
          <w:u w:val="single" w:color="auto"/>
          <w:color w:val="0000EE"/>
        </w:rPr>
        <w:t>40</w:t>
      </w:r>
      <w:r>
        <w:rPr>
          <w:rFonts w:ascii="Arial" w:cs="Arial" w:eastAsia="Arial" w:hAnsi="Arial"/>
          <w:sz w:val="14"/>
          <w:szCs w:val="14"/>
          <w:color w:val="auto"/>
        </w:rPr>
        <w:t xml:space="preserve"> of this proxy statement for additional information.</w:t>
      </w:r>
    </w:p>
    <w:p>
      <w:pPr>
        <w:spacing w:after="0" w:line="48" w:lineRule="exact"/>
        <w:rPr>
          <w:rFonts w:ascii="Arial" w:cs="Arial" w:eastAsia="Arial" w:hAnsi="Arial"/>
          <w:sz w:val="14"/>
          <w:szCs w:val="14"/>
          <w:color w:val="auto"/>
        </w:rPr>
      </w:pPr>
    </w:p>
    <w:p>
      <w:pPr>
        <w:ind w:left="620" w:right="60" w:hanging="266"/>
        <w:spacing w:after="0" w:line="246" w:lineRule="auto"/>
        <w:tabs>
          <w:tab w:leader="none" w:pos="620" w:val="left"/>
        </w:tabs>
        <w:numPr>
          <w:ilvl w:val="1"/>
          <w:numId w:val="71"/>
        </w:numPr>
        <w:rPr>
          <w:rFonts w:ascii="Arial" w:cs="Arial" w:eastAsia="Arial" w:hAnsi="Arial"/>
          <w:sz w:val="14"/>
          <w:szCs w:val="14"/>
          <w:color w:val="auto"/>
        </w:rPr>
      </w:pPr>
      <w:r>
        <w:rPr>
          <w:rFonts w:ascii="Arial" w:cs="Arial" w:eastAsia="Arial" w:hAnsi="Arial"/>
          <w:sz w:val="14"/>
          <w:szCs w:val="14"/>
          <w:color w:val="auto"/>
        </w:rPr>
        <w:t>Per the terms of the Updated Offer Letter, the Company agreed to extend to Ms. Boratto a partial relocation including 6 months of temporary housing that would end on December 31, 2025. Ms. Boratto is still required to be in the offices an average of three days a week in Columbus, Ohio and will be responsible for any travel expenses. Thus, Ms. Boratto’s stipend and relocation benefits have since expired.</w:t>
      </w:r>
    </w:p>
    <w:p>
      <w:pPr>
        <w:spacing w:after="0" w:line="34" w:lineRule="exact"/>
        <w:rPr>
          <w:rFonts w:ascii="Arial" w:cs="Arial" w:eastAsia="Arial" w:hAnsi="Arial"/>
          <w:sz w:val="14"/>
          <w:szCs w:val="14"/>
          <w:color w:val="auto"/>
        </w:rPr>
      </w:pPr>
    </w:p>
    <w:p>
      <w:pPr>
        <w:ind w:left="620" w:right="40"/>
        <w:spacing w:after="0" w:line="241" w:lineRule="auto"/>
        <w:rPr>
          <w:rFonts w:ascii="Arial" w:cs="Arial" w:eastAsia="Arial" w:hAnsi="Arial"/>
          <w:sz w:val="14"/>
          <w:szCs w:val="14"/>
          <w:color w:val="auto"/>
        </w:rPr>
      </w:pPr>
      <w:r>
        <w:rPr>
          <w:rFonts w:ascii="Arial" w:cs="Arial" w:eastAsia="Arial" w:hAnsi="Arial"/>
          <w:sz w:val="14"/>
          <w:szCs w:val="14"/>
          <w:color w:val="auto"/>
        </w:rPr>
        <w:t xml:space="preserve">As a condition to Mr. Heaf’s employment, he is required to perform a significant portion of his duties from the Company’s Columbus, Ohio headquarters and to relocate to the Columbus, Ohio region no later than June 30, 2027. Per the terms of his offer letter, Mr. Heaf has relocation benefits per the term’s of the Company’s relocation policy, including 6 months of temporary housing, and the benefits shall apply to Mr. Heaf’s relocation occurring prior to June 30, 2027. See “—Compensation Discussion and Analysis—Compensation for NEOs—Compensation Components—Other Benefits and Perquisites—Perquisites” beginning on page </w:t>
      </w:r>
      <w:r>
        <w:rPr>
          <w:rFonts w:ascii="Arial" w:cs="Arial" w:eastAsia="Arial" w:hAnsi="Arial"/>
          <w:sz w:val="14"/>
          <w:szCs w:val="14"/>
          <w:u w:val="single" w:color="auto"/>
          <w:color w:val="0000EE"/>
        </w:rPr>
        <w:t>40</w:t>
      </w:r>
      <w:r>
        <w:rPr>
          <w:rFonts w:ascii="Arial" w:cs="Arial" w:eastAsia="Arial" w:hAnsi="Arial"/>
          <w:sz w:val="14"/>
          <w:szCs w:val="14"/>
          <w:color w:val="auto"/>
        </w:rPr>
        <w:t xml:space="preserve"> of this proxy statement for additional information.</w:t>
      </w:r>
    </w:p>
    <w:p>
      <w:pPr>
        <w:spacing w:after="0" w:line="39" w:lineRule="exact"/>
        <w:rPr>
          <w:rFonts w:ascii="Arial" w:cs="Arial" w:eastAsia="Arial" w:hAnsi="Arial"/>
          <w:sz w:val="14"/>
          <w:szCs w:val="14"/>
          <w:color w:val="auto"/>
        </w:rPr>
      </w:pPr>
    </w:p>
    <w:p>
      <w:pPr>
        <w:ind w:left="620" w:right="260" w:hanging="266"/>
        <w:spacing w:after="0" w:line="252" w:lineRule="auto"/>
        <w:tabs>
          <w:tab w:leader="none" w:pos="620" w:val="left"/>
        </w:tabs>
        <w:numPr>
          <w:ilvl w:val="1"/>
          <w:numId w:val="71"/>
        </w:numPr>
        <w:rPr>
          <w:rFonts w:ascii="Arial" w:cs="Arial" w:eastAsia="Arial" w:hAnsi="Arial"/>
          <w:sz w:val="14"/>
          <w:szCs w:val="14"/>
          <w:color w:val="auto"/>
        </w:rPr>
      </w:pPr>
      <w:r>
        <w:rPr>
          <w:rFonts w:ascii="Arial" w:cs="Arial" w:eastAsia="Arial" w:hAnsi="Arial"/>
          <w:sz w:val="14"/>
          <w:szCs w:val="14"/>
          <w:color w:val="auto"/>
        </w:rPr>
        <w:t xml:space="preserve">Represents payments to Ms. Boswell pursuant to her severance agreement in connection with her termination of employment. For additional details regarding Ms. Boswell’s separation agreement, see “—Compensation Discussion and Analysis—Compensation for NEOs—Severance and Change in Control Agreements” beginning on page </w:t>
      </w:r>
      <w:r>
        <w:rPr>
          <w:rFonts w:ascii="Arial" w:cs="Arial" w:eastAsia="Arial" w:hAnsi="Arial"/>
          <w:sz w:val="14"/>
          <w:szCs w:val="14"/>
          <w:u w:val="single" w:color="auto"/>
          <w:color w:val="0000EE"/>
        </w:rPr>
        <w:t>51</w:t>
      </w:r>
      <w:r>
        <w:rPr>
          <w:rFonts w:ascii="Arial" w:cs="Arial" w:eastAsia="Arial" w:hAnsi="Arial"/>
          <w:sz w:val="14"/>
          <w:szCs w:val="14"/>
          <w:color w:val="auto"/>
        </w:rPr>
        <w:t xml:space="preserve"> of this proxy statement.</w:t>
      </w:r>
    </w:p>
    <w:p>
      <w:pPr>
        <w:spacing w:after="0" w:line="43" w:lineRule="exact"/>
        <w:rPr>
          <w:rFonts w:ascii="Arial" w:cs="Arial" w:eastAsia="Arial" w:hAnsi="Arial"/>
          <w:sz w:val="14"/>
          <w:szCs w:val="14"/>
          <w:color w:val="auto"/>
        </w:rPr>
      </w:pPr>
    </w:p>
    <w:p>
      <w:pPr>
        <w:ind w:left="260" w:right="260" w:hanging="256"/>
        <w:spacing w:after="0" w:line="269" w:lineRule="auto"/>
        <w:tabs>
          <w:tab w:leader="none" w:pos="260" w:val="left"/>
        </w:tabs>
        <w:numPr>
          <w:ilvl w:val="0"/>
          <w:numId w:val="72"/>
        </w:numPr>
        <w:rPr>
          <w:rFonts w:ascii="Arial" w:cs="Arial" w:eastAsia="Arial" w:hAnsi="Arial"/>
          <w:sz w:val="14"/>
          <w:szCs w:val="14"/>
          <w:color w:val="auto"/>
        </w:rPr>
      </w:pPr>
      <w:r>
        <w:rPr>
          <w:rFonts w:ascii="Arial" w:cs="Arial" w:eastAsia="Arial" w:hAnsi="Arial"/>
          <w:sz w:val="14"/>
          <w:szCs w:val="14"/>
          <w:color w:val="auto"/>
        </w:rPr>
        <w:t>Ms. Boswell ceased serving as Chief Executive Officer effective as of May 16, 2025. The amount of salary paid to Ms. Boswell reflects the amount actually paid to her from the beginning of the fiscal year through her termination of employment on May 16, 2025.</w:t>
      </w:r>
    </w:p>
    <w:p>
      <w:pPr>
        <w:spacing w:after="0" w:line="19" w:lineRule="exact"/>
        <w:rPr>
          <w:rFonts w:ascii="Arial" w:cs="Arial" w:eastAsia="Arial" w:hAnsi="Arial"/>
          <w:sz w:val="14"/>
          <w:szCs w:val="14"/>
          <w:color w:val="auto"/>
        </w:rPr>
      </w:pPr>
    </w:p>
    <w:p>
      <w:pPr>
        <w:ind w:left="260" w:right="140" w:hanging="256"/>
        <w:spacing w:after="0" w:line="269" w:lineRule="auto"/>
        <w:tabs>
          <w:tab w:leader="none" w:pos="260" w:val="left"/>
        </w:tabs>
        <w:numPr>
          <w:ilvl w:val="0"/>
          <w:numId w:val="72"/>
        </w:numPr>
        <w:rPr>
          <w:rFonts w:ascii="Arial" w:cs="Arial" w:eastAsia="Arial" w:hAnsi="Arial"/>
          <w:sz w:val="14"/>
          <w:szCs w:val="14"/>
          <w:color w:val="auto"/>
        </w:rPr>
      </w:pPr>
      <w:r>
        <w:rPr>
          <w:rFonts w:ascii="Arial" w:cs="Arial" w:eastAsia="Arial" w:hAnsi="Arial"/>
          <w:sz w:val="14"/>
          <w:szCs w:val="14"/>
          <w:color w:val="auto"/>
        </w:rPr>
        <w:t>Mr. Wu ceased serving as Chief Legal Officer and Corporate Secretary effective as of February 24, 2026 and his employment terminated on March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109855</wp:posOffset>
            </wp:positionV>
            <wp:extent cx="573722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737225" cy="8255"/>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b w:val="1"/>
          <w:bCs w:val="1"/>
          <w:color w:val="292F72"/>
        </w:rPr>
        <w:t>46</w:t>
      </w:r>
      <w:r>
        <w:rPr>
          <w:rFonts w:ascii="Arial" w:cs="Arial" w:eastAsia="Arial" w:hAnsi="Arial"/>
          <w:sz w:val="14"/>
          <w:szCs w:val="14"/>
          <w:color w:val="292F72"/>
        </w:rPr>
        <w:t xml:space="preserve">     Bath &amp; Body Works, Inc.</w:t>
      </w:r>
      <w:r>
        <w:rPr>
          <w:rFonts w:ascii="Arial" w:cs="Arial" w:eastAsia="Arial" w:hAnsi="Arial"/>
          <w:sz w:val="14"/>
          <w:szCs w:val="14"/>
          <w:color w:val="6D8CC3"/>
        </w:rPr>
        <w:t xml:space="preserve">   | </w:t>
      </w:r>
      <w:r>
        <w:rPr>
          <w:rFonts w:ascii="Arial" w:cs="Arial" w:eastAsia="Arial" w:hAnsi="Arial"/>
          <w:sz w:val="14"/>
          <w:szCs w:val="14"/>
          <w:b w:val="1"/>
          <w:bCs w:val="1"/>
          <w:color w:val="292F72"/>
        </w:rPr>
        <w:t xml:space="preserve">  </w:t>
      </w:r>
      <w:r>
        <w:rPr>
          <w:rFonts w:ascii="Arial" w:cs="Arial" w:eastAsia="Arial" w:hAnsi="Arial"/>
          <w:sz w:val="14"/>
          <w:szCs w:val="14"/>
          <w:color w:val="292F72"/>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170180</wp:posOffset>
            </wp:positionV>
            <wp:extent cx="6795135" cy="1651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795135" cy="16510"/>
                    </a:xfrm>
                    <a:prstGeom prst="rect">
                      <a:avLst/>
                    </a:prstGeom>
                    <a:noFill/>
                  </pic:spPr>
                </pic:pic>
              </a:graphicData>
            </a:graphic>
          </wp:anchor>
        </w:drawing>
      </w:r>
    </w:p>
    <w:p>
      <w:pPr>
        <w:sectPr>
          <w:pgSz w:w="11900" w:h="16838" w:orient="portrait"/>
          <w:cols w:equalWidth="0" w:num="1">
            <w:col w:w="9040"/>
          </w:cols>
          <w:pgMar w:left="1420" w:top="116" w:right="1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2" w:lineRule="exact"/>
        <w:rPr>
          <w:sz w:val="20"/>
          <w:szCs w:val="20"/>
          <w:color w:val="auto"/>
        </w:rPr>
      </w:pPr>
    </w:p>
    <w:p>
      <w:pPr>
        <w:ind w:left="6840"/>
        <w:spacing w:after="0"/>
        <w:rPr>
          <w:sz w:val="20"/>
          <w:szCs w:val="20"/>
          <w:color w:val="auto"/>
        </w:rPr>
      </w:pPr>
      <w:r>
        <w:rPr>
          <w:rFonts w:ascii="Arial" w:cs="Arial" w:eastAsia="Arial" w:hAnsi="Arial"/>
          <w:sz w:val="15"/>
          <w:szCs w:val="15"/>
          <w:color w:val="292F72"/>
        </w:rPr>
        <w:t>Compensation-Related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48260</wp:posOffset>
            </wp:positionV>
            <wp:extent cx="1407160" cy="3302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407160" cy="33020"/>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Arial" w:cs="Arial" w:eastAsia="Arial" w:hAnsi="Arial"/>
          <w:sz w:val="23"/>
          <w:szCs w:val="23"/>
          <w:b w:val="1"/>
          <w:bCs w:val="1"/>
          <w:color w:val="292F72"/>
        </w:rPr>
        <w:t>Grants of Plan-based Awards for Fiscal 2025</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provides information relating to plan-based awards and opportunities granted to the NEOs during fiscal 2025.</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20" w:type="dxa"/>
            <w:vAlign w:val="bottom"/>
            <w:gridSpan w:val="4"/>
            <w:vMerge w:val="restart"/>
          </w:tcPr>
          <w:p>
            <w:pPr>
              <w:jc w:val="center"/>
              <w:spacing w:after="0"/>
              <w:rPr>
                <w:sz w:val="20"/>
                <w:szCs w:val="20"/>
                <w:color w:val="auto"/>
              </w:rPr>
            </w:pPr>
            <w:r>
              <w:rPr>
                <w:rFonts w:ascii="Arial" w:cs="Arial" w:eastAsia="Arial" w:hAnsi="Arial"/>
                <w:sz w:val="12"/>
                <w:szCs w:val="12"/>
                <w:b w:val="1"/>
                <w:bCs w:val="1"/>
                <w:color w:val="292F72"/>
              </w:rPr>
              <w:t>ESTIMATED FUTURE PAYOUTS UNDER</w:t>
            </w:r>
          </w:p>
        </w:tc>
        <w:tc>
          <w:tcPr>
            <w:tcW w:w="20" w:type="dxa"/>
            <w:vAlign w:val="bottom"/>
          </w:tcPr>
          <w:p>
            <w:pPr>
              <w:spacing w:after="0"/>
              <w:rPr>
                <w:sz w:val="14"/>
                <w:szCs w:val="14"/>
                <w:color w:val="auto"/>
              </w:rPr>
            </w:pPr>
          </w:p>
        </w:tc>
        <w:tc>
          <w:tcPr>
            <w:tcW w:w="1980" w:type="dxa"/>
            <w:vAlign w:val="bottom"/>
            <w:gridSpan w:val="3"/>
            <w:vMerge w:val="restart"/>
          </w:tcPr>
          <w:p>
            <w:pPr>
              <w:jc w:val="right"/>
              <w:spacing w:after="0"/>
              <w:rPr>
                <w:sz w:val="20"/>
                <w:szCs w:val="20"/>
                <w:color w:val="auto"/>
              </w:rPr>
            </w:pPr>
            <w:r>
              <w:rPr>
                <w:rFonts w:ascii="Arial" w:cs="Arial" w:eastAsia="Arial" w:hAnsi="Arial"/>
                <w:sz w:val="12"/>
                <w:szCs w:val="12"/>
                <w:b w:val="1"/>
                <w:bCs w:val="1"/>
                <w:color w:val="292F72"/>
              </w:rPr>
              <w:t>ESTIMATED FUTURE PAYOUTS</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292F72"/>
              </w:rPr>
              <w:t>ALL OTHER</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292F72"/>
              </w:rPr>
              <w:t>ALL OTHER</w:t>
            </w: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2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1980" w:type="dxa"/>
            <w:vAlign w:val="bottom"/>
            <w:gridSpan w:val="3"/>
            <w:vMerge w:val="continue"/>
          </w:tcPr>
          <w:p>
            <w:pPr>
              <w:spacing w:after="0"/>
              <w:rPr>
                <w:sz w:val="11"/>
                <w:szCs w:val="11"/>
                <w:color w:val="auto"/>
              </w:rPr>
            </w:pPr>
          </w:p>
        </w:tc>
        <w:tc>
          <w:tcPr>
            <w:tcW w:w="780" w:type="dxa"/>
            <w:vAlign w:val="bottom"/>
          </w:tcPr>
          <w:p>
            <w:pPr>
              <w:ind w:left="40"/>
              <w:spacing w:after="0" w:line="132" w:lineRule="exact"/>
              <w:rPr>
                <w:sz w:val="20"/>
                <w:szCs w:val="20"/>
                <w:color w:val="auto"/>
              </w:rPr>
            </w:pPr>
            <w:r>
              <w:rPr>
                <w:rFonts w:ascii="Arial" w:cs="Arial" w:eastAsia="Arial" w:hAnsi="Arial"/>
                <w:sz w:val="12"/>
                <w:szCs w:val="12"/>
                <w:b w:val="1"/>
                <w:bCs w:val="1"/>
                <w:color w:val="292F72"/>
              </w:rPr>
              <w:t>STOCK</w:t>
            </w:r>
          </w:p>
        </w:tc>
        <w:tc>
          <w:tcPr>
            <w:tcW w:w="820" w:type="dxa"/>
            <w:vAlign w:val="bottom"/>
          </w:tcPr>
          <w:p>
            <w:pPr>
              <w:ind w:left="20"/>
              <w:spacing w:after="0" w:line="132" w:lineRule="exact"/>
              <w:rPr>
                <w:sz w:val="20"/>
                <w:szCs w:val="20"/>
                <w:color w:val="auto"/>
              </w:rPr>
            </w:pPr>
            <w:r>
              <w:rPr>
                <w:rFonts w:ascii="Arial" w:cs="Arial" w:eastAsia="Arial" w:hAnsi="Arial"/>
                <w:sz w:val="12"/>
                <w:szCs w:val="12"/>
                <w:b w:val="1"/>
                <w:bCs w:val="1"/>
                <w:color w:val="292F72"/>
              </w:rPr>
              <w:t>OPTION</w:t>
            </w:r>
          </w:p>
        </w:tc>
        <w:tc>
          <w:tcPr>
            <w:tcW w:w="1540" w:type="dxa"/>
            <w:vAlign w:val="bottom"/>
            <w:gridSpan w:val="2"/>
            <w:vMerge w:val="restart"/>
          </w:tcPr>
          <w:p>
            <w:pPr>
              <w:ind w:left="60"/>
              <w:spacing w:after="0" w:line="263" w:lineRule="exact"/>
              <w:rPr>
                <w:sz w:val="20"/>
                <w:szCs w:val="20"/>
                <w:color w:val="auto"/>
              </w:rPr>
            </w:pPr>
            <w:r>
              <w:rPr>
                <w:rFonts w:ascii="Arial" w:cs="Arial" w:eastAsia="Arial" w:hAnsi="Arial"/>
                <w:sz w:val="24"/>
                <w:szCs w:val="24"/>
                <w:b w:val="1"/>
                <w:bCs w:val="1"/>
                <w:color w:val="292F72"/>
                <w:w w:val="89"/>
                <w:vertAlign w:val="subscript"/>
              </w:rPr>
              <w:t>EXERCISE</w:t>
            </w:r>
            <w:r>
              <w:rPr>
                <w:rFonts w:ascii="Arial" w:cs="Arial" w:eastAsia="Arial" w:hAnsi="Arial"/>
                <w:sz w:val="12"/>
                <w:szCs w:val="12"/>
                <w:b w:val="1"/>
                <w:bCs w:val="1"/>
                <w:color w:val="292F72"/>
                <w:w w:val="89"/>
              </w:rPr>
              <w:t xml:space="preserve"> GRANT DATE</w:t>
            </w:r>
          </w:p>
        </w:tc>
        <w:tc>
          <w:tcPr>
            <w:tcW w:w="0" w:type="dxa"/>
            <w:vAlign w:val="bottom"/>
          </w:tcPr>
          <w:p>
            <w:pPr>
              <w:spacing w:after="0"/>
              <w:rPr>
                <w:sz w:val="1"/>
                <w:szCs w:val="1"/>
                <w:color w:val="auto"/>
              </w:rPr>
            </w:pPr>
          </w:p>
        </w:tc>
      </w:tr>
      <w:tr>
        <w:trPr>
          <w:trHeight w:val="131"/>
        </w:trPr>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20" w:type="dxa"/>
            <w:vAlign w:val="bottom"/>
            <w:gridSpan w:val="4"/>
          </w:tcPr>
          <w:p>
            <w:pPr>
              <w:jc w:val="center"/>
              <w:spacing w:after="0" w:line="132" w:lineRule="exact"/>
              <w:rPr>
                <w:sz w:val="20"/>
                <w:szCs w:val="20"/>
                <w:color w:val="auto"/>
              </w:rPr>
            </w:pPr>
            <w:r>
              <w:rPr>
                <w:rFonts w:ascii="Arial" w:cs="Arial" w:eastAsia="Arial" w:hAnsi="Arial"/>
                <w:sz w:val="12"/>
                <w:szCs w:val="12"/>
                <w:b w:val="1"/>
                <w:bCs w:val="1"/>
                <w:color w:val="292F72"/>
              </w:rPr>
              <w:t>NON-EQUITY INCENTIVE PLAN</w:t>
            </w:r>
          </w:p>
        </w:tc>
        <w:tc>
          <w:tcPr>
            <w:tcW w:w="20" w:type="dxa"/>
            <w:vAlign w:val="bottom"/>
          </w:tcPr>
          <w:p>
            <w:pPr>
              <w:spacing w:after="0"/>
              <w:rPr>
                <w:sz w:val="11"/>
                <w:szCs w:val="11"/>
                <w:color w:val="auto"/>
              </w:rPr>
            </w:pPr>
          </w:p>
        </w:tc>
        <w:tc>
          <w:tcPr>
            <w:tcW w:w="2760" w:type="dxa"/>
            <w:vAlign w:val="bottom"/>
            <w:gridSpan w:val="4"/>
          </w:tcPr>
          <w:p>
            <w:pPr>
              <w:jc w:val="right"/>
              <w:ind w:right="100"/>
              <w:spacing w:after="0" w:line="132" w:lineRule="exact"/>
              <w:rPr>
                <w:sz w:val="20"/>
                <w:szCs w:val="20"/>
                <w:color w:val="auto"/>
              </w:rPr>
            </w:pPr>
            <w:r>
              <w:rPr>
                <w:rFonts w:ascii="Arial" w:cs="Arial" w:eastAsia="Arial" w:hAnsi="Arial"/>
                <w:sz w:val="12"/>
                <w:szCs w:val="12"/>
                <w:b w:val="1"/>
                <w:bCs w:val="1"/>
                <w:color w:val="292F72"/>
              </w:rPr>
              <w:t>UNDER EQUITY INCENTIVE PLAN AWARDS:</w:t>
            </w:r>
          </w:p>
        </w:tc>
        <w:tc>
          <w:tcPr>
            <w:tcW w:w="820" w:type="dxa"/>
            <w:vAlign w:val="bottom"/>
          </w:tcPr>
          <w:p>
            <w:pPr>
              <w:ind w:left="20"/>
              <w:spacing w:after="0" w:line="132" w:lineRule="exact"/>
              <w:rPr>
                <w:sz w:val="20"/>
                <w:szCs w:val="20"/>
                <w:color w:val="auto"/>
              </w:rPr>
            </w:pPr>
            <w:r>
              <w:rPr>
                <w:rFonts w:ascii="Arial" w:cs="Arial" w:eastAsia="Arial" w:hAnsi="Arial"/>
                <w:sz w:val="12"/>
                <w:szCs w:val="12"/>
                <w:b w:val="1"/>
                <w:bCs w:val="1"/>
                <w:color w:val="292F72"/>
              </w:rPr>
              <w:t>AWARDS:</w:t>
            </w:r>
          </w:p>
        </w:tc>
        <w:tc>
          <w:tcPr>
            <w:tcW w:w="15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jc w:val="center"/>
              <w:ind w:left="114"/>
              <w:spacing w:after="0" w:line="131" w:lineRule="exact"/>
              <w:rPr>
                <w:sz w:val="20"/>
                <w:szCs w:val="20"/>
                <w:color w:val="auto"/>
              </w:rPr>
            </w:pPr>
            <w:r>
              <w:rPr>
                <w:rFonts w:ascii="Arial" w:cs="Arial" w:eastAsia="Arial" w:hAnsi="Arial"/>
                <w:sz w:val="10"/>
                <w:szCs w:val="10"/>
                <w:b w:val="1"/>
                <w:bCs w:val="1"/>
                <w:color w:val="292F72"/>
              </w:rPr>
              <w:t>AWARDS</w:t>
            </w:r>
            <w:r>
              <w:rPr>
                <w:rFonts w:ascii="Arial" w:cs="Arial" w:eastAsia="Arial" w:hAnsi="Arial"/>
                <w:sz w:val="15"/>
                <w:szCs w:val="15"/>
                <w:b w:val="1"/>
                <w:bCs w:val="1"/>
                <w:color w:val="292F72"/>
                <w:vertAlign w:val="superscript"/>
              </w:rPr>
              <w:t>(1)</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jc w:val="right"/>
              <w:spacing w:after="0" w:line="131" w:lineRule="exact"/>
              <w:rPr>
                <w:sz w:val="20"/>
                <w:szCs w:val="20"/>
                <w:color w:val="auto"/>
              </w:rPr>
            </w:pPr>
            <w:r>
              <w:rPr>
                <w:rFonts w:ascii="Arial" w:cs="Arial" w:eastAsia="Arial" w:hAnsi="Arial"/>
                <w:sz w:val="10"/>
                <w:szCs w:val="10"/>
                <w:b w:val="1"/>
                <w:bCs w:val="1"/>
                <w:color w:val="292F72"/>
              </w:rPr>
              <w:t>AWARDS</w:t>
            </w:r>
            <w:r>
              <w:rPr>
                <w:rFonts w:ascii="Arial" w:cs="Arial" w:eastAsia="Arial" w:hAnsi="Arial"/>
                <w:sz w:val="15"/>
                <w:szCs w:val="15"/>
                <w:b w:val="1"/>
                <w:bCs w:val="1"/>
                <w:color w:val="292F72"/>
                <w:vertAlign w:val="superscript"/>
              </w:rPr>
              <w:t>(2)</w:t>
            </w:r>
          </w:p>
        </w:tc>
        <w:tc>
          <w:tcPr>
            <w:tcW w:w="600" w:type="dxa"/>
            <w:vAlign w:val="bottom"/>
          </w:tcPr>
          <w:p>
            <w:pPr>
              <w:spacing w:after="0"/>
              <w:rPr>
                <w:sz w:val="11"/>
                <w:szCs w:val="11"/>
                <w:color w:val="auto"/>
              </w:rPr>
            </w:pPr>
          </w:p>
        </w:tc>
        <w:tc>
          <w:tcPr>
            <w:tcW w:w="780" w:type="dxa"/>
            <w:vAlign w:val="bottom"/>
          </w:tcPr>
          <w:p>
            <w:pPr>
              <w:ind w:left="40"/>
              <w:spacing w:after="0" w:line="132" w:lineRule="exact"/>
              <w:rPr>
                <w:sz w:val="20"/>
                <w:szCs w:val="20"/>
                <w:color w:val="auto"/>
              </w:rPr>
            </w:pPr>
            <w:r>
              <w:rPr>
                <w:rFonts w:ascii="Arial" w:cs="Arial" w:eastAsia="Arial" w:hAnsi="Arial"/>
                <w:sz w:val="12"/>
                <w:szCs w:val="12"/>
                <w:b w:val="1"/>
                <w:bCs w:val="1"/>
                <w:color w:val="292F72"/>
              </w:rPr>
              <w:t>NUMBER</w:t>
            </w:r>
          </w:p>
        </w:tc>
        <w:tc>
          <w:tcPr>
            <w:tcW w:w="820" w:type="dxa"/>
            <w:vAlign w:val="bottom"/>
          </w:tcPr>
          <w:p>
            <w:pPr>
              <w:ind w:left="20"/>
              <w:spacing w:after="0" w:line="132" w:lineRule="exact"/>
              <w:rPr>
                <w:sz w:val="20"/>
                <w:szCs w:val="20"/>
                <w:color w:val="auto"/>
              </w:rPr>
            </w:pPr>
            <w:r>
              <w:rPr>
                <w:rFonts w:ascii="Arial" w:cs="Arial" w:eastAsia="Arial" w:hAnsi="Arial"/>
                <w:sz w:val="12"/>
                <w:szCs w:val="12"/>
                <w:b w:val="1"/>
                <w:bCs w:val="1"/>
                <w:color w:val="292F72"/>
              </w:rPr>
              <w:t>NUMBER OF</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292F72"/>
              </w:rPr>
              <w:t>OR BASE</w:t>
            </w:r>
          </w:p>
        </w:tc>
        <w:tc>
          <w:tcPr>
            <w:tcW w:w="860" w:type="dxa"/>
            <w:vAlign w:val="bottom"/>
          </w:tcPr>
          <w:p>
            <w:pPr>
              <w:ind w:left="60"/>
              <w:spacing w:after="0" w:line="132" w:lineRule="exact"/>
              <w:rPr>
                <w:sz w:val="20"/>
                <w:szCs w:val="20"/>
                <w:color w:val="auto"/>
              </w:rPr>
            </w:pPr>
            <w:r>
              <w:rPr>
                <w:rFonts w:ascii="Arial" w:cs="Arial" w:eastAsia="Arial" w:hAnsi="Arial"/>
                <w:sz w:val="12"/>
                <w:szCs w:val="12"/>
                <w:b w:val="1"/>
                <w:bCs w:val="1"/>
                <w:color w:val="292F72"/>
              </w:rPr>
              <w:t>FAIR VALUE</w:t>
            </w:r>
          </w:p>
        </w:tc>
        <w:tc>
          <w:tcPr>
            <w:tcW w:w="0" w:type="dxa"/>
            <w:vAlign w:val="bottom"/>
          </w:tcPr>
          <w:p>
            <w:pPr>
              <w:spacing w:after="0"/>
              <w:rPr>
                <w:sz w:val="1"/>
                <w:szCs w:val="1"/>
                <w:color w:val="auto"/>
              </w:rPr>
            </w:pPr>
          </w:p>
        </w:tc>
      </w:tr>
      <w:tr>
        <w:trPr>
          <w:trHeight w:val="111"/>
        </w:trPr>
        <w:tc>
          <w:tcPr>
            <w:tcW w:w="8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Borders>
              <w:bottom w:val="single" w:sz="8" w:color="292F72"/>
            </w:tcBorders>
          </w:tcPr>
          <w:p>
            <w:pPr>
              <w:spacing w:after="0"/>
              <w:rPr>
                <w:sz w:val="9"/>
                <w:szCs w:val="9"/>
                <w:color w:val="auto"/>
              </w:rPr>
            </w:pPr>
          </w:p>
        </w:tc>
        <w:tc>
          <w:tcPr>
            <w:tcW w:w="800" w:type="dxa"/>
            <w:vAlign w:val="bottom"/>
            <w:tcBorders>
              <w:bottom w:val="single" w:sz="8" w:color="292F72"/>
            </w:tcBorders>
          </w:tcPr>
          <w:p>
            <w:pPr>
              <w:spacing w:after="0"/>
              <w:rPr>
                <w:sz w:val="9"/>
                <w:szCs w:val="9"/>
                <w:color w:val="auto"/>
              </w:rPr>
            </w:pPr>
          </w:p>
        </w:tc>
        <w:tc>
          <w:tcPr>
            <w:tcW w:w="120" w:type="dxa"/>
            <w:vAlign w:val="bottom"/>
            <w:tcBorders>
              <w:bottom w:val="single" w:sz="8" w:color="292F72"/>
            </w:tcBorders>
          </w:tcPr>
          <w:p>
            <w:pPr>
              <w:spacing w:after="0"/>
              <w:rPr>
                <w:sz w:val="9"/>
                <w:szCs w:val="9"/>
                <w:color w:val="auto"/>
              </w:rPr>
            </w:pPr>
          </w:p>
        </w:tc>
        <w:tc>
          <w:tcPr>
            <w:tcW w:w="840" w:type="dxa"/>
            <w:vAlign w:val="bottom"/>
            <w:tcBorders>
              <w:bottom w:val="single" w:sz="8" w:color="292F72"/>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292F72"/>
            </w:tcBorders>
          </w:tcPr>
          <w:p>
            <w:pPr>
              <w:spacing w:after="0"/>
              <w:rPr>
                <w:sz w:val="9"/>
                <w:szCs w:val="9"/>
                <w:color w:val="auto"/>
              </w:rPr>
            </w:pPr>
          </w:p>
        </w:tc>
        <w:tc>
          <w:tcPr>
            <w:tcW w:w="760" w:type="dxa"/>
            <w:vAlign w:val="bottom"/>
            <w:tcBorders>
              <w:bottom w:val="single" w:sz="8" w:color="292F72"/>
            </w:tcBorders>
          </w:tcPr>
          <w:p>
            <w:pPr>
              <w:spacing w:after="0"/>
              <w:rPr>
                <w:sz w:val="9"/>
                <w:szCs w:val="9"/>
                <w:color w:val="auto"/>
              </w:rPr>
            </w:pPr>
          </w:p>
        </w:tc>
        <w:tc>
          <w:tcPr>
            <w:tcW w:w="600" w:type="dxa"/>
            <w:vAlign w:val="bottom"/>
            <w:tcBorders>
              <w:bottom w:val="single" w:sz="8" w:color="292F72"/>
            </w:tcBorders>
          </w:tcPr>
          <w:p>
            <w:pPr>
              <w:spacing w:after="0"/>
              <w:rPr>
                <w:sz w:val="9"/>
                <w:szCs w:val="9"/>
                <w:color w:val="auto"/>
              </w:rPr>
            </w:pPr>
          </w:p>
        </w:tc>
        <w:tc>
          <w:tcPr>
            <w:tcW w:w="1600" w:type="dxa"/>
            <w:vAlign w:val="bottom"/>
            <w:gridSpan w:val="2"/>
          </w:tcPr>
          <w:p>
            <w:pPr>
              <w:ind w:left="40"/>
              <w:spacing w:after="0" w:line="111" w:lineRule="exact"/>
              <w:rPr>
                <w:sz w:val="20"/>
                <w:szCs w:val="20"/>
                <w:color w:val="auto"/>
              </w:rPr>
            </w:pPr>
            <w:r>
              <w:rPr>
                <w:rFonts w:ascii="Arial" w:cs="Arial" w:eastAsia="Arial" w:hAnsi="Arial"/>
                <w:sz w:val="12"/>
                <w:szCs w:val="12"/>
                <w:b w:val="1"/>
                <w:bCs w:val="1"/>
                <w:color w:val="292F72"/>
                <w:vertAlign w:val="superscript"/>
              </w:rPr>
              <w:t>OF SHARES</w:t>
            </w:r>
            <w:r>
              <w:rPr>
                <w:rFonts w:ascii="Arial" w:cs="Arial" w:eastAsia="Arial" w:hAnsi="Arial"/>
                <w:sz w:val="8"/>
                <w:szCs w:val="8"/>
                <w:b w:val="1"/>
                <w:bCs w:val="1"/>
                <w:color w:val="292F72"/>
              </w:rPr>
              <w:t xml:space="preserve"> SECURITIES</w:t>
            </w:r>
          </w:p>
        </w:tc>
        <w:tc>
          <w:tcPr>
            <w:tcW w:w="680" w:type="dxa"/>
            <w:vAlign w:val="bottom"/>
          </w:tcPr>
          <w:p>
            <w:pPr>
              <w:ind w:left="60"/>
              <w:spacing w:after="0" w:line="111" w:lineRule="exact"/>
              <w:rPr>
                <w:sz w:val="20"/>
                <w:szCs w:val="20"/>
                <w:color w:val="auto"/>
              </w:rPr>
            </w:pPr>
            <w:r>
              <w:rPr>
                <w:rFonts w:ascii="Arial" w:cs="Arial" w:eastAsia="Arial" w:hAnsi="Arial"/>
                <w:sz w:val="12"/>
                <w:szCs w:val="12"/>
                <w:b w:val="1"/>
                <w:bCs w:val="1"/>
                <w:color w:val="292F72"/>
              </w:rPr>
              <w:t>PRICE OF</w:t>
            </w:r>
          </w:p>
        </w:tc>
        <w:tc>
          <w:tcPr>
            <w:tcW w:w="860" w:type="dxa"/>
            <w:vAlign w:val="bottom"/>
          </w:tcPr>
          <w:p>
            <w:pPr>
              <w:ind w:left="60"/>
              <w:spacing w:after="0" w:line="111" w:lineRule="exact"/>
              <w:rPr>
                <w:sz w:val="20"/>
                <w:szCs w:val="20"/>
                <w:color w:val="auto"/>
              </w:rPr>
            </w:pPr>
            <w:r>
              <w:rPr>
                <w:rFonts w:ascii="Arial" w:cs="Arial" w:eastAsia="Arial" w:hAnsi="Arial"/>
                <w:sz w:val="12"/>
                <w:szCs w:val="12"/>
                <w:b w:val="1"/>
                <w:bCs w:val="1"/>
                <w:color w:val="292F72"/>
              </w:rPr>
              <w:t>OF STOCK</w:t>
            </w:r>
          </w:p>
        </w:tc>
        <w:tc>
          <w:tcPr>
            <w:tcW w:w="0" w:type="dxa"/>
            <w:vAlign w:val="bottom"/>
          </w:tcPr>
          <w:p>
            <w:pPr>
              <w:spacing w:after="0"/>
              <w:rPr>
                <w:sz w:val="1"/>
                <w:szCs w:val="1"/>
                <w:color w:val="auto"/>
              </w:rPr>
            </w:pPr>
          </w:p>
        </w:tc>
      </w:tr>
      <w:tr>
        <w:trPr>
          <w:trHeight w:val="108"/>
        </w:trPr>
        <w:tc>
          <w:tcPr>
            <w:tcW w:w="8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tcPr>
          <w:p>
            <w:pPr>
              <w:ind w:left="40"/>
              <w:spacing w:after="0" w:line="108" w:lineRule="exact"/>
              <w:rPr>
                <w:sz w:val="20"/>
                <w:szCs w:val="20"/>
                <w:color w:val="auto"/>
              </w:rPr>
            </w:pPr>
            <w:r>
              <w:rPr>
                <w:rFonts w:ascii="Arial" w:cs="Arial" w:eastAsia="Arial" w:hAnsi="Arial"/>
                <w:sz w:val="12"/>
                <w:szCs w:val="12"/>
                <w:b w:val="1"/>
                <w:bCs w:val="1"/>
                <w:color w:val="292F72"/>
              </w:rPr>
              <w:t>OF STOCK</w:t>
            </w:r>
          </w:p>
        </w:tc>
        <w:tc>
          <w:tcPr>
            <w:tcW w:w="15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292F72"/>
              </w:rPr>
              <w:t>UNDERLYING OPTION</w:t>
            </w:r>
          </w:p>
        </w:tc>
        <w:tc>
          <w:tcPr>
            <w:tcW w:w="860" w:type="dxa"/>
            <w:vAlign w:val="bottom"/>
          </w:tcPr>
          <w:p>
            <w:pPr>
              <w:ind w:left="60"/>
              <w:spacing w:after="0" w:line="108" w:lineRule="exact"/>
              <w:rPr>
                <w:sz w:val="20"/>
                <w:szCs w:val="20"/>
                <w:color w:val="auto"/>
              </w:rPr>
            </w:pPr>
            <w:r>
              <w:rPr>
                <w:rFonts w:ascii="Arial" w:cs="Arial" w:eastAsia="Arial" w:hAnsi="Arial"/>
                <w:sz w:val="12"/>
                <w:szCs w:val="12"/>
                <w:b w:val="1"/>
                <w:bCs w:val="1"/>
                <w:color w:val="292F72"/>
              </w:rPr>
              <w:t>AND OPTION</w:t>
            </w:r>
          </w:p>
        </w:tc>
        <w:tc>
          <w:tcPr>
            <w:tcW w:w="0" w:type="dxa"/>
            <w:vAlign w:val="bottom"/>
          </w:tcPr>
          <w:p>
            <w:pPr>
              <w:spacing w:after="0"/>
              <w:rPr>
                <w:sz w:val="1"/>
                <w:szCs w:val="1"/>
                <w:color w:val="auto"/>
              </w:rPr>
            </w:pPr>
          </w:p>
        </w:tc>
      </w:tr>
      <w:tr>
        <w:trPr>
          <w:trHeight w:val="44"/>
        </w:trPr>
        <w:tc>
          <w:tcPr>
            <w:tcW w:w="820" w:type="dxa"/>
            <w:vAlign w:val="bottom"/>
          </w:tcPr>
          <w:p>
            <w:pPr>
              <w:spacing w:after="0"/>
              <w:rPr>
                <w:sz w:val="3"/>
                <w:szCs w:val="3"/>
                <w:color w:val="auto"/>
              </w:rPr>
            </w:pP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292F72"/>
              </w:rPr>
              <w:t>GRANT</w:t>
            </w:r>
          </w:p>
        </w:tc>
        <w:tc>
          <w:tcPr>
            <w:tcW w:w="1460" w:type="dxa"/>
            <w:vAlign w:val="bottom"/>
            <w:gridSpan w:val="2"/>
            <w:vMerge w:val="restart"/>
          </w:tcPr>
          <w:p>
            <w:pPr>
              <w:jc w:val="right"/>
              <w:ind w:right="74"/>
              <w:spacing w:after="0"/>
              <w:rPr>
                <w:sz w:val="20"/>
                <w:szCs w:val="20"/>
                <w:color w:val="auto"/>
              </w:rPr>
            </w:pPr>
            <w:r>
              <w:rPr>
                <w:rFonts w:ascii="Arial" w:cs="Arial" w:eastAsia="Arial" w:hAnsi="Arial"/>
                <w:sz w:val="12"/>
                <w:szCs w:val="12"/>
                <w:b w:val="1"/>
                <w:bCs w:val="1"/>
                <w:color w:val="292F72"/>
              </w:rPr>
              <w:t>THRESHOLD TARGET</w:t>
            </w:r>
          </w:p>
        </w:tc>
        <w:tc>
          <w:tcPr>
            <w:tcW w:w="120" w:type="dxa"/>
            <w:vAlign w:val="bottom"/>
          </w:tcPr>
          <w:p>
            <w:pPr>
              <w:spacing w:after="0"/>
              <w:rPr>
                <w:sz w:val="3"/>
                <w:szCs w:val="3"/>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292F72"/>
              </w:rPr>
              <w:t>MAXIMUM</w:t>
            </w: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jc w:val="right"/>
              <w:spacing w:after="0" w:line="44" w:lineRule="exact"/>
              <w:rPr>
                <w:sz w:val="20"/>
                <w:szCs w:val="20"/>
                <w:color w:val="auto"/>
              </w:rPr>
            </w:pPr>
            <w:r>
              <w:rPr>
                <w:rFonts w:ascii="Arial" w:cs="Arial" w:eastAsia="Arial" w:hAnsi="Arial"/>
                <w:sz w:val="5"/>
                <w:szCs w:val="5"/>
                <w:b w:val="1"/>
                <w:bCs w:val="1"/>
                <w:color w:val="292F72"/>
              </w:rPr>
              <w:t>(3)</w:t>
            </w:r>
          </w:p>
        </w:tc>
        <w:tc>
          <w:tcPr>
            <w:tcW w:w="1500" w:type="dxa"/>
            <w:vAlign w:val="bottom"/>
            <w:gridSpan w:val="2"/>
            <w:vMerge w:val="continue"/>
          </w:tcPr>
          <w:p>
            <w:pPr>
              <w:spacing w:after="0"/>
              <w:rPr>
                <w:sz w:val="3"/>
                <w:szCs w:val="3"/>
                <w:color w:val="auto"/>
              </w:rPr>
            </w:pPr>
          </w:p>
        </w:tc>
        <w:tc>
          <w:tcPr>
            <w:tcW w:w="860" w:type="dxa"/>
            <w:vAlign w:val="bottom"/>
          </w:tcPr>
          <w:p>
            <w:pPr>
              <w:jc w:val="right"/>
              <w:ind w:right="76"/>
              <w:spacing w:after="0" w:line="44" w:lineRule="exact"/>
              <w:rPr>
                <w:sz w:val="20"/>
                <w:szCs w:val="20"/>
                <w:color w:val="auto"/>
              </w:rPr>
            </w:pPr>
            <w:r>
              <w:rPr>
                <w:rFonts w:ascii="Arial" w:cs="Arial" w:eastAsia="Arial" w:hAnsi="Arial"/>
                <w:sz w:val="5"/>
                <w:szCs w:val="5"/>
                <w:b w:val="1"/>
                <w:bCs w:val="1"/>
                <w:color w:val="292F72"/>
              </w:rPr>
              <w:t>(4)</w:t>
            </w:r>
          </w:p>
        </w:tc>
        <w:tc>
          <w:tcPr>
            <w:tcW w:w="0" w:type="dxa"/>
            <w:vAlign w:val="bottom"/>
          </w:tcPr>
          <w:p>
            <w:pPr>
              <w:spacing w:after="0"/>
              <w:rPr>
                <w:sz w:val="1"/>
                <w:szCs w:val="1"/>
                <w:color w:val="auto"/>
              </w:rPr>
            </w:pPr>
          </w:p>
        </w:tc>
      </w:tr>
      <w:tr>
        <w:trPr>
          <w:trHeight w:val="119"/>
        </w:trPr>
        <w:tc>
          <w:tcPr>
            <w:tcW w:w="820" w:type="dxa"/>
            <w:vAlign w:val="bottom"/>
            <w:vMerge w:val="restart"/>
          </w:tcPr>
          <w:p>
            <w:pPr>
              <w:spacing w:after="0"/>
              <w:rPr>
                <w:sz w:val="20"/>
                <w:szCs w:val="20"/>
                <w:color w:val="auto"/>
              </w:rPr>
            </w:pPr>
            <w:r>
              <w:rPr>
                <w:rFonts w:ascii="Arial" w:cs="Arial" w:eastAsia="Arial" w:hAnsi="Arial"/>
                <w:sz w:val="12"/>
                <w:szCs w:val="12"/>
                <w:b w:val="1"/>
                <w:bCs w:val="1"/>
                <w:color w:val="292F72"/>
              </w:rPr>
              <w:t>NAME</w:t>
            </w:r>
          </w:p>
        </w:tc>
        <w:tc>
          <w:tcPr>
            <w:tcW w:w="660" w:type="dxa"/>
            <w:vAlign w:val="bottom"/>
            <w:vMerge w:val="continue"/>
          </w:tcPr>
          <w:p>
            <w:pPr>
              <w:spacing w:after="0"/>
              <w:rPr>
                <w:sz w:val="10"/>
                <w:szCs w:val="10"/>
                <w:color w:val="auto"/>
              </w:rPr>
            </w:pPr>
          </w:p>
        </w:tc>
        <w:tc>
          <w:tcPr>
            <w:tcW w:w="14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2780" w:type="dxa"/>
            <w:vAlign w:val="bottom"/>
            <w:gridSpan w:val="5"/>
          </w:tcPr>
          <w:p>
            <w:pPr>
              <w:jc w:val="right"/>
              <w:ind w:right="100"/>
              <w:spacing w:after="0" w:line="120" w:lineRule="exact"/>
              <w:rPr>
                <w:sz w:val="20"/>
                <w:szCs w:val="20"/>
                <w:color w:val="auto"/>
              </w:rPr>
            </w:pPr>
            <w:r>
              <w:rPr>
                <w:rFonts w:ascii="Arial" w:cs="Arial" w:eastAsia="Arial" w:hAnsi="Arial"/>
                <w:sz w:val="12"/>
                <w:szCs w:val="12"/>
                <w:b w:val="1"/>
                <w:bCs w:val="1"/>
                <w:color w:val="292F72"/>
              </w:rPr>
              <w:t>THRESHOLD TARGET MAXIMUM OR UNITS</w:t>
            </w:r>
          </w:p>
        </w:tc>
        <w:tc>
          <w:tcPr>
            <w:tcW w:w="820" w:type="dxa"/>
            <w:vAlign w:val="bottom"/>
          </w:tcPr>
          <w:p>
            <w:pPr>
              <w:ind w:left="20"/>
              <w:spacing w:after="0" w:line="120" w:lineRule="exact"/>
              <w:rPr>
                <w:sz w:val="20"/>
                <w:szCs w:val="20"/>
                <w:color w:val="auto"/>
              </w:rPr>
            </w:pPr>
            <w:r>
              <w:rPr>
                <w:rFonts w:ascii="Arial" w:cs="Arial" w:eastAsia="Arial" w:hAnsi="Arial"/>
                <w:sz w:val="12"/>
                <w:szCs w:val="12"/>
                <w:b w:val="1"/>
                <w:bCs w:val="1"/>
                <w:color w:val="292F72"/>
              </w:rPr>
              <w:t>OPTIONS</w:t>
            </w:r>
          </w:p>
        </w:tc>
        <w:tc>
          <w:tcPr>
            <w:tcW w:w="680" w:type="dxa"/>
            <w:vAlign w:val="bottom"/>
          </w:tcPr>
          <w:p>
            <w:pPr>
              <w:ind w:left="60"/>
              <w:spacing w:after="0" w:line="120" w:lineRule="exact"/>
              <w:rPr>
                <w:sz w:val="20"/>
                <w:szCs w:val="20"/>
                <w:color w:val="auto"/>
              </w:rPr>
            </w:pPr>
            <w:r>
              <w:rPr>
                <w:rFonts w:ascii="Arial" w:cs="Arial" w:eastAsia="Arial" w:hAnsi="Arial"/>
                <w:sz w:val="12"/>
                <w:szCs w:val="12"/>
                <w:b w:val="1"/>
                <w:bCs w:val="1"/>
                <w:color w:val="292F72"/>
              </w:rPr>
              <w:t>AWARDS</w:t>
            </w:r>
          </w:p>
        </w:tc>
        <w:tc>
          <w:tcPr>
            <w:tcW w:w="860" w:type="dxa"/>
            <w:vAlign w:val="bottom"/>
          </w:tcPr>
          <w:p>
            <w:pPr>
              <w:ind w:left="60"/>
              <w:spacing w:after="0" w:line="120" w:lineRule="exact"/>
              <w:rPr>
                <w:sz w:val="20"/>
                <w:szCs w:val="20"/>
                <w:color w:val="auto"/>
              </w:rPr>
            </w:pPr>
            <w:r>
              <w:rPr>
                <w:rFonts w:ascii="Arial" w:cs="Arial" w:eastAsia="Arial" w:hAnsi="Arial"/>
                <w:sz w:val="12"/>
                <w:szCs w:val="12"/>
                <w:b w:val="1"/>
                <w:bCs w:val="1"/>
                <w:color w:val="292F72"/>
              </w:rPr>
              <w:t>AWARDS</w:t>
            </w:r>
          </w:p>
        </w:tc>
        <w:tc>
          <w:tcPr>
            <w:tcW w:w="0" w:type="dxa"/>
            <w:vAlign w:val="bottom"/>
          </w:tcPr>
          <w:p>
            <w:pPr>
              <w:spacing w:after="0"/>
              <w:rPr>
                <w:sz w:val="1"/>
                <w:szCs w:val="1"/>
                <w:color w:val="auto"/>
              </w:rPr>
            </w:pPr>
          </w:p>
        </w:tc>
      </w:tr>
      <w:tr>
        <w:trPr>
          <w:trHeight w:val="167"/>
        </w:trPr>
        <w:tc>
          <w:tcPr>
            <w:tcW w:w="820" w:type="dxa"/>
            <w:vAlign w:val="bottom"/>
            <w:vMerge w:val="continue"/>
          </w:tcPr>
          <w:p>
            <w:pPr>
              <w:spacing w:after="0"/>
              <w:rPr>
                <w:sz w:val="14"/>
                <w:szCs w:val="14"/>
                <w:color w:val="auto"/>
              </w:rPr>
            </w:pPr>
          </w:p>
        </w:tc>
        <w:tc>
          <w:tcPr>
            <w:tcW w:w="660" w:type="dxa"/>
            <w:vAlign w:val="bottom"/>
          </w:tcPr>
          <w:p>
            <w:pPr>
              <w:ind w:left="20"/>
              <w:spacing w:after="0"/>
              <w:rPr>
                <w:sz w:val="20"/>
                <w:szCs w:val="20"/>
                <w:color w:val="auto"/>
              </w:rPr>
            </w:pPr>
            <w:r>
              <w:rPr>
                <w:rFonts w:ascii="Arial" w:cs="Arial" w:eastAsia="Arial" w:hAnsi="Arial"/>
                <w:sz w:val="12"/>
                <w:szCs w:val="12"/>
                <w:b w:val="1"/>
                <w:bCs w:val="1"/>
                <w:color w:val="292F72"/>
              </w:rPr>
              <w:t>DATE</w:t>
            </w:r>
          </w:p>
        </w:tc>
        <w:tc>
          <w:tcPr>
            <w:tcW w:w="660" w:type="dxa"/>
            <w:vAlign w:val="bottom"/>
          </w:tcPr>
          <w:p>
            <w:pPr>
              <w:jc w:val="center"/>
              <w:ind w:left="74"/>
              <w:spacing w:after="0"/>
              <w:rPr>
                <w:sz w:val="20"/>
                <w:szCs w:val="20"/>
                <w:color w:val="auto"/>
              </w:rPr>
            </w:pPr>
            <w:r>
              <w:rPr>
                <w:rFonts w:ascii="Arial" w:cs="Arial" w:eastAsia="Arial" w:hAnsi="Arial"/>
                <w:sz w:val="12"/>
                <w:szCs w:val="12"/>
                <w:b w:val="1"/>
                <w:bCs w:val="1"/>
                <w:color w:val="292F72"/>
              </w:rPr>
              <w:t>($)</w:t>
            </w:r>
          </w:p>
        </w:tc>
        <w:tc>
          <w:tcPr>
            <w:tcW w:w="800" w:type="dxa"/>
            <w:vAlign w:val="bottom"/>
          </w:tcPr>
          <w:p>
            <w:pPr>
              <w:jc w:val="center"/>
              <w:ind w:left="234"/>
              <w:spacing w:after="0"/>
              <w:rPr>
                <w:sz w:val="20"/>
                <w:szCs w:val="20"/>
                <w:color w:val="auto"/>
              </w:rPr>
            </w:pPr>
            <w:r>
              <w:rPr>
                <w:rFonts w:ascii="Arial" w:cs="Arial" w:eastAsia="Arial" w:hAnsi="Arial"/>
                <w:sz w:val="12"/>
                <w:szCs w:val="12"/>
                <w:b w:val="1"/>
                <w:bCs w:val="1"/>
                <w:color w:val="292F72"/>
                <w:w w:val="95"/>
              </w:rPr>
              <w:t>($)</w:t>
            </w:r>
          </w:p>
        </w:tc>
        <w:tc>
          <w:tcPr>
            <w:tcW w:w="120" w:type="dxa"/>
            <w:vAlign w:val="bottom"/>
          </w:tcPr>
          <w:p>
            <w:pPr>
              <w:spacing w:after="0"/>
              <w:rPr>
                <w:sz w:val="14"/>
                <w:szCs w:val="14"/>
                <w:color w:val="auto"/>
              </w:rPr>
            </w:pPr>
          </w:p>
        </w:tc>
        <w:tc>
          <w:tcPr>
            <w:tcW w:w="840" w:type="dxa"/>
            <w:vAlign w:val="bottom"/>
          </w:tcPr>
          <w:p>
            <w:pPr>
              <w:ind w:left="380"/>
              <w:spacing w:after="0"/>
              <w:rPr>
                <w:sz w:val="20"/>
                <w:szCs w:val="20"/>
                <w:color w:val="auto"/>
              </w:rPr>
            </w:pPr>
            <w:r>
              <w:rPr>
                <w:rFonts w:ascii="Arial" w:cs="Arial" w:eastAsia="Arial" w:hAnsi="Arial"/>
                <w:sz w:val="12"/>
                <w:szCs w:val="12"/>
                <w:b w:val="1"/>
                <w:bCs w:val="1"/>
                <w:color w:val="292F72"/>
              </w:rPr>
              <w:t>($)</w:t>
            </w:r>
          </w:p>
        </w:tc>
        <w:tc>
          <w:tcPr>
            <w:tcW w:w="640" w:type="dxa"/>
            <w:vAlign w:val="bottom"/>
            <w:gridSpan w:val="2"/>
          </w:tcPr>
          <w:p>
            <w:pPr>
              <w:jc w:val="center"/>
              <w:ind w:left="113"/>
              <w:spacing w:after="0"/>
              <w:rPr>
                <w:sz w:val="20"/>
                <w:szCs w:val="20"/>
                <w:color w:val="auto"/>
              </w:rPr>
            </w:pPr>
            <w:r>
              <w:rPr>
                <w:rFonts w:ascii="Arial" w:cs="Arial" w:eastAsia="Arial" w:hAnsi="Arial"/>
                <w:sz w:val="12"/>
                <w:szCs w:val="12"/>
                <w:b w:val="1"/>
                <w:bCs w:val="1"/>
                <w:color w:val="292F72"/>
                <w:w w:val="95"/>
              </w:rPr>
              <w:t>(#)</w:t>
            </w:r>
          </w:p>
        </w:tc>
        <w:tc>
          <w:tcPr>
            <w:tcW w:w="760" w:type="dxa"/>
            <w:vAlign w:val="bottom"/>
          </w:tcPr>
          <w:p>
            <w:pPr>
              <w:jc w:val="right"/>
              <w:ind w:right="154"/>
              <w:spacing w:after="0"/>
              <w:rPr>
                <w:sz w:val="20"/>
                <w:szCs w:val="20"/>
                <w:color w:val="auto"/>
              </w:rPr>
            </w:pPr>
            <w:r>
              <w:rPr>
                <w:rFonts w:ascii="Arial" w:cs="Arial" w:eastAsia="Arial" w:hAnsi="Arial"/>
                <w:sz w:val="12"/>
                <w:szCs w:val="12"/>
                <w:b w:val="1"/>
                <w:bCs w:val="1"/>
                <w:color w:val="292F72"/>
              </w:rPr>
              <w:t>(#)</w:t>
            </w:r>
          </w:p>
        </w:tc>
        <w:tc>
          <w:tcPr>
            <w:tcW w:w="600" w:type="dxa"/>
            <w:vAlign w:val="bottom"/>
          </w:tcPr>
          <w:p>
            <w:pPr>
              <w:jc w:val="right"/>
              <w:ind w:right="172"/>
              <w:spacing w:after="0"/>
              <w:rPr>
                <w:sz w:val="20"/>
                <w:szCs w:val="20"/>
                <w:color w:val="auto"/>
              </w:rPr>
            </w:pPr>
            <w:r>
              <w:rPr>
                <w:rFonts w:ascii="Arial" w:cs="Arial" w:eastAsia="Arial" w:hAnsi="Arial"/>
                <w:sz w:val="12"/>
                <w:szCs w:val="12"/>
                <w:b w:val="1"/>
                <w:bCs w:val="1"/>
                <w:color w:val="292F72"/>
              </w:rPr>
              <w:t>(#)</w:t>
            </w:r>
          </w:p>
        </w:tc>
        <w:tc>
          <w:tcPr>
            <w:tcW w:w="780" w:type="dxa"/>
            <w:vAlign w:val="bottom"/>
          </w:tcPr>
          <w:p>
            <w:pPr>
              <w:jc w:val="right"/>
              <w:ind w:right="260"/>
              <w:spacing w:after="0"/>
              <w:rPr>
                <w:sz w:val="20"/>
                <w:szCs w:val="20"/>
                <w:color w:val="auto"/>
              </w:rPr>
            </w:pPr>
            <w:r>
              <w:rPr>
                <w:rFonts w:ascii="Arial" w:cs="Arial" w:eastAsia="Arial" w:hAnsi="Arial"/>
                <w:sz w:val="12"/>
                <w:szCs w:val="12"/>
                <w:b w:val="1"/>
                <w:bCs w:val="1"/>
                <w:color w:val="292F72"/>
              </w:rPr>
              <w:t>(#)</w:t>
            </w:r>
          </w:p>
        </w:tc>
        <w:tc>
          <w:tcPr>
            <w:tcW w:w="820" w:type="dxa"/>
            <w:vAlign w:val="bottom"/>
          </w:tcPr>
          <w:p>
            <w:pPr>
              <w:ind w:left="360"/>
              <w:spacing w:after="0"/>
              <w:rPr>
                <w:sz w:val="20"/>
                <w:szCs w:val="20"/>
                <w:color w:val="auto"/>
              </w:rPr>
            </w:pPr>
            <w:r>
              <w:rPr>
                <w:rFonts w:ascii="Arial" w:cs="Arial" w:eastAsia="Arial" w:hAnsi="Arial"/>
                <w:sz w:val="12"/>
                <w:szCs w:val="12"/>
                <w:b w:val="1"/>
                <w:bCs w:val="1"/>
                <w:color w:val="292F72"/>
              </w:rPr>
              <w:t>(#)</w:t>
            </w:r>
          </w:p>
        </w:tc>
        <w:tc>
          <w:tcPr>
            <w:tcW w:w="680" w:type="dxa"/>
            <w:vAlign w:val="bottom"/>
          </w:tcPr>
          <w:p>
            <w:pPr>
              <w:ind w:left="200"/>
              <w:spacing w:after="0"/>
              <w:rPr>
                <w:sz w:val="20"/>
                <w:szCs w:val="20"/>
                <w:color w:val="auto"/>
              </w:rPr>
            </w:pPr>
            <w:r>
              <w:rPr>
                <w:rFonts w:ascii="Arial" w:cs="Arial" w:eastAsia="Arial" w:hAnsi="Arial"/>
                <w:sz w:val="12"/>
                <w:szCs w:val="12"/>
                <w:b w:val="1"/>
                <w:bCs w:val="1"/>
                <w:color w:val="292F72"/>
              </w:rPr>
              <w:t>($/SH)</w:t>
            </w:r>
          </w:p>
        </w:tc>
        <w:tc>
          <w:tcPr>
            <w:tcW w:w="860" w:type="dxa"/>
            <w:vAlign w:val="bottom"/>
          </w:tcPr>
          <w:p>
            <w:pPr>
              <w:jc w:val="center"/>
              <w:spacing w:after="0"/>
              <w:rPr>
                <w:sz w:val="20"/>
                <w:szCs w:val="20"/>
                <w:color w:val="auto"/>
              </w:rPr>
            </w:pPr>
            <w:r>
              <w:rPr>
                <w:rFonts w:ascii="Arial" w:cs="Arial" w:eastAsia="Arial" w:hAnsi="Arial"/>
                <w:sz w:val="12"/>
                <w:szCs w:val="12"/>
                <w:b w:val="1"/>
                <w:bCs w:val="1"/>
                <w:color w:val="292F72"/>
              </w:rPr>
              <w:t>($)</w:t>
            </w:r>
          </w:p>
        </w:tc>
        <w:tc>
          <w:tcPr>
            <w:tcW w:w="0" w:type="dxa"/>
            <w:vAlign w:val="bottom"/>
          </w:tcPr>
          <w:p>
            <w:pPr>
              <w:spacing w:after="0"/>
              <w:rPr>
                <w:sz w:val="1"/>
                <w:szCs w:val="1"/>
                <w:color w:val="auto"/>
              </w:rPr>
            </w:pPr>
          </w:p>
        </w:tc>
      </w:tr>
      <w:tr>
        <w:trPr>
          <w:trHeight w:val="48"/>
        </w:trPr>
        <w:tc>
          <w:tcPr>
            <w:tcW w:w="820" w:type="dxa"/>
            <w:vAlign w:val="bottom"/>
            <w:tcBorders>
              <w:bottom w:val="single" w:sz="8" w:color="292F72"/>
            </w:tcBorders>
          </w:tcPr>
          <w:p>
            <w:pPr>
              <w:spacing w:after="0"/>
              <w:rPr>
                <w:sz w:val="4"/>
                <w:szCs w:val="4"/>
                <w:color w:val="auto"/>
              </w:rPr>
            </w:pPr>
          </w:p>
        </w:tc>
        <w:tc>
          <w:tcPr>
            <w:tcW w:w="660" w:type="dxa"/>
            <w:vAlign w:val="bottom"/>
            <w:tcBorders>
              <w:bottom w:val="single" w:sz="8" w:color="292F72"/>
            </w:tcBorders>
          </w:tcPr>
          <w:p>
            <w:pPr>
              <w:spacing w:after="0"/>
              <w:rPr>
                <w:sz w:val="4"/>
                <w:szCs w:val="4"/>
                <w:color w:val="auto"/>
              </w:rPr>
            </w:pPr>
          </w:p>
        </w:tc>
        <w:tc>
          <w:tcPr>
            <w:tcW w:w="660" w:type="dxa"/>
            <w:vAlign w:val="bottom"/>
            <w:tcBorders>
              <w:bottom w:val="single" w:sz="8" w:color="292F72"/>
            </w:tcBorders>
          </w:tcPr>
          <w:p>
            <w:pPr>
              <w:spacing w:after="0"/>
              <w:rPr>
                <w:sz w:val="4"/>
                <w:szCs w:val="4"/>
                <w:color w:val="auto"/>
              </w:rPr>
            </w:pPr>
          </w:p>
        </w:tc>
        <w:tc>
          <w:tcPr>
            <w:tcW w:w="800" w:type="dxa"/>
            <w:vAlign w:val="bottom"/>
            <w:tcBorders>
              <w:bottom w:val="single" w:sz="8" w:color="292F72"/>
            </w:tcBorders>
          </w:tcPr>
          <w:p>
            <w:pPr>
              <w:spacing w:after="0"/>
              <w:rPr>
                <w:sz w:val="4"/>
                <w:szCs w:val="4"/>
                <w:color w:val="auto"/>
              </w:rPr>
            </w:pPr>
          </w:p>
        </w:tc>
        <w:tc>
          <w:tcPr>
            <w:tcW w:w="120" w:type="dxa"/>
            <w:vAlign w:val="bottom"/>
            <w:tcBorders>
              <w:bottom w:val="single" w:sz="8" w:color="292F72"/>
            </w:tcBorders>
          </w:tcPr>
          <w:p>
            <w:pPr>
              <w:spacing w:after="0"/>
              <w:rPr>
                <w:sz w:val="4"/>
                <w:szCs w:val="4"/>
                <w:color w:val="auto"/>
              </w:rPr>
            </w:pPr>
          </w:p>
        </w:tc>
        <w:tc>
          <w:tcPr>
            <w:tcW w:w="840" w:type="dxa"/>
            <w:vAlign w:val="bottom"/>
            <w:tcBorders>
              <w:bottom w:val="single" w:sz="8" w:color="292F72"/>
            </w:tcBorders>
          </w:tcPr>
          <w:p>
            <w:pPr>
              <w:spacing w:after="0"/>
              <w:rPr>
                <w:sz w:val="4"/>
                <w:szCs w:val="4"/>
                <w:color w:val="auto"/>
              </w:rPr>
            </w:pPr>
          </w:p>
        </w:tc>
        <w:tc>
          <w:tcPr>
            <w:tcW w:w="640" w:type="dxa"/>
            <w:vAlign w:val="bottom"/>
            <w:tcBorders>
              <w:bottom w:val="single" w:sz="8" w:color="292F72"/>
            </w:tcBorders>
            <w:gridSpan w:val="2"/>
          </w:tcPr>
          <w:p>
            <w:pPr>
              <w:spacing w:after="0"/>
              <w:rPr>
                <w:sz w:val="4"/>
                <w:szCs w:val="4"/>
                <w:color w:val="auto"/>
              </w:rPr>
            </w:pPr>
          </w:p>
        </w:tc>
        <w:tc>
          <w:tcPr>
            <w:tcW w:w="760" w:type="dxa"/>
            <w:vAlign w:val="bottom"/>
            <w:tcBorders>
              <w:bottom w:val="single" w:sz="8" w:color="292F72"/>
            </w:tcBorders>
          </w:tcPr>
          <w:p>
            <w:pPr>
              <w:spacing w:after="0"/>
              <w:rPr>
                <w:sz w:val="4"/>
                <w:szCs w:val="4"/>
                <w:color w:val="auto"/>
              </w:rPr>
            </w:pPr>
          </w:p>
        </w:tc>
        <w:tc>
          <w:tcPr>
            <w:tcW w:w="600" w:type="dxa"/>
            <w:vAlign w:val="bottom"/>
            <w:tcBorders>
              <w:bottom w:val="single" w:sz="8" w:color="292F72"/>
            </w:tcBorders>
          </w:tcPr>
          <w:p>
            <w:pPr>
              <w:spacing w:after="0"/>
              <w:rPr>
                <w:sz w:val="4"/>
                <w:szCs w:val="4"/>
                <w:color w:val="auto"/>
              </w:rPr>
            </w:pPr>
          </w:p>
        </w:tc>
        <w:tc>
          <w:tcPr>
            <w:tcW w:w="780" w:type="dxa"/>
            <w:vAlign w:val="bottom"/>
            <w:tcBorders>
              <w:bottom w:val="single" w:sz="8" w:color="292F72"/>
            </w:tcBorders>
          </w:tcPr>
          <w:p>
            <w:pPr>
              <w:spacing w:after="0"/>
              <w:rPr>
                <w:sz w:val="4"/>
                <w:szCs w:val="4"/>
                <w:color w:val="auto"/>
              </w:rPr>
            </w:pPr>
          </w:p>
        </w:tc>
        <w:tc>
          <w:tcPr>
            <w:tcW w:w="820" w:type="dxa"/>
            <w:vAlign w:val="bottom"/>
            <w:tcBorders>
              <w:bottom w:val="single" w:sz="8" w:color="292F72"/>
            </w:tcBorders>
          </w:tcPr>
          <w:p>
            <w:pPr>
              <w:spacing w:after="0"/>
              <w:rPr>
                <w:sz w:val="4"/>
                <w:szCs w:val="4"/>
                <w:color w:val="auto"/>
              </w:rPr>
            </w:pPr>
          </w:p>
        </w:tc>
        <w:tc>
          <w:tcPr>
            <w:tcW w:w="680" w:type="dxa"/>
            <w:vAlign w:val="bottom"/>
            <w:tcBorders>
              <w:bottom w:val="single" w:sz="8" w:color="292F72"/>
            </w:tcBorders>
          </w:tcPr>
          <w:p>
            <w:pPr>
              <w:spacing w:after="0"/>
              <w:rPr>
                <w:sz w:val="4"/>
                <w:szCs w:val="4"/>
                <w:color w:val="auto"/>
              </w:rPr>
            </w:pPr>
          </w:p>
        </w:tc>
        <w:tc>
          <w:tcPr>
            <w:tcW w:w="860" w:type="dxa"/>
            <w:vAlign w:val="bottom"/>
            <w:tcBorders>
              <w:bottom w:val="single" w:sz="8" w:color="292F72"/>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820" w:type="dxa"/>
            <w:vAlign w:val="bottom"/>
          </w:tcPr>
          <w:p>
            <w:pPr>
              <w:spacing w:after="0"/>
              <w:rPr>
                <w:sz w:val="20"/>
                <w:szCs w:val="20"/>
                <w:color w:val="auto"/>
              </w:rPr>
            </w:pPr>
            <w:r>
              <w:rPr>
                <w:rFonts w:ascii="Arial" w:cs="Arial" w:eastAsia="Arial" w:hAnsi="Arial"/>
                <w:sz w:val="14"/>
                <w:szCs w:val="14"/>
                <w:b w:val="1"/>
                <w:bCs w:val="1"/>
                <w:color w:val="auto"/>
              </w:rPr>
              <w:t>Mr. Heaf</w:t>
            </w:r>
          </w:p>
        </w:tc>
        <w:tc>
          <w:tcPr>
            <w:tcW w:w="660" w:type="dxa"/>
            <w:vAlign w:val="bottom"/>
          </w:tcPr>
          <w:p>
            <w:pPr>
              <w:ind w:left="20"/>
              <w:spacing w:after="0"/>
              <w:rPr>
                <w:sz w:val="20"/>
                <w:szCs w:val="20"/>
                <w:color w:val="auto"/>
              </w:rPr>
            </w:pPr>
            <w:r>
              <w:rPr>
                <w:rFonts w:ascii="Arial" w:cs="Arial" w:eastAsia="Arial" w:hAnsi="Arial"/>
                <w:sz w:val="14"/>
                <w:szCs w:val="14"/>
                <w:color w:val="auto"/>
                <w:w w:val="99"/>
              </w:rPr>
              <w:t>5/23/2025</w:t>
            </w:r>
          </w:p>
        </w:tc>
        <w:tc>
          <w:tcPr>
            <w:tcW w:w="6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40" w:type="dxa"/>
            <w:vAlign w:val="bottom"/>
            <w:gridSpan w:val="2"/>
          </w:tcPr>
          <w:p>
            <w:pPr>
              <w:jc w:val="center"/>
              <w:ind w:left="93"/>
              <w:spacing w:after="0"/>
              <w:rPr>
                <w:sz w:val="20"/>
                <w:szCs w:val="20"/>
                <w:color w:val="auto"/>
              </w:rPr>
            </w:pPr>
            <w:r>
              <w:rPr>
                <w:rFonts w:ascii="Arial" w:cs="Arial" w:eastAsia="Arial" w:hAnsi="Arial"/>
                <w:sz w:val="14"/>
                <w:szCs w:val="14"/>
                <w:color w:val="auto"/>
              </w:rPr>
              <w:t>41,295</w:t>
            </w:r>
          </w:p>
        </w:tc>
        <w:tc>
          <w:tcPr>
            <w:tcW w:w="760" w:type="dxa"/>
            <w:vAlign w:val="bottom"/>
          </w:tcPr>
          <w:p>
            <w:pPr>
              <w:jc w:val="right"/>
              <w:spacing w:after="0"/>
              <w:rPr>
                <w:sz w:val="20"/>
                <w:szCs w:val="20"/>
                <w:color w:val="auto"/>
              </w:rPr>
            </w:pPr>
            <w:r>
              <w:rPr>
                <w:rFonts w:ascii="Arial" w:cs="Arial" w:eastAsia="Arial" w:hAnsi="Arial"/>
                <w:sz w:val="14"/>
                <w:szCs w:val="14"/>
                <w:color w:val="auto"/>
              </w:rPr>
              <w:t>82,590</w:t>
            </w:r>
          </w:p>
        </w:tc>
        <w:tc>
          <w:tcPr>
            <w:tcW w:w="600" w:type="dxa"/>
            <w:vAlign w:val="bottom"/>
          </w:tcPr>
          <w:p>
            <w:pPr>
              <w:jc w:val="right"/>
              <w:spacing w:after="0"/>
              <w:rPr>
                <w:sz w:val="20"/>
                <w:szCs w:val="20"/>
                <w:color w:val="auto"/>
              </w:rPr>
            </w:pPr>
            <w:r>
              <w:rPr>
                <w:rFonts w:ascii="Arial" w:cs="Arial" w:eastAsia="Arial" w:hAnsi="Arial"/>
                <w:sz w:val="14"/>
                <w:szCs w:val="14"/>
                <w:color w:val="auto"/>
              </w:rPr>
              <w:t>165,180</w:t>
            </w:r>
          </w:p>
        </w:tc>
        <w:tc>
          <w:tcPr>
            <w:tcW w:w="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2,675,090</w:t>
            </w:r>
          </w:p>
        </w:tc>
        <w:tc>
          <w:tcPr>
            <w:tcW w:w="0" w:type="dxa"/>
            <w:vAlign w:val="bottom"/>
          </w:tcPr>
          <w:p>
            <w:pPr>
              <w:spacing w:after="0"/>
              <w:rPr>
                <w:sz w:val="1"/>
                <w:szCs w:val="1"/>
                <w:color w:val="auto"/>
              </w:rPr>
            </w:pPr>
          </w:p>
        </w:tc>
      </w:tr>
      <w:tr>
        <w:trPr>
          <w:trHeight w:val="40"/>
        </w:trPr>
        <w:tc>
          <w:tcPr>
            <w:tcW w:w="820" w:type="dxa"/>
            <w:vAlign w:val="bottom"/>
          </w:tcPr>
          <w:p>
            <w:pPr>
              <w:spacing w:after="0"/>
              <w:rPr>
                <w:sz w:val="3"/>
                <w:szCs w:val="3"/>
                <w:color w:val="auto"/>
              </w:rPr>
            </w:pPr>
          </w:p>
        </w:tc>
        <w:tc>
          <w:tcPr>
            <w:tcW w:w="660" w:type="dxa"/>
            <w:vAlign w:val="bottom"/>
            <w:tcBorders>
              <w:bottom w:val="single" w:sz="8" w:color="6D8CC3"/>
            </w:tcBorders>
          </w:tcPr>
          <w:p>
            <w:pPr>
              <w:spacing w:after="0"/>
              <w:rPr>
                <w:sz w:val="3"/>
                <w:szCs w:val="3"/>
                <w:color w:val="auto"/>
              </w:rPr>
            </w:pPr>
          </w:p>
        </w:tc>
        <w:tc>
          <w:tcPr>
            <w:tcW w:w="660" w:type="dxa"/>
            <w:vAlign w:val="bottom"/>
            <w:tcBorders>
              <w:bottom w:val="single" w:sz="8" w:color="6D8CC3"/>
            </w:tcBorders>
          </w:tcPr>
          <w:p>
            <w:pPr>
              <w:spacing w:after="0"/>
              <w:rPr>
                <w:sz w:val="3"/>
                <w:szCs w:val="3"/>
                <w:color w:val="auto"/>
              </w:rPr>
            </w:pPr>
          </w:p>
        </w:tc>
        <w:tc>
          <w:tcPr>
            <w:tcW w:w="800" w:type="dxa"/>
            <w:vAlign w:val="bottom"/>
            <w:tcBorders>
              <w:bottom w:val="single" w:sz="8" w:color="6D8CC3"/>
            </w:tcBorders>
          </w:tcPr>
          <w:p>
            <w:pPr>
              <w:spacing w:after="0"/>
              <w:rPr>
                <w:sz w:val="3"/>
                <w:szCs w:val="3"/>
                <w:color w:val="auto"/>
              </w:rPr>
            </w:pPr>
          </w:p>
        </w:tc>
        <w:tc>
          <w:tcPr>
            <w:tcW w:w="120" w:type="dxa"/>
            <w:vAlign w:val="bottom"/>
            <w:tcBorders>
              <w:bottom w:val="single" w:sz="8" w:color="6D8CC3"/>
            </w:tcBorders>
          </w:tcPr>
          <w:p>
            <w:pPr>
              <w:spacing w:after="0"/>
              <w:rPr>
                <w:sz w:val="3"/>
                <w:szCs w:val="3"/>
                <w:color w:val="auto"/>
              </w:rPr>
            </w:pPr>
          </w:p>
        </w:tc>
        <w:tc>
          <w:tcPr>
            <w:tcW w:w="840" w:type="dxa"/>
            <w:vAlign w:val="bottom"/>
            <w:tcBorders>
              <w:bottom w:val="single" w:sz="8" w:color="6D8CC3"/>
            </w:tcBorders>
          </w:tcPr>
          <w:p>
            <w:pPr>
              <w:spacing w:after="0"/>
              <w:rPr>
                <w:sz w:val="3"/>
                <w:szCs w:val="3"/>
                <w:color w:val="auto"/>
              </w:rPr>
            </w:pPr>
          </w:p>
        </w:tc>
        <w:tc>
          <w:tcPr>
            <w:tcW w:w="20" w:type="dxa"/>
            <w:vAlign w:val="bottom"/>
            <w:tcBorders>
              <w:bottom w:val="single" w:sz="8" w:color="6D8CC3"/>
            </w:tcBorders>
          </w:tcPr>
          <w:p>
            <w:pPr>
              <w:spacing w:after="0"/>
              <w:rPr>
                <w:sz w:val="3"/>
                <w:szCs w:val="3"/>
                <w:color w:val="auto"/>
              </w:rPr>
            </w:pPr>
          </w:p>
        </w:tc>
        <w:tc>
          <w:tcPr>
            <w:tcW w:w="620" w:type="dxa"/>
            <w:vAlign w:val="bottom"/>
            <w:tcBorders>
              <w:bottom w:val="single" w:sz="8" w:color="6D8CC3"/>
            </w:tcBorders>
          </w:tcPr>
          <w:p>
            <w:pPr>
              <w:spacing w:after="0"/>
              <w:rPr>
                <w:sz w:val="3"/>
                <w:szCs w:val="3"/>
                <w:color w:val="auto"/>
              </w:rPr>
            </w:pPr>
          </w:p>
        </w:tc>
        <w:tc>
          <w:tcPr>
            <w:tcW w:w="760" w:type="dxa"/>
            <w:vAlign w:val="bottom"/>
            <w:tcBorders>
              <w:bottom w:val="single" w:sz="8" w:color="6D8CC3"/>
            </w:tcBorders>
          </w:tcPr>
          <w:p>
            <w:pPr>
              <w:spacing w:after="0"/>
              <w:rPr>
                <w:sz w:val="3"/>
                <w:szCs w:val="3"/>
                <w:color w:val="auto"/>
              </w:rPr>
            </w:pPr>
          </w:p>
        </w:tc>
        <w:tc>
          <w:tcPr>
            <w:tcW w:w="600" w:type="dxa"/>
            <w:vAlign w:val="bottom"/>
            <w:tcBorders>
              <w:bottom w:val="single" w:sz="8" w:color="6D8CC3"/>
            </w:tcBorders>
          </w:tcPr>
          <w:p>
            <w:pPr>
              <w:spacing w:after="0"/>
              <w:rPr>
                <w:sz w:val="3"/>
                <w:szCs w:val="3"/>
                <w:color w:val="auto"/>
              </w:rPr>
            </w:pPr>
          </w:p>
        </w:tc>
        <w:tc>
          <w:tcPr>
            <w:tcW w:w="780" w:type="dxa"/>
            <w:vAlign w:val="bottom"/>
            <w:tcBorders>
              <w:bottom w:val="single" w:sz="8" w:color="6D8CC3"/>
            </w:tcBorders>
          </w:tcPr>
          <w:p>
            <w:pPr>
              <w:spacing w:after="0"/>
              <w:rPr>
                <w:sz w:val="3"/>
                <w:szCs w:val="3"/>
                <w:color w:val="auto"/>
              </w:rPr>
            </w:pPr>
          </w:p>
        </w:tc>
        <w:tc>
          <w:tcPr>
            <w:tcW w:w="820" w:type="dxa"/>
            <w:vAlign w:val="bottom"/>
            <w:tcBorders>
              <w:bottom w:val="single" w:sz="8" w:color="6D8CC3"/>
            </w:tcBorders>
          </w:tcPr>
          <w:p>
            <w:pPr>
              <w:spacing w:after="0"/>
              <w:rPr>
                <w:sz w:val="3"/>
                <w:szCs w:val="3"/>
                <w:color w:val="auto"/>
              </w:rPr>
            </w:pPr>
          </w:p>
        </w:tc>
        <w:tc>
          <w:tcPr>
            <w:tcW w:w="680" w:type="dxa"/>
            <w:vAlign w:val="bottom"/>
            <w:tcBorders>
              <w:bottom w:val="single" w:sz="8" w:color="6D8CC3"/>
            </w:tcBorders>
          </w:tcPr>
          <w:p>
            <w:pPr>
              <w:spacing w:after="0"/>
              <w:rPr>
                <w:sz w:val="3"/>
                <w:szCs w:val="3"/>
                <w:color w:val="auto"/>
              </w:rPr>
            </w:pPr>
          </w:p>
        </w:tc>
        <w:tc>
          <w:tcPr>
            <w:tcW w:w="860" w:type="dxa"/>
            <w:vAlign w:val="bottom"/>
            <w:tcBorders>
              <w:bottom w:val="single" w:sz="8" w:color="6D8CC3"/>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820" w:type="dxa"/>
            <w:vAlign w:val="bottom"/>
          </w:tcPr>
          <w:p>
            <w:pPr>
              <w:spacing w:after="0"/>
              <w:rPr>
                <w:sz w:val="19"/>
                <w:szCs w:val="19"/>
                <w:color w:val="auto"/>
              </w:rPr>
            </w:pPr>
          </w:p>
        </w:tc>
        <w:tc>
          <w:tcPr>
            <w:tcW w:w="660" w:type="dxa"/>
            <w:vAlign w:val="bottom"/>
          </w:tcPr>
          <w:p>
            <w:pPr>
              <w:ind w:left="20"/>
              <w:spacing w:after="0"/>
              <w:rPr>
                <w:sz w:val="20"/>
                <w:szCs w:val="20"/>
                <w:color w:val="auto"/>
              </w:rPr>
            </w:pPr>
            <w:r>
              <w:rPr>
                <w:rFonts w:ascii="Arial" w:cs="Arial" w:eastAsia="Arial" w:hAnsi="Arial"/>
                <w:sz w:val="14"/>
                <w:szCs w:val="14"/>
                <w:color w:val="auto"/>
                <w:w w:val="99"/>
              </w:rPr>
              <w:t>5/23/2025</w:t>
            </w: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jc w:val="right"/>
              <w:ind w:right="100"/>
              <w:spacing w:after="0"/>
              <w:rPr>
                <w:sz w:val="20"/>
                <w:szCs w:val="20"/>
                <w:color w:val="auto"/>
              </w:rPr>
            </w:pPr>
            <w:r>
              <w:rPr>
                <w:rFonts w:ascii="Arial" w:cs="Arial" w:eastAsia="Arial" w:hAnsi="Arial"/>
                <w:sz w:val="14"/>
                <w:szCs w:val="14"/>
                <w:color w:val="auto"/>
              </w:rPr>
              <w:t>82,590</w:t>
            </w: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2,368,681</w:t>
            </w:r>
          </w:p>
        </w:tc>
        <w:tc>
          <w:tcPr>
            <w:tcW w:w="0" w:type="dxa"/>
            <w:vAlign w:val="bottom"/>
          </w:tcPr>
          <w:p>
            <w:pPr>
              <w:spacing w:after="0"/>
              <w:rPr>
                <w:sz w:val="1"/>
                <w:szCs w:val="1"/>
                <w:color w:val="auto"/>
              </w:rPr>
            </w:pPr>
          </w:p>
        </w:tc>
      </w:tr>
      <w:tr>
        <w:trPr>
          <w:trHeight w:val="61"/>
        </w:trPr>
        <w:tc>
          <w:tcPr>
            <w:tcW w:w="820" w:type="dxa"/>
            <w:vAlign w:val="bottom"/>
          </w:tcPr>
          <w:p>
            <w:pPr>
              <w:spacing w:after="0"/>
              <w:rPr>
                <w:sz w:val="5"/>
                <w:szCs w:val="5"/>
                <w:color w:val="auto"/>
              </w:rPr>
            </w:pPr>
          </w:p>
        </w:tc>
        <w:tc>
          <w:tcPr>
            <w:tcW w:w="660" w:type="dxa"/>
            <w:vAlign w:val="bottom"/>
            <w:tcBorders>
              <w:bottom w:val="single" w:sz="8" w:color="6D8CC3"/>
            </w:tcBorders>
          </w:tcPr>
          <w:p>
            <w:pPr>
              <w:spacing w:after="0"/>
              <w:rPr>
                <w:sz w:val="5"/>
                <w:szCs w:val="5"/>
                <w:color w:val="auto"/>
              </w:rPr>
            </w:pPr>
          </w:p>
        </w:tc>
        <w:tc>
          <w:tcPr>
            <w:tcW w:w="660" w:type="dxa"/>
            <w:vAlign w:val="bottom"/>
            <w:tcBorders>
              <w:bottom w:val="single" w:sz="8" w:color="6D8CC3"/>
            </w:tcBorders>
          </w:tcPr>
          <w:p>
            <w:pPr>
              <w:spacing w:after="0"/>
              <w:rPr>
                <w:sz w:val="5"/>
                <w:szCs w:val="5"/>
                <w:color w:val="auto"/>
              </w:rPr>
            </w:pPr>
          </w:p>
        </w:tc>
        <w:tc>
          <w:tcPr>
            <w:tcW w:w="800" w:type="dxa"/>
            <w:vAlign w:val="bottom"/>
            <w:tcBorders>
              <w:bottom w:val="single" w:sz="8" w:color="6D8CC3"/>
            </w:tcBorders>
          </w:tcPr>
          <w:p>
            <w:pPr>
              <w:spacing w:after="0"/>
              <w:rPr>
                <w:sz w:val="5"/>
                <w:szCs w:val="5"/>
                <w:color w:val="auto"/>
              </w:rPr>
            </w:pPr>
          </w:p>
        </w:tc>
        <w:tc>
          <w:tcPr>
            <w:tcW w:w="960" w:type="dxa"/>
            <w:vAlign w:val="bottom"/>
            <w:tcBorders>
              <w:bottom w:val="single" w:sz="8" w:color="6D8CC3"/>
            </w:tcBorders>
            <w:gridSpan w:val="2"/>
          </w:tcPr>
          <w:p>
            <w:pPr>
              <w:spacing w:after="0"/>
              <w:rPr>
                <w:sz w:val="5"/>
                <w:szCs w:val="5"/>
                <w:color w:val="auto"/>
              </w:rPr>
            </w:pPr>
          </w:p>
        </w:tc>
        <w:tc>
          <w:tcPr>
            <w:tcW w:w="20" w:type="dxa"/>
            <w:vAlign w:val="bottom"/>
            <w:tcBorders>
              <w:bottom w:val="single" w:sz="8" w:color="6D8CC3"/>
            </w:tcBorders>
          </w:tcPr>
          <w:p>
            <w:pPr>
              <w:spacing w:after="0"/>
              <w:rPr>
                <w:sz w:val="5"/>
                <w:szCs w:val="5"/>
                <w:color w:val="auto"/>
              </w:rPr>
            </w:pPr>
          </w:p>
        </w:tc>
        <w:tc>
          <w:tcPr>
            <w:tcW w:w="620" w:type="dxa"/>
            <w:vAlign w:val="bottom"/>
            <w:tcBorders>
              <w:bottom w:val="single" w:sz="8" w:color="6D8CC3"/>
            </w:tcBorders>
          </w:tcPr>
          <w:p>
            <w:pPr>
              <w:spacing w:after="0"/>
              <w:rPr>
                <w:sz w:val="5"/>
                <w:szCs w:val="5"/>
                <w:color w:val="auto"/>
              </w:rPr>
            </w:pPr>
          </w:p>
        </w:tc>
        <w:tc>
          <w:tcPr>
            <w:tcW w:w="760" w:type="dxa"/>
            <w:vAlign w:val="bottom"/>
            <w:tcBorders>
              <w:bottom w:val="single" w:sz="8" w:color="6D8CC3"/>
            </w:tcBorders>
          </w:tcPr>
          <w:p>
            <w:pPr>
              <w:spacing w:after="0"/>
              <w:rPr>
                <w:sz w:val="5"/>
                <w:szCs w:val="5"/>
                <w:color w:val="auto"/>
              </w:rPr>
            </w:pPr>
          </w:p>
        </w:tc>
        <w:tc>
          <w:tcPr>
            <w:tcW w:w="600" w:type="dxa"/>
            <w:vAlign w:val="bottom"/>
            <w:tcBorders>
              <w:bottom w:val="single" w:sz="8" w:color="6D8CC3"/>
            </w:tcBorders>
          </w:tcPr>
          <w:p>
            <w:pPr>
              <w:spacing w:after="0"/>
              <w:rPr>
                <w:sz w:val="5"/>
                <w:szCs w:val="5"/>
                <w:color w:val="auto"/>
              </w:rPr>
            </w:pPr>
          </w:p>
        </w:tc>
        <w:tc>
          <w:tcPr>
            <w:tcW w:w="780" w:type="dxa"/>
            <w:vAlign w:val="bottom"/>
            <w:tcBorders>
              <w:bottom w:val="single" w:sz="8" w:color="6D8CC3"/>
            </w:tcBorders>
          </w:tcPr>
          <w:p>
            <w:pPr>
              <w:spacing w:after="0"/>
              <w:rPr>
                <w:sz w:val="5"/>
                <w:szCs w:val="5"/>
                <w:color w:val="auto"/>
              </w:rPr>
            </w:pPr>
          </w:p>
        </w:tc>
        <w:tc>
          <w:tcPr>
            <w:tcW w:w="820" w:type="dxa"/>
            <w:vAlign w:val="bottom"/>
            <w:tcBorders>
              <w:bottom w:val="single" w:sz="8" w:color="6D8CC3"/>
            </w:tcBorders>
          </w:tcPr>
          <w:p>
            <w:pPr>
              <w:spacing w:after="0"/>
              <w:rPr>
                <w:sz w:val="5"/>
                <w:szCs w:val="5"/>
                <w:color w:val="auto"/>
              </w:rPr>
            </w:pPr>
          </w:p>
        </w:tc>
        <w:tc>
          <w:tcPr>
            <w:tcW w:w="680" w:type="dxa"/>
            <w:vAlign w:val="bottom"/>
            <w:tcBorders>
              <w:bottom w:val="single" w:sz="8" w:color="6D8CC3"/>
            </w:tcBorders>
          </w:tcPr>
          <w:p>
            <w:pPr>
              <w:spacing w:after="0"/>
              <w:rPr>
                <w:sz w:val="5"/>
                <w:szCs w:val="5"/>
                <w:color w:val="auto"/>
              </w:rPr>
            </w:pPr>
          </w:p>
        </w:tc>
        <w:tc>
          <w:tcPr>
            <w:tcW w:w="860" w:type="dxa"/>
            <w:vAlign w:val="bottom"/>
            <w:tcBorders>
              <w:bottom w:val="single" w:sz="8" w:color="6D8CC3"/>
            </w:tcBorders>
          </w:tcPr>
          <w:p>
            <w:pPr>
              <w:spacing w:after="0"/>
              <w:rPr>
                <w:sz w:val="5"/>
                <w:szCs w:val="5"/>
                <w:color w:val="auto"/>
              </w:rPr>
            </w:pPr>
          </w:p>
        </w:tc>
        <w:tc>
          <w:tcPr>
            <w:tcW w:w="0" w:type="dxa"/>
            <w:vAlign w:val="bottom"/>
          </w:tcPr>
          <w:p>
            <w:pPr>
              <w:spacing w:after="0"/>
              <w:rPr>
                <w:sz w:val="1"/>
                <w:szCs w:val="1"/>
                <w:color w:val="auto"/>
              </w:rPr>
            </w:pPr>
          </w:p>
        </w:tc>
      </w:tr>
      <w:tr>
        <w:trPr>
          <w:trHeight w:val="295"/>
        </w:trPr>
        <w:tc>
          <w:tcPr>
            <w:tcW w:w="820" w:type="dxa"/>
            <w:vAlign w:val="bottom"/>
            <w:tcBorders>
              <w:bottom w:val="single" w:sz="8" w:color="292F72"/>
            </w:tcBorders>
          </w:tcPr>
          <w:p>
            <w:pPr>
              <w:spacing w:after="0"/>
              <w:rPr>
                <w:sz w:val="24"/>
                <w:szCs w:val="24"/>
                <w:color w:val="auto"/>
              </w:rPr>
            </w:pPr>
          </w:p>
        </w:tc>
        <w:tc>
          <w:tcPr>
            <w:tcW w:w="660" w:type="dxa"/>
            <w:vAlign w:val="bottom"/>
            <w:tcBorders>
              <w:bottom w:val="single" w:sz="8" w:color="292F72"/>
            </w:tcBorders>
          </w:tcPr>
          <w:p>
            <w:pPr>
              <w:spacing w:after="0"/>
              <w:rPr>
                <w:sz w:val="24"/>
                <w:szCs w:val="24"/>
                <w:color w:val="auto"/>
              </w:rPr>
            </w:pPr>
          </w:p>
        </w:tc>
        <w:tc>
          <w:tcPr>
            <w:tcW w:w="660" w:type="dxa"/>
            <w:vAlign w:val="bottom"/>
            <w:tcBorders>
              <w:bottom w:val="single" w:sz="8" w:color="292F72"/>
            </w:tcBorders>
          </w:tcPr>
          <w:p>
            <w:pPr>
              <w:jc w:val="center"/>
              <w:ind w:left="74"/>
              <w:spacing w:after="0"/>
              <w:rPr>
                <w:sz w:val="20"/>
                <w:szCs w:val="20"/>
                <w:color w:val="auto"/>
              </w:rPr>
            </w:pPr>
            <w:r>
              <w:rPr>
                <w:rFonts w:ascii="Arial" w:cs="Arial" w:eastAsia="Arial" w:hAnsi="Arial"/>
                <w:sz w:val="14"/>
                <w:szCs w:val="14"/>
                <w:color w:val="auto"/>
              </w:rPr>
              <w:t>367,838​</w:t>
            </w:r>
          </w:p>
        </w:tc>
        <w:tc>
          <w:tcPr>
            <w:tcW w:w="800" w:type="dxa"/>
            <w:vAlign w:val="bottom"/>
            <w:tcBorders>
              <w:bottom w:val="single" w:sz="8" w:color="292F72"/>
            </w:tcBorders>
          </w:tcPr>
          <w:p>
            <w:pPr>
              <w:jc w:val="right"/>
              <w:spacing w:after="0"/>
              <w:rPr>
                <w:sz w:val="20"/>
                <w:szCs w:val="20"/>
                <w:color w:val="auto"/>
              </w:rPr>
            </w:pPr>
            <w:r>
              <w:rPr>
                <w:rFonts w:ascii="Arial" w:cs="Arial" w:eastAsia="Arial" w:hAnsi="Arial"/>
                <w:sz w:val="23"/>
                <w:szCs w:val="23"/>
                <w:color w:val="auto"/>
                <w:w w:val="91"/>
                <w:vertAlign w:val="superscript"/>
              </w:rPr>
              <w:t>(5)</w:t>
            </w:r>
            <w:r>
              <w:rPr>
                <w:rFonts w:ascii="Arial" w:cs="Arial" w:eastAsia="Arial" w:hAnsi="Arial"/>
                <w:sz w:val="14"/>
                <w:szCs w:val="14"/>
                <w:color w:val="auto"/>
                <w:w w:val="91"/>
              </w:rPr>
              <w:t xml:space="preserve"> 1,839,190​</w:t>
            </w:r>
          </w:p>
        </w:tc>
        <w:tc>
          <w:tcPr>
            <w:tcW w:w="960" w:type="dxa"/>
            <w:vAlign w:val="bottom"/>
            <w:tcBorders>
              <w:bottom w:val="single" w:sz="8" w:color="292F72"/>
            </w:tcBorders>
            <w:gridSpan w:val="2"/>
          </w:tcPr>
          <w:p>
            <w:pPr>
              <w:spacing w:after="0"/>
              <w:rPr>
                <w:sz w:val="20"/>
                <w:szCs w:val="20"/>
                <w:color w:val="auto"/>
              </w:rPr>
            </w:pPr>
            <w:r>
              <w:rPr>
                <w:rFonts w:ascii="Arial" w:cs="Arial" w:eastAsia="Arial" w:hAnsi="Arial"/>
                <w:sz w:val="23"/>
                <w:szCs w:val="23"/>
                <w:color w:val="auto"/>
                <w:w w:val="90"/>
                <w:vertAlign w:val="superscript"/>
              </w:rPr>
              <w:t>(5)</w:t>
            </w:r>
            <w:r>
              <w:rPr>
                <w:rFonts w:ascii="Arial" w:cs="Arial" w:eastAsia="Arial" w:hAnsi="Arial"/>
                <w:sz w:val="14"/>
                <w:szCs w:val="14"/>
                <w:color w:val="auto"/>
                <w:w w:val="90"/>
              </w:rPr>
              <w:t xml:space="preserve"> ​3,678,379</w:t>
            </w:r>
            <w:r>
              <w:rPr>
                <w:rFonts w:ascii="Arial" w:cs="Arial" w:eastAsia="Arial" w:hAnsi="Arial"/>
                <w:sz w:val="23"/>
                <w:szCs w:val="23"/>
                <w:color w:val="auto"/>
                <w:w w:val="90"/>
                <w:vertAlign w:val="superscript"/>
              </w:rPr>
              <w:t>(5)</w:t>
            </w:r>
          </w:p>
        </w:tc>
        <w:tc>
          <w:tcPr>
            <w:tcW w:w="20" w:type="dxa"/>
            <w:vAlign w:val="bottom"/>
            <w:tcBorders>
              <w:bottom w:val="single" w:sz="8" w:color="292F72"/>
            </w:tcBorders>
          </w:tcPr>
          <w:p>
            <w:pPr>
              <w:spacing w:after="0"/>
              <w:rPr>
                <w:sz w:val="24"/>
                <w:szCs w:val="24"/>
                <w:color w:val="auto"/>
              </w:rPr>
            </w:pPr>
          </w:p>
        </w:tc>
        <w:tc>
          <w:tcPr>
            <w:tcW w:w="620" w:type="dxa"/>
            <w:vAlign w:val="bottom"/>
            <w:tcBorders>
              <w:bottom w:val="single" w:sz="8" w:color="292F72"/>
            </w:tcBorders>
          </w:tcPr>
          <w:p>
            <w:pPr>
              <w:spacing w:after="0"/>
              <w:rPr>
                <w:sz w:val="24"/>
                <w:szCs w:val="24"/>
                <w:color w:val="auto"/>
              </w:rPr>
            </w:pPr>
          </w:p>
        </w:tc>
        <w:tc>
          <w:tcPr>
            <w:tcW w:w="760" w:type="dxa"/>
            <w:vAlign w:val="bottom"/>
            <w:tcBorders>
              <w:bottom w:val="single" w:sz="8" w:color="292F72"/>
            </w:tcBorders>
          </w:tcPr>
          <w:p>
            <w:pPr>
              <w:spacing w:after="0"/>
              <w:rPr>
                <w:sz w:val="24"/>
                <w:szCs w:val="24"/>
                <w:color w:val="auto"/>
              </w:rPr>
            </w:pPr>
          </w:p>
        </w:tc>
        <w:tc>
          <w:tcPr>
            <w:tcW w:w="600" w:type="dxa"/>
            <w:vAlign w:val="bottom"/>
            <w:tcBorders>
              <w:bottom w:val="single" w:sz="8" w:color="292F72"/>
            </w:tcBorders>
          </w:tcPr>
          <w:p>
            <w:pPr>
              <w:spacing w:after="0"/>
              <w:rPr>
                <w:sz w:val="24"/>
                <w:szCs w:val="24"/>
                <w:color w:val="auto"/>
              </w:rPr>
            </w:pPr>
          </w:p>
        </w:tc>
        <w:tc>
          <w:tcPr>
            <w:tcW w:w="780" w:type="dxa"/>
            <w:vAlign w:val="bottom"/>
            <w:tcBorders>
              <w:bottom w:val="single" w:sz="8" w:color="292F72"/>
            </w:tcBorders>
          </w:tcPr>
          <w:p>
            <w:pPr>
              <w:spacing w:after="0"/>
              <w:rPr>
                <w:sz w:val="24"/>
                <w:szCs w:val="24"/>
                <w:color w:val="auto"/>
              </w:rPr>
            </w:pPr>
          </w:p>
        </w:tc>
        <w:tc>
          <w:tcPr>
            <w:tcW w:w="820" w:type="dxa"/>
            <w:vAlign w:val="bottom"/>
            <w:tcBorders>
              <w:bottom w:val="single" w:sz="8" w:color="292F72"/>
            </w:tcBorders>
          </w:tcPr>
          <w:p>
            <w:pPr>
              <w:spacing w:after="0"/>
              <w:rPr>
                <w:sz w:val="24"/>
                <w:szCs w:val="24"/>
                <w:color w:val="auto"/>
              </w:rPr>
            </w:pPr>
          </w:p>
        </w:tc>
        <w:tc>
          <w:tcPr>
            <w:tcW w:w="680" w:type="dxa"/>
            <w:vAlign w:val="bottom"/>
            <w:tcBorders>
              <w:bottom w:val="single" w:sz="8" w:color="292F72"/>
            </w:tcBorders>
          </w:tcPr>
          <w:p>
            <w:pPr>
              <w:spacing w:after="0"/>
              <w:rPr>
                <w:sz w:val="24"/>
                <w:szCs w:val="24"/>
                <w:color w:val="auto"/>
              </w:rPr>
            </w:pPr>
          </w:p>
        </w:tc>
        <w:tc>
          <w:tcPr>
            <w:tcW w:w="860" w:type="dxa"/>
            <w:vAlign w:val="bottom"/>
            <w:tcBorders>
              <w:bottom w:val="single" w:sz="8" w:color="292F72"/>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48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Ms. Boratto </w:t>
            </w:r>
            <w:r>
              <w:rPr>
                <w:rFonts w:ascii="Arial" w:cs="Arial" w:eastAsia="Arial" w:hAnsi="Arial"/>
                <w:sz w:val="14"/>
                <w:szCs w:val="14"/>
                <w:color w:val="auto"/>
              </w:rPr>
              <w:t>3/13/2025</w:t>
            </w: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40" w:type="dxa"/>
            <w:vAlign w:val="bottom"/>
            <w:gridSpan w:val="2"/>
          </w:tcPr>
          <w:p>
            <w:pPr>
              <w:jc w:val="center"/>
              <w:ind w:left="93"/>
              <w:spacing w:after="0"/>
              <w:rPr>
                <w:sz w:val="20"/>
                <w:szCs w:val="20"/>
                <w:color w:val="auto"/>
              </w:rPr>
            </w:pPr>
            <w:r>
              <w:rPr>
                <w:rFonts w:ascii="Arial" w:cs="Arial" w:eastAsia="Arial" w:hAnsi="Arial"/>
                <w:sz w:val="14"/>
                <w:szCs w:val="14"/>
                <w:color w:val="auto"/>
              </w:rPr>
              <w:t>25,044</w:t>
            </w:r>
          </w:p>
        </w:tc>
        <w:tc>
          <w:tcPr>
            <w:tcW w:w="760" w:type="dxa"/>
            <w:vAlign w:val="bottom"/>
          </w:tcPr>
          <w:p>
            <w:pPr>
              <w:jc w:val="right"/>
              <w:spacing w:after="0"/>
              <w:rPr>
                <w:sz w:val="20"/>
                <w:szCs w:val="20"/>
                <w:color w:val="auto"/>
              </w:rPr>
            </w:pPr>
            <w:r>
              <w:rPr>
                <w:rFonts w:ascii="Arial" w:cs="Arial" w:eastAsia="Arial" w:hAnsi="Arial"/>
                <w:sz w:val="14"/>
                <w:szCs w:val="14"/>
                <w:color w:val="auto"/>
              </w:rPr>
              <w:t>50,088</w:t>
            </w:r>
          </w:p>
        </w:tc>
        <w:tc>
          <w:tcPr>
            <w:tcW w:w="600" w:type="dxa"/>
            <w:vAlign w:val="bottom"/>
          </w:tcPr>
          <w:p>
            <w:pPr>
              <w:jc w:val="right"/>
              <w:spacing w:after="0"/>
              <w:rPr>
                <w:sz w:val="20"/>
                <w:szCs w:val="20"/>
                <w:color w:val="auto"/>
              </w:rPr>
            </w:pPr>
            <w:r>
              <w:rPr>
                <w:rFonts w:ascii="Arial" w:cs="Arial" w:eastAsia="Arial" w:hAnsi="Arial"/>
                <w:sz w:val="14"/>
                <w:szCs w:val="14"/>
                <w:color w:val="auto"/>
              </w:rPr>
              <w:t>100,176</w:t>
            </w: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1,535,197</w:t>
            </w:r>
          </w:p>
        </w:tc>
        <w:tc>
          <w:tcPr>
            <w:tcW w:w="0" w:type="dxa"/>
            <w:vAlign w:val="bottom"/>
          </w:tcPr>
          <w:p>
            <w:pPr>
              <w:spacing w:after="0"/>
              <w:rPr>
                <w:sz w:val="1"/>
                <w:szCs w:val="1"/>
                <w:color w:val="auto"/>
              </w:rPr>
            </w:pPr>
          </w:p>
        </w:tc>
      </w:tr>
      <w:tr>
        <w:trPr>
          <w:trHeight w:val="53"/>
        </w:trPr>
        <w:tc>
          <w:tcPr>
            <w:tcW w:w="820" w:type="dxa"/>
            <w:vAlign w:val="bottom"/>
          </w:tcPr>
          <w:p>
            <w:pPr>
              <w:spacing w:after="0"/>
              <w:rPr>
                <w:sz w:val="4"/>
                <w:szCs w:val="4"/>
                <w:color w:val="auto"/>
              </w:rPr>
            </w:pPr>
          </w:p>
        </w:tc>
        <w:tc>
          <w:tcPr>
            <w:tcW w:w="660" w:type="dxa"/>
            <w:vAlign w:val="bottom"/>
            <w:tcBorders>
              <w:bottom w:val="single" w:sz="8" w:color="6D8CC3"/>
            </w:tcBorders>
          </w:tcPr>
          <w:p>
            <w:pPr>
              <w:spacing w:after="0"/>
              <w:rPr>
                <w:sz w:val="4"/>
                <w:szCs w:val="4"/>
                <w:color w:val="auto"/>
              </w:rPr>
            </w:pPr>
          </w:p>
        </w:tc>
        <w:tc>
          <w:tcPr>
            <w:tcW w:w="660" w:type="dxa"/>
            <w:vAlign w:val="bottom"/>
            <w:tcBorders>
              <w:bottom w:val="single" w:sz="8" w:color="6D8CC3"/>
            </w:tcBorders>
          </w:tcPr>
          <w:p>
            <w:pPr>
              <w:spacing w:after="0"/>
              <w:rPr>
                <w:sz w:val="4"/>
                <w:szCs w:val="4"/>
                <w:color w:val="auto"/>
              </w:rPr>
            </w:pPr>
          </w:p>
        </w:tc>
        <w:tc>
          <w:tcPr>
            <w:tcW w:w="800" w:type="dxa"/>
            <w:vAlign w:val="bottom"/>
            <w:tcBorders>
              <w:bottom w:val="single" w:sz="8" w:color="6D8CC3"/>
            </w:tcBorders>
          </w:tcPr>
          <w:p>
            <w:pPr>
              <w:spacing w:after="0"/>
              <w:rPr>
                <w:sz w:val="4"/>
                <w:szCs w:val="4"/>
                <w:color w:val="auto"/>
              </w:rPr>
            </w:pPr>
          </w:p>
        </w:tc>
        <w:tc>
          <w:tcPr>
            <w:tcW w:w="120" w:type="dxa"/>
            <w:vAlign w:val="bottom"/>
            <w:tcBorders>
              <w:bottom w:val="single" w:sz="8" w:color="6D8CC3"/>
            </w:tcBorders>
          </w:tcPr>
          <w:p>
            <w:pPr>
              <w:spacing w:after="0"/>
              <w:rPr>
                <w:sz w:val="4"/>
                <w:szCs w:val="4"/>
                <w:color w:val="auto"/>
              </w:rPr>
            </w:pPr>
          </w:p>
        </w:tc>
        <w:tc>
          <w:tcPr>
            <w:tcW w:w="840" w:type="dxa"/>
            <w:vAlign w:val="bottom"/>
            <w:tcBorders>
              <w:bottom w:val="single" w:sz="8" w:color="6D8CC3"/>
            </w:tcBorders>
          </w:tcPr>
          <w:p>
            <w:pPr>
              <w:spacing w:after="0"/>
              <w:rPr>
                <w:sz w:val="4"/>
                <w:szCs w:val="4"/>
                <w:color w:val="auto"/>
              </w:rPr>
            </w:pPr>
          </w:p>
        </w:tc>
        <w:tc>
          <w:tcPr>
            <w:tcW w:w="20" w:type="dxa"/>
            <w:vAlign w:val="bottom"/>
            <w:tcBorders>
              <w:bottom w:val="single" w:sz="8" w:color="6D8CC3"/>
            </w:tcBorders>
          </w:tcPr>
          <w:p>
            <w:pPr>
              <w:spacing w:after="0"/>
              <w:rPr>
                <w:sz w:val="4"/>
                <w:szCs w:val="4"/>
                <w:color w:val="auto"/>
              </w:rPr>
            </w:pPr>
          </w:p>
        </w:tc>
        <w:tc>
          <w:tcPr>
            <w:tcW w:w="620" w:type="dxa"/>
            <w:vAlign w:val="bottom"/>
            <w:tcBorders>
              <w:bottom w:val="single" w:sz="8" w:color="6D8CC3"/>
            </w:tcBorders>
          </w:tcPr>
          <w:p>
            <w:pPr>
              <w:spacing w:after="0"/>
              <w:rPr>
                <w:sz w:val="4"/>
                <w:szCs w:val="4"/>
                <w:color w:val="auto"/>
              </w:rPr>
            </w:pPr>
          </w:p>
        </w:tc>
        <w:tc>
          <w:tcPr>
            <w:tcW w:w="760" w:type="dxa"/>
            <w:vAlign w:val="bottom"/>
            <w:tcBorders>
              <w:bottom w:val="single" w:sz="8" w:color="6D8CC3"/>
            </w:tcBorders>
          </w:tcPr>
          <w:p>
            <w:pPr>
              <w:spacing w:after="0"/>
              <w:rPr>
                <w:sz w:val="4"/>
                <w:szCs w:val="4"/>
                <w:color w:val="auto"/>
              </w:rPr>
            </w:pPr>
          </w:p>
        </w:tc>
        <w:tc>
          <w:tcPr>
            <w:tcW w:w="600" w:type="dxa"/>
            <w:vAlign w:val="bottom"/>
            <w:tcBorders>
              <w:bottom w:val="single" w:sz="8" w:color="6D8CC3"/>
            </w:tcBorders>
          </w:tcPr>
          <w:p>
            <w:pPr>
              <w:spacing w:after="0"/>
              <w:rPr>
                <w:sz w:val="4"/>
                <w:szCs w:val="4"/>
                <w:color w:val="auto"/>
              </w:rPr>
            </w:pPr>
          </w:p>
        </w:tc>
        <w:tc>
          <w:tcPr>
            <w:tcW w:w="780" w:type="dxa"/>
            <w:vAlign w:val="bottom"/>
            <w:tcBorders>
              <w:bottom w:val="single" w:sz="8" w:color="6D8CC3"/>
            </w:tcBorders>
          </w:tcPr>
          <w:p>
            <w:pPr>
              <w:spacing w:after="0"/>
              <w:rPr>
                <w:sz w:val="4"/>
                <w:szCs w:val="4"/>
                <w:color w:val="auto"/>
              </w:rPr>
            </w:pPr>
          </w:p>
        </w:tc>
        <w:tc>
          <w:tcPr>
            <w:tcW w:w="820" w:type="dxa"/>
            <w:vAlign w:val="bottom"/>
            <w:tcBorders>
              <w:bottom w:val="single" w:sz="8" w:color="6D8CC3"/>
            </w:tcBorders>
          </w:tcPr>
          <w:p>
            <w:pPr>
              <w:spacing w:after="0"/>
              <w:rPr>
                <w:sz w:val="4"/>
                <w:szCs w:val="4"/>
                <w:color w:val="auto"/>
              </w:rPr>
            </w:pPr>
          </w:p>
        </w:tc>
        <w:tc>
          <w:tcPr>
            <w:tcW w:w="680" w:type="dxa"/>
            <w:vAlign w:val="bottom"/>
            <w:tcBorders>
              <w:bottom w:val="single" w:sz="8" w:color="6D8CC3"/>
            </w:tcBorders>
          </w:tcPr>
          <w:p>
            <w:pPr>
              <w:spacing w:after="0"/>
              <w:rPr>
                <w:sz w:val="4"/>
                <w:szCs w:val="4"/>
                <w:color w:val="auto"/>
              </w:rPr>
            </w:pPr>
          </w:p>
        </w:tc>
        <w:tc>
          <w:tcPr>
            <w:tcW w:w="860" w:type="dxa"/>
            <w:vAlign w:val="bottom"/>
            <w:tcBorders>
              <w:bottom w:val="single" w:sz="8" w:color="6D8CC3"/>
            </w:tcBorders>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820" w:type="dxa"/>
            <w:vAlign w:val="bottom"/>
          </w:tcPr>
          <w:p>
            <w:pPr>
              <w:spacing w:after="0"/>
              <w:rPr>
                <w:sz w:val="19"/>
                <w:szCs w:val="19"/>
                <w:color w:val="auto"/>
              </w:rPr>
            </w:pPr>
          </w:p>
        </w:tc>
        <w:tc>
          <w:tcPr>
            <w:tcW w:w="660" w:type="dxa"/>
            <w:vAlign w:val="bottom"/>
          </w:tcPr>
          <w:p>
            <w:pPr>
              <w:ind w:left="20"/>
              <w:spacing w:after="0"/>
              <w:rPr>
                <w:sz w:val="20"/>
                <w:szCs w:val="20"/>
                <w:color w:val="auto"/>
              </w:rPr>
            </w:pPr>
            <w:r>
              <w:rPr>
                <w:rFonts w:ascii="Arial" w:cs="Arial" w:eastAsia="Arial" w:hAnsi="Arial"/>
                <w:sz w:val="14"/>
                <w:szCs w:val="14"/>
                <w:color w:val="auto"/>
                <w:w w:val="99"/>
              </w:rPr>
              <w:t>3/13/2025</w:t>
            </w: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jc w:val="right"/>
              <w:ind w:right="100"/>
              <w:spacing w:after="0"/>
              <w:rPr>
                <w:sz w:val="20"/>
                <w:szCs w:val="20"/>
                <w:color w:val="auto"/>
              </w:rPr>
            </w:pPr>
            <w:r>
              <w:rPr>
                <w:rFonts w:ascii="Arial" w:cs="Arial" w:eastAsia="Arial" w:hAnsi="Arial"/>
                <w:sz w:val="14"/>
                <w:szCs w:val="14"/>
                <w:color w:val="auto"/>
              </w:rPr>
              <w:t>50,088</w:t>
            </w: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1,345,364</w:t>
            </w:r>
          </w:p>
        </w:tc>
        <w:tc>
          <w:tcPr>
            <w:tcW w:w="0" w:type="dxa"/>
            <w:vAlign w:val="bottom"/>
          </w:tcPr>
          <w:p>
            <w:pPr>
              <w:spacing w:after="0"/>
              <w:rPr>
                <w:sz w:val="1"/>
                <w:szCs w:val="1"/>
                <w:color w:val="auto"/>
              </w:rPr>
            </w:pPr>
          </w:p>
        </w:tc>
      </w:tr>
      <w:tr>
        <w:trPr>
          <w:trHeight w:val="61"/>
        </w:trPr>
        <w:tc>
          <w:tcPr>
            <w:tcW w:w="820" w:type="dxa"/>
            <w:vAlign w:val="bottom"/>
          </w:tcPr>
          <w:p>
            <w:pPr>
              <w:spacing w:after="0"/>
              <w:rPr>
                <w:sz w:val="5"/>
                <w:szCs w:val="5"/>
                <w:color w:val="auto"/>
              </w:rPr>
            </w:pPr>
          </w:p>
        </w:tc>
        <w:tc>
          <w:tcPr>
            <w:tcW w:w="660" w:type="dxa"/>
            <w:vAlign w:val="bottom"/>
            <w:tcBorders>
              <w:bottom w:val="single" w:sz="8" w:color="6D8CC3"/>
            </w:tcBorders>
          </w:tcPr>
          <w:p>
            <w:pPr>
              <w:spacing w:after="0"/>
              <w:rPr>
                <w:sz w:val="5"/>
                <w:szCs w:val="5"/>
                <w:color w:val="auto"/>
              </w:rPr>
            </w:pPr>
          </w:p>
        </w:tc>
        <w:tc>
          <w:tcPr>
            <w:tcW w:w="660" w:type="dxa"/>
            <w:vAlign w:val="bottom"/>
            <w:tcBorders>
              <w:bottom w:val="single" w:sz="8" w:color="6D8CC3"/>
            </w:tcBorders>
          </w:tcPr>
          <w:p>
            <w:pPr>
              <w:spacing w:after="0"/>
              <w:rPr>
                <w:sz w:val="5"/>
                <w:szCs w:val="5"/>
                <w:color w:val="auto"/>
              </w:rPr>
            </w:pPr>
          </w:p>
        </w:tc>
        <w:tc>
          <w:tcPr>
            <w:tcW w:w="800" w:type="dxa"/>
            <w:vAlign w:val="bottom"/>
            <w:tcBorders>
              <w:bottom w:val="single" w:sz="8" w:color="6D8CC3"/>
            </w:tcBorders>
          </w:tcPr>
          <w:p>
            <w:pPr>
              <w:spacing w:after="0"/>
              <w:rPr>
                <w:sz w:val="5"/>
                <w:szCs w:val="5"/>
                <w:color w:val="auto"/>
              </w:rPr>
            </w:pPr>
          </w:p>
        </w:tc>
        <w:tc>
          <w:tcPr>
            <w:tcW w:w="120" w:type="dxa"/>
            <w:vAlign w:val="bottom"/>
            <w:tcBorders>
              <w:bottom w:val="single" w:sz="8" w:color="6D8CC3"/>
            </w:tcBorders>
          </w:tcPr>
          <w:p>
            <w:pPr>
              <w:spacing w:after="0"/>
              <w:rPr>
                <w:sz w:val="5"/>
                <w:szCs w:val="5"/>
                <w:color w:val="auto"/>
              </w:rPr>
            </w:pPr>
          </w:p>
        </w:tc>
        <w:tc>
          <w:tcPr>
            <w:tcW w:w="840" w:type="dxa"/>
            <w:vAlign w:val="bottom"/>
            <w:tcBorders>
              <w:bottom w:val="single" w:sz="8" w:color="6D8CC3"/>
            </w:tcBorders>
          </w:tcPr>
          <w:p>
            <w:pPr>
              <w:spacing w:after="0"/>
              <w:rPr>
                <w:sz w:val="5"/>
                <w:szCs w:val="5"/>
                <w:color w:val="auto"/>
              </w:rPr>
            </w:pPr>
          </w:p>
        </w:tc>
        <w:tc>
          <w:tcPr>
            <w:tcW w:w="20" w:type="dxa"/>
            <w:vAlign w:val="bottom"/>
            <w:tcBorders>
              <w:bottom w:val="single" w:sz="8" w:color="6D8CC3"/>
            </w:tcBorders>
          </w:tcPr>
          <w:p>
            <w:pPr>
              <w:spacing w:after="0"/>
              <w:rPr>
                <w:sz w:val="5"/>
                <w:szCs w:val="5"/>
                <w:color w:val="auto"/>
              </w:rPr>
            </w:pPr>
          </w:p>
        </w:tc>
        <w:tc>
          <w:tcPr>
            <w:tcW w:w="620" w:type="dxa"/>
            <w:vAlign w:val="bottom"/>
            <w:tcBorders>
              <w:bottom w:val="single" w:sz="8" w:color="6D8CC3"/>
            </w:tcBorders>
          </w:tcPr>
          <w:p>
            <w:pPr>
              <w:spacing w:after="0"/>
              <w:rPr>
                <w:sz w:val="5"/>
                <w:szCs w:val="5"/>
                <w:color w:val="auto"/>
              </w:rPr>
            </w:pPr>
          </w:p>
        </w:tc>
        <w:tc>
          <w:tcPr>
            <w:tcW w:w="760" w:type="dxa"/>
            <w:vAlign w:val="bottom"/>
            <w:tcBorders>
              <w:bottom w:val="single" w:sz="8" w:color="6D8CC3"/>
            </w:tcBorders>
          </w:tcPr>
          <w:p>
            <w:pPr>
              <w:spacing w:after="0"/>
              <w:rPr>
                <w:sz w:val="5"/>
                <w:szCs w:val="5"/>
                <w:color w:val="auto"/>
              </w:rPr>
            </w:pPr>
          </w:p>
        </w:tc>
        <w:tc>
          <w:tcPr>
            <w:tcW w:w="600" w:type="dxa"/>
            <w:vAlign w:val="bottom"/>
            <w:tcBorders>
              <w:bottom w:val="single" w:sz="8" w:color="6D8CC3"/>
            </w:tcBorders>
          </w:tcPr>
          <w:p>
            <w:pPr>
              <w:spacing w:after="0"/>
              <w:rPr>
                <w:sz w:val="5"/>
                <w:szCs w:val="5"/>
                <w:color w:val="auto"/>
              </w:rPr>
            </w:pPr>
          </w:p>
        </w:tc>
        <w:tc>
          <w:tcPr>
            <w:tcW w:w="780" w:type="dxa"/>
            <w:vAlign w:val="bottom"/>
            <w:tcBorders>
              <w:bottom w:val="single" w:sz="8" w:color="6D8CC3"/>
            </w:tcBorders>
          </w:tcPr>
          <w:p>
            <w:pPr>
              <w:spacing w:after="0"/>
              <w:rPr>
                <w:sz w:val="5"/>
                <w:szCs w:val="5"/>
                <w:color w:val="auto"/>
              </w:rPr>
            </w:pPr>
          </w:p>
        </w:tc>
        <w:tc>
          <w:tcPr>
            <w:tcW w:w="820" w:type="dxa"/>
            <w:vAlign w:val="bottom"/>
            <w:tcBorders>
              <w:bottom w:val="single" w:sz="8" w:color="6D8CC3"/>
            </w:tcBorders>
          </w:tcPr>
          <w:p>
            <w:pPr>
              <w:spacing w:after="0"/>
              <w:rPr>
                <w:sz w:val="5"/>
                <w:szCs w:val="5"/>
                <w:color w:val="auto"/>
              </w:rPr>
            </w:pPr>
          </w:p>
        </w:tc>
        <w:tc>
          <w:tcPr>
            <w:tcW w:w="680" w:type="dxa"/>
            <w:vAlign w:val="bottom"/>
            <w:tcBorders>
              <w:bottom w:val="single" w:sz="8" w:color="6D8CC3"/>
            </w:tcBorders>
          </w:tcPr>
          <w:p>
            <w:pPr>
              <w:spacing w:after="0"/>
              <w:rPr>
                <w:sz w:val="5"/>
                <w:szCs w:val="5"/>
                <w:color w:val="auto"/>
              </w:rPr>
            </w:pPr>
          </w:p>
        </w:tc>
        <w:tc>
          <w:tcPr>
            <w:tcW w:w="860" w:type="dxa"/>
            <w:vAlign w:val="bottom"/>
            <w:tcBorders>
              <w:bottom w:val="single" w:sz="8" w:color="6D8CC3"/>
            </w:tcBorders>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jc w:val="center"/>
              <w:ind w:left="74"/>
              <w:spacing w:after="0"/>
              <w:rPr>
                <w:sz w:val="20"/>
                <w:szCs w:val="20"/>
                <w:color w:val="auto"/>
              </w:rPr>
            </w:pPr>
            <w:r>
              <w:rPr>
                <w:rFonts w:ascii="Arial" w:cs="Arial" w:eastAsia="Arial" w:hAnsi="Arial"/>
                <w:sz w:val="14"/>
                <w:szCs w:val="14"/>
                <w:color w:val="auto"/>
              </w:rPr>
              <w:t>204,000</w:t>
            </w:r>
          </w:p>
        </w:tc>
        <w:tc>
          <w:tcPr>
            <w:tcW w:w="800" w:type="dxa"/>
            <w:vAlign w:val="bottom"/>
          </w:tcPr>
          <w:p>
            <w:pPr>
              <w:jc w:val="right"/>
              <w:spacing w:after="0"/>
              <w:rPr>
                <w:sz w:val="20"/>
                <w:szCs w:val="20"/>
                <w:color w:val="auto"/>
              </w:rPr>
            </w:pPr>
            <w:r>
              <w:rPr>
                <w:rFonts w:ascii="Arial" w:cs="Arial" w:eastAsia="Arial" w:hAnsi="Arial"/>
                <w:sz w:val="14"/>
                <w:szCs w:val="14"/>
                <w:color w:val="auto"/>
              </w:rPr>
              <w:t>1,020,000</w:t>
            </w:r>
          </w:p>
        </w:tc>
        <w:tc>
          <w:tcPr>
            <w:tcW w:w="120" w:type="dxa"/>
            <w:vAlign w:val="bottom"/>
          </w:tcPr>
          <w:p>
            <w:pPr>
              <w:spacing w:after="0"/>
              <w:rPr>
                <w:sz w:val="19"/>
                <w:szCs w:val="19"/>
                <w:color w:val="auto"/>
              </w:rPr>
            </w:pPr>
          </w:p>
        </w:tc>
        <w:tc>
          <w:tcPr>
            <w:tcW w:w="840" w:type="dxa"/>
            <w:vAlign w:val="bottom"/>
          </w:tcPr>
          <w:p>
            <w:pPr>
              <w:ind w:left="80"/>
              <w:spacing w:after="0"/>
              <w:rPr>
                <w:sz w:val="20"/>
                <w:szCs w:val="20"/>
                <w:color w:val="auto"/>
              </w:rPr>
            </w:pPr>
            <w:r>
              <w:rPr>
                <w:rFonts w:ascii="Arial" w:cs="Arial" w:eastAsia="Arial" w:hAnsi="Arial"/>
                <w:sz w:val="14"/>
                <w:szCs w:val="14"/>
                <w:color w:val="auto"/>
              </w:rPr>
              <w:t>2,040,000</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1480" w:type="dxa"/>
            <w:vAlign w:val="bottom"/>
            <w:tcBorders>
              <w:bottom w:val="single" w:sz="8" w:color="292F72"/>
            </w:tcBorders>
            <w:gridSpan w:val="2"/>
          </w:tcPr>
          <w:p>
            <w:pPr>
              <w:spacing w:after="0"/>
              <w:rPr>
                <w:sz w:val="4"/>
                <w:szCs w:val="4"/>
                <w:color w:val="auto"/>
              </w:rPr>
            </w:pPr>
          </w:p>
        </w:tc>
        <w:tc>
          <w:tcPr>
            <w:tcW w:w="660" w:type="dxa"/>
            <w:vAlign w:val="bottom"/>
            <w:tcBorders>
              <w:bottom w:val="single" w:sz="8" w:color="292F72"/>
            </w:tcBorders>
          </w:tcPr>
          <w:p>
            <w:pPr>
              <w:spacing w:after="0"/>
              <w:rPr>
                <w:sz w:val="4"/>
                <w:szCs w:val="4"/>
                <w:color w:val="auto"/>
              </w:rPr>
            </w:pPr>
          </w:p>
        </w:tc>
        <w:tc>
          <w:tcPr>
            <w:tcW w:w="800" w:type="dxa"/>
            <w:vAlign w:val="bottom"/>
            <w:tcBorders>
              <w:bottom w:val="single" w:sz="8" w:color="292F72"/>
            </w:tcBorders>
          </w:tcPr>
          <w:p>
            <w:pPr>
              <w:spacing w:after="0"/>
              <w:rPr>
                <w:sz w:val="4"/>
                <w:szCs w:val="4"/>
                <w:color w:val="auto"/>
              </w:rPr>
            </w:pPr>
          </w:p>
        </w:tc>
        <w:tc>
          <w:tcPr>
            <w:tcW w:w="120" w:type="dxa"/>
            <w:vAlign w:val="bottom"/>
            <w:tcBorders>
              <w:bottom w:val="single" w:sz="8" w:color="292F72"/>
            </w:tcBorders>
          </w:tcPr>
          <w:p>
            <w:pPr>
              <w:spacing w:after="0"/>
              <w:rPr>
                <w:sz w:val="4"/>
                <w:szCs w:val="4"/>
                <w:color w:val="auto"/>
              </w:rPr>
            </w:pPr>
          </w:p>
        </w:tc>
        <w:tc>
          <w:tcPr>
            <w:tcW w:w="840" w:type="dxa"/>
            <w:vAlign w:val="bottom"/>
            <w:tcBorders>
              <w:bottom w:val="single" w:sz="8" w:color="292F72"/>
            </w:tcBorders>
          </w:tcPr>
          <w:p>
            <w:pPr>
              <w:spacing w:after="0"/>
              <w:rPr>
                <w:sz w:val="4"/>
                <w:szCs w:val="4"/>
                <w:color w:val="auto"/>
              </w:rPr>
            </w:pPr>
          </w:p>
        </w:tc>
        <w:tc>
          <w:tcPr>
            <w:tcW w:w="640" w:type="dxa"/>
            <w:vAlign w:val="bottom"/>
            <w:tcBorders>
              <w:bottom w:val="single" w:sz="8" w:color="292F72"/>
            </w:tcBorders>
            <w:gridSpan w:val="2"/>
          </w:tcPr>
          <w:p>
            <w:pPr>
              <w:spacing w:after="0"/>
              <w:rPr>
                <w:sz w:val="4"/>
                <w:szCs w:val="4"/>
                <w:color w:val="auto"/>
              </w:rPr>
            </w:pPr>
          </w:p>
        </w:tc>
        <w:tc>
          <w:tcPr>
            <w:tcW w:w="760" w:type="dxa"/>
            <w:vAlign w:val="bottom"/>
            <w:tcBorders>
              <w:bottom w:val="single" w:sz="8" w:color="292F72"/>
            </w:tcBorders>
          </w:tcPr>
          <w:p>
            <w:pPr>
              <w:spacing w:after="0"/>
              <w:rPr>
                <w:sz w:val="4"/>
                <w:szCs w:val="4"/>
                <w:color w:val="auto"/>
              </w:rPr>
            </w:pPr>
          </w:p>
        </w:tc>
        <w:tc>
          <w:tcPr>
            <w:tcW w:w="600" w:type="dxa"/>
            <w:vAlign w:val="bottom"/>
            <w:tcBorders>
              <w:bottom w:val="single" w:sz="8" w:color="292F72"/>
            </w:tcBorders>
          </w:tcPr>
          <w:p>
            <w:pPr>
              <w:spacing w:after="0"/>
              <w:rPr>
                <w:sz w:val="4"/>
                <w:szCs w:val="4"/>
                <w:color w:val="auto"/>
              </w:rPr>
            </w:pPr>
          </w:p>
        </w:tc>
        <w:tc>
          <w:tcPr>
            <w:tcW w:w="780" w:type="dxa"/>
            <w:vAlign w:val="bottom"/>
            <w:tcBorders>
              <w:bottom w:val="single" w:sz="8" w:color="292F72"/>
            </w:tcBorders>
          </w:tcPr>
          <w:p>
            <w:pPr>
              <w:spacing w:after="0"/>
              <w:rPr>
                <w:sz w:val="4"/>
                <w:szCs w:val="4"/>
                <w:color w:val="auto"/>
              </w:rPr>
            </w:pPr>
          </w:p>
        </w:tc>
        <w:tc>
          <w:tcPr>
            <w:tcW w:w="820" w:type="dxa"/>
            <w:vAlign w:val="bottom"/>
            <w:tcBorders>
              <w:bottom w:val="single" w:sz="8" w:color="292F72"/>
            </w:tcBorders>
          </w:tcPr>
          <w:p>
            <w:pPr>
              <w:spacing w:after="0"/>
              <w:rPr>
                <w:sz w:val="4"/>
                <w:szCs w:val="4"/>
                <w:color w:val="auto"/>
              </w:rPr>
            </w:pPr>
          </w:p>
        </w:tc>
        <w:tc>
          <w:tcPr>
            <w:tcW w:w="680" w:type="dxa"/>
            <w:vAlign w:val="bottom"/>
            <w:tcBorders>
              <w:bottom w:val="single" w:sz="8" w:color="292F72"/>
            </w:tcBorders>
          </w:tcPr>
          <w:p>
            <w:pPr>
              <w:spacing w:after="0"/>
              <w:rPr>
                <w:sz w:val="4"/>
                <w:szCs w:val="4"/>
                <w:color w:val="auto"/>
              </w:rPr>
            </w:pPr>
          </w:p>
        </w:tc>
        <w:tc>
          <w:tcPr>
            <w:tcW w:w="860" w:type="dxa"/>
            <w:vAlign w:val="bottom"/>
            <w:tcBorders>
              <w:bottom w:val="single" w:sz="8" w:color="292F72"/>
            </w:tcBorders>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480" w:type="dxa"/>
            <w:vAlign w:val="bottom"/>
            <w:gridSpan w:val="2"/>
          </w:tcPr>
          <w:p>
            <w:pPr>
              <w:spacing w:after="0"/>
              <w:rPr>
                <w:sz w:val="20"/>
                <w:szCs w:val="20"/>
                <w:color w:val="auto"/>
              </w:rPr>
            </w:pPr>
            <w:r>
              <w:rPr>
                <w:rFonts w:ascii="Arial" w:cs="Arial" w:eastAsia="Arial" w:hAnsi="Arial"/>
                <w:sz w:val="14"/>
                <w:szCs w:val="14"/>
                <w:b w:val="1"/>
                <w:bCs w:val="1"/>
                <w:color w:val="auto"/>
                <w:w w:val="99"/>
              </w:rPr>
              <w:t xml:space="preserve">Mr. Mazurek </w:t>
            </w:r>
            <w:r>
              <w:rPr>
                <w:rFonts w:ascii="Arial" w:cs="Arial" w:eastAsia="Arial" w:hAnsi="Arial"/>
                <w:sz w:val="14"/>
                <w:szCs w:val="14"/>
                <w:color w:val="auto"/>
                <w:w w:val="99"/>
              </w:rPr>
              <w:t>3/13/2025</w:t>
            </w: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40" w:type="dxa"/>
            <w:vAlign w:val="bottom"/>
            <w:gridSpan w:val="2"/>
          </w:tcPr>
          <w:p>
            <w:pPr>
              <w:jc w:val="center"/>
              <w:ind w:left="93"/>
              <w:spacing w:after="0"/>
              <w:rPr>
                <w:sz w:val="20"/>
                <w:szCs w:val="20"/>
                <w:color w:val="auto"/>
              </w:rPr>
            </w:pPr>
            <w:r>
              <w:rPr>
                <w:rFonts w:ascii="Arial" w:cs="Arial" w:eastAsia="Arial" w:hAnsi="Arial"/>
                <w:sz w:val="14"/>
                <w:szCs w:val="14"/>
                <w:color w:val="auto"/>
              </w:rPr>
              <w:t>15,334</w:t>
            </w:r>
          </w:p>
        </w:tc>
        <w:tc>
          <w:tcPr>
            <w:tcW w:w="760" w:type="dxa"/>
            <w:vAlign w:val="bottom"/>
          </w:tcPr>
          <w:p>
            <w:pPr>
              <w:jc w:val="right"/>
              <w:spacing w:after="0"/>
              <w:rPr>
                <w:sz w:val="20"/>
                <w:szCs w:val="20"/>
                <w:color w:val="auto"/>
              </w:rPr>
            </w:pPr>
            <w:r>
              <w:rPr>
                <w:rFonts w:ascii="Arial" w:cs="Arial" w:eastAsia="Arial" w:hAnsi="Arial"/>
                <w:sz w:val="14"/>
                <w:szCs w:val="14"/>
                <w:color w:val="auto"/>
              </w:rPr>
              <w:t>30,668</w:t>
            </w:r>
          </w:p>
        </w:tc>
        <w:tc>
          <w:tcPr>
            <w:tcW w:w="600" w:type="dxa"/>
            <w:vAlign w:val="bottom"/>
          </w:tcPr>
          <w:p>
            <w:pPr>
              <w:jc w:val="right"/>
              <w:spacing w:after="0"/>
              <w:rPr>
                <w:sz w:val="20"/>
                <w:szCs w:val="20"/>
                <w:color w:val="auto"/>
              </w:rPr>
            </w:pPr>
            <w:r>
              <w:rPr>
                <w:rFonts w:ascii="Arial" w:cs="Arial" w:eastAsia="Arial" w:hAnsi="Arial"/>
                <w:sz w:val="14"/>
                <w:szCs w:val="14"/>
                <w:color w:val="auto"/>
              </w:rPr>
              <w:t>61,336</w:t>
            </w: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0" w:type="dxa"/>
            <w:vAlign w:val="bottom"/>
          </w:tcPr>
          <w:p>
            <w:pPr>
              <w:jc w:val="right"/>
              <w:ind w:right="56"/>
              <w:spacing w:after="0"/>
              <w:rPr>
                <w:sz w:val="20"/>
                <w:szCs w:val="20"/>
                <w:color w:val="auto"/>
              </w:rPr>
            </w:pPr>
            <w:r>
              <w:rPr>
                <w:rFonts w:ascii="Arial" w:cs="Arial" w:eastAsia="Arial" w:hAnsi="Arial"/>
                <w:sz w:val="14"/>
                <w:szCs w:val="14"/>
                <w:color w:val="auto"/>
              </w:rPr>
              <w:t>939,974</w:t>
            </w:r>
          </w:p>
        </w:tc>
        <w:tc>
          <w:tcPr>
            <w:tcW w:w="0" w:type="dxa"/>
            <w:vAlign w:val="bottom"/>
          </w:tcPr>
          <w:p>
            <w:pPr>
              <w:spacing w:after="0"/>
              <w:rPr>
                <w:sz w:val="1"/>
                <w:szCs w:val="1"/>
                <w:color w:val="auto"/>
              </w:rPr>
            </w:pPr>
          </w:p>
        </w:tc>
      </w:tr>
      <w:tr>
        <w:trPr>
          <w:trHeight w:val="53"/>
        </w:trPr>
        <w:tc>
          <w:tcPr>
            <w:tcW w:w="820" w:type="dxa"/>
            <w:vAlign w:val="bottom"/>
          </w:tcPr>
          <w:p>
            <w:pPr>
              <w:spacing w:after="0"/>
              <w:rPr>
                <w:sz w:val="4"/>
                <w:szCs w:val="4"/>
                <w:color w:val="auto"/>
              </w:rPr>
            </w:pPr>
          </w:p>
        </w:tc>
        <w:tc>
          <w:tcPr>
            <w:tcW w:w="660" w:type="dxa"/>
            <w:vAlign w:val="bottom"/>
            <w:tcBorders>
              <w:bottom w:val="single" w:sz="8" w:color="6D8CC3"/>
            </w:tcBorders>
          </w:tcPr>
          <w:p>
            <w:pPr>
              <w:spacing w:after="0"/>
              <w:rPr>
                <w:sz w:val="4"/>
                <w:szCs w:val="4"/>
                <w:color w:val="auto"/>
              </w:rPr>
            </w:pPr>
          </w:p>
        </w:tc>
        <w:tc>
          <w:tcPr>
            <w:tcW w:w="660" w:type="dxa"/>
            <w:vAlign w:val="bottom"/>
            <w:tcBorders>
              <w:bottom w:val="single" w:sz="8" w:color="6D8CC3"/>
            </w:tcBorders>
          </w:tcPr>
          <w:p>
            <w:pPr>
              <w:spacing w:after="0"/>
              <w:rPr>
                <w:sz w:val="4"/>
                <w:szCs w:val="4"/>
                <w:color w:val="auto"/>
              </w:rPr>
            </w:pPr>
          </w:p>
        </w:tc>
        <w:tc>
          <w:tcPr>
            <w:tcW w:w="800" w:type="dxa"/>
            <w:vAlign w:val="bottom"/>
            <w:tcBorders>
              <w:bottom w:val="single" w:sz="8" w:color="6D8CC3"/>
            </w:tcBorders>
          </w:tcPr>
          <w:p>
            <w:pPr>
              <w:spacing w:after="0"/>
              <w:rPr>
                <w:sz w:val="4"/>
                <w:szCs w:val="4"/>
                <w:color w:val="auto"/>
              </w:rPr>
            </w:pPr>
          </w:p>
        </w:tc>
        <w:tc>
          <w:tcPr>
            <w:tcW w:w="120" w:type="dxa"/>
            <w:vAlign w:val="bottom"/>
            <w:tcBorders>
              <w:bottom w:val="single" w:sz="8" w:color="6D8CC3"/>
            </w:tcBorders>
          </w:tcPr>
          <w:p>
            <w:pPr>
              <w:spacing w:after="0"/>
              <w:rPr>
                <w:sz w:val="4"/>
                <w:szCs w:val="4"/>
                <w:color w:val="auto"/>
              </w:rPr>
            </w:pPr>
          </w:p>
        </w:tc>
        <w:tc>
          <w:tcPr>
            <w:tcW w:w="840" w:type="dxa"/>
            <w:vAlign w:val="bottom"/>
            <w:tcBorders>
              <w:bottom w:val="single" w:sz="8" w:color="6D8CC3"/>
            </w:tcBorders>
          </w:tcPr>
          <w:p>
            <w:pPr>
              <w:spacing w:after="0"/>
              <w:rPr>
                <w:sz w:val="4"/>
                <w:szCs w:val="4"/>
                <w:color w:val="auto"/>
              </w:rPr>
            </w:pPr>
          </w:p>
        </w:tc>
        <w:tc>
          <w:tcPr>
            <w:tcW w:w="20" w:type="dxa"/>
            <w:vAlign w:val="bottom"/>
            <w:tcBorders>
              <w:bottom w:val="single" w:sz="8" w:color="6D8CC3"/>
            </w:tcBorders>
          </w:tcPr>
          <w:p>
            <w:pPr>
              <w:spacing w:after="0"/>
              <w:rPr>
                <w:sz w:val="4"/>
                <w:szCs w:val="4"/>
                <w:color w:val="auto"/>
              </w:rPr>
            </w:pPr>
          </w:p>
        </w:tc>
        <w:tc>
          <w:tcPr>
            <w:tcW w:w="620" w:type="dxa"/>
            <w:vAlign w:val="bottom"/>
            <w:tcBorders>
              <w:bottom w:val="single" w:sz="8" w:color="6D8CC3"/>
            </w:tcBorders>
          </w:tcPr>
          <w:p>
            <w:pPr>
              <w:spacing w:after="0"/>
              <w:rPr>
                <w:sz w:val="4"/>
                <w:szCs w:val="4"/>
                <w:color w:val="auto"/>
              </w:rPr>
            </w:pPr>
          </w:p>
        </w:tc>
        <w:tc>
          <w:tcPr>
            <w:tcW w:w="760" w:type="dxa"/>
            <w:vAlign w:val="bottom"/>
            <w:tcBorders>
              <w:bottom w:val="single" w:sz="8" w:color="6D8CC3"/>
            </w:tcBorders>
          </w:tcPr>
          <w:p>
            <w:pPr>
              <w:spacing w:after="0"/>
              <w:rPr>
                <w:sz w:val="4"/>
                <w:szCs w:val="4"/>
                <w:color w:val="auto"/>
              </w:rPr>
            </w:pPr>
          </w:p>
        </w:tc>
        <w:tc>
          <w:tcPr>
            <w:tcW w:w="600" w:type="dxa"/>
            <w:vAlign w:val="bottom"/>
            <w:tcBorders>
              <w:bottom w:val="single" w:sz="8" w:color="6D8CC3"/>
            </w:tcBorders>
          </w:tcPr>
          <w:p>
            <w:pPr>
              <w:spacing w:after="0"/>
              <w:rPr>
                <w:sz w:val="4"/>
                <w:szCs w:val="4"/>
                <w:color w:val="auto"/>
              </w:rPr>
            </w:pPr>
          </w:p>
        </w:tc>
        <w:tc>
          <w:tcPr>
            <w:tcW w:w="780" w:type="dxa"/>
            <w:vAlign w:val="bottom"/>
            <w:tcBorders>
              <w:bottom w:val="single" w:sz="8" w:color="6D8CC3"/>
            </w:tcBorders>
          </w:tcPr>
          <w:p>
            <w:pPr>
              <w:spacing w:after="0"/>
              <w:rPr>
                <w:sz w:val="4"/>
                <w:szCs w:val="4"/>
                <w:color w:val="auto"/>
              </w:rPr>
            </w:pPr>
          </w:p>
        </w:tc>
        <w:tc>
          <w:tcPr>
            <w:tcW w:w="820" w:type="dxa"/>
            <w:vAlign w:val="bottom"/>
            <w:tcBorders>
              <w:bottom w:val="single" w:sz="8" w:color="6D8CC3"/>
            </w:tcBorders>
          </w:tcPr>
          <w:p>
            <w:pPr>
              <w:spacing w:after="0"/>
              <w:rPr>
                <w:sz w:val="4"/>
                <w:szCs w:val="4"/>
                <w:color w:val="auto"/>
              </w:rPr>
            </w:pPr>
          </w:p>
        </w:tc>
        <w:tc>
          <w:tcPr>
            <w:tcW w:w="680" w:type="dxa"/>
            <w:vAlign w:val="bottom"/>
            <w:tcBorders>
              <w:bottom w:val="single" w:sz="8" w:color="6D8CC3"/>
            </w:tcBorders>
          </w:tcPr>
          <w:p>
            <w:pPr>
              <w:spacing w:after="0"/>
              <w:rPr>
                <w:sz w:val="4"/>
                <w:szCs w:val="4"/>
                <w:color w:val="auto"/>
              </w:rPr>
            </w:pPr>
          </w:p>
        </w:tc>
        <w:tc>
          <w:tcPr>
            <w:tcW w:w="860" w:type="dxa"/>
            <w:vAlign w:val="bottom"/>
            <w:tcBorders>
              <w:bottom w:val="single" w:sz="8" w:color="6D8CC3"/>
            </w:tcBorders>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820" w:type="dxa"/>
            <w:vAlign w:val="bottom"/>
          </w:tcPr>
          <w:p>
            <w:pPr>
              <w:spacing w:after="0"/>
              <w:rPr>
                <w:sz w:val="19"/>
                <w:szCs w:val="19"/>
                <w:color w:val="auto"/>
              </w:rPr>
            </w:pPr>
          </w:p>
        </w:tc>
        <w:tc>
          <w:tcPr>
            <w:tcW w:w="660" w:type="dxa"/>
            <w:vAlign w:val="bottom"/>
          </w:tcPr>
          <w:p>
            <w:pPr>
              <w:ind w:left="20"/>
              <w:spacing w:after="0"/>
              <w:rPr>
                <w:sz w:val="20"/>
                <w:szCs w:val="20"/>
                <w:color w:val="auto"/>
              </w:rPr>
            </w:pPr>
            <w:r>
              <w:rPr>
                <w:rFonts w:ascii="Arial" w:cs="Arial" w:eastAsia="Arial" w:hAnsi="Arial"/>
                <w:sz w:val="14"/>
                <w:szCs w:val="14"/>
                <w:color w:val="auto"/>
                <w:w w:val="99"/>
              </w:rPr>
              <w:t>3/13/2025</w:t>
            </w: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jc w:val="right"/>
              <w:ind w:right="100"/>
              <w:spacing w:after="0"/>
              <w:rPr>
                <w:sz w:val="20"/>
                <w:szCs w:val="20"/>
                <w:color w:val="auto"/>
              </w:rPr>
            </w:pPr>
            <w:r>
              <w:rPr>
                <w:rFonts w:ascii="Arial" w:cs="Arial" w:eastAsia="Arial" w:hAnsi="Arial"/>
                <w:sz w:val="14"/>
                <w:szCs w:val="14"/>
                <w:color w:val="auto"/>
              </w:rPr>
              <w:t>30,668</w:t>
            </w: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0" w:type="dxa"/>
            <w:vAlign w:val="bottom"/>
          </w:tcPr>
          <w:p>
            <w:pPr>
              <w:jc w:val="right"/>
              <w:ind w:right="56"/>
              <w:spacing w:after="0"/>
              <w:rPr>
                <w:sz w:val="20"/>
                <w:szCs w:val="20"/>
                <w:color w:val="auto"/>
              </w:rPr>
            </w:pPr>
            <w:r>
              <w:rPr>
                <w:rFonts w:ascii="Arial" w:cs="Arial" w:eastAsia="Arial" w:hAnsi="Arial"/>
                <w:sz w:val="14"/>
                <w:szCs w:val="14"/>
                <w:color w:val="auto"/>
              </w:rPr>
              <w:t>823,743</w:t>
            </w:r>
          </w:p>
        </w:tc>
        <w:tc>
          <w:tcPr>
            <w:tcW w:w="0" w:type="dxa"/>
            <w:vAlign w:val="bottom"/>
          </w:tcPr>
          <w:p>
            <w:pPr>
              <w:spacing w:after="0"/>
              <w:rPr>
                <w:sz w:val="1"/>
                <w:szCs w:val="1"/>
                <w:color w:val="auto"/>
              </w:rPr>
            </w:pPr>
          </w:p>
        </w:tc>
      </w:tr>
      <w:tr>
        <w:trPr>
          <w:trHeight w:val="61"/>
        </w:trPr>
        <w:tc>
          <w:tcPr>
            <w:tcW w:w="820" w:type="dxa"/>
            <w:vAlign w:val="bottom"/>
          </w:tcPr>
          <w:p>
            <w:pPr>
              <w:spacing w:after="0"/>
              <w:rPr>
                <w:sz w:val="5"/>
                <w:szCs w:val="5"/>
                <w:color w:val="auto"/>
              </w:rPr>
            </w:pPr>
          </w:p>
        </w:tc>
        <w:tc>
          <w:tcPr>
            <w:tcW w:w="660" w:type="dxa"/>
            <w:vAlign w:val="bottom"/>
            <w:tcBorders>
              <w:bottom w:val="single" w:sz="8" w:color="6D8CC3"/>
            </w:tcBorders>
          </w:tcPr>
          <w:p>
            <w:pPr>
              <w:spacing w:after="0"/>
              <w:rPr>
                <w:sz w:val="5"/>
                <w:szCs w:val="5"/>
                <w:color w:val="auto"/>
              </w:rPr>
            </w:pPr>
          </w:p>
        </w:tc>
        <w:tc>
          <w:tcPr>
            <w:tcW w:w="660" w:type="dxa"/>
            <w:vAlign w:val="bottom"/>
            <w:tcBorders>
              <w:bottom w:val="single" w:sz="8" w:color="6D8CC3"/>
            </w:tcBorders>
          </w:tcPr>
          <w:p>
            <w:pPr>
              <w:spacing w:after="0"/>
              <w:rPr>
                <w:sz w:val="5"/>
                <w:szCs w:val="5"/>
                <w:color w:val="auto"/>
              </w:rPr>
            </w:pPr>
          </w:p>
        </w:tc>
        <w:tc>
          <w:tcPr>
            <w:tcW w:w="800" w:type="dxa"/>
            <w:vAlign w:val="bottom"/>
            <w:tcBorders>
              <w:bottom w:val="single" w:sz="8" w:color="6D8CC3"/>
            </w:tcBorders>
          </w:tcPr>
          <w:p>
            <w:pPr>
              <w:spacing w:after="0"/>
              <w:rPr>
                <w:sz w:val="5"/>
                <w:szCs w:val="5"/>
                <w:color w:val="auto"/>
              </w:rPr>
            </w:pPr>
          </w:p>
        </w:tc>
        <w:tc>
          <w:tcPr>
            <w:tcW w:w="120" w:type="dxa"/>
            <w:vAlign w:val="bottom"/>
            <w:tcBorders>
              <w:bottom w:val="single" w:sz="8" w:color="6D8CC3"/>
            </w:tcBorders>
          </w:tcPr>
          <w:p>
            <w:pPr>
              <w:spacing w:after="0"/>
              <w:rPr>
                <w:sz w:val="5"/>
                <w:szCs w:val="5"/>
                <w:color w:val="auto"/>
              </w:rPr>
            </w:pPr>
          </w:p>
        </w:tc>
        <w:tc>
          <w:tcPr>
            <w:tcW w:w="840" w:type="dxa"/>
            <w:vAlign w:val="bottom"/>
            <w:tcBorders>
              <w:bottom w:val="single" w:sz="8" w:color="6D8CC3"/>
            </w:tcBorders>
          </w:tcPr>
          <w:p>
            <w:pPr>
              <w:spacing w:after="0"/>
              <w:rPr>
                <w:sz w:val="5"/>
                <w:szCs w:val="5"/>
                <w:color w:val="auto"/>
              </w:rPr>
            </w:pPr>
          </w:p>
        </w:tc>
        <w:tc>
          <w:tcPr>
            <w:tcW w:w="20" w:type="dxa"/>
            <w:vAlign w:val="bottom"/>
            <w:tcBorders>
              <w:bottom w:val="single" w:sz="8" w:color="6D8CC3"/>
            </w:tcBorders>
          </w:tcPr>
          <w:p>
            <w:pPr>
              <w:spacing w:after="0"/>
              <w:rPr>
                <w:sz w:val="5"/>
                <w:szCs w:val="5"/>
                <w:color w:val="auto"/>
              </w:rPr>
            </w:pPr>
          </w:p>
        </w:tc>
        <w:tc>
          <w:tcPr>
            <w:tcW w:w="620" w:type="dxa"/>
            <w:vAlign w:val="bottom"/>
            <w:tcBorders>
              <w:bottom w:val="single" w:sz="8" w:color="6D8CC3"/>
            </w:tcBorders>
          </w:tcPr>
          <w:p>
            <w:pPr>
              <w:spacing w:after="0"/>
              <w:rPr>
                <w:sz w:val="5"/>
                <w:szCs w:val="5"/>
                <w:color w:val="auto"/>
              </w:rPr>
            </w:pPr>
          </w:p>
        </w:tc>
        <w:tc>
          <w:tcPr>
            <w:tcW w:w="760" w:type="dxa"/>
            <w:vAlign w:val="bottom"/>
            <w:tcBorders>
              <w:bottom w:val="single" w:sz="8" w:color="6D8CC3"/>
            </w:tcBorders>
          </w:tcPr>
          <w:p>
            <w:pPr>
              <w:spacing w:after="0"/>
              <w:rPr>
                <w:sz w:val="5"/>
                <w:szCs w:val="5"/>
                <w:color w:val="auto"/>
              </w:rPr>
            </w:pPr>
          </w:p>
        </w:tc>
        <w:tc>
          <w:tcPr>
            <w:tcW w:w="600" w:type="dxa"/>
            <w:vAlign w:val="bottom"/>
            <w:tcBorders>
              <w:bottom w:val="single" w:sz="8" w:color="6D8CC3"/>
            </w:tcBorders>
          </w:tcPr>
          <w:p>
            <w:pPr>
              <w:spacing w:after="0"/>
              <w:rPr>
                <w:sz w:val="5"/>
                <w:szCs w:val="5"/>
                <w:color w:val="auto"/>
              </w:rPr>
            </w:pPr>
          </w:p>
        </w:tc>
        <w:tc>
          <w:tcPr>
            <w:tcW w:w="780" w:type="dxa"/>
            <w:vAlign w:val="bottom"/>
            <w:tcBorders>
              <w:bottom w:val="single" w:sz="8" w:color="6D8CC3"/>
            </w:tcBorders>
          </w:tcPr>
          <w:p>
            <w:pPr>
              <w:spacing w:after="0"/>
              <w:rPr>
                <w:sz w:val="5"/>
                <w:szCs w:val="5"/>
                <w:color w:val="auto"/>
              </w:rPr>
            </w:pPr>
          </w:p>
        </w:tc>
        <w:tc>
          <w:tcPr>
            <w:tcW w:w="820" w:type="dxa"/>
            <w:vAlign w:val="bottom"/>
            <w:tcBorders>
              <w:bottom w:val="single" w:sz="8" w:color="6D8CC3"/>
            </w:tcBorders>
          </w:tcPr>
          <w:p>
            <w:pPr>
              <w:spacing w:after="0"/>
              <w:rPr>
                <w:sz w:val="5"/>
                <w:szCs w:val="5"/>
                <w:color w:val="auto"/>
              </w:rPr>
            </w:pPr>
          </w:p>
        </w:tc>
        <w:tc>
          <w:tcPr>
            <w:tcW w:w="680" w:type="dxa"/>
            <w:vAlign w:val="bottom"/>
            <w:tcBorders>
              <w:bottom w:val="single" w:sz="8" w:color="6D8CC3"/>
            </w:tcBorders>
          </w:tcPr>
          <w:p>
            <w:pPr>
              <w:spacing w:after="0"/>
              <w:rPr>
                <w:sz w:val="5"/>
                <w:szCs w:val="5"/>
                <w:color w:val="auto"/>
              </w:rPr>
            </w:pPr>
          </w:p>
        </w:tc>
        <w:tc>
          <w:tcPr>
            <w:tcW w:w="860" w:type="dxa"/>
            <w:vAlign w:val="bottom"/>
            <w:tcBorders>
              <w:bottom w:val="single" w:sz="8" w:color="6D8CC3"/>
            </w:tcBorders>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jc w:val="center"/>
              <w:ind w:left="74"/>
              <w:spacing w:after="0"/>
              <w:rPr>
                <w:sz w:val="20"/>
                <w:szCs w:val="20"/>
                <w:color w:val="auto"/>
              </w:rPr>
            </w:pPr>
            <w:r>
              <w:rPr>
                <w:rFonts w:ascii="Arial" w:cs="Arial" w:eastAsia="Arial" w:hAnsi="Arial"/>
                <w:sz w:val="14"/>
                <w:szCs w:val="14"/>
                <w:color w:val="auto"/>
              </w:rPr>
              <w:t>145,000</w:t>
            </w:r>
          </w:p>
        </w:tc>
        <w:tc>
          <w:tcPr>
            <w:tcW w:w="800" w:type="dxa"/>
            <w:vAlign w:val="bottom"/>
          </w:tcPr>
          <w:p>
            <w:pPr>
              <w:jc w:val="center"/>
              <w:ind w:left="194"/>
              <w:spacing w:after="0"/>
              <w:rPr>
                <w:sz w:val="20"/>
                <w:szCs w:val="20"/>
                <w:color w:val="auto"/>
              </w:rPr>
            </w:pPr>
            <w:r>
              <w:rPr>
                <w:rFonts w:ascii="Arial" w:cs="Arial" w:eastAsia="Arial" w:hAnsi="Arial"/>
                <w:sz w:val="14"/>
                <w:szCs w:val="14"/>
                <w:color w:val="auto"/>
                <w:w w:val="98"/>
              </w:rPr>
              <w:t>725,000</w:t>
            </w:r>
          </w:p>
        </w:tc>
        <w:tc>
          <w:tcPr>
            <w:tcW w:w="120" w:type="dxa"/>
            <w:vAlign w:val="bottom"/>
          </w:tcPr>
          <w:p>
            <w:pPr>
              <w:spacing w:after="0"/>
              <w:rPr>
                <w:sz w:val="19"/>
                <w:szCs w:val="19"/>
                <w:color w:val="auto"/>
              </w:rPr>
            </w:pPr>
          </w:p>
        </w:tc>
        <w:tc>
          <w:tcPr>
            <w:tcW w:w="840" w:type="dxa"/>
            <w:vAlign w:val="bottom"/>
          </w:tcPr>
          <w:p>
            <w:pPr>
              <w:ind w:left="80"/>
              <w:spacing w:after="0"/>
              <w:rPr>
                <w:sz w:val="20"/>
                <w:szCs w:val="20"/>
                <w:color w:val="auto"/>
              </w:rPr>
            </w:pPr>
            <w:r>
              <w:rPr>
                <w:rFonts w:ascii="Arial" w:cs="Arial" w:eastAsia="Arial" w:hAnsi="Arial"/>
                <w:sz w:val="14"/>
                <w:szCs w:val="14"/>
                <w:color w:val="auto"/>
              </w:rPr>
              <w:t>1,450,000</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1480" w:type="dxa"/>
            <w:vAlign w:val="bottom"/>
            <w:tcBorders>
              <w:bottom w:val="single" w:sz="8" w:color="292F72"/>
            </w:tcBorders>
            <w:gridSpan w:val="2"/>
          </w:tcPr>
          <w:p>
            <w:pPr>
              <w:spacing w:after="0"/>
              <w:rPr>
                <w:sz w:val="4"/>
                <w:szCs w:val="4"/>
                <w:color w:val="auto"/>
              </w:rPr>
            </w:pPr>
          </w:p>
        </w:tc>
        <w:tc>
          <w:tcPr>
            <w:tcW w:w="660" w:type="dxa"/>
            <w:vAlign w:val="bottom"/>
            <w:tcBorders>
              <w:bottom w:val="single" w:sz="8" w:color="292F72"/>
            </w:tcBorders>
          </w:tcPr>
          <w:p>
            <w:pPr>
              <w:spacing w:after="0"/>
              <w:rPr>
                <w:sz w:val="4"/>
                <w:szCs w:val="4"/>
                <w:color w:val="auto"/>
              </w:rPr>
            </w:pPr>
          </w:p>
        </w:tc>
        <w:tc>
          <w:tcPr>
            <w:tcW w:w="800" w:type="dxa"/>
            <w:vAlign w:val="bottom"/>
            <w:tcBorders>
              <w:bottom w:val="single" w:sz="8" w:color="292F72"/>
            </w:tcBorders>
          </w:tcPr>
          <w:p>
            <w:pPr>
              <w:spacing w:after="0"/>
              <w:rPr>
                <w:sz w:val="4"/>
                <w:szCs w:val="4"/>
                <w:color w:val="auto"/>
              </w:rPr>
            </w:pPr>
          </w:p>
        </w:tc>
        <w:tc>
          <w:tcPr>
            <w:tcW w:w="120" w:type="dxa"/>
            <w:vAlign w:val="bottom"/>
            <w:tcBorders>
              <w:bottom w:val="single" w:sz="8" w:color="292F72"/>
            </w:tcBorders>
          </w:tcPr>
          <w:p>
            <w:pPr>
              <w:spacing w:after="0"/>
              <w:rPr>
                <w:sz w:val="4"/>
                <w:szCs w:val="4"/>
                <w:color w:val="auto"/>
              </w:rPr>
            </w:pPr>
          </w:p>
        </w:tc>
        <w:tc>
          <w:tcPr>
            <w:tcW w:w="840" w:type="dxa"/>
            <w:vAlign w:val="bottom"/>
            <w:tcBorders>
              <w:bottom w:val="single" w:sz="8" w:color="292F72"/>
            </w:tcBorders>
          </w:tcPr>
          <w:p>
            <w:pPr>
              <w:spacing w:after="0"/>
              <w:rPr>
                <w:sz w:val="4"/>
                <w:szCs w:val="4"/>
                <w:color w:val="auto"/>
              </w:rPr>
            </w:pPr>
          </w:p>
        </w:tc>
        <w:tc>
          <w:tcPr>
            <w:tcW w:w="640" w:type="dxa"/>
            <w:vAlign w:val="bottom"/>
            <w:tcBorders>
              <w:bottom w:val="single" w:sz="8" w:color="292F72"/>
            </w:tcBorders>
            <w:gridSpan w:val="2"/>
          </w:tcPr>
          <w:p>
            <w:pPr>
              <w:spacing w:after="0"/>
              <w:rPr>
                <w:sz w:val="4"/>
                <w:szCs w:val="4"/>
                <w:color w:val="auto"/>
              </w:rPr>
            </w:pPr>
          </w:p>
        </w:tc>
        <w:tc>
          <w:tcPr>
            <w:tcW w:w="760" w:type="dxa"/>
            <w:vAlign w:val="bottom"/>
            <w:tcBorders>
              <w:bottom w:val="single" w:sz="8" w:color="292F72"/>
            </w:tcBorders>
          </w:tcPr>
          <w:p>
            <w:pPr>
              <w:spacing w:after="0"/>
              <w:rPr>
                <w:sz w:val="4"/>
                <w:szCs w:val="4"/>
                <w:color w:val="auto"/>
              </w:rPr>
            </w:pPr>
          </w:p>
        </w:tc>
        <w:tc>
          <w:tcPr>
            <w:tcW w:w="600" w:type="dxa"/>
            <w:vAlign w:val="bottom"/>
            <w:tcBorders>
              <w:bottom w:val="single" w:sz="8" w:color="292F72"/>
            </w:tcBorders>
          </w:tcPr>
          <w:p>
            <w:pPr>
              <w:spacing w:after="0"/>
              <w:rPr>
                <w:sz w:val="4"/>
                <w:szCs w:val="4"/>
                <w:color w:val="auto"/>
              </w:rPr>
            </w:pPr>
          </w:p>
        </w:tc>
        <w:tc>
          <w:tcPr>
            <w:tcW w:w="780" w:type="dxa"/>
            <w:vAlign w:val="bottom"/>
            <w:tcBorders>
              <w:bottom w:val="single" w:sz="8" w:color="292F72"/>
            </w:tcBorders>
          </w:tcPr>
          <w:p>
            <w:pPr>
              <w:spacing w:after="0"/>
              <w:rPr>
                <w:sz w:val="4"/>
                <w:szCs w:val="4"/>
                <w:color w:val="auto"/>
              </w:rPr>
            </w:pPr>
          </w:p>
        </w:tc>
        <w:tc>
          <w:tcPr>
            <w:tcW w:w="820" w:type="dxa"/>
            <w:vAlign w:val="bottom"/>
            <w:tcBorders>
              <w:bottom w:val="single" w:sz="8" w:color="292F72"/>
            </w:tcBorders>
          </w:tcPr>
          <w:p>
            <w:pPr>
              <w:spacing w:after="0"/>
              <w:rPr>
                <w:sz w:val="4"/>
                <w:szCs w:val="4"/>
                <w:color w:val="auto"/>
              </w:rPr>
            </w:pPr>
          </w:p>
        </w:tc>
        <w:tc>
          <w:tcPr>
            <w:tcW w:w="680" w:type="dxa"/>
            <w:vAlign w:val="bottom"/>
            <w:tcBorders>
              <w:bottom w:val="single" w:sz="8" w:color="292F72"/>
            </w:tcBorders>
          </w:tcPr>
          <w:p>
            <w:pPr>
              <w:spacing w:after="0"/>
              <w:rPr>
                <w:sz w:val="4"/>
                <w:szCs w:val="4"/>
                <w:color w:val="auto"/>
              </w:rPr>
            </w:pPr>
          </w:p>
        </w:tc>
        <w:tc>
          <w:tcPr>
            <w:tcW w:w="860" w:type="dxa"/>
            <w:vAlign w:val="bottom"/>
            <w:tcBorders>
              <w:bottom w:val="single" w:sz="8" w:color="292F72"/>
            </w:tcBorders>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480" w:type="dxa"/>
            <w:vAlign w:val="bottom"/>
            <w:gridSpan w:val="2"/>
          </w:tcPr>
          <w:p>
            <w:pPr>
              <w:spacing w:after="0"/>
              <w:rPr>
                <w:sz w:val="20"/>
                <w:szCs w:val="20"/>
                <w:color w:val="auto"/>
              </w:rPr>
            </w:pPr>
            <w:r>
              <w:rPr>
                <w:rFonts w:ascii="Arial" w:cs="Arial" w:eastAsia="Arial" w:hAnsi="Arial"/>
                <w:sz w:val="14"/>
                <w:szCs w:val="14"/>
                <w:b w:val="1"/>
                <w:bCs w:val="1"/>
                <w:color w:val="auto"/>
                <w:w w:val="99"/>
              </w:rPr>
              <w:t xml:space="preserve">Ms. Boswell </w:t>
            </w:r>
            <w:r>
              <w:rPr>
                <w:rFonts w:ascii="Arial" w:cs="Arial" w:eastAsia="Arial" w:hAnsi="Arial"/>
                <w:sz w:val="14"/>
                <w:szCs w:val="14"/>
                <w:color w:val="auto"/>
                <w:w w:val="99"/>
              </w:rPr>
              <w:t>3/13/2025</w:t>
            </w: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40" w:type="dxa"/>
            <w:vAlign w:val="bottom"/>
            <w:gridSpan w:val="2"/>
          </w:tcPr>
          <w:p>
            <w:pPr>
              <w:jc w:val="center"/>
              <w:ind w:left="93"/>
              <w:spacing w:after="0"/>
              <w:rPr>
                <w:sz w:val="20"/>
                <w:szCs w:val="20"/>
                <w:color w:val="auto"/>
              </w:rPr>
            </w:pPr>
            <w:r>
              <w:rPr>
                <w:rFonts w:ascii="Arial" w:cs="Arial" w:eastAsia="Arial" w:hAnsi="Arial"/>
                <w:sz w:val="14"/>
                <w:szCs w:val="14"/>
                <w:color w:val="auto"/>
              </w:rPr>
              <w:t>83,832</w:t>
            </w:r>
          </w:p>
        </w:tc>
        <w:tc>
          <w:tcPr>
            <w:tcW w:w="760" w:type="dxa"/>
            <w:vAlign w:val="bottom"/>
          </w:tcPr>
          <w:p>
            <w:pPr>
              <w:jc w:val="right"/>
              <w:spacing w:after="0"/>
              <w:rPr>
                <w:sz w:val="20"/>
                <w:szCs w:val="20"/>
                <w:color w:val="auto"/>
              </w:rPr>
            </w:pPr>
            <w:r>
              <w:rPr>
                <w:rFonts w:ascii="Arial" w:cs="Arial" w:eastAsia="Arial" w:hAnsi="Arial"/>
                <w:sz w:val="14"/>
                <w:szCs w:val="14"/>
                <w:color w:val="auto"/>
              </w:rPr>
              <w:t>167,663</w:t>
            </w:r>
          </w:p>
        </w:tc>
        <w:tc>
          <w:tcPr>
            <w:tcW w:w="600" w:type="dxa"/>
            <w:vAlign w:val="bottom"/>
          </w:tcPr>
          <w:p>
            <w:pPr>
              <w:jc w:val="right"/>
              <w:spacing w:after="0"/>
              <w:rPr>
                <w:sz w:val="20"/>
                <w:szCs w:val="20"/>
                <w:color w:val="auto"/>
              </w:rPr>
            </w:pPr>
            <w:r>
              <w:rPr>
                <w:rFonts w:ascii="Arial" w:cs="Arial" w:eastAsia="Arial" w:hAnsi="Arial"/>
                <w:sz w:val="14"/>
                <w:szCs w:val="14"/>
                <w:color w:val="auto"/>
              </w:rPr>
              <w:t>335,326</w:t>
            </w: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5,138,871</w:t>
            </w:r>
          </w:p>
        </w:tc>
        <w:tc>
          <w:tcPr>
            <w:tcW w:w="0" w:type="dxa"/>
            <w:vAlign w:val="bottom"/>
          </w:tcPr>
          <w:p>
            <w:pPr>
              <w:spacing w:after="0"/>
              <w:rPr>
                <w:sz w:val="1"/>
                <w:szCs w:val="1"/>
                <w:color w:val="auto"/>
              </w:rPr>
            </w:pPr>
          </w:p>
        </w:tc>
      </w:tr>
      <w:tr>
        <w:trPr>
          <w:trHeight w:val="53"/>
        </w:trPr>
        <w:tc>
          <w:tcPr>
            <w:tcW w:w="820" w:type="dxa"/>
            <w:vAlign w:val="bottom"/>
          </w:tcPr>
          <w:p>
            <w:pPr>
              <w:spacing w:after="0"/>
              <w:rPr>
                <w:sz w:val="4"/>
                <w:szCs w:val="4"/>
                <w:color w:val="auto"/>
              </w:rPr>
            </w:pPr>
          </w:p>
        </w:tc>
        <w:tc>
          <w:tcPr>
            <w:tcW w:w="660" w:type="dxa"/>
            <w:vAlign w:val="bottom"/>
            <w:tcBorders>
              <w:bottom w:val="single" w:sz="8" w:color="6D8CC3"/>
            </w:tcBorders>
          </w:tcPr>
          <w:p>
            <w:pPr>
              <w:spacing w:after="0"/>
              <w:rPr>
                <w:sz w:val="4"/>
                <w:szCs w:val="4"/>
                <w:color w:val="auto"/>
              </w:rPr>
            </w:pPr>
          </w:p>
        </w:tc>
        <w:tc>
          <w:tcPr>
            <w:tcW w:w="660" w:type="dxa"/>
            <w:vAlign w:val="bottom"/>
            <w:tcBorders>
              <w:bottom w:val="single" w:sz="8" w:color="6D8CC3"/>
            </w:tcBorders>
          </w:tcPr>
          <w:p>
            <w:pPr>
              <w:spacing w:after="0"/>
              <w:rPr>
                <w:sz w:val="4"/>
                <w:szCs w:val="4"/>
                <w:color w:val="auto"/>
              </w:rPr>
            </w:pPr>
          </w:p>
        </w:tc>
        <w:tc>
          <w:tcPr>
            <w:tcW w:w="800" w:type="dxa"/>
            <w:vAlign w:val="bottom"/>
            <w:tcBorders>
              <w:bottom w:val="single" w:sz="8" w:color="6D8CC3"/>
            </w:tcBorders>
          </w:tcPr>
          <w:p>
            <w:pPr>
              <w:spacing w:after="0"/>
              <w:rPr>
                <w:sz w:val="4"/>
                <w:szCs w:val="4"/>
                <w:color w:val="auto"/>
              </w:rPr>
            </w:pPr>
          </w:p>
        </w:tc>
        <w:tc>
          <w:tcPr>
            <w:tcW w:w="120" w:type="dxa"/>
            <w:vAlign w:val="bottom"/>
            <w:tcBorders>
              <w:bottom w:val="single" w:sz="8" w:color="6D8CC3"/>
            </w:tcBorders>
          </w:tcPr>
          <w:p>
            <w:pPr>
              <w:spacing w:after="0"/>
              <w:rPr>
                <w:sz w:val="4"/>
                <w:szCs w:val="4"/>
                <w:color w:val="auto"/>
              </w:rPr>
            </w:pPr>
          </w:p>
        </w:tc>
        <w:tc>
          <w:tcPr>
            <w:tcW w:w="840" w:type="dxa"/>
            <w:vAlign w:val="bottom"/>
            <w:tcBorders>
              <w:bottom w:val="single" w:sz="8" w:color="6D8CC3"/>
            </w:tcBorders>
          </w:tcPr>
          <w:p>
            <w:pPr>
              <w:spacing w:after="0"/>
              <w:rPr>
                <w:sz w:val="4"/>
                <w:szCs w:val="4"/>
                <w:color w:val="auto"/>
              </w:rPr>
            </w:pPr>
          </w:p>
        </w:tc>
        <w:tc>
          <w:tcPr>
            <w:tcW w:w="20" w:type="dxa"/>
            <w:vAlign w:val="bottom"/>
            <w:tcBorders>
              <w:bottom w:val="single" w:sz="8" w:color="6D8CC3"/>
            </w:tcBorders>
          </w:tcPr>
          <w:p>
            <w:pPr>
              <w:spacing w:after="0"/>
              <w:rPr>
                <w:sz w:val="4"/>
                <w:szCs w:val="4"/>
                <w:color w:val="auto"/>
              </w:rPr>
            </w:pPr>
          </w:p>
        </w:tc>
        <w:tc>
          <w:tcPr>
            <w:tcW w:w="620" w:type="dxa"/>
            <w:vAlign w:val="bottom"/>
            <w:tcBorders>
              <w:bottom w:val="single" w:sz="8" w:color="6D8CC3"/>
            </w:tcBorders>
          </w:tcPr>
          <w:p>
            <w:pPr>
              <w:spacing w:after="0"/>
              <w:rPr>
                <w:sz w:val="4"/>
                <w:szCs w:val="4"/>
                <w:color w:val="auto"/>
              </w:rPr>
            </w:pPr>
          </w:p>
        </w:tc>
        <w:tc>
          <w:tcPr>
            <w:tcW w:w="760" w:type="dxa"/>
            <w:vAlign w:val="bottom"/>
            <w:tcBorders>
              <w:bottom w:val="single" w:sz="8" w:color="6D8CC3"/>
            </w:tcBorders>
          </w:tcPr>
          <w:p>
            <w:pPr>
              <w:spacing w:after="0"/>
              <w:rPr>
                <w:sz w:val="4"/>
                <w:szCs w:val="4"/>
                <w:color w:val="auto"/>
              </w:rPr>
            </w:pPr>
          </w:p>
        </w:tc>
        <w:tc>
          <w:tcPr>
            <w:tcW w:w="600" w:type="dxa"/>
            <w:vAlign w:val="bottom"/>
            <w:tcBorders>
              <w:bottom w:val="single" w:sz="8" w:color="6D8CC3"/>
            </w:tcBorders>
          </w:tcPr>
          <w:p>
            <w:pPr>
              <w:spacing w:after="0"/>
              <w:rPr>
                <w:sz w:val="4"/>
                <w:szCs w:val="4"/>
                <w:color w:val="auto"/>
              </w:rPr>
            </w:pPr>
          </w:p>
        </w:tc>
        <w:tc>
          <w:tcPr>
            <w:tcW w:w="780" w:type="dxa"/>
            <w:vAlign w:val="bottom"/>
            <w:tcBorders>
              <w:bottom w:val="single" w:sz="8" w:color="6D8CC3"/>
            </w:tcBorders>
          </w:tcPr>
          <w:p>
            <w:pPr>
              <w:spacing w:after="0"/>
              <w:rPr>
                <w:sz w:val="4"/>
                <w:szCs w:val="4"/>
                <w:color w:val="auto"/>
              </w:rPr>
            </w:pPr>
          </w:p>
        </w:tc>
        <w:tc>
          <w:tcPr>
            <w:tcW w:w="820" w:type="dxa"/>
            <w:vAlign w:val="bottom"/>
            <w:tcBorders>
              <w:bottom w:val="single" w:sz="8" w:color="6D8CC3"/>
            </w:tcBorders>
          </w:tcPr>
          <w:p>
            <w:pPr>
              <w:spacing w:after="0"/>
              <w:rPr>
                <w:sz w:val="4"/>
                <w:szCs w:val="4"/>
                <w:color w:val="auto"/>
              </w:rPr>
            </w:pPr>
          </w:p>
        </w:tc>
        <w:tc>
          <w:tcPr>
            <w:tcW w:w="680" w:type="dxa"/>
            <w:vAlign w:val="bottom"/>
            <w:tcBorders>
              <w:bottom w:val="single" w:sz="8" w:color="6D8CC3"/>
            </w:tcBorders>
          </w:tcPr>
          <w:p>
            <w:pPr>
              <w:spacing w:after="0"/>
              <w:rPr>
                <w:sz w:val="4"/>
                <w:szCs w:val="4"/>
                <w:color w:val="auto"/>
              </w:rPr>
            </w:pPr>
          </w:p>
        </w:tc>
        <w:tc>
          <w:tcPr>
            <w:tcW w:w="860" w:type="dxa"/>
            <w:vAlign w:val="bottom"/>
            <w:tcBorders>
              <w:bottom w:val="single" w:sz="8" w:color="6D8CC3"/>
            </w:tcBorders>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820" w:type="dxa"/>
            <w:vAlign w:val="bottom"/>
          </w:tcPr>
          <w:p>
            <w:pPr>
              <w:spacing w:after="0"/>
              <w:rPr>
                <w:sz w:val="19"/>
                <w:szCs w:val="19"/>
                <w:color w:val="auto"/>
              </w:rPr>
            </w:pPr>
          </w:p>
        </w:tc>
        <w:tc>
          <w:tcPr>
            <w:tcW w:w="660" w:type="dxa"/>
            <w:vAlign w:val="bottom"/>
          </w:tcPr>
          <w:p>
            <w:pPr>
              <w:ind w:left="20"/>
              <w:spacing w:after="0"/>
              <w:rPr>
                <w:sz w:val="20"/>
                <w:szCs w:val="20"/>
                <w:color w:val="auto"/>
              </w:rPr>
            </w:pPr>
            <w:r>
              <w:rPr>
                <w:rFonts w:ascii="Arial" w:cs="Arial" w:eastAsia="Arial" w:hAnsi="Arial"/>
                <w:sz w:val="14"/>
                <w:szCs w:val="14"/>
                <w:color w:val="auto"/>
                <w:w w:val="99"/>
              </w:rPr>
              <w:t>3/13/2025</w:t>
            </w: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jc w:val="right"/>
              <w:ind w:right="100"/>
              <w:spacing w:after="0"/>
              <w:rPr>
                <w:sz w:val="20"/>
                <w:szCs w:val="20"/>
                <w:color w:val="auto"/>
              </w:rPr>
            </w:pPr>
            <w:r>
              <w:rPr>
                <w:rFonts w:ascii="Arial" w:cs="Arial" w:eastAsia="Arial" w:hAnsi="Arial"/>
                <w:sz w:val="14"/>
                <w:szCs w:val="14"/>
                <w:color w:val="auto"/>
              </w:rPr>
              <w:t>111,775</w:t>
            </w: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3,002,277</w:t>
            </w:r>
          </w:p>
        </w:tc>
        <w:tc>
          <w:tcPr>
            <w:tcW w:w="0" w:type="dxa"/>
            <w:vAlign w:val="bottom"/>
          </w:tcPr>
          <w:p>
            <w:pPr>
              <w:spacing w:after="0"/>
              <w:rPr>
                <w:sz w:val="1"/>
                <w:szCs w:val="1"/>
                <w:color w:val="auto"/>
              </w:rPr>
            </w:pPr>
          </w:p>
        </w:tc>
      </w:tr>
      <w:tr>
        <w:trPr>
          <w:trHeight w:val="61"/>
        </w:trPr>
        <w:tc>
          <w:tcPr>
            <w:tcW w:w="820" w:type="dxa"/>
            <w:vAlign w:val="bottom"/>
          </w:tcPr>
          <w:p>
            <w:pPr>
              <w:spacing w:after="0"/>
              <w:rPr>
                <w:sz w:val="5"/>
                <w:szCs w:val="5"/>
                <w:color w:val="auto"/>
              </w:rPr>
            </w:pPr>
          </w:p>
        </w:tc>
        <w:tc>
          <w:tcPr>
            <w:tcW w:w="660" w:type="dxa"/>
            <w:vAlign w:val="bottom"/>
            <w:tcBorders>
              <w:bottom w:val="single" w:sz="8" w:color="6D8CC3"/>
            </w:tcBorders>
          </w:tcPr>
          <w:p>
            <w:pPr>
              <w:spacing w:after="0"/>
              <w:rPr>
                <w:sz w:val="5"/>
                <w:szCs w:val="5"/>
                <w:color w:val="auto"/>
              </w:rPr>
            </w:pPr>
          </w:p>
        </w:tc>
        <w:tc>
          <w:tcPr>
            <w:tcW w:w="660" w:type="dxa"/>
            <w:vAlign w:val="bottom"/>
            <w:tcBorders>
              <w:bottom w:val="single" w:sz="8" w:color="6D8CC3"/>
            </w:tcBorders>
          </w:tcPr>
          <w:p>
            <w:pPr>
              <w:spacing w:after="0"/>
              <w:rPr>
                <w:sz w:val="5"/>
                <w:szCs w:val="5"/>
                <w:color w:val="auto"/>
              </w:rPr>
            </w:pPr>
          </w:p>
        </w:tc>
        <w:tc>
          <w:tcPr>
            <w:tcW w:w="800" w:type="dxa"/>
            <w:vAlign w:val="bottom"/>
            <w:tcBorders>
              <w:bottom w:val="single" w:sz="8" w:color="6D8CC3"/>
            </w:tcBorders>
          </w:tcPr>
          <w:p>
            <w:pPr>
              <w:spacing w:after="0"/>
              <w:rPr>
                <w:sz w:val="5"/>
                <w:szCs w:val="5"/>
                <w:color w:val="auto"/>
              </w:rPr>
            </w:pPr>
          </w:p>
        </w:tc>
        <w:tc>
          <w:tcPr>
            <w:tcW w:w="120" w:type="dxa"/>
            <w:vAlign w:val="bottom"/>
            <w:tcBorders>
              <w:bottom w:val="single" w:sz="8" w:color="6D8CC3"/>
            </w:tcBorders>
          </w:tcPr>
          <w:p>
            <w:pPr>
              <w:spacing w:after="0"/>
              <w:rPr>
                <w:sz w:val="5"/>
                <w:szCs w:val="5"/>
                <w:color w:val="auto"/>
              </w:rPr>
            </w:pPr>
          </w:p>
        </w:tc>
        <w:tc>
          <w:tcPr>
            <w:tcW w:w="840" w:type="dxa"/>
            <w:vAlign w:val="bottom"/>
            <w:tcBorders>
              <w:bottom w:val="single" w:sz="8" w:color="6D8CC3"/>
            </w:tcBorders>
          </w:tcPr>
          <w:p>
            <w:pPr>
              <w:spacing w:after="0"/>
              <w:rPr>
                <w:sz w:val="5"/>
                <w:szCs w:val="5"/>
                <w:color w:val="auto"/>
              </w:rPr>
            </w:pPr>
          </w:p>
        </w:tc>
        <w:tc>
          <w:tcPr>
            <w:tcW w:w="20" w:type="dxa"/>
            <w:vAlign w:val="bottom"/>
            <w:tcBorders>
              <w:bottom w:val="single" w:sz="8" w:color="6D8CC3"/>
            </w:tcBorders>
          </w:tcPr>
          <w:p>
            <w:pPr>
              <w:spacing w:after="0"/>
              <w:rPr>
                <w:sz w:val="5"/>
                <w:szCs w:val="5"/>
                <w:color w:val="auto"/>
              </w:rPr>
            </w:pPr>
          </w:p>
        </w:tc>
        <w:tc>
          <w:tcPr>
            <w:tcW w:w="620" w:type="dxa"/>
            <w:vAlign w:val="bottom"/>
            <w:tcBorders>
              <w:bottom w:val="single" w:sz="8" w:color="6D8CC3"/>
            </w:tcBorders>
          </w:tcPr>
          <w:p>
            <w:pPr>
              <w:spacing w:after="0"/>
              <w:rPr>
                <w:sz w:val="5"/>
                <w:szCs w:val="5"/>
                <w:color w:val="auto"/>
              </w:rPr>
            </w:pPr>
          </w:p>
        </w:tc>
        <w:tc>
          <w:tcPr>
            <w:tcW w:w="760" w:type="dxa"/>
            <w:vAlign w:val="bottom"/>
            <w:tcBorders>
              <w:bottom w:val="single" w:sz="8" w:color="6D8CC3"/>
            </w:tcBorders>
          </w:tcPr>
          <w:p>
            <w:pPr>
              <w:spacing w:after="0"/>
              <w:rPr>
                <w:sz w:val="5"/>
                <w:szCs w:val="5"/>
                <w:color w:val="auto"/>
              </w:rPr>
            </w:pPr>
          </w:p>
        </w:tc>
        <w:tc>
          <w:tcPr>
            <w:tcW w:w="600" w:type="dxa"/>
            <w:vAlign w:val="bottom"/>
            <w:tcBorders>
              <w:bottom w:val="single" w:sz="8" w:color="6D8CC3"/>
            </w:tcBorders>
          </w:tcPr>
          <w:p>
            <w:pPr>
              <w:spacing w:after="0"/>
              <w:rPr>
                <w:sz w:val="5"/>
                <w:szCs w:val="5"/>
                <w:color w:val="auto"/>
              </w:rPr>
            </w:pPr>
          </w:p>
        </w:tc>
        <w:tc>
          <w:tcPr>
            <w:tcW w:w="780" w:type="dxa"/>
            <w:vAlign w:val="bottom"/>
            <w:tcBorders>
              <w:bottom w:val="single" w:sz="8" w:color="6D8CC3"/>
            </w:tcBorders>
          </w:tcPr>
          <w:p>
            <w:pPr>
              <w:spacing w:after="0"/>
              <w:rPr>
                <w:sz w:val="5"/>
                <w:szCs w:val="5"/>
                <w:color w:val="auto"/>
              </w:rPr>
            </w:pPr>
          </w:p>
        </w:tc>
        <w:tc>
          <w:tcPr>
            <w:tcW w:w="820" w:type="dxa"/>
            <w:vAlign w:val="bottom"/>
            <w:tcBorders>
              <w:bottom w:val="single" w:sz="8" w:color="6D8CC3"/>
            </w:tcBorders>
          </w:tcPr>
          <w:p>
            <w:pPr>
              <w:spacing w:after="0"/>
              <w:rPr>
                <w:sz w:val="5"/>
                <w:szCs w:val="5"/>
                <w:color w:val="auto"/>
              </w:rPr>
            </w:pPr>
          </w:p>
        </w:tc>
        <w:tc>
          <w:tcPr>
            <w:tcW w:w="680" w:type="dxa"/>
            <w:vAlign w:val="bottom"/>
            <w:tcBorders>
              <w:bottom w:val="single" w:sz="8" w:color="6D8CC3"/>
            </w:tcBorders>
          </w:tcPr>
          <w:p>
            <w:pPr>
              <w:spacing w:after="0"/>
              <w:rPr>
                <w:sz w:val="5"/>
                <w:szCs w:val="5"/>
                <w:color w:val="auto"/>
              </w:rPr>
            </w:pPr>
          </w:p>
        </w:tc>
        <w:tc>
          <w:tcPr>
            <w:tcW w:w="860" w:type="dxa"/>
            <w:vAlign w:val="bottom"/>
            <w:tcBorders>
              <w:bottom w:val="single" w:sz="8" w:color="6D8CC3"/>
            </w:tcBorders>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jc w:val="center"/>
              <w:ind w:left="74"/>
              <w:spacing w:after="0"/>
              <w:rPr>
                <w:sz w:val="20"/>
                <w:szCs w:val="20"/>
                <w:color w:val="auto"/>
              </w:rPr>
            </w:pPr>
            <w:r>
              <w:rPr>
                <w:rFonts w:ascii="Arial" w:cs="Arial" w:eastAsia="Arial" w:hAnsi="Arial"/>
                <w:sz w:val="14"/>
                <w:szCs w:val="14"/>
                <w:color w:val="auto"/>
              </w:rPr>
              <w:t>570,000</w:t>
            </w:r>
          </w:p>
        </w:tc>
        <w:tc>
          <w:tcPr>
            <w:tcW w:w="800" w:type="dxa"/>
            <w:vAlign w:val="bottom"/>
          </w:tcPr>
          <w:p>
            <w:pPr>
              <w:jc w:val="right"/>
              <w:spacing w:after="0"/>
              <w:rPr>
                <w:sz w:val="20"/>
                <w:szCs w:val="20"/>
                <w:color w:val="auto"/>
              </w:rPr>
            </w:pPr>
            <w:r>
              <w:rPr>
                <w:rFonts w:ascii="Arial" w:cs="Arial" w:eastAsia="Arial" w:hAnsi="Arial"/>
                <w:sz w:val="14"/>
                <w:szCs w:val="14"/>
                <w:color w:val="auto"/>
              </w:rPr>
              <w:t>2,850,000</w:t>
            </w:r>
          </w:p>
        </w:tc>
        <w:tc>
          <w:tcPr>
            <w:tcW w:w="120" w:type="dxa"/>
            <w:vAlign w:val="bottom"/>
          </w:tcPr>
          <w:p>
            <w:pPr>
              <w:spacing w:after="0"/>
              <w:rPr>
                <w:sz w:val="19"/>
                <w:szCs w:val="19"/>
                <w:color w:val="auto"/>
              </w:rPr>
            </w:pPr>
          </w:p>
        </w:tc>
        <w:tc>
          <w:tcPr>
            <w:tcW w:w="840" w:type="dxa"/>
            <w:vAlign w:val="bottom"/>
          </w:tcPr>
          <w:p>
            <w:pPr>
              <w:ind w:left="80"/>
              <w:spacing w:after="0"/>
              <w:rPr>
                <w:sz w:val="20"/>
                <w:szCs w:val="20"/>
                <w:color w:val="auto"/>
              </w:rPr>
            </w:pPr>
            <w:r>
              <w:rPr>
                <w:rFonts w:ascii="Arial" w:cs="Arial" w:eastAsia="Arial" w:hAnsi="Arial"/>
                <w:sz w:val="14"/>
                <w:szCs w:val="14"/>
                <w:color w:val="auto"/>
              </w:rPr>
              <w:t>5,700,000</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820" w:type="dxa"/>
            <w:vAlign w:val="bottom"/>
            <w:tcBorders>
              <w:bottom w:val="single" w:sz="8" w:color="292F72"/>
            </w:tcBorders>
          </w:tcPr>
          <w:p>
            <w:pPr>
              <w:spacing w:after="0"/>
              <w:rPr>
                <w:sz w:val="4"/>
                <w:szCs w:val="4"/>
                <w:color w:val="auto"/>
              </w:rPr>
            </w:pPr>
          </w:p>
        </w:tc>
        <w:tc>
          <w:tcPr>
            <w:tcW w:w="660" w:type="dxa"/>
            <w:vAlign w:val="bottom"/>
            <w:tcBorders>
              <w:bottom w:val="single" w:sz="8" w:color="292F72"/>
            </w:tcBorders>
          </w:tcPr>
          <w:p>
            <w:pPr>
              <w:spacing w:after="0"/>
              <w:rPr>
                <w:sz w:val="4"/>
                <w:szCs w:val="4"/>
                <w:color w:val="auto"/>
              </w:rPr>
            </w:pPr>
          </w:p>
        </w:tc>
        <w:tc>
          <w:tcPr>
            <w:tcW w:w="660" w:type="dxa"/>
            <w:vAlign w:val="bottom"/>
            <w:tcBorders>
              <w:bottom w:val="single" w:sz="8" w:color="292F72"/>
            </w:tcBorders>
          </w:tcPr>
          <w:p>
            <w:pPr>
              <w:spacing w:after="0"/>
              <w:rPr>
                <w:sz w:val="4"/>
                <w:szCs w:val="4"/>
                <w:color w:val="auto"/>
              </w:rPr>
            </w:pPr>
          </w:p>
        </w:tc>
        <w:tc>
          <w:tcPr>
            <w:tcW w:w="800" w:type="dxa"/>
            <w:vAlign w:val="bottom"/>
            <w:tcBorders>
              <w:bottom w:val="single" w:sz="8" w:color="292F72"/>
            </w:tcBorders>
          </w:tcPr>
          <w:p>
            <w:pPr>
              <w:spacing w:after="0"/>
              <w:rPr>
                <w:sz w:val="4"/>
                <w:szCs w:val="4"/>
                <w:color w:val="auto"/>
              </w:rPr>
            </w:pPr>
          </w:p>
        </w:tc>
        <w:tc>
          <w:tcPr>
            <w:tcW w:w="120" w:type="dxa"/>
            <w:vAlign w:val="bottom"/>
            <w:tcBorders>
              <w:bottom w:val="single" w:sz="8" w:color="292F72"/>
            </w:tcBorders>
          </w:tcPr>
          <w:p>
            <w:pPr>
              <w:spacing w:after="0"/>
              <w:rPr>
                <w:sz w:val="4"/>
                <w:szCs w:val="4"/>
                <w:color w:val="auto"/>
              </w:rPr>
            </w:pPr>
          </w:p>
        </w:tc>
        <w:tc>
          <w:tcPr>
            <w:tcW w:w="840" w:type="dxa"/>
            <w:vAlign w:val="bottom"/>
            <w:tcBorders>
              <w:bottom w:val="single" w:sz="8" w:color="292F72"/>
            </w:tcBorders>
          </w:tcPr>
          <w:p>
            <w:pPr>
              <w:spacing w:after="0"/>
              <w:rPr>
                <w:sz w:val="4"/>
                <w:szCs w:val="4"/>
                <w:color w:val="auto"/>
              </w:rPr>
            </w:pPr>
          </w:p>
        </w:tc>
        <w:tc>
          <w:tcPr>
            <w:tcW w:w="640" w:type="dxa"/>
            <w:vAlign w:val="bottom"/>
            <w:tcBorders>
              <w:bottom w:val="single" w:sz="8" w:color="292F72"/>
            </w:tcBorders>
            <w:gridSpan w:val="2"/>
          </w:tcPr>
          <w:p>
            <w:pPr>
              <w:spacing w:after="0"/>
              <w:rPr>
                <w:sz w:val="4"/>
                <w:szCs w:val="4"/>
                <w:color w:val="auto"/>
              </w:rPr>
            </w:pPr>
          </w:p>
        </w:tc>
        <w:tc>
          <w:tcPr>
            <w:tcW w:w="760" w:type="dxa"/>
            <w:vAlign w:val="bottom"/>
            <w:tcBorders>
              <w:bottom w:val="single" w:sz="8" w:color="292F72"/>
            </w:tcBorders>
          </w:tcPr>
          <w:p>
            <w:pPr>
              <w:spacing w:after="0"/>
              <w:rPr>
                <w:sz w:val="4"/>
                <w:szCs w:val="4"/>
                <w:color w:val="auto"/>
              </w:rPr>
            </w:pPr>
          </w:p>
        </w:tc>
        <w:tc>
          <w:tcPr>
            <w:tcW w:w="600" w:type="dxa"/>
            <w:vAlign w:val="bottom"/>
            <w:tcBorders>
              <w:bottom w:val="single" w:sz="8" w:color="292F72"/>
            </w:tcBorders>
          </w:tcPr>
          <w:p>
            <w:pPr>
              <w:spacing w:after="0"/>
              <w:rPr>
                <w:sz w:val="4"/>
                <w:szCs w:val="4"/>
                <w:color w:val="auto"/>
              </w:rPr>
            </w:pPr>
          </w:p>
        </w:tc>
        <w:tc>
          <w:tcPr>
            <w:tcW w:w="780" w:type="dxa"/>
            <w:vAlign w:val="bottom"/>
            <w:tcBorders>
              <w:bottom w:val="single" w:sz="8" w:color="292F72"/>
            </w:tcBorders>
          </w:tcPr>
          <w:p>
            <w:pPr>
              <w:spacing w:after="0"/>
              <w:rPr>
                <w:sz w:val="4"/>
                <w:szCs w:val="4"/>
                <w:color w:val="auto"/>
              </w:rPr>
            </w:pPr>
          </w:p>
        </w:tc>
        <w:tc>
          <w:tcPr>
            <w:tcW w:w="820" w:type="dxa"/>
            <w:vAlign w:val="bottom"/>
            <w:tcBorders>
              <w:bottom w:val="single" w:sz="8" w:color="292F72"/>
            </w:tcBorders>
          </w:tcPr>
          <w:p>
            <w:pPr>
              <w:spacing w:after="0"/>
              <w:rPr>
                <w:sz w:val="4"/>
                <w:szCs w:val="4"/>
                <w:color w:val="auto"/>
              </w:rPr>
            </w:pPr>
          </w:p>
        </w:tc>
        <w:tc>
          <w:tcPr>
            <w:tcW w:w="680" w:type="dxa"/>
            <w:vAlign w:val="bottom"/>
            <w:tcBorders>
              <w:bottom w:val="single" w:sz="8" w:color="292F72"/>
            </w:tcBorders>
          </w:tcPr>
          <w:p>
            <w:pPr>
              <w:spacing w:after="0"/>
              <w:rPr>
                <w:sz w:val="4"/>
                <w:szCs w:val="4"/>
                <w:color w:val="auto"/>
              </w:rPr>
            </w:pPr>
          </w:p>
        </w:tc>
        <w:tc>
          <w:tcPr>
            <w:tcW w:w="860" w:type="dxa"/>
            <w:vAlign w:val="bottom"/>
            <w:tcBorders>
              <w:bottom w:val="single" w:sz="8" w:color="292F72"/>
            </w:tcBorders>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820" w:type="dxa"/>
            <w:vAlign w:val="bottom"/>
          </w:tcPr>
          <w:p>
            <w:pPr>
              <w:spacing w:after="0"/>
              <w:rPr>
                <w:sz w:val="20"/>
                <w:szCs w:val="20"/>
                <w:color w:val="auto"/>
              </w:rPr>
            </w:pPr>
            <w:r>
              <w:rPr>
                <w:rFonts w:ascii="Arial" w:cs="Arial" w:eastAsia="Arial" w:hAnsi="Arial"/>
                <w:sz w:val="14"/>
                <w:szCs w:val="14"/>
                <w:b w:val="1"/>
                <w:bCs w:val="1"/>
                <w:color w:val="auto"/>
              </w:rPr>
              <w:t>Mr. Wu</w:t>
            </w:r>
          </w:p>
        </w:tc>
        <w:tc>
          <w:tcPr>
            <w:tcW w:w="660" w:type="dxa"/>
            <w:vAlign w:val="bottom"/>
          </w:tcPr>
          <w:p>
            <w:pPr>
              <w:ind w:left="20"/>
              <w:spacing w:after="0"/>
              <w:rPr>
                <w:sz w:val="20"/>
                <w:szCs w:val="20"/>
                <w:color w:val="auto"/>
              </w:rPr>
            </w:pPr>
            <w:r>
              <w:rPr>
                <w:rFonts w:ascii="Arial" w:cs="Arial" w:eastAsia="Arial" w:hAnsi="Arial"/>
                <w:sz w:val="14"/>
                <w:szCs w:val="14"/>
                <w:color w:val="auto"/>
                <w:w w:val="99"/>
              </w:rPr>
              <w:t>3/13/2025</w:t>
            </w: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40" w:type="dxa"/>
            <w:vAlign w:val="bottom"/>
            <w:gridSpan w:val="2"/>
          </w:tcPr>
          <w:p>
            <w:pPr>
              <w:jc w:val="center"/>
              <w:ind w:left="93"/>
              <w:spacing w:after="0"/>
              <w:rPr>
                <w:sz w:val="20"/>
                <w:szCs w:val="20"/>
                <w:color w:val="auto"/>
              </w:rPr>
            </w:pPr>
            <w:r>
              <w:rPr>
                <w:rFonts w:ascii="Arial" w:cs="Arial" w:eastAsia="Arial" w:hAnsi="Arial"/>
                <w:sz w:val="14"/>
                <w:szCs w:val="14"/>
                <w:color w:val="auto"/>
              </w:rPr>
              <w:t>14,165</w:t>
            </w:r>
          </w:p>
        </w:tc>
        <w:tc>
          <w:tcPr>
            <w:tcW w:w="760" w:type="dxa"/>
            <w:vAlign w:val="bottom"/>
          </w:tcPr>
          <w:p>
            <w:pPr>
              <w:jc w:val="right"/>
              <w:spacing w:after="0"/>
              <w:rPr>
                <w:sz w:val="20"/>
                <w:szCs w:val="20"/>
                <w:color w:val="auto"/>
              </w:rPr>
            </w:pPr>
            <w:r>
              <w:rPr>
                <w:rFonts w:ascii="Arial" w:cs="Arial" w:eastAsia="Arial" w:hAnsi="Arial"/>
                <w:sz w:val="14"/>
                <w:szCs w:val="14"/>
                <w:color w:val="auto"/>
              </w:rPr>
              <w:t>28,330</w:t>
            </w:r>
          </w:p>
        </w:tc>
        <w:tc>
          <w:tcPr>
            <w:tcW w:w="600" w:type="dxa"/>
            <w:vAlign w:val="bottom"/>
          </w:tcPr>
          <w:p>
            <w:pPr>
              <w:jc w:val="right"/>
              <w:spacing w:after="0"/>
              <w:rPr>
                <w:sz w:val="20"/>
                <w:szCs w:val="20"/>
                <w:color w:val="auto"/>
              </w:rPr>
            </w:pPr>
            <w:r>
              <w:rPr>
                <w:rFonts w:ascii="Arial" w:cs="Arial" w:eastAsia="Arial" w:hAnsi="Arial"/>
                <w:sz w:val="14"/>
                <w:szCs w:val="14"/>
                <w:color w:val="auto"/>
              </w:rPr>
              <w:t>56,660</w:t>
            </w: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0" w:type="dxa"/>
            <w:vAlign w:val="bottom"/>
          </w:tcPr>
          <w:p>
            <w:pPr>
              <w:jc w:val="right"/>
              <w:ind w:right="56"/>
              <w:spacing w:after="0"/>
              <w:rPr>
                <w:sz w:val="20"/>
                <w:szCs w:val="20"/>
                <w:color w:val="auto"/>
              </w:rPr>
            </w:pPr>
            <w:r>
              <w:rPr>
                <w:rFonts w:ascii="Arial" w:cs="Arial" w:eastAsia="Arial" w:hAnsi="Arial"/>
                <w:sz w:val="14"/>
                <w:szCs w:val="14"/>
                <w:color w:val="auto"/>
              </w:rPr>
              <w:t>868,314</w:t>
            </w:r>
          </w:p>
        </w:tc>
        <w:tc>
          <w:tcPr>
            <w:tcW w:w="0" w:type="dxa"/>
            <w:vAlign w:val="bottom"/>
          </w:tcPr>
          <w:p>
            <w:pPr>
              <w:spacing w:after="0"/>
              <w:rPr>
                <w:sz w:val="1"/>
                <w:szCs w:val="1"/>
                <w:color w:val="auto"/>
              </w:rPr>
            </w:pPr>
          </w:p>
        </w:tc>
      </w:tr>
      <w:tr>
        <w:trPr>
          <w:trHeight w:val="53"/>
        </w:trPr>
        <w:tc>
          <w:tcPr>
            <w:tcW w:w="820" w:type="dxa"/>
            <w:vAlign w:val="bottom"/>
          </w:tcPr>
          <w:p>
            <w:pPr>
              <w:spacing w:after="0"/>
              <w:rPr>
                <w:sz w:val="4"/>
                <w:szCs w:val="4"/>
                <w:color w:val="auto"/>
              </w:rPr>
            </w:pPr>
          </w:p>
        </w:tc>
        <w:tc>
          <w:tcPr>
            <w:tcW w:w="660" w:type="dxa"/>
            <w:vAlign w:val="bottom"/>
            <w:tcBorders>
              <w:bottom w:val="single" w:sz="8" w:color="6D8CC3"/>
            </w:tcBorders>
          </w:tcPr>
          <w:p>
            <w:pPr>
              <w:spacing w:after="0"/>
              <w:rPr>
                <w:sz w:val="4"/>
                <w:szCs w:val="4"/>
                <w:color w:val="auto"/>
              </w:rPr>
            </w:pPr>
          </w:p>
        </w:tc>
        <w:tc>
          <w:tcPr>
            <w:tcW w:w="660" w:type="dxa"/>
            <w:vAlign w:val="bottom"/>
            <w:tcBorders>
              <w:bottom w:val="single" w:sz="8" w:color="6D8CC3"/>
            </w:tcBorders>
          </w:tcPr>
          <w:p>
            <w:pPr>
              <w:spacing w:after="0"/>
              <w:rPr>
                <w:sz w:val="4"/>
                <w:szCs w:val="4"/>
                <w:color w:val="auto"/>
              </w:rPr>
            </w:pPr>
          </w:p>
        </w:tc>
        <w:tc>
          <w:tcPr>
            <w:tcW w:w="800" w:type="dxa"/>
            <w:vAlign w:val="bottom"/>
            <w:tcBorders>
              <w:bottom w:val="single" w:sz="8" w:color="6D8CC3"/>
            </w:tcBorders>
          </w:tcPr>
          <w:p>
            <w:pPr>
              <w:spacing w:after="0"/>
              <w:rPr>
                <w:sz w:val="4"/>
                <w:szCs w:val="4"/>
                <w:color w:val="auto"/>
              </w:rPr>
            </w:pPr>
          </w:p>
        </w:tc>
        <w:tc>
          <w:tcPr>
            <w:tcW w:w="120" w:type="dxa"/>
            <w:vAlign w:val="bottom"/>
            <w:tcBorders>
              <w:bottom w:val="single" w:sz="8" w:color="6D8CC3"/>
            </w:tcBorders>
          </w:tcPr>
          <w:p>
            <w:pPr>
              <w:spacing w:after="0"/>
              <w:rPr>
                <w:sz w:val="4"/>
                <w:szCs w:val="4"/>
                <w:color w:val="auto"/>
              </w:rPr>
            </w:pPr>
          </w:p>
        </w:tc>
        <w:tc>
          <w:tcPr>
            <w:tcW w:w="840" w:type="dxa"/>
            <w:vAlign w:val="bottom"/>
            <w:tcBorders>
              <w:bottom w:val="single" w:sz="8" w:color="6D8CC3"/>
            </w:tcBorders>
          </w:tcPr>
          <w:p>
            <w:pPr>
              <w:spacing w:after="0"/>
              <w:rPr>
                <w:sz w:val="4"/>
                <w:szCs w:val="4"/>
                <w:color w:val="auto"/>
              </w:rPr>
            </w:pPr>
          </w:p>
        </w:tc>
        <w:tc>
          <w:tcPr>
            <w:tcW w:w="20" w:type="dxa"/>
            <w:vAlign w:val="bottom"/>
            <w:tcBorders>
              <w:bottom w:val="single" w:sz="8" w:color="6D8CC3"/>
            </w:tcBorders>
          </w:tcPr>
          <w:p>
            <w:pPr>
              <w:spacing w:after="0"/>
              <w:rPr>
                <w:sz w:val="4"/>
                <w:szCs w:val="4"/>
                <w:color w:val="auto"/>
              </w:rPr>
            </w:pPr>
          </w:p>
        </w:tc>
        <w:tc>
          <w:tcPr>
            <w:tcW w:w="620" w:type="dxa"/>
            <w:vAlign w:val="bottom"/>
            <w:tcBorders>
              <w:bottom w:val="single" w:sz="8" w:color="6D8CC3"/>
            </w:tcBorders>
          </w:tcPr>
          <w:p>
            <w:pPr>
              <w:spacing w:after="0"/>
              <w:rPr>
                <w:sz w:val="4"/>
                <w:szCs w:val="4"/>
                <w:color w:val="auto"/>
              </w:rPr>
            </w:pPr>
          </w:p>
        </w:tc>
        <w:tc>
          <w:tcPr>
            <w:tcW w:w="760" w:type="dxa"/>
            <w:vAlign w:val="bottom"/>
            <w:tcBorders>
              <w:bottom w:val="single" w:sz="8" w:color="6D8CC3"/>
            </w:tcBorders>
          </w:tcPr>
          <w:p>
            <w:pPr>
              <w:spacing w:after="0"/>
              <w:rPr>
                <w:sz w:val="4"/>
                <w:szCs w:val="4"/>
                <w:color w:val="auto"/>
              </w:rPr>
            </w:pPr>
          </w:p>
        </w:tc>
        <w:tc>
          <w:tcPr>
            <w:tcW w:w="600" w:type="dxa"/>
            <w:vAlign w:val="bottom"/>
            <w:tcBorders>
              <w:bottom w:val="single" w:sz="8" w:color="6D8CC3"/>
            </w:tcBorders>
          </w:tcPr>
          <w:p>
            <w:pPr>
              <w:spacing w:after="0"/>
              <w:rPr>
                <w:sz w:val="4"/>
                <w:szCs w:val="4"/>
                <w:color w:val="auto"/>
              </w:rPr>
            </w:pPr>
          </w:p>
        </w:tc>
        <w:tc>
          <w:tcPr>
            <w:tcW w:w="780" w:type="dxa"/>
            <w:vAlign w:val="bottom"/>
            <w:tcBorders>
              <w:bottom w:val="single" w:sz="8" w:color="6D8CC3"/>
            </w:tcBorders>
          </w:tcPr>
          <w:p>
            <w:pPr>
              <w:spacing w:after="0"/>
              <w:rPr>
                <w:sz w:val="4"/>
                <w:szCs w:val="4"/>
                <w:color w:val="auto"/>
              </w:rPr>
            </w:pPr>
          </w:p>
        </w:tc>
        <w:tc>
          <w:tcPr>
            <w:tcW w:w="820" w:type="dxa"/>
            <w:vAlign w:val="bottom"/>
            <w:tcBorders>
              <w:bottom w:val="single" w:sz="8" w:color="6D8CC3"/>
            </w:tcBorders>
          </w:tcPr>
          <w:p>
            <w:pPr>
              <w:spacing w:after="0"/>
              <w:rPr>
                <w:sz w:val="4"/>
                <w:szCs w:val="4"/>
                <w:color w:val="auto"/>
              </w:rPr>
            </w:pPr>
          </w:p>
        </w:tc>
        <w:tc>
          <w:tcPr>
            <w:tcW w:w="680" w:type="dxa"/>
            <w:vAlign w:val="bottom"/>
            <w:tcBorders>
              <w:bottom w:val="single" w:sz="8" w:color="6D8CC3"/>
            </w:tcBorders>
          </w:tcPr>
          <w:p>
            <w:pPr>
              <w:spacing w:after="0"/>
              <w:rPr>
                <w:sz w:val="4"/>
                <w:szCs w:val="4"/>
                <w:color w:val="auto"/>
              </w:rPr>
            </w:pPr>
          </w:p>
        </w:tc>
        <w:tc>
          <w:tcPr>
            <w:tcW w:w="860" w:type="dxa"/>
            <w:vAlign w:val="bottom"/>
            <w:tcBorders>
              <w:bottom w:val="single" w:sz="8" w:color="6D8CC3"/>
            </w:tcBorders>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820" w:type="dxa"/>
            <w:vAlign w:val="bottom"/>
          </w:tcPr>
          <w:p>
            <w:pPr>
              <w:spacing w:after="0"/>
              <w:rPr>
                <w:sz w:val="19"/>
                <w:szCs w:val="19"/>
                <w:color w:val="auto"/>
              </w:rPr>
            </w:pPr>
          </w:p>
        </w:tc>
        <w:tc>
          <w:tcPr>
            <w:tcW w:w="660" w:type="dxa"/>
            <w:vAlign w:val="bottom"/>
          </w:tcPr>
          <w:p>
            <w:pPr>
              <w:ind w:left="20"/>
              <w:spacing w:after="0"/>
              <w:rPr>
                <w:sz w:val="20"/>
                <w:szCs w:val="20"/>
                <w:color w:val="auto"/>
              </w:rPr>
            </w:pPr>
            <w:r>
              <w:rPr>
                <w:rFonts w:ascii="Arial" w:cs="Arial" w:eastAsia="Arial" w:hAnsi="Arial"/>
                <w:sz w:val="14"/>
                <w:szCs w:val="14"/>
                <w:color w:val="auto"/>
                <w:w w:val="99"/>
              </w:rPr>
              <w:t>3/13/2025</w:t>
            </w: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jc w:val="right"/>
              <w:ind w:right="100"/>
              <w:spacing w:after="0"/>
              <w:rPr>
                <w:sz w:val="20"/>
                <w:szCs w:val="20"/>
                <w:color w:val="auto"/>
              </w:rPr>
            </w:pPr>
            <w:r>
              <w:rPr>
                <w:rFonts w:ascii="Arial" w:cs="Arial" w:eastAsia="Arial" w:hAnsi="Arial"/>
                <w:sz w:val="14"/>
                <w:szCs w:val="14"/>
                <w:color w:val="auto"/>
              </w:rPr>
              <w:t>28,330</w:t>
            </w: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0" w:type="dxa"/>
            <w:vAlign w:val="bottom"/>
          </w:tcPr>
          <w:p>
            <w:pPr>
              <w:jc w:val="right"/>
              <w:ind w:right="56"/>
              <w:spacing w:after="0"/>
              <w:rPr>
                <w:sz w:val="20"/>
                <w:szCs w:val="20"/>
                <w:color w:val="auto"/>
              </w:rPr>
            </w:pPr>
            <w:r>
              <w:rPr>
                <w:rFonts w:ascii="Arial" w:cs="Arial" w:eastAsia="Arial" w:hAnsi="Arial"/>
                <w:sz w:val="14"/>
                <w:szCs w:val="14"/>
                <w:color w:val="auto"/>
              </w:rPr>
              <w:t>760,944</w:t>
            </w:r>
          </w:p>
        </w:tc>
        <w:tc>
          <w:tcPr>
            <w:tcW w:w="0" w:type="dxa"/>
            <w:vAlign w:val="bottom"/>
          </w:tcPr>
          <w:p>
            <w:pPr>
              <w:spacing w:after="0"/>
              <w:rPr>
                <w:sz w:val="1"/>
                <w:szCs w:val="1"/>
                <w:color w:val="auto"/>
              </w:rPr>
            </w:pPr>
          </w:p>
        </w:tc>
      </w:tr>
      <w:tr>
        <w:trPr>
          <w:trHeight w:val="61"/>
        </w:trPr>
        <w:tc>
          <w:tcPr>
            <w:tcW w:w="820" w:type="dxa"/>
            <w:vAlign w:val="bottom"/>
          </w:tcPr>
          <w:p>
            <w:pPr>
              <w:spacing w:after="0"/>
              <w:rPr>
                <w:sz w:val="5"/>
                <w:szCs w:val="5"/>
                <w:color w:val="auto"/>
              </w:rPr>
            </w:pPr>
          </w:p>
        </w:tc>
        <w:tc>
          <w:tcPr>
            <w:tcW w:w="660" w:type="dxa"/>
            <w:vAlign w:val="bottom"/>
            <w:tcBorders>
              <w:bottom w:val="single" w:sz="8" w:color="6D8CC3"/>
            </w:tcBorders>
          </w:tcPr>
          <w:p>
            <w:pPr>
              <w:spacing w:after="0"/>
              <w:rPr>
                <w:sz w:val="5"/>
                <w:szCs w:val="5"/>
                <w:color w:val="auto"/>
              </w:rPr>
            </w:pPr>
          </w:p>
        </w:tc>
        <w:tc>
          <w:tcPr>
            <w:tcW w:w="660" w:type="dxa"/>
            <w:vAlign w:val="bottom"/>
            <w:tcBorders>
              <w:bottom w:val="single" w:sz="8" w:color="6D8CC3"/>
            </w:tcBorders>
          </w:tcPr>
          <w:p>
            <w:pPr>
              <w:spacing w:after="0"/>
              <w:rPr>
                <w:sz w:val="5"/>
                <w:szCs w:val="5"/>
                <w:color w:val="auto"/>
              </w:rPr>
            </w:pPr>
          </w:p>
        </w:tc>
        <w:tc>
          <w:tcPr>
            <w:tcW w:w="800" w:type="dxa"/>
            <w:vAlign w:val="bottom"/>
            <w:tcBorders>
              <w:bottom w:val="single" w:sz="8" w:color="6D8CC3"/>
            </w:tcBorders>
          </w:tcPr>
          <w:p>
            <w:pPr>
              <w:spacing w:after="0"/>
              <w:rPr>
                <w:sz w:val="5"/>
                <w:szCs w:val="5"/>
                <w:color w:val="auto"/>
              </w:rPr>
            </w:pPr>
          </w:p>
        </w:tc>
        <w:tc>
          <w:tcPr>
            <w:tcW w:w="120" w:type="dxa"/>
            <w:vAlign w:val="bottom"/>
            <w:tcBorders>
              <w:bottom w:val="single" w:sz="8" w:color="6D8CC3"/>
            </w:tcBorders>
          </w:tcPr>
          <w:p>
            <w:pPr>
              <w:spacing w:after="0"/>
              <w:rPr>
                <w:sz w:val="5"/>
                <w:szCs w:val="5"/>
                <w:color w:val="auto"/>
              </w:rPr>
            </w:pPr>
          </w:p>
        </w:tc>
        <w:tc>
          <w:tcPr>
            <w:tcW w:w="840" w:type="dxa"/>
            <w:vAlign w:val="bottom"/>
            <w:tcBorders>
              <w:bottom w:val="single" w:sz="8" w:color="6D8CC3"/>
            </w:tcBorders>
          </w:tcPr>
          <w:p>
            <w:pPr>
              <w:spacing w:after="0"/>
              <w:rPr>
                <w:sz w:val="5"/>
                <w:szCs w:val="5"/>
                <w:color w:val="auto"/>
              </w:rPr>
            </w:pPr>
          </w:p>
        </w:tc>
        <w:tc>
          <w:tcPr>
            <w:tcW w:w="20" w:type="dxa"/>
            <w:vAlign w:val="bottom"/>
            <w:tcBorders>
              <w:bottom w:val="single" w:sz="8" w:color="6D8CC3"/>
            </w:tcBorders>
          </w:tcPr>
          <w:p>
            <w:pPr>
              <w:spacing w:after="0"/>
              <w:rPr>
                <w:sz w:val="5"/>
                <w:szCs w:val="5"/>
                <w:color w:val="auto"/>
              </w:rPr>
            </w:pPr>
          </w:p>
        </w:tc>
        <w:tc>
          <w:tcPr>
            <w:tcW w:w="620" w:type="dxa"/>
            <w:vAlign w:val="bottom"/>
            <w:tcBorders>
              <w:bottom w:val="single" w:sz="8" w:color="6D8CC3"/>
            </w:tcBorders>
          </w:tcPr>
          <w:p>
            <w:pPr>
              <w:spacing w:after="0"/>
              <w:rPr>
                <w:sz w:val="5"/>
                <w:szCs w:val="5"/>
                <w:color w:val="auto"/>
              </w:rPr>
            </w:pPr>
          </w:p>
        </w:tc>
        <w:tc>
          <w:tcPr>
            <w:tcW w:w="760" w:type="dxa"/>
            <w:vAlign w:val="bottom"/>
            <w:tcBorders>
              <w:bottom w:val="single" w:sz="8" w:color="6D8CC3"/>
            </w:tcBorders>
          </w:tcPr>
          <w:p>
            <w:pPr>
              <w:spacing w:after="0"/>
              <w:rPr>
                <w:sz w:val="5"/>
                <w:szCs w:val="5"/>
                <w:color w:val="auto"/>
              </w:rPr>
            </w:pPr>
          </w:p>
        </w:tc>
        <w:tc>
          <w:tcPr>
            <w:tcW w:w="600" w:type="dxa"/>
            <w:vAlign w:val="bottom"/>
            <w:tcBorders>
              <w:bottom w:val="single" w:sz="8" w:color="6D8CC3"/>
            </w:tcBorders>
          </w:tcPr>
          <w:p>
            <w:pPr>
              <w:spacing w:after="0"/>
              <w:rPr>
                <w:sz w:val="5"/>
                <w:szCs w:val="5"/>
                <w:color w:val="auto"/>
              </w:rPr>
            </w:pPr>
          </w:p>
        </w:tc>
        <w:tc>
          <w:tcPr>
            <w:tcW w:w="780" w:type="dxa"/>
            <w:vAlign w:val="bottom"/>
            <w:tcBorders>
              <w:bottom w:val="single" w:sz="8" w:color="6D8CC3"/>
            </w:tcBorders>
          </w:tcPr>
          <w:p>
            <w:pPr>
              <w:spacing w:after="0"/>
              <w:rPr>
                <w:sz w:val="5"/>
                <w:szCs w:val="5"/>
                <w:color w:val="auto"/>
              </w:rPr>
            </w:pPr>
          </w:p>
        </w:tc>
        <w:tc>
          <w:tcPr>
            <w:tcW w:w="820" w:type="dxa"/>
            <w:vAlign w:val="bottom"/>
            <w:tcBorders>
              <w:bottom w:val="single" w:sz="8" w:color="6D8CC3"/>
            </w:tcBorders>
          </w:tcPr>
          <w:p>
            <w:pPr>
              <w:spacing w:after="0"/>
              <w:rPr>
                <w:sz w:val="5"/>
                <w:szCs w:val="5"/>
                <w:color w:val="auto"/>
              </w:rPr>
            </w:pPr>
          </w:p>
        </w:tc>
        <w:tc>
          <w:tcPr>
            <w:tcW w:w="680" w:type="dxa"/>
            <w:vAlign w:val="bottom"/>
            <w:tcBorders>
              <w:bottom w:val="single" w:sz="8" w:color="6D8CC3"/>
            </w:tcBorders>
          </w:tcPr>
          <w:p>
            <w:pPr>
              <w:spacing w:after="0"/>
              <w:rPr>
                <w:sz w:val="5"/>
                <w:szCs w:val="5"/>
                <w:color w:val="auto"/>
              </w:rPr>
            </w:pPr>
          </w:p>
        </w:tc>
        <w:tc>
          <w:tcPr>
            <w:tcW w:w="860" w:type="dxa"/>
            <w:vAlign w:val="bottom"/>
            <w:tcBorders>
              <w:bottom w:val="single" w:sz="8" w:color="6D8CC3"/>
            </w:tcBorders>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jc w:val="center"/>
              <w:ind w:left="74"/>
              <w:spacing w:after="0"/>
              <w:rPr>
                <w:sz w:val="20"/>
                <w:szCs w:val="20"/>
                <w:color w:val="auto"/>
              </w:rPr>
            </w:pPr>
            <w:r>
              <w:rPr>
                <w:rFonts w:ascii="Arial" w:cs="Arial" w:eastAsia="Arial" w:hAnsi="Arial"/>
                <w:sz w:val="14"/>
                <w:szCs w:val="14"/>
                <w:color w:val="auto"/>
              </w:rPr>
              <w:t>145,000</w:t>
            </w:r>
          </w:p>
        </w:tc>
        <w:tc>
          <w:tcPr>
            <w:tcW w:w="800" w:type="dxa"/>
            <w:vAlign w:val="bottom"/>
          </w:tcPr>
          <w:p>
            <w:pPr>
              <w:jc w:val="center"/>
              <w:ind w:left="194"/>
              <w:spacing w:after="0"/>
              <w:rPr>
                <w:sz w:val="20"/>
                <w:szCs w:val="20"/>
                <w:color w:val="auto"/>
              </w:rPr>
            </w:pPr>
            <w:r>
              <w:rPr>
                <w:rFonts w:ascii="Arial" w:cs="Arial" w:eastAsia="Arial" w:hAnsi="Arial"/>
                <w:sz w:val="14"/>
                <w:szCs w:val="14"/>
                <w:color w:val="auto"/>
                <w:w w:val="98"/>
              </w:rPr>
              <w:t>725,000</w:t>
            </w:r>
          </w:p>
        </w:tc>
        <w:tc>
          <w:tcPr>
            <w:tcW w:w="120" w:type="dxa"/>
            <w:vAlign w:val="bottom"/>
          </w:tcPr>
          <w:p>
            <w:pPr>
              <w:spacing w:after="0"/>
              <w:rPr>
                <w:sz w:val="19"/>
                <w:szCs w:val="19"/>
                <w:color w:val="auto"/>
              </w:rPr>
            </w:pPr>
          </w:p>
        </w:tc>
        <w:tc>
          <w:tcPr>
            <w:tcW w:w="840" w:type="dxa"/>
            <w:vAlign w:val="bottom"/>
          </w:tcPr>
          <w:p>
            <w:pPr>
              <w:ind w:left="80"/>
              <w:spacing w:after="0"/>
              <w:rPr>
                <w:sz w:val="20"/>
                <w:szCs w:val="20"/>
                <w:color w:val="auto"/>
              </w:rPr>
            </w:pPr>
            <w:r>
              <w:rPr>
                <w:rFonts w:ascii="Arial" w:cs="Arial" w:eastAsia="Arial" w:hAnsi="Arial"/>
                <w:sz w:val="14"/>
                <w:szCs w:val="14"/>
                <w:color w:val="auto"/>
              </w:rPr>
              <w:t>1,450,000</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820" w:type="dxa"/>
            <w:vAlign w:val="bottom"/>
            <w:tcBorders>
              <w:bottom w:val="single" w:sz="8" w:color="292F72"/>
            </w:tcBorders>
          </w:tcPr>
          <w:p>
            <w:pPr>
              <w:spacing w:after="0" w:line="20" w:lineRule="exact"/>
              <w:rPr>
                <w:sz w:val="1"/>
                <w:szCs w:val="1"/>
                <w:color w:val="auto"/>
              </w:rPr>
            </w:pPr>
          </w:p>
        </w:tc>
        <w:tc>
          <w:tcPr>
            <w:tcW w:w="660" w:type="dxa"/>
            <w:vAlign w:val="bottom"/>
            <w:tcBorders>
              <w:bottom w:val="single" w:sz="8" w:color="292F72"/>
            </w:tcBorders>
          </w:tcPr>
          <w:p>
            <w:pPr>
              <w:spacing w:after="0" w:line="20" w:lineRule="exact"/>
              <w:rPr>
                <w:sz w:val="1"/>
                <w:szCs w:val="1"/>
                <w:color w:val="auto"/>
              </w:rPr>
            </w:pPr>
          </w:p>
        </w:tc>
        <w:tc>
          <w:tcPr>
            <w:tcW w:w="660" w:type="dxa"/>
            <w:vAlign w:val="bottom"/>
            <w:tcBorders>
              <w:bottom w:val="single" w:sz="8" w:color="292F72"/>
            </w:tcBorders>
          </w:tcPr>
          <w:p>
            <w:pPr>
              <w:spacing w:after="0" w:line="20" w:lineRule="exact"/>
              <w:rPr>
                <w:sz w:val="1"/>
                <w:szCs w:val="1"/>
                <w:color w:val="auto"/>
              </w:rPr>
            </w:pPr>
          </w:p>
        </w:tc>
        <w:tc>
          <w:tcPr>
            <w:tcW w:w="800" w:type="dxa"/>
            <w:vAlign w:val="bottom"/>
            <w:tcBorders>
              <w:bottom w:val="single" w:sz="8" w:color="292F72"/>
            </w:tcBorders>
          </w:tcPr>
          <w:p>
            <w:pPr>
              <w:spacing w:after="0" w:line="20" w:lineRule="exact"/>
              <w:rPr>
                <w:sz w:val="1"/>
                <w:szCs w:val="1"/>
                <w:color w:val="auto"/>
              </w:rPr>
            </w:pPr>
          </w:p>
        </w:tc>
        <w:tc>
          <w:tcPr>
            <w:tcW w:w="120" w:type="dxa"/>
            <w:vAlign w:val="bottom"/>
            <w:tcBorders>
              <w:bottom w:val="single" w:sz="8" w:color="292F72"/>
            </w:tcBorders>
          </w:tcPr>
          <w:p>
            <w:pPr>
              <w:spacing w:after="0" w:line="20" w:lineRule="exact"/>
              <w:rPr>
                <w:sz w:val="1"/>
                <w:szCs w:val="1"/>
                <w:color w:val="auto"/>
              </w:rPr>
            </w:pPr>
          </w:p>
        </w:tc>
        <w:tc>
          <w:tcPr>
            <w:tcW w:w="840" w:type="dxa"/>
            <w:vAlign w:val="bottom"/>
            <w:tcBorders>
              <w:bottom w:val="single" w:sz="8" w:color="292F72"/>
            </w:tcBorders>
          </w:tcPr>
          <w:p>
            <w:pPr>
              <w:spacing w:after="0" w:line="20" w:lineRule="exact"/>
              <w:rPr>
                <w:sz w:val="1"/>
                <w:szCs w:val="1"/>
                <w:color w:val="auto"/>
              </w:rPr>
            </w:pPr>
          </w:p>
        </w:tc>
        <w:tc>
          <w:tcPr>
            <w:tcW w:w="20" w:type="dxa"/>
            <w:vAlign w:val="bottom"/>
            <w:tcBorders>
              <w:bottom w:val="single" w:sz="8" w:color="292F72"/>
            </w:tcBorders>
          </w:tcPr>
          <w:p>
            <w:pPr>
              <w:spacing w:after="0" w:line="20" w:lineRule="exact"/>
              <w:rPr>
                <w:sz w:val="1"/>
                <w:szCs w:val="1"/>
                <w:color w:val="auto"/>
              </w:rPr>
            </w:pPr>
          </w:p>
        </w:tc>
        <w:tc>
          <w:tcPr>
            <w:tcW w:w="620" w:type="dxa"/>
            <w:vAlign w:val="bottom"/>
            <w:tcBorders>
              <w:bottom w:val="single" w:sz="8" w:color="292F72"/>
            </w:tcBorders>
          </w:tcPr>
          <w:p>
            <w:pPr>
              <w:spacing w:after="0" w:line="20" w:lineRule="exact"/>
              <w:rPr>
                <w:sz w:val="1"/>
                <w:szCs w:val="1"/>
                <w:color w:val="auto"/>
              </w:rPr>
            </w:pPr>
          </w:p>
        </w:tc>
        <w:tc>
          <w:tcPr>
            <w:tcW w:w="760" w:type="dxa"/>
            <w:vAlign w:val="bottom"/>
            <w:tcBorders>
              <w:bottom w:val="single" w:sz="8" w:color="292F72"/>
            </w:tcBorders>
          </w:tcPr>
          <w:p>
            <w:pPr>
              <w:spacing w:after="0" w:line="20" w:lineRule="exact"/>
              <w:rPr>
                <w:sz w:val="1"/>
                <w:szCs w:val="1"/>
                <w:color w:val="auto"/>
              </w:rPr>
            </w:pPr>
          </w:p>
        </w:tc>
        <w:tc>
          <w:tcPr>
            <w:tcW w:w="600" w:type="dxa"/>
            <w:vAlign w:val="bottom"/>
            <w:tcBorders>
              <w:bottom w:val="single" w:sz="8" w:color="292F72"/>
            </w:tcBorders>
          </w:tcPr>
          <w:p>
            <w:pPr>
              <w:spacing w:after="0" w:line="20" w:lineRule="exact"/>
              <w:rPr>
                <w:sz w:val="1"/>
                <w:szCs w:val="1"/>
                <w:color w:val="auto"/>
              </w:rPr>
            </w:pPr>
          </w:p>
        </w:tc>
        <w:tc>
          <w:tcPr>
            <w:tcW w:w="780" w:type="dxa"/>
            <w:vAlign w:val="bottom"/>
            <w:tcBorders>
              <w:bottom w:val="single" w:sz="8" w:color="292F72"/>
            </w:tcBorders>
          </w:tcPr>
          <w:p>
            <w:pPr>
              <w:spacing w:after="0" w:line="20" w:lineRule="exact"/>
              <w:rPr>
                <w:sz w:val="1"/>
                <w:szCs w:val="1"/>
                <w:color w:val="auto"/>
              </w:rPr>
            </w:pPr>
          </w:p>
        </w:tc>
        <w:tc>
          <w:tcPr>
            <w:tcW w:w="820" w:type="dxa"/>
            <w:vAlign w:val="bottom"/>
            <w:tcBorders>
              <w:bottom w:val="single" w:sz="8" w:color="292F72"/>
            </w:tcBorders>
          </w:tcPr>
          <w:p>
            <w:pPr>
              <w:spacing w:after="0" w:line="20" w:lineRule="exact"/>
              <w:rPr>
                <w:sz w:val="1"/>
                <w:szCs w:val="1"/>
                <w:color w:val="auto"/>
              </w:rPr>
            </w:pPr>
          </w:p>
        </w:tc>
        <w:tc>
          <w:tcPr>
            <w:tcW w:w="680" w:type="dxa"/>
            <w:vAlign w:val="bottom"/>
            <w:tcBorders>
              <w:bottom w:val="single" w:sz="8" w:color="292F72"/>
            </w:tcBorders>
          </w:tcPr>
          <w:p>
            <w:pPr>
              <w:spacing w:after="0" w:line="20" w:lineRule="exact"/>
              <w:rPr>
                <w:sz w:val="1"/>
                <w:szCs w:val="1"/>
                <w:color w:val="auto"/>
              </w:rPr>
            </w:pPr>
          </w:p>
        </w:tc>
        <w:tc>
          <w:tcPr>
            <w:tcW w:w="860" w:type="dxa"/>
            <w:vAlign w:val="bottom"/>
            <w:tcBorders>
              <w:bottom w:val="single" w:sz="8" w:color="292F72"/>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260" w:right="160" w:hanging="256"/>
        <w:spacing w:after="0" w:line="252" w:lineRule="auto"/>
        <w:tabs>
          <w:tab w:leader="none" w:pos="260" w:val="left"/>
        </w:tabs>
        <w:numPr>
          <w:ilvl w:val="0"/>
          <w:numId w:val="73"/>
        </w:numPr>
        <w:rPr>
          <w:rFonts w:ascii="Arial" w:cs="Arial" w:eastAsia="Arial" w:hAnsi="Arial"/>
          <w:sz w:val="14"/>
          <w:szCs w:val="14"/>
          <w:color w:val="auto"/>
        </w:rPr>
      </w:pPr>
      <w:r>
        <w:rPr>
          <w:rFonts w:ascii="Arial" w:cs="Arial" w:eastAsia="Arial" w:hAnsi="Arial"/>
          <w:sz w:val="14"/>
          <w:szCs w:val="14"/>
          <w:color w:val="auto"/>
        </w:rPr>
        <w:t>Non-Equity Incentive Plan Awards represent the aggregate threshold, target and maximum opportunities under the Cash Incentive Plan for fiscal 2025. The actual amounts earned for fiscal 2025 under this plan are disclosed in the 2025 Summary Compensation Table in the “Non-Equity Incentive Plan Compensation” column.</w:t>
      </w:r>
    </w:p>
    <w:p>
      <w:pPr>
        <w:spacing w:after="0" w:line="30" w:lineRule="exact"/>
        <w:rPr>
          <w:rFonts w:ascii="Arial" w:cs="Arial" w:eastAsia="Arial" w:hAnsi="Arial"/>
          <w:sz w:val="14"/>
          <w:szCs w:val="14"/>
          <w:color w:val="auto"/>
        </w:rPr>
      </w:pPr>
    </w:p>
    <w:p>
      <w:pPr>
        <w:jc w:val="both"/>
        <w:ind w:left="260" w:right="560" w:hanging="256"/>
        <w:spacing w:after="0" w:line="260" w:lineRule="auto"/>
        <w:tabs>
          <w:tab w:leader="none" w:pos="260" w:val="left"/>
        </w:tabs>
        <w:numPr>
          <w:ilvl w:val="0"/>
          <w:numId w:val="73"/>
        </w:numPr>
        <w:rPr>
          <w:rFonts w:ascii="Arial" w:cs="Arial" w:eastAsia="Arial" w:hAnsi="Arial"/>
          <w:sz w:val="13"/>
          <w:szCs w:val="13"/>
          <w:color w:val="auto"/>
        </w:rPr>
      </w:pPr>
      <w:r>
        <w:rPr>
          <w:rFonts w:ascii="Arial" w:cs="Arial" w:eastAsia="Arial" w:hAnsi="Arial"/>
          <w:sz w:val="13"/>
          <w:szCs w:val="13"/>
          <w:color w:val="auto"/>
        </w:rPr>
        <w:t>Equity Incentive Plan Awards are PSUs granted pursuant to the 2020 Plan. Grant dates are the dates the awards were approved (or otherwise deemed effective) by the HCC Committee. The awards vest on the third anniversary of the grant date, subject to continued employment through the vesting date, with the number of shares to be awarded determined based on the Company’s achievement of</w:t>
      </w:r>
    </w:p>
    <w:p>
      <w:pPr>
        <w:ind w:left="260"/>
        <w:spacing w:after="0" w:line="239" w:lineRule="auto"/>
        <w:rPr>
          <w:rFonts w:ascii="Arial" w:cs="Arial" w:eastAsia="Arial" w:hAnsi="Arial"/>
          <w:sz w:val="13"/>
          <w:szCs w:val="13"/>
          <w:color w:val="auto"/>
        </w:rPr>
      </w:pPr>
      <w:r>
        <w:rPr>
          <w:rFonts w:ascii="Arial" w:cs="Arial" w:eastAsia="Arial" w:hAnsi="Arial"/>
          <w:sz w:val="14"/>
          <w:szCs w:val="14"/>
          <w:color w:val="auto"/>
        </w:rPr>
        <w:t xml:space="preserve">(i) Adjusted Operating Income Margin over the three-year performance period and (ii) relative TSR over the three-year performance period as compared to the companies listed in the S&amp;P 1500 Consumer Discretionary Distribution &amp; Retail Index as of the date of grant, in each case as further described under the heading “—Compensation Discussion and Analysis—Compensation for NEOs—Compensation Components— Long-term Equity Incentive Compensation” beginning on page </w:t>
      </w:r>
      <w:r>
        <w:rPr>
          <w:rFonts w:ascii="Arial" w:cs="Arial" w:eastAsia="Arial" w:hAnsi="Arial"/>
          <w:sz w:val="14"/>
          <w:szCs w:val="14"/>
          <w:u w:val="single" w:color="auto"/>
          <w:color w:val="0000EE"/>
        </w:rPr>
        <w:t>37</w:t>
      </w:r>
      <w:r>
        <w:rPr>
          <w:rFonts w:ascii="Arial" w:cs="Arial" w:eastAsia="Arial" w:hAnsi="Arial"/>
          <w:sz w:val="14"/>
          <w:szCs w:val="14"/>
          <w:color w:val="auto"/>
        </w:rPr>
        <w:t xml:space="preserve"> of this proxy statement.</w:t>
      </w:r>
    </w:p>
    <w:p>
      <w:pPr>
        <w:spacing w:after="0" w:line="39" w:lineRule="exact"/>
        <w:rPr>
          <w:rFonts w:ascii="Arial" w:cs="Arial" w:eastAsia="Arial" w:hAnsi="Arial"/>
          <w:sz w:val="13"/>
          <w:szCs w:val="13"/>
          <w:color w:val="auto"/>
        </w:rPr>
      </w:pPr>
    </w:p>
    <w:p>
      <w:pPr>
        <w:ind w:left="260" w:right="20" w:hanging="256"/>
        <w:spacing w:after="0" w:line="246" w:lineRule="auto"/>
        <w:tabs>
          <w:tab w:leader="none" w:pos="260" w:val="left"/>
        </w:tabs>
        <w:numPr>
          <w:ilvl w:val="0"/>
          <w:numId w:val="73"/>
        </w:numPr>
        <w:rPr>
          <w:rFonts w:ascii="Arial" w:cs="Arial" w:eastAsia="Arial" w:hAnsi="Arial"/>
          <w:sz w:val="14"/>
          <w:szCs w:val="14"/>
          <w:color w:val="auto"/>
        </w:rPr>
      </w:pPr>
      <w:r>
        <w:rPr>
          <w:rFonts w:ascii="Arial" w:cs="Arial" w:eastAsia="Arial" w:hAnsi="Arial"/>
          <w:sz w:val="14"/>
          <w:szCs w:val="14"/>
          <w:color w:val="auto"/>
        </w:rPr>
        <w:t>All Other Stock Awards are RSUs granted pursuant to the 2020 Plan. Grant dates are the dates the awards were approved (or otherwise deemed effective) by the HCC Committee. The awards vest 30% on each of the first and second anniversaries of the grant date, and 40% on the third anniversary of the grant date, subject to continued employment through each such date, except for Mr. Heaf whose awards vest 30% on each of the first and second anniversaries of his start date, and 40% on the third anniversary of his start date.</w:t>
      </w:r>
    </w:p>
    <w:p>
      <w:pPr>
        <w:spacing w:after="0" w:line="48" w:lineRule="exact"/>
        <w:rPr>
          <w:rFonts w:ascii="Arial" w:cs="Arial" w:eastAsia="Arial" w:hAnsi="Arial"/>
          <w:sz w:val="14"/>
          <w:szCs w:val="14"/>
          <w:color w:val="auto"/>
        </w:rPr>
      </w:pPr>
    </w:p>
    <w:p>
      <w:pPr>
        <w:ind w:left="260" w:right="20" w:hanging="256"/>
        <w:spacing w:after="0" w:line="241" w:lineRule="auto"/>
        <w:tabs>
          <w:tab w:leader="none" w:pos="26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value of stock awards reflects the grant date fair value under ASC Topic 718 Compensation—Stock Compensation for each award. The grant date fair values of the PSUs granted to the NEOs during fiscal 2025 were calculated based on the probable outcome of the performance conditions as of the grant date, consistent with the estimate of aggregate compensation cost to be recognized over the service period determined as of the grant date under ASC Subtopic 718-10, excluding the effect of estimated forfeitures. See Note 14 to the Company’s financial statements included in the 2025 10-K for the related assumptions for stock awards granted during fiscal 2025 and for a discussion of the Company’s assumptions in determining the aggregate grant date fair value of these awards.</w:t>
      </w:r>
    </w:p>
    <w:p>
      <w:pPr>
        <w:spacing w:after="0" w:line="39" w:lineRule="exact"/>
        <w:rPr>
          <w:rFonts w:ascii="Arial" w:cs="Arial" w:eastAsia="Arial" w:hAnsi="Arial"/>
          <w:sz w:val="14"/>
          <w:szCs w:val="14"/>
          <w:color w:val="auto"/>
        </w:rPr>
      </w:pPr>
    </w:p>
    <w:p>
      <w:pPr>
        <w:ind w:left="260" w:right="160" w:hanging="256"/>
        <w:spacing w:after="0" w:line="269" w:lineRule="auto"/>
        <w:tabs>
          <w:tab w:leader="none" w:pos="260" w:val="left"/>
        </w:tabs>
        <w:numPr>
          <w:ilvl w:val="0"/>
          <w:numId w:val="73"/>
        </w:numPr>
        <w:rPr>
          <w:rFonts w:ascii="Arial" w:cs="Arial" w:eastAsia="Arial" w:hAnsi="Arial"/>
          <w:sz w:val="14"/>
          <w:szCs w:val="14"/>
          <w:color w:val="auto"/>
        </w:rPr>
      </w:pPr>
      <w:r>
        <w:rPr>
          <w:rFonts w:ascii="Arial" w:cs="Arial" w:eastAsia="Arial" w:hAnsi="Arial"/>
          <w:sz w:val="14"/>
          <w:szCs w:val="14"/>
          <w:color w:val="auto"/>
        </w:rPr>
        <w:t>Represents the prorated amount to reflect Mr. Heaf’s partial year of service. Annualized amounts would be as follows: $513,000 (threshold); $2,565,000 (target); and $5,130,000 (maximum).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109855</wp:posOffset>
            </wp:positionV>
            <wp:extent cx="573722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737225" cy="8255"/>
                    </a:xfrm>
                    <a:prstGeom prst="rect">
                      <a:avLst/>
                    </a:prstGeom>
                    <a:noFill/>
                  </pic:spPr>
                </pic:pic>
              </a:graphicData>
            </a:graphic>
          </wp:anchor>
        </w:drawing>
      </w:r>
    </w:p>
    <w:p>
      <w:pPr>
        <w:spacing w:after="0" w:line="249" w:lineRule="exact"/>
        <w:rPr>
          <w:sz w:val="20"/>
          <w:szCs w:val="20"/>
          <w:color w:val="auto"/>
        </w:rPr>
      </w:pPr>
    </w:p>
    <w:p>
      <w:pPr>
        <w:ind w:left="5460"/>
        <w:spacing w:after="0"/>
        <w:rPr>
          <w:sz w:val="20"/>
          <w:szCs w:val="20"/>
          <w:color w:val="auto"/>
        </w:rPr>
      </w:pPr>
      <w:r>
        <w:rPr>
          <w:rFonts w:ascii="Arial" w:cs="Arial" w:eastAsia="Arial" w:hAnsi="Arial"/>
          <w:sz w:val="13"/>
          <w:szCs w:val="13"/>
          <w:color w:val="292F72"/>
        </w:rPr>
        <w:t>Bath &amp; Body Works, Inc.</w:t>
      </w:r>
      <w:r>
        <w:rPr>
          <w:rFonts w:ascii="Arial" w:cs="Arial" w:eastAsia="Arial" w:hAnsi="Arial"/>
          <w:sz w:val="13"/>
          <w:szCs w:val="13"/>
          <w:color w:val="6D8CC3"/>
        </w:rPr>
        <w:t xml:space="preserve">   | </w:t>
      </w:r>
      <w:r>
        <w:rPr>
          <w:rFonts w:ascii="Arial" w:cs="Arial" w:eastAsia="Arial" w:hAnsi="Arial"/>
          <w:sz w:val="13"/>
          <w:szCs w:val="13"/>
          <w:color w:val="292F72"/>
        </w:rPr>
        <w:t xml:space="preserve">  2026 Proxy Statement     </w:t>
      </w:r>
      <w:r>
        <w:rPr>
          <w:rFonts w:ascii="Arial" w:cs="Arial" w:eastAsia="Arial" w:hAnsi="Arial"/>
          <w:sz w:val="13"/>
          <w:szCs w:val="13"/>
          <w:b w:val="1"/>
          <w:bCs w:val="1"/>
          <w:color w:val="292F72"/>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152400</wp:posOffset>
            </wp:positionV>
            <wp:extent cx="6795135" cy="1651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795135" cy="16510"/>
                    </a:xfrm>
                    <a:prstGeom prst="rect">
                      <a:avLst/>
                    </a:prstGeom>
                    <a:noFill/>
                  </pic:spPr>
                </pic:pic>
              </a:graphicData>
            </a:graphic>
          </wp:anchor>
        </w:drawing>
      </w:r>
    </w:p>
    <w:p>
      <w:pPr>
        <w:sectPr>
          <w:pgSz w:w="11900" w:h="16838" w:orient="portrait"/>
          <w:cols w:equalWidth="0" w:num="1">
            <w:col w:w="9040"/>
          </w:cols>
          <w:pgMar w:left="1420" w:top="116" w:right="1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6"/>
          <w:szCs w:val="16"/>
          <w:color w:val="292F72"/>
        </w:rPr>
        <w:t>Compensation-Related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40640</wp:posOffset>
            </wp:positionV>
            <wp:extent cx="1407160" cy="3302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407160" cy="3302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23"/>
          <w:szCs w:val="23"/>
          <w:b w:val="1"/>
          <w:bCs w:val="1"/>
          <w:color w:val="292F72"/>
        </w:rPr>
        <w:t>Outstanding Equity Awards at Fiscal Year-end 2025</w:t>
      </w:r>
    </w:p>
    <w:p>
      <w:pPr>
        <w:spacing w:after="0" w:line="148" w:lineRule="exact"/>
        <w:rPr>
          <w:sz w:val="20"/>
          <w:szCs w:val="20"/>
          <w:color w:val="auto"/>
        </w:rPr>
      </w:pPr>
    </w:p>
    <w:p>
      <w:pPr>
        <w:jc w:val="both"/>
        <w:ind w:right="300"/>
        <w:spacing w:after="0" w:line="254" w:lineRule="auto"/>
        <w:rPr>
          <w:sz w:val="20"/>
          <w:szCs w:val="20"/>
          <w:color w:val="auto"/>
        </w:rPr>
      </w:pPr>
      <w:r>
        <w:rPr>
          <w:rFonts w:ascii="Arial" w:cs="Arial" w:eastAsia="Arial" w:hAnsi="Arial"/>
          <w:sz w:val="16"/>
          <w:szCs w:val="16"/>
          <w:color w:val="auto"/>
        </w:rPr>
        <w:t>The following table provides information relating to outstanding equity awards granted to the NEOs as of the fiscal year ended January 31, 2026. The market value of the stock awards assumes a stock price of $21.80, the closing price of the Company’s common stock on January 30, 2026 (the last trading day during fiscal 2025).</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gridSpan w:val="3"/>
          </w:tcPr>
          <w:p>
            <w:pPr>
              <w:jc w:val="right"/>
              <w:ind w:right="655"/>
              <w:spacing w:after="0"/>
              <w:rPr>
                <w:sz w:val="20"/>
                <w:szCs w:val="20"/>
                <w:color w:val="auto"/>
              </w:rPr>
            </w:pPr>
            <w:r>
              <w:rPr>
                <w:rFonts w:ascii="Arial" w:cs="Arial" w:eastAsia="Arial" w:hAnsi="Arial"/>
                <w:sz w:val="12"/>
                <w:szCs w:val="12"/>
                <w:b w:val="1"/>
                <w:bCs w:val="1"/>
                <w:color w:val="292F72"/>
              </w:rPr>
              <w:t>OPTION AWARDS</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gridSpan w:val="2"/>
          </w:tcPr>
          <w:p>
            <w:pPr>
              <w:ind w:left="40"/>
              <w:spacing w:after="0"/>
              <w:rPr>
                <w:sz w:val="20"/>
                <w:szCs w:val="20"/>
                <w:color w:val="auto"/>
              </w:rPr>
            </w:pPr>
            <w:r>
              <w:rPr>
                <w:rFonts w:ascii="Arial" w:cs="Arial" w:eastAsia="Arial" w:hAnsi="Arial"/>
                <w:sz w:val="12"/>
                <w:szCs w:val="12"/>
                <w:b w:val="1"/>
                <w:bCs w:val="1"/>
                <w:color w:val="292F72"/>
              </w:rPr>
              <w:t>STOCK AWARDS</w:t>
            </w: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4"/>
        </w:trPr>
        <w:tc>
          <w:tcPr>
            <w:tcW w:w="96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9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292F72"/>
              </w:rPr>
              <w:t>EQUITY</w:t>
            </w: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ind w:left="80"/>
              <w:spacing w:after="0" w:line="132" w:lineRule="exact"/>
              <w:rPr>
                <w:sz w:val="20"/>
                <w:szCs w:val="20"/>
                <w:color w:val="auto"/>
              </w:rPr>
            </w:pPr>
            <w:r>
              <w:rPr>
                <w:rFonts w:ascii="Arial" w:cs="Arial" w:eastAsia="Arial" w:hAnsi="Arial"/>
                <w:sz w:val="12"/>
                <w:szCs w:val="12"/>
                <w:b w:val="1"/>
                <w:bCs w:val="1"/>
                <w:color w:val="292F72"/>
              </w:rPr>
              <w:t>INCENTIVE</w:t>
            </w: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ind w:left="80"/>
              <w:spacing w:after="0" w:line="132" w:lineRule="exact"/>
              <w:rPr>
                <w:sz w:val="20"/>
                <w:szCs w:val="20"/>
                <w:color w:val="auto"/>
              </w:rPr>
            </w:pPr>
            <w:r>
              <w:rPr>
                <w:rFonts w:ascii="Arial" w:cs="Arial" w:eastAsia="Arial" w:hAnsi="Arial"/>
                <w:sz w:val="12"/>
                <w:szCs w:val="12"/>
                <w:b w:val="1"/>
                <w:bCs w:val="1"/>
                <w:color w:val="292F72"/>
              </w:rPr>
              <w:t>PLAN</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292F72"/>
              </w:rPr>
              <w:t>EQUITY</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ind w:left="80"/>
              <w:spacing w:after="0" w:line="132" w:lineRule="exact"/>
              <w:rPr>
                <w:sz w:val="20"/>
                <w:szCs w:val="20"/>
                <w:color w:val="auto"/>
              </w:rPr>
            </w:pPr>
            <w:r>
              <w:rPr>
                <w:rFonts w:ascii="Arial" w:cs="Arial" w:eastAsia="Arial" w:hAnsi="Arial"/>
                <w:sz w:val="12"/>
                <w:szCs w:val="12"/>
                <w:b w:val="1"/>
                <w:bCs w:val="1"/>
                <w:color w:val="292F72"/>
              </w:rPr>
              <w:t>AWARDS:</w:t>
            </w:r>
          </w:p>
        </w:tc>
        <w:tc>
          <w:tcPr>
            <w:tcW w:w="68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ind w:left="80"/>
              <w:spacing w:after="0" w:line="132" w:lineRule="exact"/>
              <w:rPr>
                <w:sz w:val="20"/>
                <w:szCs w:val="20"/>
                <w:color w:val="auto"/>
              </w:rPr>
            </w:pPr>
            <w:r>
              <w:rPr>
                <w:rFonts w:ascii="Arial" w:cs="Arial" w:eastAsia="Arial" w:hAnsi="Arial"/>
                <w:sz w:val="12"/>
                <w:szCs w:val="12"/>
                <w:b w:val="1"/>
                <w:bCs w:val="1"/>
                <w:color w:val="292F72"/>
              </w:rPr>
              <w:t>NUMBER</w:t>
            </w:r>
          </w:p>
        </w:tc>
        <w:tc>
          <w:tcPr>
            <w:tcW w:w="10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292F72"/>
              </w:rPr>
              <w:t>INCENTIVE</w:t>
            </w:r>
          </w:p>
        </w:tc>
        <w:tc>
          <w:tcPr>
            <w:tcW w:w="0" w:type="dxa"/>
            <w:vAlign w:val="bottom"/>
          </w:tcPr>
          <w:p>
            <w:pPr>
              <w:spacing w:after="0"/>
              <w:rPr>
                <w:sz w:val="1"/>
                <w:szCs w:val="1"/>
                <w:color w:val="auto"/>
              </w:rPr>
            </w:pPr>
          </w:p>
        </w:tc>
      </w:tr>
      <w:tr>
        <w:trPr>
          <w:trHeight w:val="131"/>
        </w:trPr>
        <w:tc>
          <w:tcPr>
            <w:tcW w:w="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ind w:left="80"/>
              <w:spacing w:after="0" w:line="132" w:lineRule="exact"/>
              <w:rPr>
                <w:sz w:val="20"/>
                <w:szCs w:val="20"/>
                <w:color w:val="auto"/>
              </w:rPr>
            </w:pPr>
            <w:r>
              <w:rPr>
                <w:rFonts w:ascii="Arial" w:cs="Arial" w:eastAsia="Arial" w:hAnsi="Arial"/>
                <w:sz w:val="12"/>
                <w:szCs w:val="12"/>
                <w:b w:val="1"/>
                <w:bCs w:val="1"/>
                <w:color w:val="292F72"/>
              </w:rPr>
              <w:t>OF</w:t>
            </w:r>
          </w:p>
        </w:tc>
        <w:tc>
          <w:tcPr>
            <w:tcW w:w="10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292F72"/>
                <w:w w:val="99"/>
              </w:rPr>
              <w:t>PLAN AWARDS:</w:t>
            </w:r>
          </w:p>
        </w:tc>
        <w:tc>
          <w:tcPr>
            <w:tcW w:w="0" w:type="dxa"/>
            <w:vAlign w:val="bottom"/>
          </w:tcPr>
          <w:p>
            <w:pPr>
              <w:spacing w:after="0"/>
              <w:rPr>
                <w:sz w:val="1"/>
                <w:szCs w:val="1"/>
                <w:color w:val="auto"/>
              </w:rPr>
            </w:pPr>
          </w:p>
        </w:tc>
      </w:tr>
      <w:tr>
        <w:trPr>
          <w:trHeight w:val="131"/>
        </w:trPr>
        <w:tc>
          <w:tcPr>
            <w:tcW w:w="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vMerge w:val="restart"/>
          </w:tcPr>
          <w:p>
            <w:pPr>
              <w:ind w:left="100"/>
              <w:spacing w:after="0"/>
              <w:rPr>
                <w:sz w:val="20"/>
                <w:szCs w:val="20"/>
                <w:color w:val="auto"/>
              </w:rPr>
            </w:pPr>
            <w:r>
              <w:rPr>
                <w:rFonts w:ascii="Arial" w:cs="Arial" w:eastAsia="Arial" w:hAnsi="Arial"/>
                <w:sz w:val="12"/>
                <w:szCs w:val="12"/>
                <w:b w:val="1"/>
                <w:bCs w:val="1"/>
                <w:color w:val="292F72"/>
              </w:rPr>
              <w:t>MARKET</w:t>
            </w:r>
          </w:p>
        </w:tc>
        <w:tc>
          <w:tcPr>
            <w:tcW w:w="880" w:type="dxa"/>
            <w:vAlign w:val="bottom"/>
          </w:tcPr>
          <w:p>
            <w:pPr>
              <w:ind w:left="80"/>
              <w:spacing w:after="0" w:line="132" w:lineRule="exact"/>
              <w:rPr>
                <w:sz w:val="20"/>
                <w:szCs w:val="20"/>
                <w:color w:val="auto"/>
              </w:rPr>
            </w:pPr>
            <w:r>
              <w:rPr>
                <w:rFonts w:ascii="Arial" w:cs="Arial" w:eastAsia="Arial" w:hAnsi="Arial"/>
                <w:sz w:val="12"/>
                <w:szCs w:val="12"/>
                <w:b w:val="1"/>
                <w:bCs w:val="1"/>
                <w:color w:val="292F72"/>
              </w:rPr>
              <w:t>UNEARNED</w:t>
            </w:r>
          </w:p>
        </w:tc>
        <w:tc>
          <w:tcPr>
            <w:tcW w:w="10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292F72"/>
              </w:rPr>
              <w:t>MARKET OR</w:t>
            </w:r>
          </w:p>
        </w:tc>
        <w:tc>
          <w:tcPr>
            <w:tcW w:w="0" w:type="dxa"/>
            <w:vAlign w:val="bottom"/>
          </w:tcPr>
          <w:p>
            <w:pPr>
              <w:spacing w:after="0"/>
              <w:rPr>
                <w:sz w:val="1"/>
                <w:szCs w:val="1"/>
                <w:color w:val="auto"/>
              </w:rPr>
            </w:pPr>
          </w:p>
        </w:tc>
      </w:tr>
      <w:tr>
        <w:trPr>
          <w:trHeight w:val="131"/>
        </w:trPr>
        <w:tc>
          <w:tcPr>
            <w:tcW w:w="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292F72"/>
              </w:rPr>
              <w:t>NUMBER OF</w:t>
            </w:r>
          </w:p>
        </w:tc>
        <w:tc>
          <w:tcPr>
            <w:tcW w:w="940" w:type="dxa"/>
            <w:vAlign w:val="bottom"/>
            <w:vMerge w:val="continue"/>
          </w:tcPr>
          <w:p>
            <w:pPr>
              <w:spacing w:after="0"/>
              <w:rPr>
                <w:sz w:val="11"/>
                <w:szCs w:val="11"/>
                <w:color w:val="auto"/>
              </w:rPr>
            </w:pPr>
          </w:p>
        </w:tc>
        <w:tc>
          <w:tcPr>
            <w:tcW w:w="880" w:type="dxa"/>
            <w:vAlign w:val="bottom"/>
          </w:tcPr>
          <w:p>
            <w:pPr>
              <w:ind w:left="80"/>
              <w:spacing w:after="0" w:line="132" w:lineRule="exact"/>
              <w:rPr>
                <w:sz w:val="20"/>
                <w:szCs w:val="20"/>
                <w:color w:val="auto"/>
              </w:rPr>
            </w:pPr>
            <w:r>
              <w:rPr>
                <w:rFonts w:ascii="Arial" w:cs="Arial" w:eastAsia="Arial" w:hAnsi="Arial"/>
                <w:sz w:val="12"/>
                <w:szCs w:val="12"/>
                <w:b w:val="1"/>
                <w:bCs w:val="1"/>
                <w:color w:val="292F72"/>
              </w:rPr>
              <w:t>SHARES,</w:t>
            </w:r>
          </w:p>
        </w:tc>
        <w:tc>
          <w:tcPr>
            <w:tcW w:w="10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292F72"/>
                <w:w w:val="99"/>
              </w:rPr>
              <w:t>PAYOUT VALUE</w:t>
            </w:r>
          </w:p>
        </w:tc>
        <w:tc>
          <w:tcPr>
            <w:tcW w:w="0" w:type="dxa"/>
            <w:vAlign w:val="bottom"/>
          </w:tcPr>
          <w:p>
            <w:pPr>
              <w:spacing w:after="0"/>
              <w:rPr>
                <w:sz w:val="1"/>
                <w:szCs w:val="1"/>
                <w:color w:val="auto"/>
              </w:rPr>
            </w:pPr>
          </w:p>
        </w:tc>
      </w:tr>
      <w:tr>
        <w:trPr>
          <w:trHeight w:val="131"/>
        </w:trPr>
        <w:tc>
          <w:tcPr>
            <w:tcW w:w="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292F72"/>
              </w:rPr>
              <w:t>NUMBER OF</w:t>
            </w: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940" w:type="dxa"/>
            <w:vAlign w:val="bottom"/>
          </w:tcPr>
          <w:p>
            <w:pPr>
              <w:ind w:left="100"/>
              <w:spacing w:after="0" w:line="132" w:lineRule="exact"/>
              <w:rPr>
                <w:sz w:val="20"/>
                <w:szCs w:val="20"/>
                <w:color w:val="auto"/>
              </w:rPr>
            </w:pPr>
            <w:r>
              <w:rPr>
                <w:rFonts w:ascii="Arial" w:cs="Arial" w:eastAsia="Arial" w:hAnsi="Arial"/>
                <w:sz w:val="12"/>
                <w:szCs w:val="12"/>
                <w:b w:val="1"/>
                <w:bCs w:val="1"/>
                <w:color w:val="292F72"/>
              </w:rPr>
              <w:t>VALUE OF</w:t>
            </w:r>
          </w:p>
        </w:tc>
        <w:tc>
          <w:tcPr>
            <w:tcW w:w="880" w:type="dxa"/>
            <w:vAlign w:val="bottom"/>
          </w:tcPr>
          <w:p>
            <w:pPr>
              <w:ind w:left="80"/>
              <w:spacing w:after="0" w:line="132" w:lineRule="exact"/>
              <w:rPr>
                <w:sz w:val="20"/>
                <w:szCs w:val="20"/>
                <w:color w:val="auto"/>
              </w:rPr>
            </w:pPr>
            <w:r>
              <w:rPr>
                <w:rFonts w:ascii="Arial" w:cs="Arial" w:eastAsia="Arial" w:hAnsi="Arial"/>
                <w:sz w:val="12"/>
                <w:szCs w:val="12"/>
                <w:b w:val="1"/>
                <w:bCs w:val="1"/>
                <w:color w:val="292F72"/>
              </w:rPr>
              <w:t>UNITS OR</w:t>
            </w:r>
          </w:p>
        </w:tc>
        <w:tc>
          <w:tcPr>
            <w:tcW w:w="10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292F72"/>
              </w:rPr>
              <w:t>OF UNEARNED</w:t>
            </w:r>
          </w:p>
        </w:tc>
        <w:tc>
          <w:tcPr>
            <w:tcW w:w="0" w:type="dxa"/>
            <w:vAlign w:val="bottom"/>
          </w:tcPr>
          <w:p>
            <w:pPr>
              <w:spacing w:after="0"/>
              <w:rPr>
                <w:sz w:val="1"/>
                <w:szCs w:val="1"/>
                <w:color w:val="auto"/>
              </w:rPr>
            </w:pPr>
          </w:p>
        </w:tc>
      </w:tr>
      <w:tr>
        <w:trPr>
          <w:trHeight w:val="131"/>
        </w:trPr>
        <w:tc>
          <w:tcPr>
            <w:tcW w:w="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ind w:left="60"/>
              <w:spacing w:after="0" w:line="132" w:lineRule="exact"/>
              <w:rPr>
                <w:sz w:val="20"/>
                <w:szCs w:val="20"/>
                <w:color w:val="auto"/>
              </w:rPr>
            </w:pPr>
            <w:r>
              <w:rPr>
                <w:rFonts w:ascii="Arial" w:cs="Arial" w:eastAsia="Arial" w:hAnsi="Arial"/>
                <w:sz w:val="12"/>
                <w:szCs w:val="12"/>
                <w:b w:val="1"/>
                <w:bCs w:val="1"/>
                <w:color w:val="292F72"/>
              </w:rPr>
              <w:t>SHARES OR</w:t>
            </w:r>
          </w:p>
        </w:tc>
        <w:tc>
          <w:tcPr>
            <w:tcW w:w="940" w:type="dxa"/>
            <w:vAlign w:val="bottom"/>
          </w:tcPr>
          <w:p>
            <w:pPr>
              <w:ind w:left="100"/>
              <w:spacing w:after="0" w:line="132" w:lineRule="exact"/>
              <w:rPr>
                <w:sz w:val="20"/>
                <w:szCs w:val="20"/>
                <w:color w:val="auto"/>
              </w:rPr>
            </w:pPr>
            <w:r>
              <w:rPr>
                <w:rFonts w:ascii="Arial" w:cs="Arial" w:eastAsia="Arial" w:hAnsi="Arial"/>
                <w:sz w:val="12"/>
                <w:szCs w:val="12"/>
                <w:b w:val="1"/>
                <w:bCs w:val="1"/>
                <w:color w:val="292F72"/>
              </w:rPr>
              <w:t>SHARES OR</w:t>
            </w:r>
          </w:p>
        </w:tc>
        <w:tc>
          <w:tcPr>
            <w:tcW w:w="880" w:type="dxa"/>
            <w:vAlign w:val="bottom"/>
          </w:tcPr>
          <w:p>
            <w:pPr>
              <w:ind w:left="80"/>
              <w:spacing w:after="0" w:line="132" w:lineRule="exact"/>
              <w:rPr>
                <w:sz w:val="20"/>
                <w:szCs w:val="20"/>
                <w:color w:val="auto"/>
              </w:rPr>
            </w:pPr>
            <w:r>
              <w:rPr>
                <w:rFonts w:ascii="Arial" w:cs="Arial" w:eastAsia="Arial" w:hAnsi="Arial"/>
                <w:sz w:val="12"/>
                <w:szCs w:val="12"/>
                <w:b w:val="1"/>
                <w:bCs w:val="1"/>
                <w:color w:val="292F72"/>
              </w:rPr>
              <w:t>OTHER</w:t>
            </w:r>
          </w:p>
        </w:tc>
        <w:tc>
          <w:tcPr>
            <w:tcW w:w="10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292F72"/>
              </w:rPr>
              <w:t>SHARES, UNITS</w:t>
            </w:r>
          </w:p>
        </w:tc>
        <w:tc>
          <w:tcPr>
            <w:tcW w:w="0" w:type="dxa"/>
            <w:vAlign w:val="bottom"/>
          </w:tcPr>
          <w:p>
            <w:pPr>
              <w:spacing w:after="0"/>
              <w:rPr>
                <w:sz w:val="1"/>
                <w:szCs w:val="1"/>
                <w:color w:val="auto"/>
              </w:rPr>
            </w:pPr>
          </w:p>
        </w:tc>
      </w:tr>
      <w:tr>
        <w:trPr>
          <w:trHeight w:val="131"/>
        </w:trPr>
        <w:tc>
          <w:tcPr>
            <w:tcW w:w="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292F72"/>
              </w:rPr>
              <w:t>SECURITIES</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292F72"/>
              </w:rPr>
              <w:t>OPTION</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ind w:left="60"/>
              <w:spacing w:after="0" w:line="132" w:lineRule="exact"/>
              <w:rPr>
                <w:sz w:val="20"/>
                <w:szCs w:val="20"/>
                <w:color w:val="auto"/>
              </w:rPr>
            </w:pPr>
            <w:r>
              <w:rPr>
                <w:rFonts w:ascii="Arial" w:cs="Arial" w:eastAsia="Arial" w:hAnsi="Arial"/>
                <w:sz w:val="12"/>
                <w:szCs w:val="12"/>
                <w:b w:val="1"/>
                <w:bCs w:val="1"/>
                <w:color w:val="292F72"/>
              </w:rPr>
              <w:t>UNITS OF</w:t>
            </w:r>
          </w:p>
        </w:tc>
        <w:tc>
          <w:tcPr>
            <w:tcW w:w="940" w:type="dxa"/>
            <w:vAlign w:val="bottom"/>
          </w:tcPr>
          <w:p>
            <w:pPr>
              <w:ind w:left="100"/>
              <w:spacing w:after="0" w:line="132" w:lineRule="exact"/>
              <w:rPr>
                <w:sz w:val="20"/>
                <w:szCs w:val="20"/>
                <w:color w:val="auto"/>
              </w:rPr>
            </w:pPr>
            <w:r>
              <w:rPr>
                <w:rFonts w:ascii="Arial" w:cs="Arial" w:eastAsia="Arial" w:hAnsi="Arial"/>
                <w:sz w:val="12"/>
                <w:szCs w:val="12"/>
                <w:b w:val="1"/>
                <w:bCs w:val="1"/>
                <w:color w:val="292F72"/>
              </w:rPr>
              <w:t>UNITS OF</w:t>
            </w:r>
          </w:p>
        </w:tc>
        <w:tc>
          <w:tcPr>
            <w:tcW w:w="880" w:type="dxa"/>
            <w:vAlign w:val="bottom"/>
          </w:tcPr>
          <w:p>
            <w:pPr>
              <w:ind w:left="80"/>
              <w:spacing w:after="0" w:line="132" w:lineRule="exact"/>
              <w:rPr>
                <w:sz w:val="20"/>
                <w:szCs w:val="20"/>
                <w:color w:val="auto"/>
              </w:rPr>
            </w:pPr>
            <w:r>
              <w:rPr>
                <w:rFonts w:ascii="Arial" w:cs="Arial" w:eastAsia="Arial" w:hAnsi="Arial"/>
                <w:sz w:val="12"/>
                <w:szCs w:val="12"/>
                <w:b w:val="1"/>
                <w:bCs w:val="1"/>
                <w:color w:val="292F72"/>
              </w:rPr>
              <w:t>RIGHTS</w:t>
            </w:r>
          </w:p>
        </w:tc>
        <w:tc>
          <w:tcPr>
            <w:tcW w:w="10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292F72"/>
              </w:rPr>
              <w:t>OR OTHER</w:t>
            </w:r>
          </w:p>
        </w:tc>
        <w:tc>
          <w:tcPr>
            <w:tcW w:w="0" w:type="dxa"/>
            <w:vAlign w:val="bottom"/>
          </w:tcPr>
          <w:p>
            <w:pPr>
              <w:spacing w:after="0"/>
              <w:rPr>
                <w:sz w:val="1"/>
                <w:szCs w:val="1"/>
                <w:color w:val="auto"/>
              </w:rPr>
            </w:pPr>
          </w:p>
        </w:tc>
      </w:tr>
      <w:tr>
        <w:trPr>
          <w:trHeight w:val="131"/>
        </w:trPr>
        <w:tc>
          <w:tcPr>
            <w:tcW w:w="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292F72"/>
              </w:rPr>
              <w:t>UNDERLYING</w:t>
            </w:r>
          </w:p>
        </w:tc>
        <w:tc>
          <w:tcPr>
            <w:tcW w:w="740" w:type="dxa"/>
            <w:vAlign w:val="bottom"/>
            <w:vMerge w:val="continue"/>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292F72"/>
              </w:rPr>
              <w:t>OPTION</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ind w:left="60"/>
              <w:spacing w:after="0" w:line="132" w:lineRule="exact"/>
              <w:rPr>
                <w:sz w:val="20"/>
                <w:szCs w:val="20"/>
                <w:color w:val="auto"/>
              </w:rPr>
            </w:pPr>
            <w:r>
              <w:rPr>
                <w:rFonts w:ascii="Arial" w:cs="Arial" w:eastAsia="Arial" w:hAnsi="Arial"/>
                <w:sz w:val="12"/>
                <w:szCs w:val="12"/>
                <w:b w:val="1"/>
                <w:bCs w:val="1"/>
                <w:color w:val="292F72"/>
              </w:rPr>
              <w:t>STOCK THAT</w:t>
            </w:r>
          </w:p>
        </w:tc>
        <w:tc>
          <w:tcPr>
            <w:tcW w:w="940" w:type="dxa"/>
            <w:vAlign w:val="bottom"/>
          </w:tcPr>
          <w:p>
            <w:pPr>
              <w:ind w:left="100"/>
              <w:spacing w:after="0" w:line="132" w:lineRule="exact"/>
              <w:rPr>
                <w:sz w:val="20"/>
                <w:szCs w:val="20"/>
                <w:color w:val="auto"/>
              </w:rPr>
            </w:pPr>
            <w:r>
              <w:rPr>
                <w:rFonts w:ascii="Arial" w:cs="Arial" w:eastAsia="Arial" w:hAnsi="Arial"/>
                <w:sz w:val="12"/>
                <w:szCs w:val="12"/>
                <w:b w:val="1"/>
                <w:bCs w:val="1"/>
                <w:color w:val="292F72"/>
              </w:rPr>
              <w:t>STOCK THAT</w:t>
            </w:r>
          </w:p>
        </w:tc>
        <w:tc>
          <w:tcPr>
            <w:tcW w:w="880" w:type="dxa"/>
            <w:vAlign w:val="bottom"/>
          </w:tcPr>
          <w:p>
            <w:pPr>
              <w:ind w:left="80"/>
              <w:spacing w:after="0" w:line="132" w:lineRule="exact"/>
              <w:rPr>
                <w:sz w:val="20"/>
                <w:szCs w:val="20"/>
                <w:color w:val="auto"/>
              </w:rPr>
            </w:pPr>
            <w:r>
              <w:rPr>
                <w:rFonts w:ascii="Arial" w:cs="Arial" w:eastAsia="Arial" w:hAnsi="Arial"/>
                <w:sz w:val="12"/>
                <w:szCs w:val="12"/>
                <w:b w:val="1"/>
                <w:bCs w:val="1"/>
                <w:color w:val="292F72"/>
              </w:rPr>
              <w:t>THAT</w:t>
            </w:r>
          </w:p>
        </w:tc>
        <w:tc>
          <w:tcPr>
            <w:tcW w:w="10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292F72"/>
              </w:rPr>
              <w:t>RIGHTS THAT</w:t>
            </w:r>
          </w:p>
        </w:tc>
        <w:tc>
          <w:tcPr>
            <w:tcW w:w="0" w:type="dxa"/>
            <w:vAlign w:val="bottom"/>
          </w:tcPr>
          <w:p>
            <w:pPr>
              <w:spacing w:after="0"/>
              <w:rPr>
                <w:sz w:val="1"/>
                <w:szCs w:val="1"/>
                <w:color w:val="auto"/>
              </w:rPr>
            </w:pPr>
          </w:p>
        </w:tc>
      </w:tr>
      <w:tr>
        <w:trPr>
          <w:trHeight w:val="131"/>
        </w:trPr>
        <w:tc>
          <w:tcPr>
            <w:tcW w:w="96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292F72"/>
              </w:rPr>
              <w:t>GRANT</w:t>
            </w:r>
          </w:p>
        </w:tc>
        <w:tc>
          <w:tcPr>
            <w:tcW w:w="10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292F72"/>
              </w:rPr>
              <w:t>UNEXERCISED</w:t>
            </w:r>
          </w:p>
        </w:tc>
        <w:tc>
          <w:tcPr>
            <w:tcW w:w="740" w:type="dxa"/>
            <w:vAlign w:val="bottom"/>
          </w:tcPr>
          <w:p>
            <w:pPr>
              <w:jc w:val="center"/>
              <w:spacing w:after="0" w:line="132" w:lineRule="exact"/>
              <w:rPr>
                <w:sz w:val="20"/>
                <w:szCs w:val="20"/>
                <w:color w:val="auto"/>
              </w:rPr>
            </w:pPr>
            <w:r>
              <w:rPr>
                <w:rFonts w:ascii="Arial" w:cs="Arial" w:eastAsia="Arial" w:hAnsi="Arial"/>
                <w:sz w:val="12"/>
                <w:szCs w:val="12"/>
                <w:b w:val="1"/>
                <w:bCs w:val="1"/>
                <w:color w:val="292F72"/>
              </w:rPr>
              <w:t>EXERCISE</w:t>
            </w:r>
          </w:p>
        </w:tc>
        <w:tc>
          <w:tcPr>
            <w:tcW w:w="8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ind w:left="60"/>
              <w:spacing w:after="0" w:line="132" w:lineRule="exact"/>
              <w:rPr>
                <w:sz w:val="20"/>
                <w:szCs w:val="20"/>
                <w:color w:val="auto"/>
              </w:rPr>
            </w:pPr>
            <w:r>
              <w:rPr>
                <w:rFonts w:ascii="Arial" w:cs="Arial" w:eastAsia="Arial" w:hAnsi="Arial"/>
                <w:sz w:val="12"/>
                <w:szCs w:val="12"/>
                <w:b w:val="1"/>
                <w:bCs w:val="1"/>
                <w:color w:val="292F72"/>
              </w:rPr>
              <w:t>HAVE NOT</w:t>
            </w:r>
          </w:p>
        </w:tc>
        <w:tc>
          <w:tcPr>
            <w:tcW w:w="940" w:type="dxa"/>
            <w:vAlign w:val="bottom"/>
          </w:tcPr>
          <w:p>
            <w:pPr>
              <w:ind w:left="100"/>
              <w:spacing w:after="0" w:line="132" w:lineRule="exact"/>
              <w:rPr>
                <w:sz w:val="20"/>
                <w:szCs w:val="20"/>
                <w:color w:val="auto"/>
              </w:rPr>
            </w:pPr>
            <w:r>
              <w:rPr>
                <w:rFonts w:ascii="Arial" w:cs="Arial" w:eastAsia="Arial" w:hAnsi="Arial"/>
                <w:sz w:val="12"/>
                <w:szCs w:val="12"/>
                <w:b w:val="1"/>
                <w:bCs w:val="1"/>
                <w:color w:val="292F72"/>
              </w:rPr>
              <w:t>HAVE NOT</w:t>
            </w:r>
          </w:p>
        </w:tc>
        <w:tc>
          <w:tcPr>
            <w:tcW w:w="880" w:type="dxa"/>
            <w:vAlign w:val="bottom"/>
          </w:tcPr>
          <w:p>
            <w:pPr>
              <w:ind w:left="80"/>
              <w:spacing w:after="0" w:line="132" w:lineRule="exact"/>
              <w:rPr>
                <w:sz w:val="20"/>
                <w:szCs w:val="20"/>
                <w:color w:val="auto"/>
              </w:rPr>
            </w:pPr>
            <w:r>
              <w:rPr>
                <w:rFonts w:ascii="Arial" w:cs="Arial" w:eastAsia="Arial" w:hAnsi="Arial"/>
                <w:sz w:val="12"/>
                <w:szCs w:val="12"/>
                <w:b w:val="1"/>
                <w:bCs w:val="1"/>
                <w:color w:val="292F72"/>
              </w:rPr>
              <w:t>HAVE NOT</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292F72"/>
                <w:w w:val="96"/>
              </w:rPr>
              <w:t>HAVE NOT</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960" w:type="dxa"/>
            <w:vAlign w:val="bottom"/>
            <w:vMerge w:val="restart"/>
          </w:tcPr>
          <w:p>
            <w:pPr>
              <w:spacing w:after="0"/>
              <w:rPr>
                <w:sz w:val="20"/>
                <w:szCs w:val="20"/>
                <w:color w:val="auto"/>
              </w:rPr>
            </w:pPr>
            <w:r>
              <w:rPr>
                <w:rFonts w:ascii="Arial" w:cs="Arial" w:eastAsia="Arial" w:hAnsi="Arial"/>
                <w:sz w:val="12"/>
                <w:szCs w:val="12"/>
                <w:b w:val="1"/>
                <w:bCs w:val="1"/>
                <w:color w:val="292F72"/>
              </w:rPr>
              <w:t>NAME</w:t>
            </w:r>
          </w:p>
        </w:tc>
        <w:tc>
          <w:tcPr>
            <w:tcW w:w="820" w:type="dxa"/>
            <w:vAlign w:val="bottom"/>
            <w:vMerge w:val="continue"/>
          </w:tcPr>
          <w:p>
            <w:pPr>
              <w:spacing w:after="0"/>
              <w:rPr>
                <w:sz w:val="11"/>
                <w:szCs w:val="11"/>
                <w:color w:val="auto"/>
              </w:rPr>
            </w:pPr>
          </w:p>
        </w:tc>
        <w:tc>
          <w:tcPr>
            <w:tcW w:w="10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292F72"/>
              </w:rPr>
              <w:t>OPTIONS #</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292F72"/>
              </w:rPr>
              <w:t>PRICE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292F72"/>
                <w:w w:val="98"/>
              </w:rPr>
              <w:t>EXPIRATION</w:t>
            </w:r>
          </w:p>
        </w:tc>
        <w:tc>
          <w:tcPr>
            <w:tcW w:w="98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292F72"/>
              </w:rPr>
              <w:t>GRANT DATE</w:t>
            </w:r>
          </w:p>
        </w:tc>
        <w:tc>
          <w:tcPr>
            <w:tcW w:w="880" w:type="dxa"/>
            <w:vAlign w:val="bottom"/>
          </w:tcPr>
          <w:p>
            <w:pPr>
              <w:ind w:left="60"/>
              <w:spacing w:after="0" w:line="132" w:lineRule="exact"/>
              <w:rPr>
                <w:sz w:val="20"/>
                <w:szCs w:val="20"/>
                <w:color w:val="auto"/>
              </w:rPr>
            </w:pPr>
            <w:r>
              <w:rPr>
                <w:rFonts w:ascii="Arial" w:cs="Arial" w:eastAsia="Arial" w:hAnsi="Arial"/>
                <w:sz w:val="12"/>
                <w:szCs w:val="12"/>
                <w:b w:val="1"/>
                <w:bCs w:val="1"/>
                <w:color w:val="292F72"/>
              </w:rPr>
              <w:t>VESTED</w:t>
            </w:r>
          </w:p>
        </w:tc>
        <w:tc>
          <w:tcPr>
            <w:tcW w:w="940" w:type="dxa"/>
            <w:vAlign w:val="bottom"/>
          </w:tcPr>
          <w:p>
            <w:pPr>
              <w:ind w:left="100"/>
              <w:spacing w:after="0" w:line="132" w:lineRule="exact"/>
              <w:rPr>
                <w:sz w:val="20"/>
                <w:szCs w:val="20"/>
                <w:color w:val="auto"/>
              </w:rPr>
            </w:pPr>
            <w:r>
              <w:rPr>
                <w:rFonts w:ascii="Arial" w:cs="Arial" w:eastAsia="Arial" w:hAnsi="Arial"/>
                <w:sz w:val="12"/>
                <w:szCs w:val="12"/>
                <w:b w:val="1"/>
                <w:bCs w:val="1"/>
                <w:color w:val="292F72"/>
              </w:rPr>
              <w:t>VESTED</w:t>
            </w:r>
          </w:p>
        </w:tc>
        <w:tc>
          <w:tcPr>
            <w:tcW w:w="880" w:type="dxa"/>
            <w:vAlign w:val="bottom"/>
          </w:tcPr>
          <w:p>
            <w:pPr>
              <w:ind w:left="80"/>
              <w:spacing w:after="0" w:line="132" w:lineRule="exact"/>
              <w:rPr>
                <w:sz w:val="20"/>
                <w:szCs w:val="20"/>
                <w:color w:val="auto"/>
              </w:rPr>
            </w:pPr>
            <w:r>
              <w:rPr>
                <w:rFonts w:ascii="Arial" w:cs="Arial" w:eastAsia="Arial" w:hAnsi="Arial"/>
                <w:sz w:val="12"/>
                <w:szCs w:val="12"/>
                <w:b w:val="1"/>
                <w:bCs w:val="1"/>
                <w:color w:val="292F72"/>
              </w:rPr>
              <w:t>VESTED</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292F72"/>
              </w:rPr>
              <w:t>VESTED</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960" w:type="dxa"/>
            <w:vAlign w:val="bottom"/>
            <w:vMerge w:val="continue"/>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292F72"/>
              </w:rPr>
              <w:t>DATE</w:t>
            </w:r>
          </w:p>
        </w:tc>
        <w:tc>
          <w:tcPr>
            <w:tcW w:w="1020" w:type="dxa"/>
            <w:vAlign w:val="bottom"/>
            <w:gridSpan w:val="2"/>
          </w:tcPr>
          <w:p>
            <w:pPr>
              <w:ind w:left="80"/>
              <w:spacing w:after="0"/>
              <w:rPr>
                <w:sz w:val="20"/>
                <w:szCs w:val="20"/>
                <w:color w:val="auto"/>
              </w:rPr>
            </w:pPr>
            <w:r>
              <w:rPr>
                <w:rFonts w:ascii="Arial" w:cs="Arial" w:eastAsia="Arial" w:hAnsi="Arial"/>
                <w:sz w:val="12"/>
                <w:szCs w:val="12"/>
                <w:b w:val="1"/>
                <w:bCs w:val="1"/>
                <w:color w:val="292F72"/>
              </w:rPr>
              <w:t>EXERCISABLE</w:t>
            </w:r>
          </w:p>
        </w:tc>
        <w:tc>
          <w:tcPr>
            <w:tcW w:w="740" w:type="dxa"/>
            <w:vAlign w:val="bottom"/>
          </w:tcPr>
          <w:p>
            <w:pPr>
              <w:jc w:val="center"/>
              <w:spacing w:after="0"/>
              <w:rPr>
                <w:sz w:val="20"/>
                <w:szCs w:val="20"/>
                <w:color w:val="auto"/>
              </w:rPr>
            </w:pPr>
            <w:r>
              <w:rPr>
                <w:rFonts w:ascii="Arial" w:cs="Arial" w:eastAsia="Arial" w:hAnsi="Arial"/>
                <w:sz w:val="12"/>
                <w:szCs w:val="12"/>
                <w:b w:val="1"/>
                <w:bCs w:val="1"/>
                <w:color w:val="292F72"/>
              </w:rPr>
              <w:t>($)</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292F72"/>
              </w:rPr>
              <w:t>DATE</w:t>
            </w:r>
          </w:p>
        </w:tc>
        <w:tc>
          <w:tcPr>
            <w:tcW w:w="980" w:type="dxa"/>
            <w:vAlign w:val="bottom"/>
            <w:gridSpan w:val="2"/>
            <w:vMerge w:val="continue"/>
          </w:tcPr>
          <w:p>
            <w:pPr>
              <w:spacing w:after="0"/>
              <w:rPr>
                <w:sz w:val="14"/>
                <w:szCs w:val="14"/>
                <w:color w:val="auto"/>
              </w:rPr>
            </w:pPr>
          </w:p>
        </w:tc>
        <w:tc>
          <w:tcPr>
            <w:tcW w:w="880" w:type="dxa"/>
            <w:vAlign w:val="bottom"/>
          </w:tcPr>
          <w:p>
            <w:pPr>
              <w:ind w:left="380"/>
              <w:spacing w:after="0"/>
              <w:rPr>
                <w:sz w:val="20"/>
                <w:szCs w:val="20"/>
                <w:color w:val="auto"/>
              </w:rPr>
            </w:pPr>
            <w:r>
              <w:rPr>
                <w:rFonts w:ascii="Arial" w:cs="Arial" w:eastAsia="Arial" w:hAnsi="Arial"/>
                <w:sz w:val="12"/>
                <w:szCs w:val="12"/>
                <w:b w:val="1"/>
                <w:bCs w:val="1"/>
                <w:color w:val="292F72"/>
              </w:rPr>
              <w:t>(#)</w:t>
            </w:r>
          </w:p>
        </w:tc>
        <w:tc>
          <w:tcPr>
            <w:tcW w:w="940" w:type="dxa"/>
            <w:vAlign w:val="bottom"/>
          </w:tcPr>
          <w:p>
            <w:pPr>
              <w:ind w:left="420"/>
              <w:spacing w:after="0"/>
              <w:rPr>
                <w:sz w:val="20"/>
                <w:szCs w:val="20"/>
                <w:color w:val="auto"/>
              </w:rPr>
            </w:pPr>
            <w:r>
              <w:rPr>
                <w:rFonts w:ascii="Arial" w:cs="Arial" w:eastAsia="Arial" w:hAnsi="Arial"/>
                <w:sz w:val="12"/>
                <w:szCs w:val="12"/>
                <w:b w:val="1"/>
                <w:bCs w:val="1"/>
                <w:color w:val="292F72"/>
              </w:rPr>
              <w:t>($)</w:t>
            </w:r>
          </w:p>
        </w:tc>
        <w:tc>
          <w:tcPr>
            <w:tcW w:w="880" w:type="dxa"/>
            <w:vAlign w:val="bottom"/>
          </w:tcPr>
          <w:p>
            <w:pPr>
              <w:ind w:left="380"/>
              <w:spacing w:after="0"/>
              <w:rPr>
                <w:sz w:val="20"/>
                <w:szCs w:val="20"/>
                <w:color w:val="auto"/>
              </w:rPr>
            </w:pPr>
            <w:r>
              <w:rPr>
                <w:rFonts w:ascii="Arial" w:cs="Arial" w:eastAsia="Arial" w:hAnsi="Arial"/>
                <w:sz w:val="12"/>
                <w:szCs w:val="12"/>
                <w:b w:val="1"/>
                <w:bCs w:val="1"/>
                <w:color w:val="292F72"/>
              </w:rPr>
              <w:t>(#)</w:t>
            </w:r>
          </w:p>
        </w:tc>
        <w:tc>
          <w:tcPr>
            <w:tcW w:w="680" w:type="dxa"/>
            <w:vAlign w:val="bottom"/>
          </w:tcPr>
          <w:p>
            <w:pPr>
              <w:ind w:left="460"/>
              <w:spacing w:after="0"/>
              <w:rPr>
                <w:sz w:val="20"/>
                <w:szCs w:val="20"/>
                <w:color w:val="auto"/>
              </w:rPr>
            </w:pPr>
            <w:r>
              <w:rPr>
                <w:rFonts w:ascii="Arial" w:cs="Arial" w:eastAsia="Arial" w:hAnsi="Arial"/>
                <w:sz w:val="12"/>
                <w:szCs w:val="12"/>
                <w:b w:val="1"/>
                <w:bCs w:val="1"/>
                <w:color w:val="292F72"/>
              </w:rPr>
              <w:t>($ )</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960" w:type="dxa"/>
            <w:vAlign w:val="bottom"/>
            <w:tcBorders>
              <w:bottom w:val="single" w:sz="8" w:color="292F72"/>
            </w:tcBorders>
          </w:tcPr>
          <w:p>
            <w:pPr>
              <w:spacing w:after="0"/>
              <w:rPr>
                <w:sz w:val="4"/>
                <w:szCs w:val="4"/>
                <w:color w:val="auto"/>
              </w:rPr>
            </w:pPr>
          </w:p>
        </w:tc>
        <w:tc>
          <w:tcPr>
            <w:tcW w:w="820" w:type="dxa"/>
            <w:vAlign w:val="bottom"/>
            <w:tcBorders>
              <w:bottom w:val="single" w:sz="8" w:color="292F72"/>
            </w:tcBorders>
          </w:tcPr>
          <w:p>
            <w:pPr>
              <w:spacing w:after="0"/>
              <w:rPr>
                <w:sz w:val="4"/>
                <w:szCs w:val="4"/>
                <w:color w:val="auto"/>
              </w:rPr>
            </w:pPr>
          </w:p>
        </w:tc>
        <w:tc>
          <w:tcPr>
            <w:tcW w:w="80" w:type="dxa"/>
            <w:vAlign w:val="bottom"/>
            <w:tcBorders>
              <w:bottom w:val="single" w:sz="8" w:color="292F72"/>
            </w:tcBorders>
          </w:tcPr>
          <w:p>
            <w:pPr>
              <w:spacing w:after="0"/>
              <w:rPr>
                <w:sz w:val="4"/>
                <w:szCs w:val="4"/>
                <w:color w:val="auto"/>
              </w:rPr>
            </w:pPr>
          </w:p>
        </w:tc>
        <w:tc>
          <w:tcPr>
            <w:tcW w:w="940" w:type="dxa"/>
            <w:vAlign w:val="bottom"/>
            <w:tcBorders>
              <w:bottom w:val="single" w:sz="8" w:color="292F72"/>
            </w:tcBorders>
          </w:tcPr>
          <w:p>
            <w:pPr>
              <w:spacing w:after="0"/>
              <w:rPr>
                <w:sz w:val="4"/>
                <w:szCs w:val="4"/>
                <w:color w:val="auto"/>
              </w:rPr>
            </w:pPr>
          </w:p>
        </w:tc>
        <w:tc>
          <w:tcPr>
            <w:tcW w:w="740" w:type="dxa"/>
            <w:vAlign w:val="bottom"/>
            <w:tcBorders>
              <w:bottom w:val="single" w:sz="8" w:color="292F72"/>
            </w:tcBorders>
          </w:tcPr>
          <w:p>
            <w:pPr>
              <w:spacing w:after="0"/>
              <w:rPr>
                <w:sz w:val="4"/>
                <w:szCs w:val="4"/>
                <w:color w:val="auto"/>
              </w:rPr>
            </w:pPr>
          </w:p>
        </w:tc>
        <w:tc>
          <w:tcPr>
            <w:tcW w:w="800" w:type="dxa"/>
            <w:vAlign w:val="bottom"/>
            <w:tcBorders>
              <w:bottom w:val="single" w:sz="8" w:color="292F72"/>
            </w:tcBorders>
          </w:tcPr>
          <w:p>
            <w:pPr>
              <w:spacing w:after="0"/>
              <w:rPr>
                <w:sz w:val="4"/>
                <w:szCs w:val="4"/>
                <w:color w:val="auto"/>
              </w:rPr>
            </w:pPr>
          </w:p>
        </w:tc>
        <w:tc>
          <w:tcPr>
            <w:tcW w:w="980" w:type="dxa"/>
            <w:vAlign w:val="bottom"/>
            <w:tcBorders>
              <w:bottom w:val="single" w:sz="8" w:color="292F72"/>
            </w:tcBorders>
            <w:gridSpan w:val="2"/>
          </w:tcPr>
          <w:p>
            <w:pPr>
              <w:spacing w:after="0"/>
              <w:rPr>
                <w:sz w:val="4"/>
                <w:szCs w:val="4"/>
                <w:color w:val="auto"/>
              </w:rPr>
            </w:pPr>
          </w:p>
        </w:tc>
        <w:tc>
          <w:tcPr>
            <w:tcW w:w="880" w:type="dxa"/>
            <w:vAlign w:val="bottom"/>
            <w:tcBorders>
              <w:bottom w:val="single" w:sz="8" w:color="292F72"/>
            </w:tcBorders>
          </w:tcPr>
          <w:p>
            <w:pPr>
              <w:spacing w:after="0"/>
              <w:rPr>
                <w:sz w:val="4"/>
                <w:szCs w:val="4"/>
                <w:color w:val="auto"/>
              </w:rPr>
            </w:pPr>
          </w:p>
        </w:tc>
        <w:tc>
          <w:tcPr>
            <w:tcW w:w="940" w:type="dxa"/>
            <w:vAlign w:val="bottom"/>
            <w:tcBorders>
              <w:bottom w:val="single" w:sz="8" w:color="292F72"/>
            </w:tcBorders>
          </w:tcPr>
          <w:p>
            <w:pPr>
              <w:spacing w:after="0"/>
              <w:rPr>
                <w:sz w:val="4"/>
                <w:szCs w:val="4"/>
                <w:color w:val="auto"/>
              </w:rPr>
            </w:pPr>
          </w:p>
        </w:tc>
        <w:tc>
          <w:tcPr>
            <w:tcW w:w="880" w:type="dxa"/>
            <w:vAlign w:val="bottom"/>
            <w:tcBorders>
              <w:bottom w:val="single" w:sz="8" w:color="292F72"/>
            </w:tcBorders>
          </w:tcPr>
          <w:p>
            <w:pPr>
              <w:spacing w:after="0"/>
              <w:rPr>
                <w:sz w:val="4"/>
                <w:szCs w:val="4"/>
                <w:color w:val="auto"/>
              </w:rPr>
            </w:pPr>
          </w:p>
        </w:tc>
        <w:tc>
          <w:tcPr>
            <w:tcW w:w="1020" w:type="dxa"/>
            <w:vAlign w:val="bottom"/>
            <w:tcBorders>
              <w:bottom w:val="single" w:sz="8" w:color="292F72"/>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308"/>
        </w:trPr>
        <w:tc>
          <w:tcPr>
            <w:tcW w:w="960" w:type="dxa"/>
            <w:vAlign w:val="bottom"/>
            <w:tcBorders>
              <w:bottom w:val="single" w:sz="8" w:color="292F72"/>
            </w:tcBorders>
          </w:tcPr>
          <w:p>
            <w:pPr>
              <w:spacing w:after="0"/>
              <w:rPr>
                <w:sz w:val="20"/>
                <w:szCs w:val="20"/>
                <w:color w:val="auto"/>
              </w:rPr>
            </w:pPr>
            <w:r>
              <w:rPr>
                <w:rFonts w:ascii="Arial" w:cs="Arial" w:eastAsia="Arial" w:hAnsi="Arial"/>
                <w:sz w:val="14"/>
                <w:szCs w:val="14"/>
                <w:b w:val="1"/>
                <w:bCs w:val="1"/>
                <w:color w:val="auto"/>
              </w:rPr>
              <w:t>Mr. Heaf</w:t>
            </w:r>
          </w:p>
        </w:tc>
        <w:tc>
          <w:tcPr>
            <w:tcW w:w="820" w:type="dxa"/>
            <w:vAlign w:val="bottom"/>
            <w:tcBorders>
              <w:bottom w:val="single" w:sz="8" w:color="292F72"/>
            </w:tcBorders>
          </w:tcPr>
          <w:p>
            <w:pPr>
              <w:spacing w:after="0"/>
              <w:rPr>
                <w:sz w:val="24"/>
                <w:szCs w:val="24"/>
                <w:color w:val="auto"/>
              </w:rPr>
            </w:pPr>
          </w:p>
        </w:tc>
        <w:tc>
          <w:tcPr>
            <w:tcW w:w="80" w:type="dxa"/>
            <w:vAlign w:val="bottom"/>
            <w:tcBorders>
              <w:bottom w:val="single" w:sz="8" w:color="292F72"/>
            </w:tcBorders>
          </w:tcPr>
          <w:p>
            <w:pPr>
              <w:spacing w:after="0"/>
              <w:rPr>
                <w:sz w:val="24"/>
                <w:szCs w:val="24"/>
                <w:color w:val="auto"/>
              </w:rPr>
            </w:pPr>
          </w:p>
        </w:tc>
        <w:tc>
          <w:tcPr>
            <w:tcW w:w="940" w:type="dxa"/>
            <w:vAlign w:val="bottom"/>
            <w:tcBorders>
              <w:bottom w:val="single" w:sz="8" w:color="292F72"/>
            </w:tcBorders>
          </w:tcPr>
          <w:p>
            <w:pPr>
              <w:spacing w:after="0"/>
              <w:rPr>
                <w:sz w:val="24"/>
                <w:szCs w:val="24"/>
                <w:color w:val="auto"/>
              </w:rPr>
            </w:pPr>
          </w:p>
        </w:tc>
        <w:tc>
          <w:tcPr>
            <w:tcW w:w="740" w:type="dxa"/>
            <w:vAlign w:val="bottom"/>
            <w:tcBorders>
              <w:bottom w:val="single" w:sz="8" w:color="292F72"/>
            </w:tcBorders>
          </w:tcPr>
          <w:p>
            <w:pPr>
              <w:spacing w:after="0"/>
              <w:rPr>
                <w:sz w:val="24"/>
                <w:szCs w:val="24"/>
                <w:color w:val="auto"/>
              </w:rPr>
            </w:pPr>
          </w:p>
        </w:tc>
        <w:tc>
          <w:tcPr>
            <w:tcW w:w="800" w:type="dxa"/>
            <w:vAlign w:val="bottom"/>
            <w:tcBorders>
              <w:bottom w:val="single" w:sz="8" w:color="292F72"/>
            </w:tcBorders>
          </w:tcPr>
          <w:p>
            <w:pPr>
              <w:spacing w:after="0"/>
              <w:rPr>
                <w:sz w:val="24"/>
                <w:szCs w:val="24"/>
                <w:color w:val="auto"/>
              </w:rPr>
            </w:pPr>
          </w:p>
        </w:tc>
        <w:tc>
          <w:tcPr>
            <w:tcW w:w="980" w:type="dxa"/>
            <w:vAlign w:val="bottom"/>
            <w:tcBorders>
              <w:bottom w:val="single" w:sz="8" w:color="292F72"/>
            </w:tcBorders>
            <w:gridSpan w:val="2"/>
          </w:tcPr>
          <w:p>
            <w:pPr>
              <w:jc w:val="right"/>
              <w:ind w:right="140"/>
              <w:spacing w:after="0"/>
              <w:rPr>
                <w:sz w:val="20"/>
                <w:szCs w:val="20"/>
                <w:color w:val="auto"/>
              </w:rPr>
            </w:pPr>
            <w:r>
              <w:rPr>
                <w:rFonts w:ascii="Arial" w:cs="Arial" w:eastAsia="Arial" w:hAnsi="Arial"/>
                <w:sz w:val="14"/>
                <w:szCs w:val="14"/>
                <w:color w:val="auto"/>
              </w:rPr>
              <w:t>05/23/2025</w:t>
            </w:r>
          </w:p>
        </w:tc>
        <w:tc>
          <w:tcPr>
            <w:tcW w:w="880" w:type="dxa"/>
            <w:vAlign w:val="bottom"/>
            <w:tcBorders>
              <w:bottom w:val="single" w:sz="8" w:color="292F72"/>
            </w:tcBorders>
          </w:tcPr>
          <w:p>
            <w:pPr>
              <w:ind w:left="220"/>
              <w:spacing w:after="0"/>
              <w:rPr>
                <w:sz w:val="20"/>
                <w:szCs w:val="20"/>
                <w:color w:val="auto"/>
              </w:rPr>
            </w:pPr>
            <w:r>
              <w:rPr>
                <w:rFonts w:ascii="Arial" w:cs="Arial" w:eastAsia="Arial" w:hAnsi="Arial"/>
                <w:sz w:val="14"/>
                <w:szCs w:val="14"/>
                <w:color w:val="auto"/>
                <w:w w:val="97"/>
              </w:rPr>
              <w:t xml:space="preserve">82,590 </w:t>
            </w:r>
            <w:r>
              <w:rPr>
                <w:rFonts w:ascii="Arial" w:cs="Arial" w:eastAsia="Arial" w:hAnsi="Arial"/>
                <w:sz w:val="23"/>
                <w:szCs w:val="23"/>
                <w:color w:val="auto"/>
                <w:w w:val="97"/>
                <w:vertAlign w:val="superscript"/>
              </w:rPr>
              <w:t>(1)</w:t>
            </w:r>
          </w:p>
        </w:tc>
        <w:tc>
          <w:tcPr>
            <w:tcW w:w="940" w:type="dxa"/>
            <w:vAlign w:val="bottom"/>
            <w:tcBorders>
              <w:bottom w:val="single" w:sz="8" w:color="292F72"/>
            </w:tcBorders>
          </w:tcPr>
          <w:p>
            <w:pPr>
              <w:ind w:left="160"/>
              <w:spacing w:after="0"/>
              <w:rPr>
                <w:sz w:val="20"/>
                <w:szCs w:val="20"/>
                <w:color w:val="auto"/>
              </w:rPr>
            </w:pPr>
            <w:r>
              <w:rPr>
                <w:rFonts w:ascii="Arial" w:cs="Arial" w:eastAsia="Arial" w:hAnsi="Arial"/>
                <w:sz w:val="14"/>
                <w:szCs w:val="14"/>
                <w:color w:val="auto"/>
              </w:rPr>
              <w:t>1,800,462​</w:t>
            </w:r>
          </w:p>
        </w:tc>
        <w:tc>
          <w:tcPr>
            <w:tcW w:w="880" w:type="dxa"/>
            <w:vAlign w:val="bottom"/>
            <w:tcBorders>
              <w:bottom w:val="single" w:sz="8" w:color="292F72"/>
            </w:tcBorders>
          </w:tcPr>
          <w:p>
            <w:pPr>
              <w:ind w:left="200"/>
              <w:spacing w:after="0"/>
              <w:rPr>
                <w:sz w:val="20"/>
                <w:szCs w:val="20"/>
                <w:color w:val="auto"/>
              </w:rPr>
            </w:pPr>
            <w:r>
              <w:rPr>
                <w:rFonts w:ascii="Arial" w:cs="Arial" w:eastAsia="Arial" w:hAnsi="Arial"/>
                <w:sz w:val="14"/>
                <w:szCs w:val="14"/>
                <w:color w:val="auto"/>
              </w:rPr>
              <w:t xml:space="preserve">82,590 </w:t>
            </w:r>
            <w:r>
              <w:rPr>
                <w:rFonts w:ascii="Arial" w:cs="Arial" w:eastAsia="Arial" w:hAnsi="Arial"/>
                <w:sz w:val="23"/>
                <w:szCs w:val="23"/>
                <w:color w:val="auto"/>
                <w:vertAlign w:val="superscript"/>
              </w:rPr>
              <w:t>(2)</w:t>
            </w:r>
          </w:p>
        </w:tc>
        <w:tc>
          <w:tcPr>
            <w:tcW w:w="1020" w:type="dxa"/>
            <w:vAlign w:val="bottom"/>
            <w:tcBorders>
              <w:bottom w:val="single" w:sz="8" w:color="292F72"/>
            </w:tcBorders>
            <w:gridSpan w:val="2"/>
          </w:tcPr>
          <w:p>
            <w:pPr>
              <w:ind w:left="220"/>
              <w:spacing w:after="0"/>
              <w:rPr>
                <w:sz w:val="20"/>
                <w:szCs w:val="20"/>
                <w:color w:val="auto"/>
              </w:rPr>
            </w:pPr>
            <w:r>
              <w:rPr>
                <w:rFonts w:ascii="Arial" w:cs="Arial" w:eastAsia="Arial" w:hAnsi="Arial"/>
                <w:sz w:val="14"/>
                <w:szCs w:val="14"/>
                <w:color w:val="auto"/>
              </w:rPr>
              <w:t>1,800,462​</w:t>
            </w:r>
          </w:p>
        </w:tc>
        <w:tc>
          <w:tcPr>
            <w:tcW w:w="0" w:type="dxa"/>
            <w:vAlign w:val="bottom"/>
          </w:tcPr>
          <w:p>
            <w:pPr>
              <w:spacing w:after="0"/>
              <w:rPr>
                <w:sz w:val="1"/>
                <w:szCs w:val="1"/>
                <w:color w:val="auto"/>
              </w:rPr>
            </w:pPr>
          </w:p>
        </w:tc>
      </w:tr>
      <w:tr>
        <w:trPr>
          <w:trHeight w:val="295"/>
        </w:trPr>
        <w:tc>
          <w:tcPr>
            <w:tcW w:w="960" w:type="dxa"/>
            <w:vAlign w:val="bottom"/>
          </w:tcPr>
          <w:p>
            <w:pPr>
              <w:spacing w:after="0"/>
              <w:rPr>
                <w:sz w:val="20"/>
                <w:szCs w:val="20"/>
                <w:color w:val="auto"/>
              </w:rPr>
            </w:pPr>
            <w:r>
              <w:rPr>
                <w:rFonts w:ascii="Arial" w:cs="Arial" w:eastAsia="Arial" w:hAnsi="Arial"/>
                <w:sz w:val="14"/>
                <w:szCs w:val="14"/>
                <w:b w:val="1"/>
                <w:bCs w:val="1"/>
                <w:color w:val="auto"/>
              </w:rPr>
              <w:t>Ms. Boratto</w:t>
            </w:r>
          </w:p>
        </w:tc>
        <w:tc>
          <w:tcPr>
            <w:tcW w:w="820" w:type="dxa"/>
            <w:vAlign w:val="bottom"/>
            <w:tcBorders>
              <w:bottom w:val="single" w:sz="8" w:color="6D8CC3"/>
            </w:tcBorders>
          </w:tcPr>
          <w:p>
            <w:pPr>
              <w:spacing w:after="0"/>
              <w:rPr>
                <w:sz w:val="24"/>
                <w:szCs w:val="24"/>
                <w:color w:val="auto"/>
              </w:rPr>
            </w:pPr>
          </w:p>
        </w:tc>
        <w:tc>
          <w:tcPr>
            <w:tcW w:w="80" w:type="dxa"/>
            <w:vAlign w:val="bottom"/>
            <w:tcBorders>
              <w:bottom w:val="single" w:sz="8" w:color="6D8CC3"/>
            </w:tcBorders>
          </w:tcPr>
          <w:p>
            <w:pPr>
              <w:spacing w:after="0"/>
              <w:rPr>
                <w:sz w:val="24"/>
                <w:szCs w:val="24"/>
                <w:color w:val="auto"/>
              </w:rPr>
            </w:pPr>
          </w:p>
        </w:tc>
        <w:tc>
          <w:tcPr>
            <w:tcW w:w="940" w:type="dxa"/>
            <w:vAlign w:val="bottom"/>
            <w:tcBorders>
              <w:bottom w:val="single" w:sz="8" w:color="6D8CC3"/>
            </w:tcBorders>
          </w:tcPr>
          <w:p>
            <w:pPr>
              <w:spacing w:after="0"/>
              <w:rPr>
                <w:sz w:val="24"/>
                <w:szCs w:val="24"/>
                <w:color w:val="auto"/>
              </w:rPr>
            </w:pPr>
          </w:p>
        </w:tc>
        <w:tc>
          <w:tcPr>
            <w:tcW w:w="740" w:type="dxa"/>
            <w:vAlign w:val="bottom"/>
            <w:tcBorders>
              <w:bottom w:val="single" w:sz="8" w:color="6D8CC3"/>
            </w:tcBorders>
          </w:tcPr>
          <w:p>
            <w:pPr>
              <w:spacing w:after="0"/>
              <w:rPr>
                <w:sz w:val="24"/>
                <w:szCs w:val="24"/>
                <w:color w:val="auto"/>
              </w:rPr>
            </w:pPr>
          </w:p>
        </w:tc>
        <w:tc>
          <w:tcPr>
            <w:tcW w:w="800" w:type="dxa"/>
            <w:vAlign w:val="bottom"/>
            <w:tcBorders>
              <w:bottom w:val="single" w:sz="8" w:color="6D8CC3"/>
            </w:tcBorders>
          </w:tcPr>
          <w:p>
            <w:pPr>
              <w:spacing w:after="0"/>
              <w:rPr>
                <w:sz w:val="24"/>
                <w:szCs w:val="24"/>
                <w:color w:val="auto"/>
              </w:rPr>
            </w:pPr>
          </w:p>
        </w:tc>
        <w:tc>
          <w:tcPr>
            <w:tcW w:w="980" w:type="dxa"/>
            <w:vAlign w:val="bottom"/>
            <w:tcBorders>
              <w:bottom w:val="single" w:sz="8" w:color="6D8CC3"/>
            </w:tcBorders>
            <w:gridSpan w:val="2"/>
          </w:tcPr>
          <w:p>
            <w:pPr>
              <w:jc w:val="right"/>
              <w:ind w:right="140"/>
              <w:spacing w:after="0"/>
              <w:rPr>
                <w:sz w:val="20"/>
                <w:szCs w:val="20"/>
                <w:color w:val="auto"/>
              </w:rPr>
            </w:pPr>
            <w:r>
              <w:rPr>
                <w:rFonts w:ascii="Arial" w:cs="Arial" w:eastAsia="Arial" w:hAnsi="Arial"/>
                <w:sz w:val="14"/>
                <w:szCs w:val="14"/>
                <w:color w:val="auto"/>
              </w:rPr>
              <w:t>08/01/2023</w:t>
            </w:r>
          </w:p>
        </w:tc>
        <w:tc>
          <w:tcPr>
            <w:tcW w:w="880" w:type="dxa"/>
            <w:vAlign w:val="bottom"/>
            <w:tcBorders>
              <w:bottom w:val="single" w:sz="8" w:color="6D8CC3"/>
            </w:tcBorders>
          </w:tcPr>
          <w:p>
            <w:pPr>
              <w:ind w:left="220"/>
              <w:spacing w:after="0"/>
              <w:rPr>
                <w:sz w:val="20"/>
                <w:szCs w:val="20"/>
                <w:color w:val="auto"/>
              </w:rPr>
            </w:pPr>
            <w:r>
              <w:rPr>
                <w:rFonts w:ascii="Arial" w:cs="Arial" w:eastAsia="Arial" w:hAnsi="Arial"/>
                <w:sz w:val="14"/>
                <w:szCs w:val="14"/>
                <w:color w:val="auto"/>
                <w:w w:val="97"/>
              </w:rPr>
              <w:t xml:space="preserve">21,798 </w:t>
            </w:r>
            <w:r>
              <w:rPr>
                <w:rFonts w:ascii="Arial" w:cs="Arial" w:eastAsia="Arial" w:hAnsi="Arial"/>
                <w:sz w:val="23"/>
                <w:szCs w:val="23"/>
                <w:color w:val="auto"/>
                <w:w w:val="97"/>
                <w:vertAlign w:val="superscript"/>
              </w:rPr>
              <w:t>(3)</w:t>
            </w:r>
          </w:p>
        </w:tc>
        <w:tc>
          <w:tcPr>
            <w:tcW w:w="940" w:type="dxa"/>
            <w:vAlign w:val="bottom"/>
            <w:tcBorders>
              <w:bottom w:val="single" w:sz="8" w:color="6D8CC3"/>
            </w:tcBorders>
          </w:tcPr>
          <w:p>
            <w:pPr>
              <w:ind w:left="160"/>
              <w:spacing w:after="0"/>
              <w:rPr>
                <w:sz w:val="20"/>
                <w:szCs w:val="20"/>
                <w:color w:val="auto"/>
              </w:rPr>
            </w:pPr>
            <w:r>
              <w:rPr>
                <w:rFonts w:ascii="Arial" w:cs="Arial" w:eastAsia="Arial" w:hAnsi="Arial"/>
                <w:sz w:val="14"/>
                <w:szCs w:val="14"/>
                <w:color w:val="auto"/>
              </w:rPr>
              <w:t>​ 475,196</w:t>
            </w:r>
          </w:p>
        </w:tc>
        <w:tc>
          <w:tcPr>
            <w:tcW w:w="880" w:type="dxa"/>
            <w:vAlign w:val="bottom"/>
            <w:tcBorders>
              <w:bottom w:val="single" w:sz="8" w:color="6D8CC3"/>
            </w:tcBorders>
          </w:tcPr>
          <w:p>
            <w:pPr>
              <w:spacing w:after="0"/>
              <w:rPr>
                <w:sz w:val="24"/>
                <w:szCs w:val="24"/>
                <w:color w:val="auto"/>
              </w:rPr>
            </w:pPr>
          </w:p>
        </w:tc>
        <w:tc>
          <w:tcPr>
            <w:tcW w:w="680" w:type="dxa"/>
            <w:vAlign w:val="bottom"/>
            <w:tcBorders>
              <w:bottom w:val="single" w:sz="8" w:color="6D8CC3"/>
            </w:tcBorders>
          </w:tcPr>
          <w:p>
            <w:pPr>
              <w:ind w:left="22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6D8CC3"/>
            </w:tcBorders>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2"/>
        </w:trPr>
        <w:tc>
          <w:tcPr>
            <w:tcW w:w="960" w:type="dxa"/>
            <w:vAlign w:val="bottom"/>
          </w:tcPr>
          <w:p>
            <w:pPr>
              <w:spacing w:after="0"/>
              <w:rPr>
                <w:sz w:val="24"/>
                <w:szCs w:val="24"/>
                <w:color w:val="auto"/>
              </w:rPr>
            </w:pPr>
          </w:p>
        </w:tc>
        <w:tc>
          <w:tcPr>
            <w:tcW w:w="820" w:type="dxa"/>
            <w:vAlign w:val="bottom"/>
            <w:tcBorders>
              <w:bottom w:val="single" w:sz="8" w:color="6D8CC3"/>
            </w:tcBorders>
          </w:tcPr>
          <w:p>
            <w:pPr>
              <w:spacing w:after="0"/>
              <w:rPr>
                <w:sz w:val="24"/>
                <w:szCs w:val="24"/>
                <w:color w:val="auto"/>
              </w:rPr>
            </w:pPr>
          </w:p>
        </w:tc>
        <w:tc>
          <w:tcPr>
            <w:tcW w:w="80" w:type="dxa"/>
            <w:vAlign w:val="bottom"/>
            <w:tcBorders>
              <w:bottom w:val="single" w:sz="8" w:color="6D8CC3"/>
            </w:tcBorders>
          </w:tcPr>
          <w:p>
            <w:pPr>
              <w:spacing w:after="0"/>
              <w:rPr>
                <w:sz w:val="24"/>
                <w:szCs w:val="24"/>
                <w:color w:val="auto"/>
              </w:rPr>
            </w:pPr>
          </w:p>
        </w:tc>
        <w:tc>
          <w:tcPr>
            <w:tcW w:w="940" w:type="dxa"/>
            <w:vAlign w:val="bottom"/>
            <w:tcBorders>
              <w:bottom w:val="single" w:sz="8" w:color="6D8CC3"/>
            </w:tcBorders>
          </w:tcPr>
          <w:p>
            <w:pPr>
              <w:spacing w:after="0"/>
              <w:rPr>
                <w:sz w:val="24"/>
                <w:szCs w:val="24"/>
                <w:color w:val="auto"/>
              </w:rPr>
            </w:pPr>
          </w:p>
        </w:tc>
        <w:tc>
          <w:tcPr>
            <w:tcW w:w="740" w:type="dxa"/>
            <w:vAlign w:val="bottom"/>
            <w:tcBorders>
              <w:bottom w:val="single" w:sz="8" w:color="6D8CC3"/>
            </w:tcBorders>
          </w:tcPr>
          <w:p>
            <w:pPr>
              <w:spacing w:after="0"/>
              <w:rPr>
                <w:sz w:val="24"/>
                <w:szCs w:val="24"/>
                <w:color w:val="auto"/>
              </w:rPr>
            </w:pPr>
          </w:p>
        </w:tc>
        <w:tc>
          <w:tcPr>
            <w:tcW w:w="800" w:type="dxa"/>
            <w:vAlign w:val="bottom"/>
            <w:tcBorders>
              <w:bottom w:val="single" w:sz="8" w:color="6D8CC3"/>
            </w:tcBorders>
          </w:tcPr>
          <w:p>
            <w:pPr>
              <w:spacing w:after="0"/>
              <w:rPr>
                <w:sz w:val="24"/>
                <w:szCs w:val="24"/>
                <w:color w:val="auto"/>
              </w:rPr>
            </w:pPr>
          </w:p>
        </w:tc>
        <w:tc>
          <w:tcPr>
            <w:tcW w:w="980" w:type="dxa"/>
            <w:vAlign w:val="bottom"/>
            <w:tcBorders>
              <w:bottom w:val="single" w:sz="8" w:color="6D8CC3"/>
            </w:tcBorders>
            <w:gridSpan w:val="2"/>
          </w:tcPr>
          <w:p>
            <w:pPr>
              <w:jc w:val="right"/>
              <w:ind w:right="140"/>
              <w:spacing w:after="0"/>
              <w:rPr>
                <w:sz w:val="20"/>
                <w:szCs w:val="20"/>
                <w:color w:val="auto"/>
              </w:rPr>
            </w:pPr>
            <w:r>
              <w:rPr>
                <w:rFonts w:ascii="Arial" w:cs="Arial" w:eastAsia="Arial" w:hAnsi="Arial"/>
                <w:sz w:val="14"/>
                <w:szCs w:val="14"/>
                <w:color w:val="auto"/>
              </w:rPr>
              <w:t>03/13/2024</w:t>
            </w:r>
          </w:p>
        </w:tc>
        <w:tc>
          <w:tcPr>
            <w:tcW w:w="880" w:type="dxa"/>
            <w:vAlign w:val="bottom"/>
            <w:tcBorders>
              <w:bottom w:val="single" w:sz="8" w:color="6D8CC3"/>
            </w:tcBorders>
          </w:tcPr>
          <w:p>
            <w:pPr>
              <w:ind w:left="220"/>
              <w:spacing w:after="0"/>
              <w:rPr>
                <w:sz w:val="20"/>
                <w:szCs w:val="20"/>
                <w:color w:val="auto"/>
              </w:rPr>
            </w:pPr>
            <w:r>
              <w:rPr>
                <w:rFonts w:ascii="Arial" w:cs="Arial" w:eastAsia="Arial" w:hAnsi="Arial"/>
                <w:sz w:val="14"/>
                <w:szCs w:val="14"/>
                <w:color w:val="auto"/>
              </w:rPr>
              <w:t>21,076</w:t>
            </w:r>
            <w:r>
              <w:rPr>
                <w:rFonts w:ascii="Arial" w:cs="Arial" w:eastAsia="Arial" w:hAnsi="Arial"/>
                <w:sz w:val="23"/>
                <w:szCs w:val="23"/>
                <w:color w:val="auto"/>
                <w:vertAlign w:val="superscript"/>
              </w:rPr>
              <w:t>(4)</w:t>
            </w:r>
          </w:p>
        </w:tc>
        <w:tc>
          <w:tcPr>
            <w:tcW w:w="940" w:type="dxa"/>
            <w:vAlign w:val="bottom"/>
            <w:tcBorders>
              <w:bottom w:val="single" w:sz="8" w:color="6D8CC3"/>
            </w:tcBorders>
          </w:tcPr>
          <w:p>
            <w:pPr>
              <w:ind w:left="160"/>
              <w:spacing w:after="0"/>
              <w:rPr>
                <w:sz w:val="20"/>
                <w:szCs w:val="20"/>
                <w:color w:val="auto"/>
              </w:rPr>
            </w:pPr>
            <w:r>
              <w:rPr>
                <w:rFonts w:ascii="Arial" w:cs="Arial" w:eastAsia="Arial" w:hAnsi="Arial"/>
                <w:sz w:val="14"/>
                <w:szCs w:val="14"/>
                <w:color w:val="auto"/>
              </w:rPr>
              <w:t>​ 459,457</w:t>
            </w:r>
          </w:p>
        </w:tc>
        <w:tc>
          <w:tcPr>
            <w:tcW w:w="880" w:type="dxa"/>
            <w:vAlign w:val="bottom"/>
            <w:tcBorders>
              <w:bottom w:val="single" w:sz="8" w:color="6D8CC3"/>
            </w:tcBorders>
          </w:tcPr>
          <w:p>
            <w:pPr>
              <w:ind w:left="200"/>
              <w:spacing w:after="0"/>
              <w:rPr>
                <w:sz w:val="20"/>
                <w:szCs w:val="20"/>
                <w:color w:val="auto"/>
              </w:rPr>
            </w:pPr>
            <w:r>
              <w:rPr>
                <w:rFonts w:ascii="Arial" w:cs="Arial" w:eastAsia="Arial" w:hAnsi="Arial"/>
                <w:sz w:val="14"/>
                <w:szCs w:val="14"/>
                <w:color w:val="auto"/>
              </w:rPr>
              <w:t>30,106</w:t>
            </w:r>
            <w:r>
              <w:rPr>
                <w:rFonts w:ascii="Arial" w:cs="Arial" w:eastAsia="Arial" w:hAnsi="Arial"/>
                <w:sz w:val="23"/>
                <w:szCs w:val="23"/>
                <w:color w:val="auto"/>
                <w:vertAlign w:val="superscript"/>
              </w:rPr>
              <w:t>(5)</w:t>
            </w:r>
          </w:p>
        </w:tc>
        <w:tc>
          <w:tcPr>
            <w:tcW w:w="1020" w:type="dxa"/>
            <w:vAlign w:val="bottom"/>
            <w:tcBorders>
              <w:bottom w:val="single" w:sz="8" w:color="6D8CC3"/>
            </w:tcBorders>
            <w:gridSpan w:val="2"/>
          </w:tcPr>
          <w:p>
            <w:pPr>
              <w:ind w:left="220"/>
              <w:spacing w:after="0"/>
              <w:rPr>
                <w:sz w:val="20"/>
                <w:szCs w:val="20"/>
                <w:color w:val="auto"/>
              </w:rPr>
            </w:pPr>
            <w:r>
              <w:rPr>
                <w:rFonts w:ascii="Arial" w:cs="Arial" w:eastAsia="Arial" w:hAnsi="Arial"/>
                <w:sz w:val="14"/>
                <w:szCs w:val="14"/>
                <w:color w:val="auto"/>
              </w:rPr>
              <w:t>​ 656,311</w:t>
            </w:r>
          </w:p>
        </w:tc>
        <w:tc>
          <w:tcPr>
            <w:tcW w:w="0" w:type="dxa"/>
            <w:vAlign w:val="bottom"/>
          </w:tcPr>
          <w:p>
            <w:pPr>
              <w:spacing w:after="0"/>
              <w:rPr>
                <w:sz w:val="1"/>
                <w:szCs w:val="1"/>
                <w:color w:val="auto"/>
              </w:rPr>
            </w:pPr>
          </w:p>
        </w:tc>
      </w:tr>
      <w:tr>
        <w:trPr>
          <w:trHeight w:val="295"/>
        </w:trPr>
        <w:tc>
          <w:tcPr>
            <w:tcW w:w="960" w:type="dxa"/>
            <w:vAlign w:val="bottom"/>
            <w:tcBorders>
              <w:bottom w:val="single" w:sz="8" w:color="292F72"/>
            </w:tcBorders>
          </w:tcPr>
          <w:p>
            <w:pPr>
              <w:spacing w:after="0"/>
              <w:rPr>
                <w:sz w:val="24"/>
                <w:szCs w:val="24"/>
                <w:color w:val="auto"/>
              </w:rPr>
            </w:pPr>
          </w:p>
        </w:tc>
        <w:tc>
          <w:tcPr>
            <w:tcW w:w="820" w:type="dxa"/>
            <w:vAlign w:val="bottom"/>
            <w:tcBorders>
              <w:bottom w:val="single" w:sz="8" w:color="292F72"/>
            </w:tcBorders>
          </w:tcPr>
          <w:p>
            <w:pPr>
              <w:spacing w:after="0"/>
              <w:rPr>
                <w:sz w:val="24"/>
                <w:szCs w:val="24"/>
                <w:color w:val="auto"/>
              </w:rPr>
            </w:pPr>
          </w:p>
        </w:tc>
        <w:tc>
          <w:tcPr>
            <w:tcW w:w="80" w:type="dxa"/>
            <w:vAlign w:val="bottom"/>
            <w:tcBorders>
              <w:bottom w:val="single" w:sz="8" w:color="292F72"/>
            </w:tcBorders>
          </w:tcPr>
          <w:p>
            <w:pPr>
              <w:spacing w:after="0"/>
              <w:rPr>
                <w:sz w:val="24"/>
                <w:szCs w:val="24"/>
                <w:color w:val="auto"/>
              </w:rPr>
            </w:pPr>
          </w:p>
        </w:tc>
        <w:tc>
          <w:tcPr>
            <w:tcW w:w="940" w:type="dxa"/>
            <w:vAlign w:val="bottom"/>
            <w:tcBorders>
              <w:bottom w:val="single" w:sz="8" w:color="292F72"/>
            </w:tcBorders>
          </w:tcPr>
          <w:p>
            <w:pPr>
              <w:spacing w:after="0"/>
              <w:rPr>
                <w:sz w:val="24"/>
                <w:szCs w:val="24"/>
                <w:color w:val="auto"/>
              </w:rPr>
            </w:pPr>
          </w:p>
        </w:tc>
        <w:tc>
          <w:tcPr>
            <w:tcW w:w="740" w:type="dxa"/>
            <w:vAlign w:val="bottom"/>
            <w:tcBorders>
              <w:bottom w:val="single" w:sz="8" w:color="292F72"/>
            </w:tcBorders>
          </w:tcPr>
          <w:p>
            <w:pPr>
              <w:spacing w:after="0"/>
              <w:rPr>
                <w:sz w:val="24"/>
                <w:szCs w:val="24"/>
                <w:color w:val="auto"/>
              </w:rPr>
            </w:pPr>
          </w:p>
        </w:tc>
        <w:tc>
          <w:tcPr>
            <w:tcW w:w="800" w:type="dxa"/>
            <w:vAlign w:val="bottom"/>
            <w:tcBorders>
              <w:bottom w:val="single" w:sz="8" w:color="292F72"/>
            </w:tcBorders>
          </w:tcPr>
          <w:p>
            <w:pPr>
              <w:spacing w:after="0"/>
              <w:rPr>
                <w:sz w:val="24"/>
                <w:szCs w:val="24"/>
                <w:color w:val="auto"/>
              </w:rPr>
            </w:pPr>
          </w:p>
        </w:tc>
        <w:tc>
          <w:tcPr>
            <w:tcW w:w="980" w:type="dxa"/>
            <w:vAlign w:val="bottom"/>
            <w:tcBorders>
              <w:bottom w:val="single" w:sz="8" w:color="292F72"/>
            </w:tcBorders>
            <w:gridSpan w:val="2"/>
          </w:tcPr>
          <w:p>
            <w:pPr>
              <w:jc w:val="right"/>
              <w:ind w:right="140"/>
              <w:spacing w:after="0"/>
              <w:rPr>
                <w:sz w:val="20"/>
                <w:szCs w:val="20"/>
                <w:color w:val="auto"/>
              </w:rPr>
            </w:pPr>
            <w:r>
              <w:rPr>
                <w:rFonts w:ascii="Arial" w:cs="Arial" w:eastAsia="Arial" w:hAnsi="Arial"/>
                <w:sz w:val="14"/>
                <w:szCs w:val="14"/>
                <w:color w:val="auto"/>
              </w:rPr>
              <w:t>03/13/2025</w:t>
            </w:r>
          </w:p>
        </w:tc>
        <w:tc>
          <w:tcPr>
            <w:tcW w:w="880" w:type="dxa"/>
            <w:vAlign w:val="bottom"/>
            <w:tcBorders>
              <w:bottom w:val="single" w:sz="8" w:color="292F72"/>
            </w:tcBorders>
          </w:tcPr>
          <w:p>
            <w:pPr>
              <w:ind w:left="220"/>
              <w:spacing w:after="0"/>
              <w:rPr>
                <w:sz w:val="20"/>
                <w:szCs w:val="20"/>
                <w:color w:val="auto"/>
              </w:rPr>
            </w:pPr>
            <w:r>
              <w:rPr>
                <w:rFonts w:ascii="Arial" w:cs="Arial" w:eastAsia="Arial" w:hAnsi="Arial"/>
                <w:sz w:val="14"/>
                <w:szCs w:val="14"/>
                <w:color w:val="auto"/>
              </w:rPr>
              <w:t>50,088</w:t>
            </w:r>
            <w:r>
              <w:rPr>
                <w:rFonts w:ascii="Arial" w:cs="Arial" w:eastAsia="Arial" w:hAnsi="Arial"/>
                <w:sz w:val="23"/>
                <w:szCs w:val="23"/>
                <w:color w:val="auto"/>
                <w:vertAlign w:val="superscript"/>
              </w:rPr>
              <w:t>(6)</w:t>
            </w:r>
          </w:p>
        </w:tc>
        <w:tc>
          <w:tcPr>
            <w:tcW w:w="940" w:type="dxa"/>
            <w:vAlign w:val="bottom"/>
            <w:tcBorders>
              <w:bottom w:val="single" w:sz="8" w:color="292F72"/>
            </w:tcBorders>
          </w:tcPr>
          <w:p>
            <w:pPr>
              <w:ind w:left="160"/>
              <w:spacing w:after="0"/>
              <w:rPr>
                <w:sz w:val="20"/>
                <w:szCs w:val="20"/>
                <w:color w:val="auto"/>
              </w:rPr>
            </w:pPr>
            <w:r>
              <w:rPr>
                <w:rFonts w:ascii="Arial" w:cs="Arial" w:eastAsia="Arial" w:hAnsi="Arial"/>
                <w:sz w:val="14"/>
                <w:szCs w:val="14"/>
                <w:color w:val="auto"/>
              </w:rPr>
              <w:t>1,091,918​</w:t>
            </w:r>
          </w:p>
        </w:tc>
        <w:tc>
          <w:tcPr>
            <w:tcW w:w="880" w:type="dxa"/>
            <w:vAlign w:val="bottom"/>
            <w:tcBorders>
              <w:bottom w:val="single" w:sz="8" w:color="292F72"/>
            </w:tcBorders>
          </w:tcPr>
          <w:p>
            <w:pPr>
              <w:ind w:left="200"/>
              <w:spacing w:after="0"/>
              <w:rPr>
                <w:sz w:val="20"/>
                <w:szCs w:val="20"/>
                <w:color w:val="auto"/>
              </w:rPr>
            </w:pPr>
            <w:r>
              <w:rPr>
                <w:rFonts w:ascii="Arial" w:cs="Arial" w:eastAsia="Arial" w:hAnsi="Arial"/>
                <w:sz w:val="14"/>
                <w:szCs w:val="14"/>
                <w:color w:val="auto"/>
              </w:rPr>
              <w:t>50,088</w:t>
            </w:r>
            <w:r>
              <w:rPr>
                <w:rFonts w:ascii="Arial" w:cs="Arial" w:eastAsia="Arial" w:hAnsi="Arial"/>
                <w:sz w:val="23"/>
                <w:szCs w:val="23"/>
                <w:color w:val="auto"/>
                <w:vertAlign w:val="superscript"/>
              </w:rPr>
              <w:t>(7)</w:t>
            </w:r>
          </w:p>
        </w:tc>
        <w:tc>
          <w:tcPr>
            <w:tcW w:w="1020" w:type="dxa"/>
            <w:vAlign w:val="bottom"/>
            <w:tcBorders>
              <w:bottom w:val="single" w:sz="8" w:color="292F72"/>
            </w:tcBorders>
            <w:gridSpan w:val="2"/>
          </w:tcPr>
          <w:p>
            <w:pPr>
              <w:ind w:left="220"/>
              <w:spacing w:after="0"/>
              <w:rPr>
                <w:sz w:val="20"/>
                <w:szCs w:val="20"/>
                <w:color w:val="auto"/>
              </w:rPr>
            </w:pPr>
            <w:r>
              <w:rPr>
                <w:rFonts w:ascii="Arial" w:cs="Arial" w:eastAsia="Arial" w:hAnsi="Arial"/>
                <w:sz w:val="14"/>
                <w:szCs w:val="14"/>
                <w:color w:val="auto"/>
              </w:rPr>
              <w:t>​1,091,918</w:t>
            </w:r>
          </w:p>
        </w:tc>
        <w:tc>
          <w:tcPr>
            <w:tcW w:w="0" w:type="dxa"/>
            <w:vAlign w:val="bottom"/>
          </w:tcPr>
          <w:p>
            <w:pPr>
              <w:spacing w:after="0"/>
              <w:rPr>
                <w:sz w:val="1"/>
                <w:szCs w:val="1"/>
                <w:color w:val="auto"/>
              </w:rPr>
            </w:pPr>
          </w:p>
        </w:tc>
      </w:tr>
      <w:tr>
        <w:trPr>
          <w:trHeight w:val="295"/>
        </w:trPr>
        <w:tc>
          <w:tcPr>
            <w:tcW w:w="960" w:type="dxa"/>
            <w:vAlign w:val="bottom"/>
          </w:tcPr>
          <w:p>
            <w:pPr>
              <w:spacing w:after="0"/>
              <w:rPr>
                <w:sz w:val="20"/>
                <w:szCs w:val="20"/>
                <w:color w:val="auto"/>
              </w:rPr>
            </w:pPr>
            <w:r>
              <w:rPr>
                <w:rFonts w:ascii="Arial" w:cs="Arial" w:eastAsia="Arial" w:hAnsi="Arial"/>
                <w:sz w:val="14"/>
                <w:szCs w:val="14"/>
                <w:b w:val="1"/>
                <w:bCs w:val="1"/>
                <w:color w:val="auto"/>
              </w:rPr>
              <w:t>Mr. Mazurek</w:t>
            </w:r>
          </w:p>
        </w:tc>
        <w:tc>
          <w:tcPr>
            <w:tcW w:w="820" w:type="dxa"/>
            <w:vAlign w:val="bottom"/>
            <w:tcBorders>
              <w:bottom w:val="single" w:sz="8" w:color="6D8CC3"/>
            </w:tcBorders>
          </w:tcPr>
          <w:p>
            <w:pPr>
              <w:jc w:val="right"/>
              <w:ind w:right="14"/>
              <w:spacing w:after="0"/>
              <w:rPr>
                <w:sz w:val="20"/>
                <w:szCs w:val="20"/>
                <w:color w:val="auto"/>
              </w:rPr>
            </w:pPr>
            <w:r>
              <w:rPr>
                <w:rFonts w:ascii="Arial" w:cs="Arial" w:eastAsia="Arial" w:hAnsi="Arial"/>
                <w:sz w:val="14"/>
                <w:szCs w:val="14"/>
                <w:color w:val="auto"/>
              </w:rPr>
              <w:t>3/31/2016</w:t>
            </w:r>
          </w:p>
        </w:tc>
        <w:tc>
          <w:tcPr>
            <w:tcW w:w="1020" w:type="dxa"/>
            <w:vAlign w:val="bottom"/>
            <w:tcBorders>
              <w:bottom w:val="single" w:sz="8" w:color="6D8CC3"/>
            </w:tcBorders>
            <w:gridSpan w:val="2"/>
          </w:tcPr>
          <w:p>
            <w:pPr>
              <w:jc w:val="right"/>
              <w:ind w:right="59"/>
              <w:spacing w:after="0"/>
              <w:rPr>
                <w:sz w:val="20"/>
                <w:szCs w:val="20"/>
                <w:color w:val="auto"/>
              </w:rPr>
            </w:pPr>
            <w:r>
              <w:rPr>
                <w:rFonts w:ascii="Arial" w:cs="Arial" w:eastAsia="Arial" w:hAnsi="Arial"/>
                <w:sz w:val="14"/>
                <w:szCs w:val="14"/>
                <w:color w:val="auto"/>
              </w:rPr>
              <w:t>4,232</w:t>
            </w:r>
            <w:r>
              <w:rPr>
                <w:rFonts w:ascii="Arial" w:cs="Arial" w:eastAsia="Arial" w:hAnsi="Arial"/>
                <w:sz w:val="23"/>
                <w:szCs w:val="23"/>
                <w:color w:val="auto"/>
                <w:vertAlign w:val="superscript"/>
              </w:rPr>
              <w:t>(10)</w:t>
            </w:r>
          </w:p>
        </w:tc>
        <w:tc>
          <w:tcPr>
            <w:tcW w:w="740" w:type="dxa"/>
            <w:vAlign w:val="bottom"/>
            <w:tcBorders>
              <w:bottom w:val="single" w:sz="8" w:color="6D8CC3"/>
            </w:tcBorders>
          </w:tcPr>
          <w:p>
            <w:pPr>
              <w:jc w:val="center"/>
              <w:spacing w:after="0"/>
              <w:rPr>
                <w:sz w:val="20"/>
                <w:szCs w:val="20"/>
                <w:color w:val="auto"/>
              </w:rPr>
            </w:pPr>
            <w:r>
              <w:rPr>
                <w:rFonts w:ascii="Arial" w:cs="Arial" w:eastAsia="Arial" w:hAnsi="Arial"/>
                <w:sz w:val="14"/>
                <w:szCs w:val="14"/>
                <w:color w:val="auto"/>
              </w:rPr>
              <w:t>70.87</w:t>
            </w:r>
          </w:p>
        </w:tc>
        <w:tc>
          <w:tcPr>
            <w:tcW w:w="800" w:type="dxa"/>
            <w:vAlign w:val="bottom"/>
            <w:tcBorders>
              <w:bottom w:val="single" w:sz="8" w:color="6D8CC3"/>
            </w:tcBorders>
          </w:tcPr>
          <w:p>
            <w:pPr>
              <w:jc w:val="right"/>
              <w:ind w:right="15"/>
              <w:spacing w:after="0"/>
              <w:rPr>
                <w:sz w:val="20"/>
                <w:szCs w:val="20"/>
                <w:color w:val="auto"/>
              </w:rPr>
            </w:pPr>
            <w:r>
              <w:rPr>
                <w:rFonts w:ascii="Arial" w:cs="Arial" w:eastAsia="Arial" w:hAnsi="Arial"/>
                <w:sz w:val="14"/>
                <w:szCs w:val="14"/>
                <w:color w:val="auto"/>
              </w:rPr>
              <w:t>3/31/2026</w:t>
            </w:r>
          </w:p>
        </w:tc>
        <w:tc>
          <w:tcPr>
            <w:tcW w:w="980" w:type="dxa"/>
            <w:vAlign w:val="bottom"/>
            <w:tcBorders>
              <w:bottom w:val="single" w:sz="8" w:color="6D8CC3"/>
            </w:tcBorders>
            <w:gridSpan w:val="2"/>
          </w:tcPr>
          <w:p>
            <w:pPr>
              <w:jc w:val="right"/>
              <w:ind w:right="140"/>
              <w:spacing w:after="0"/>
              <w:rPr>
                <w:sz w:val="20"/>
                <w:szCs w:val="20"/>
                <w:color w:val="auto"/>
              </w:rPr>
            </w:pPr>
            <w:r>
              <w:rPr>
                <w:rFonts w:ascii="Arial" w:cs="Arial" w:eastAsia="Arial" w:hAnsi="Arial"/>
                <w:sz w:val="14"/>
                <w:szCs w:val="14"/>
                <w:color w:val="auto"/>
              </w:rPr>
              <w:t>05/19/2023</w:t>
            </w:r>
          </w:p>
        </w:tc>
        <w:tc>
          <w:tcPr>
            <w:tcW w:w="880" w:type="dxa"/>
            <w:vAlign w:val="bottom"/>
            <w:tcBorders>
              <w:bottom w:val="single" w:sz="8" w:color="6D8CC3"/>
            </w:tcBorders>
          </w:tcPr>
          <w:p>
            <w:pPr>
              <w:ind w:left="300"/>
              <w:spacing w:after="0"/>
              <w:rPr>
                <w:sz w:val="20"/>
                <w:szCs w:val="20"/>
                <w:color w:val="auto"/>
              </w:rPr>
            </w:pPr>
            <w:r>
              <w:rPr>
                <w:rFonts w:ascii="Arial" w:cs="Arial" w:eastAsia="Arial" w:hAnsi="Arial"/>
                <w:sz w:val="14"/>
                <w:szCs w:val="14"/>
                <w:color w:val="auto"/>
              </w:rPr>
              <w:t>7,562</w:t>
            </w:r>
            <w:r>
              <w:rPr>
                <w:rFonts w:ascii="Arial" w:cs="Arial" w:eastAsia="Arial" w:hAnsi="Arial"/>
                <w:sz w:val="23"/>
                <w:szCs w:val="23"/>
                <w:color w:val="auto"/>
                <w:vertAlign w:val="superscript"/>
              </w:rPr>
              <w:t>(8)</w:t>
            </w:r>
          </w:p>
        </w:tc>
        <w:tc>
          <w:tcPr>
            <w:tcW w:w="940" w:type="dxa"/>
            <w:vAlign w:val="bottom"/>
            <w:tcBorders>
              <w:bottom w:val="single" w:sz="8" w:color="6D8CC3"/>
            </w:tcBorders>
          </w:tcPr>
          <w:p>
            <w:pPr>
              <w:ind w:left="160"/>
              <w:spacing w:after="0"/>
              <w:rPr>
                <w:sz w:val="20"/>
                <w:szCs w:val="20"/>
                <w:color w:val="auto"/>
              </w:rPr>
            </w:pPr>
            <w:r>
              <w:rPr>
                <w:rFonts w:ascii="Arial" w:cs="Arial" w:eastAsia="Arial" w:hAnsi="Arial"/>
                <w:sz w:val="14"/>
                <w:szCs w:val="14"/>
                <w:color w:val="auto"/>
              </w:rPr>
              <w:t>​ 164,852</w:t>
            </w:r>
          </w:p>
        </w:tc>
        <w:tc>
          <w:tcPr>
            <w:tcW w:w="880" w:type="dxa"/>
            <w:vAlign w:val="bottom"/>
            <w:tcBorders>
              <w:bottom w:val="single" w:sz="8" w:color="6D8CC3"/>
            </w:tcBorders>
          </w:tcPr>
          <w:p>
            <w:pPr>
              <w:ind w:left="200"/>
              <w:spacing w:after="0"/>
              <w:rPr>
                <w:sz w:val="20"/>
                <w:szCs w:val="20"/>
                <w:color w:val="auto"/>
              </w:rPr>
            </w:pPr>
            <w:r>
              <w:rPr>
                <w:rFonts w:ascii="Arial" w:cs="Arial" w:eastAsia="Arial" w:hAnsi="Arial"/>
                <w:sz w:val="14"/>
                <w:szCs w:val="14"/>
                <w:color w:val="auto"/>
              </w:rPr>
              <w:t>18,902</w:t>
            </w:r>
            <w:r>
              <w:rPr>
                <w:rFonts w:ascii="Arial" w:cs="Arial" w:eastAsia="Arial" w:hAnsi="Arial"/>
                <w:sz w:val="23"/>
                <w:szCs w:val="23"/>
                <w:color w:val="auto"/>
                <w:vertAlign w:val="superscript"/>
              </w:rPr>
              <w:t>(9)</w:t>
            </w:r>
          </w:p>
        </w:tc>
        <w:tc>
          <w:tcPr>
            <w:tcW w:w="1020" w:type="dxa"/>
            <w:vAlign w:val="bottom"/>
            <w:tcBorders>
              <w:bottom w:val="single" w:sz="8" w:color="6D8CC3"/>
            </w:tcBorders>
            <w:gridSpan w:val="2"/>
          </w:tcPr>
          <w:p>
            <w:pPr>
              <w:ind w:left="220"/>
              <w:spacing w:after="0"/>
              <w:rPr>
                <w:sz w:val="20"/>
                <w:szCs w:val="20"/>
                <w:color w:val="auto"/>
              </w:rPr>
            </w:pPr>
            <w:r>
              <w:rPr>
                <w:rFonts w:ascii="Arial" w:cs="Arial" w:eastAsia="Arial" w:hAnsi="Arial"/>
                <w:sz w:val="14"/>
                <w:szCs w:val="14"/>
                <w:color w:val="auto"/>
              </w:rPr>
              <w:t>​ 412,064</w:t>
            </w:r>
          </w:p>
        </w:tc>
        <w:tc>
          <w:tcPr>
            <w:tcW w:w="0" w:type="dxa"/>
            <w:vAlign w:val="bottom"/>
          </w:tcPr>
          <w:p>
            <w:pPr>
              <w:spacing w:after="0"/>
              <w:rPr>
                <w:sz w:val="1"/>
                <w:szCs w:val="1"/>
                <w:color w:val="auto"/>
              </w:rPr>
            </w:pPr>
          </w:p>
        </w:tc>
      </w:tr>
      <w:tr>
        <w:trPr>
          <w:trHeight w:val="282"/>
        </w:trPr>
        <w:tc>
          <w:tcPr>
            <w:tcW w:w="960" w:type="dxa"/>
            <w:vAlign w:val="bottom"/>
          </w:tcPr>
          <w:p>
            <w:pPr>
              <w:spacing w:after="0"/>
              <w:rPr>
                <w:sz w:val="24"/>
                <w:szCs w:val="24"/>
                <w:color w:val="auto"/>
              </w:rPr>
            </w:pPr>
          </w:p>
        </w:tc>
        <w:tc>
          <w:tcPr>
            <w:tcW w:w="820" w:type="dxa"/>
            <w:vAlign w:val="bottom"/>
            <w:tcBorders>
              <w:bottom w:val="single" w:sz="8" w:color="6D8CC3"/>
            </w:tcBorders>
          </w:tcPr>
          <w:p>
            <w:pPr>
              <w:jc w:val="right"/>
              <w:ind w:right="14"/>
              <w:spacing w:after="0"/>
              <w:rPr>
                <w:sz w:val="20"/>
                <w:szCs w:val="20"/>
                <w:color w:val="auto"/>
              </w:rPr>
            </w:pPr>
            <w:r>
              <w:rPr>
                <w:rFonts w:ascii="Arial" w:cs="Arial" w:eastAsia="Arial" w:hAnsi="Arial"/>
                <w:sz w:val="14"/>
                <w:szCs w:val="14"/>
                <w:color w:val="auto"/>
              </w:rPr>
              <w:t>3/16/2021</w:t>
            </w:r>
          </w:p>
        </w:tc>
        <w:tc>
          <w:tcPr>
            <w:tcW w:w="1020" w:type="dxa"/>
            <w:vAlign w:val="bottom"/>
            <w:tcBorders>
              <w:bottom w:val="single" w:sz="8" w:color="6D8CC3"/>
            </w:tcBorders>
            <w:gridSpan w:val="2"/>
          </w:tcPr>
          <w:p>
            <w:pPr>
              <w:jc w:val="right"/>
              <w:ind w:right="59"/>
              <w:spacing w:after="0"/>
              <w:rPr>
                <w:sz w:val="20"/>
                <w:szCs w:val="20"/>
                <w:color w:val="auto"/>
              </w:rPr>
            </w:pPr>
            <w:r>
              <w:rPr>
                <w:rFonts w:ascii="Arial" w:cs="Arial" w:eastAsia="Arial" w:hAnsi="Arial"/>
                <w:sz w:val="14"/>
                <w:szCs w:val="14"/>
                <w:color w:val="auto"/>
              </w:rPr>
              <w:t>4,933</w:t>
            </w:r>
            <w:r>
              <w:rPr>
                <w:rFonts w:ascii="Arial" w:cs="Arial" w:eastAsia="Arial" w:hAnsi="Arial"/>
                <w:sz w:val="23"/>
                <w:szCs w:val="23"/>
                <w:color w:val="auto"/>
                <w:vertAlign w:val="superscript"/>
              </w:rPr>
              <w:t>(10)</w:t>
            </w:r>
          </w:p>
        </w:tc>
        <w:tc>
          <w:tcPr>
            <w:tcW w:w="740" w:type="dxa"/>
            <w:vAlign w:val="bottom"/>
            <w:tcBorders>
              <w:bottom w:val="single" w:sz="8" w:color="6D8CC3"/>
            </w:tcBorders>
          </w:tcPr>
          <w:p>
            <w:pPr>
              <w:jc w:val="center"/>
              <w:spacing w:after="0"/>
              <w:rPr>
                <w:sz w:val="20"/>
                <w:szCs w:val="20"/>
                <w:color w:val="auto"/>
              </w:rPr>
            </w:pPr>
            <w:r>
              <w:rPr>
                <w:rFonts w:ascii="Arial" w:cs="Arial" w:eastAsia="Arial" w:hAnsi="Arial"/>
                <w:sz w:val="14"/>
                <w:szCs w:val="14"/>
                <w:color w:val="auto"/>
              </w:rPr>
              <w:t>48.64</w:t>
            </w:r>
          </w:p>
        </w:tc>
        <w:tc>
          <w:tcPr>
            <w:tcW w:w="800" w:type="dxa"/>
            <w:vAlign w:val="bottom"/>
            <w:tcBorders>
              <w:bottom w:val="single" w:sz="8" w:color="6D8CC3"/>
            </w:tcBorders>
          </w:tcPr>
          <w:p>
            <w:pPr>
              <w:jc w:val="right"/>
              <w:ind w:right="15"/>
              <w:spacing w:after="0"/>
              <w:rPr>
                <w:sz w:val="20"/>
                <w:szCs w:val="20"/>
                <w:color w:val="auto"/>
              </w:rPr>
            </w:pPr>
            <w:r>
              <w:rPr>
                <w:rFonts w:ascii="Arial" w:cs="Arial" w:eastAsia="Arial" w:hAnsi="Arial"/>
                <w:sz w:val="14"/>
                <w:szCs w:val="14"/>
                <w:color w:val="auto"/>
              </w:rPr>
              <w:t>3/16/2031</w:t>
            </w:r>
          </w:p>
        </w:tc>
        <w:tc>
          <w:tcPr>
            <w:tcW w:w="980" w:type="dxa"/>
            <w:vAlign w:val="bottom"/>
            <w:tcBorders>
              <w:bottom w:val="single" w:sz="8" w:color="6D8CC3"/>
            </w:tcBorders>
            <w:gridSpan w:val="2"/>
          </w:tcPr>
          <w:p>
            <w:pPr>
              <w:jc w:val="right"/>
              <w:ind w:right="140"/>
              <w:spacing w:after="0"/>
              <w:rPr>
                <w:sz w:val="20"/>
                <w:szCs w:val="20"/>
                <w:color w:val="auto"/>
              </w:rPr>
            </w:pPr>
            <w:r>
              <w:rPr>
                <w:rFonts w:ascii="Arial" w:cs="Arial" w:eastAsia="Arial" w:hAnsi="Arial"/>
                <w:sz w:val="14"/>
                <w:szCs w:val="14"/>
                <w:color w:val="auto"/>
              </w:rPr>
              <w:t>03/13/2024</w:t>
            </w:r>
          </w:p>
        </w:tc>
        <w:tc>
          <w:tcPr>
            <w:tcW w:w="880" w:type="dxa"/>
            <w:vAlign w:val="bottom"/>
            <w:tcBorders>
              <w:bottom w:val="single" w:sz="8" w:color="6D8CC3"/>
            </w:tcBorders>
          </w:tcPr>
          <w:p>
            <w:pPr>
              <w:ind w:left="220"/>
              <w:spacing w:after="0"/>
              <w:rPr>
                <w:sz w:val="20"/>
                <w:szCs w:val="20"/>
                <w:color w:val="auto"/>
              </w:rPr>
            </w:pPr>
            <w:r>
              <w:rPr>
                <w:rFonts w:ascii="Arial" w:cs="Arial" w:eastAsia="Arial" w:hAnsi="Arial"/>
                <w:sz w:val="14"/>
                <w:szCs w:val="14"/>
                <w:color w:val="auto"/>
              </w:rPr>
              <w:t>11,374</w:t>
            </w:r>
            <w:r>
              <w:rPr>
                <w:rFonts w:ascii="Arial" w:cs="Arial" w:eastAsia="Arial" w:hAnsi="Arial"/>
                <w:sz w:val="23"/>
                <w:szCs w:val="23"/>
                <w:color w:val="auto"/>
                <w:vertAlign w:val="superscript"/>
              </w:rPr>
              <w:t>(4)</w:t>
            </w:r>
          </w:p>
        </w:tc>
        <w:tc>
          <w:tcPr>
            <w:tcW w:w="940" w:type="dxa"/>
            <w:vAlign w:val="bottom"/>
            <w:tcBorders>
              <w:bottom w:val="single" w:sz="8" w:color="6D8CC3"/>
            </w:tcBorders>
          </w:tcPr>
          <w:p>
            <w:pPr>
              <w:ind w:left="160"/>
              <w:spacing w:after="0"/>
              <w:rPr>
                <w:sz w:val="20"/>
                <w:szCs w:val="20"/>
                <w:color w:val="auto"/>
              </w:rPr>
            </w:pPr>
            <w:r>
              <w:rPr>
                <w:rFonts w:ascii="Arial" w:cs="Arial" w:eastAsia="Arial" w:hAnsi="Arial"/>
                <w:sz w:val="14"/>
                <w:szCs w:val="14"/>
                <w:color w:val="auto"/>
              </w:rPr>
              <w:t>​ 247,953</w:t>
            </w:r>
          </w:p>
        </w:tc>
        <w:tc>
          <w:tcPr>
            <w:tcW w:w="880" w:type="dxa"/>
            <w:vAlign w:val="bottom"/>
            <w:tcBorders>
              <w:bottom w:val="single" w:sz="8" w:color="6D8CC3"/>
            </w:tcBorders>
          </w:tcPr>
          <w:p>
            <w:pPr>
              <w:ind w:left="200"/>
              <w:spacing w:after="0"/>
              <w:rPr>
                <w:sz w:val="20"/>
                <w:szCs w:val="20"/>
                <w:color w:val="auto"/>
              </w:rPr>
            </w:pPr>
            <w:r>
              <w:rPr>
                <w:rFonts w:ascii="Arial" w:cs="Arial" w:eastAsia="Arial" w:hAnsi="Arial"/>
                <w:sz w:val="14"/>
                <w:szCs w:val="14"/>
                <w:color w:val="auto"/>
              </w:rPr>
              <w:t>16,246</w:t>
            </w:r>
            <w:r>
              <w:rPr>
                <w:rFonts w:ascii="Arial" w:cs="Arial" w:eastAsia="Arial" w:hAnsi="Arial"/>
                <w:sz w:val="23"/>
                <w:szCs w:val="23"/>
                <w:color w:val="auto"/>
                <w:vertAlign w:val="superscript"/>
              </w:rPr>
              <w:t>(5)</w:t>
            </w:r>
          </w:p>
        </w:tc>
        <w:tc>
          <w:tcPr>
            <w:tcW w:w="1020" w:type="dxa"/>
            <w:vAlign w:val="bottom"/>
            <w:tcBorders>
              <w:bottom w:val="single" w:sz="8" w:color="6D8CC3"/>
            </w:tcBorders>
            <w:gridSpan w:val="2"/>
          </w:tcPr>
          <w:p>
            <w:pPr>
              <w:ind w:left="220"/>
              <w:spacing w:after="0"/>
              <w:rPr>
                <w:sz w:val="20"/>
                <w:szCs w:val="20"/>
                <w:color w:val="auto"/>
              </w:rPr>
            </w:pPr>
            <w:r>
              <w:rPr>
                <w:rFonts w:ascii="Arial" w:cs="Arial" w:eastAsia="Arial" w:hAnsi="Arial"/>
                <w:sz w:val="14"/>
                <w:szCs w:val="14"/>
                <w:color w:val="auto"/>
              </w:rPr>
              <w:t>​ 354,163</w:t>
            </w:r>
          </w:p>
        </w:tc>
        <w:tc>
          <w:tcPr>
            <w:tcW w:w="0" w:type="dxa"/>
            <w:vAlign w:val="bottom"/>
          </w:tcPr>
          <w:p>
            <w:pPr>
              <w:spacing w:after="0"/>
              <w:rPr>
                <w:sz w:val="1"/>
                <w:szCs w:val="1"/>
                <w:color w:val="auto"/>
              </w:rPr>
            </w:pPr>
          </w:p>
        </w:tc>
      </w:tr>
      <w:tr>
        <w:trPr>
          <w:trHeight w:val="295"/>
        </w:trPr>
        <w:tc>
          <w:tcPr>
            <w:tcW w:w="960" w:type="dxa"/>
            <w:vAlign w:val="bottom"/>
            <w:tcBorders>
              <w:bottom w:val="single" w:sz="8" w:color="292F72"/>
            </w:tcBorders>
          </w:tcPr>
          <w:p>
            <w:pPr>
              <w:spacing w:after="0"/>
              <w:rPr>
                <w:sz w:val="24"/>
                <w:szCs w:val="24"/>
                <w:color w:val="auto"/>
              </w:rPr>
            </w:pPr>
          </w:p>
        </w:tc>
        <w:tc>
          <w:tcPr>
            <w:tcW w:w="820" w:type="dxa"/>
            <w:vAlign w:val="bottom"/>
            <w:tcBorders>
              <w:bottom w:val="single" w:sz="8" w:color="292F72"/>
            </w:tcBorders>
          </w:tcPr>
          <w:p>
            <w:pPr>
              <w:spacing w:after="0"/>
              <w:rPr>
                <w:sz w:val="24"/>
                <w:szCs w:val="24"/>
                <w:color w:val="auto"/>
              </w:rPr>
            </w:pPr>
          </w:p>
        </w:tc>
        <w:tc>
          <w:tcPr>
            <w:tcW w:w="80" w:type="dxa"/>
            <w:vAlign w:val="bottom"/>
            <w:tcBorders>
              <w:bottom w:val="single" w:sz="8" w:color="292F72"/>
            </w:tcBorders>
          </w:tcPr>
          <w:p>
            <w:pPr>
              <w:spacing w:after="0"/>
              <w:rPr>
                <w:sz w:val="24"/>
                <w:szCs w:val="24"/>
                <w:color w:val="auto"/>
              </w:rPr>
            </w:pPr>
          </w:p>
        </w:tc>
        <w:tc>
          <w:tcPr>
            <w:tcW w:w="940" w:type="dxa"/>
            <w:vAlign w:val="bottom"/>
            <w:tcBorders>
              <w:bottom w:val="single" w:sz="8" w:color="292F72"/>
            </w:tcBorders>
          </w:tcPr>
          <w:p>
            <w:pPr>
              <w:spacing w:after="0"/>
              <w:rPr>
                <w:sz w:val="24"/>
                <w:szCs w:val="24"/>
                <w:color w:val="auto"/>
              </w:rPr>
            </w:pPr>
          </w:p>
        </w:tc>
        <w:tc>
          <w:tcPr>
            <w:tcW w:w="740" w:type="dxa"/>
            <w:vAlign w:val="bottom"/>
            <w:tcBorders>
              <w:bottom w:val="single" w:sz="8" w:color="292F72"/>
            </w:tcBorders>
          </w:tcPr>
          <w:p>
            <w:pPr>
              <w:spacing w:after="0"/>
              <w:rPr>
                <w:sz w:val="24"/>
                <w:szCs w:val="24"/>
                <w:color w:val="auto"/>
              </w:rPr>
            </w:pPr>
          </w:p>
        </w:tc>
        <w:tc>
          <w:tcPr>
            <w:tcW w:w="800" w:type="dxa"/>
            <w:vAlign w:val="bottom"/>
            <w:tcBorders>
              <w:bottom w:val="single" w:sz="8" w:color="292F72"/>
            </w:tcBorders>
          </w:tcPr>
          <w:p>
            <w:pPr>
              <w:spacing w:after="0"/>
              <w:rPr>
                <w:sz w:val="24"/>
                <w:szCs w:val="24"/>
                <w:color w:val="auto"/>
              </w:rPr>
            </w:pPr>
          </w:p>
        </w:tc>
        <w:tc>
          <w:tcPr>
            <w:tcW w:w="980" w:type="dxa"/>
            <w:vAlign w:val="bottom"/>
            <w:tcBorders>
              <w:bottom w:val="single" w:sz="8" w:color="292F72"/>
            </w:tcBorders>
            <w:gridSpan w:val="2"/>
          </w:tcPr>
          <w:p>
            <w:pPr>
              <w:jc w:val="right"/>
              <w:ind w:right="140"/>
              <w:spacing w:after="0"/>
              <w:rPr>
                <w:sz w:val="20"/>
                <w:szCs w:val="20"/>
                <w:color w:val="auto"/>
              </w:rPr>
            </w:pPr>
            <w:r>
              <w:rPr>
                <w:rFonts w:ascii="Arial" w:cs="Arial" w:eastAsia="Arial" w:hAnsi="Arial"/>
                <w:sz w:val="14"/>
                <w:szCs w:val="14"/>
                <w:color w:val="auto"/>
              </w:rPr>
              <w:t>03/13/2025</w:t>
            </w:r>
          </w:p>
        </w:tc>
        <w:tc>
          <w:tcPr>
            <w:tcW w:w="880" w:type="dxa"/>
            <w:vAlign w:val="bottom"/>
            <w:tcBorders>
              <w:bottom w:val="single" w:sz="8" w:color="292F72"/>
            </w:tcBorders>
          </w:tcPr>
          <w:p>
            <w:pPr>
              <w:ind w:left="220"/>
              <w:spacing w:after="0"/>
              <w:rPr>
                <w:sz w:val="20"/>
                <w:szCs w:val="20"/>
                <w:color w:val="auto"/>
              </w:rPr>
            </w:pPr>
            <w:r>
              <w:rPr>
                <w:rFonts w:ascii="Arial" w:cs="Arial" w:eastAsia="Arial" w:hAnsi="Arial"/>
                <w:sz w:val="14"/>
                <w:szCs w:val="14"/>
                <w:color w:val="auto"/>
              </w:rPr>
              <w:t>30,668</w:t>
            </w:r>
            <w:r>
              <w:rPr>
                <w:rFonts w:ascii="Arial" w:cs="Arial" w:eastAsia="Arial" w:hAnsi="Arial"/>
                <w:sz w:val="23"/>
                <w:szCs w:val="23"/>
                <w:color w:val="auto"/>
                <w:vertAlign w:val="superscript"/>
              </w:rPr>
              <w:t>(6)</w:t>
            </w:r>
          </w:p>
        </w:tc>
        <w:tc>
          <w:tcPr>
            <w:tcW w:w="940" w:type="dxa"/>
            <w:vAlign w:val="bottom"/>
            <w:tcBorders>
              <w:bottom w:val="single" w:sz="8" w:color="292F72"/>
            </w:tcBorders>
          </w:tcPr>
          <w:p>
            <w:pPr>
              <w:ind w:left="160"/>
              <w:spacing w:after="0"/>
              <w:rPr>
                <w:sz w:val="20"/>
                <w:szCs w:val="20"/>
                <w:color w:val="auto"/>
              </w:rPr>
            </w:pPr>
            <w:r>
              <w:rPr>
                <w:rFonts w:ascii="Arial" w:cs="Arial" w:eastAsia="Arial" w:hAnsi="Arial"/>
                <w:sz w:val="14"/>
                <w:szCs w:val="14"/>
                <w:color w:val="auto"/>
              </w:rPr>
              <w:t>​ 668,562</w:t>
            </w:r>
          </w:p>
        </w:tc>
        <w:tc>
          <w:tcPr>
            <w:tcW w:w="880" w:type="dxa"/>
            <w:vAlign w:val="bottom"/>
            <w:tcBorders>
              <w:bottom w:val="single" w:sz="8" w:color="292F72"/>
            </w:tcBorders>
          </w:tcPr>
          <w:p>
            <w:pPr>
              <w:ind w:left="200"/>
              <w:spacing w:after="0"/>
              <w:rPr>
                <w:sz w:val="20"/>
                <w:szCs w:val="20"/>
                <w:color w:val="auto"/>
              </w:rPr>
            </w:pPr>
            <w:r>
              <w:rPr>
                <w:rFonts w:ascii="Arial" w:cs="Arial" w:eastAsia="Arial" w:hAnsi="Arial"/>
                <w:sz w:val="14"/>
                <w:szCs w:val="14"/>
                <w:color w:val="auto"/>
              </w:rPr>
              <w:t>30,668</w:t>
            </w:r>
            <w:r>
              <w:rPr>
                <w:rFonts w:ascii="Arial" w:cs="Arial" w:eastAsia="Arial" w:hAnsi="Arial"/>
                <w:sz w:val="23"/>
                <w:szCs w:val="23"/>
                <w:color w:val="auto"/>
                <w:vertAlign w:val="superscript"/>
              </w:rPr>
              <w:t>(7)</w:t>
            </w:r>
          </w:p>
        </w:tc>
        <w:tc>
          <w:tcPr>
            <w:tcW w:w="1020" w:type="dxa"/>
            <w:vAlign w:val="bottom"/>
            <w:tcBorders>
              <w:bottom w:val="single" w:sz="8" w:color="292F72"/>
            </w:tcBorders>
            <w:gridSpan w:val="2"/>
          </w:tcPr>
          <w:p>
            <w:pPr>
              <w:ind w:left="220"/>
              <w:spacing w:after="0"/>
              <w:rPr>
                <w:sz w:val="20"/>
                <w:szCs w:val="20"/>
                <w:color w:val="auto"/>
              </w:rPr>
            </w:pPr>
            <w:r>
              <w:rPr>
                <w:rFonts w:ascii="Arial" w:cs="Arial" w:eastAsia="Arial" w:hAnsi="Arial"/>
                <w:sz w:val="14"/>
                <w:szCs w:val="14"/>
                <w:color w:val="auto"/>
              </w:rPr>
              <w:t>​ 668,562</w:t>
            </w:r>
          </w:p>
        </w:tc>
        <w:tc>
          <w:tcPr>
            <w:tcW w:w="0" w:type="dxa"/>
            <w:vAlign w:val="bottom"/>
          </w:tcPr>
          <w:p>
            <w:pPr>
              <w:spacing w:after="0"/>
              <w:rPr>
                <w:sz w:val="1"/>
                <w:szCs w:val="1"/>
                <w:color w:val="auto"/>
              </w:rPr>
            </w:pPr>
          </w:p>
        </w:tc>
      </w:tr>
      <w:tr>
        <w:trPr>
          <w:trHeight w:val="295"/>
        </w:trPr>
        <w:tc>
          <w:tcPr>
            <w:tcW w:w="960" w:type="dxa"/>
            <w:vAlign w:val="bottom"/>
          </w:tcPr>
          <w:p>
            <w:pPr>
              <w:spacing w:after="0"/>
              <w:rPr>
                <w:sz w:val="20"/>
                <w:szCs w:val="20"/>
                <w:color w:val="auto"/>
              </w:rPr>
            </w:pPr>
            <w:r>
              <w:rPr>
                <w:rFonts w:ascii="Arial" w:cs="Arial" w:eastAsia="Arial" w:hAnsi="Arial"/>
                <w:sz w:val="14"/>
                <w:szCs w:val="14"/>
                <w:b w:val="1"/>
                <w:bCs w:val="1"/>
                <w:color w:val="auto"/>
              </w:rPr>
              <w:t>Ms. Boswell</w:t>
            </w:r>
          </w:p>
        </w:tc>
        <w:tc>
          <w:tcPr>
            <w:tcW w:w="820" w:type="dxa"/>
            <w:vAlign w:val="bottom"/>
            <w:tcBorders>
              <w:bottom w:val="single" w:sz="8" w:color="6D8CC3"/>
            </w:tcBorders>
          </w:tcPr>
          <w:p>
            <w:pPr>
              <w:spacing w:after="0"/>
              <w:rPr>
                <w:sz w:val="24"/>
                <w:szCs w:val="24"/>
                <w:color w:val="auto"/>
              </w:rPr>
            </w:pPr>
          </w:p>
        </w:tc>
        <w:tc>
          <w:tcPr>
            <w:tcW w:w="80" w:type="dxa"/>
            <w:vAlign w:val="bottom"/>
            <w:tcBorders>
              <w:bottom w:val="single" w:sz="8" w:color="6D8CC3"/>
            </w:tcBorders>
          </w:tcPr>
          <w:p>
            <w:pPr>
              <w:spacing w:after="0"/>
              <w:rPr>
                <w:sz w:val="24"/>
                <w:szCs w:val="24"/>
                <w:color w:val="auto"/>
              </w:rPr>
            </w:pPr>
          </w:p>
        </w:tc>
        <w:tc>
          <w:tcPr>
            <w:tcW w:w="940" w:type="dxa"/>
            <w:vAlign w:val="bottom"/>
            <w:tcBorders>
              <w:bottom w:val="single" w:sz="8" w:color="6D8CC3"/>
            </w:tcBorders>
          </w:tcPr>
          <w:p>
            <w:pPr>
              <w:spacing w:after="0"/>
              <w:rPr>
                <w:sz w:val="24"/>
                <w:szCs w:val="24"/>
                <w:color w:val="auto"/>
              </w:rPr>
            </w:pPr>
          </w:p>
        </w:tc>
        <w:tc>
          <w:tcPr>
            <w:tcW w:w="740" w:type="dxa"/>
            <w:vAlign w:val="bottom"/>
            <w:tcBorders>
              <w:bottom w:val="single" w:sz="8" w:color="6D8CC3"/>
            </w:tcBorders>
          </w:tcPr>
          <w:p>
            <w:pPr>
              <w:spacing w:after="0"/>
              <w:rPr>
                <w:sz w:val="24"/>
                <w:szCs w:val="24"/>
                <w:color w:val="auto"/>
              </w:rPr>
            </w:pPr>
          </w:p>
        </w:tc>
        <w:tc>
          <w:tcPr>
            <w:tcW w:w="800" w:type="dxa"/>
            <w:vAlign w:val="bottom"/>
            <w:tcBorders>
              <w:bottom w:val="single" w:sz="8" w:color="6D8CC3"/>
            </w:tcBorders>
          </w:tcPr>
          <w:p>
            <w:pPr>
              <w:spacing w:after="0"/>
              <w:rPr>
                <w:sz w:val="24"/>
                <w:szCs w:val="24"/>
                <w:color w:val="auto"/>
              </w:rPr>
            </w:pPr>
          </w:p>
        </w:tc>
        <w:tc>
          <w:tcPr>
            <w:tcW w:w="980" w:type="dxa"/>
            <w:vAlign w:val="bottom"/>
            <w:tcBorders>
              <w:bottom w:val="single" w:sz="8" w:color="6D8CC3"/>
            </w:tcBorders>
            <w:gridSpan w:val="2"/>
          </w:tcPr>
          <w:p>
            <w:pPr>
              <w:jc w:val="right"/>
              <w:ind w:right="140"/>
              <w:spacing w:after="0"/>
              <w:rPr>
                <w:sz w:val="20"/>
                <w:szCs w:val="20"/>
                <w:color w:val="auto"/>
              </w:rPr>
            </w:pPr>
            <w:r>
              <w:rPr>
                <w:rFonts w:ascii="Arial" w:cs="Arial" w:eastAsia="Arial" w:hAnsi="Arial"/>
                <w:sz w:val="14"/>
                <w:szCs w:val="14"/>
                <w:color w:val="auto"/>
              </w:rPr>
              <w:t>05/19/2023</w:t>
            </w:r>
          </w:p>
        </w:tc>
        <w:tc>
          <w:tcPr>
            <w:tcW w:w="880" w:type="dxa"/>
            <w:vAlign w:val="bottom"/>
            <w:tcBorders>
              <w:bottom w:val="single" w:sz="8" w:color="6D8CC3"/>
            </w:tcBorders>
          </w:tcPr>
          <w:p>
            <w:pPr>
              <w:spacing w:after="0"/>
              <w:rPr>
                <w:sz w:val="24"/>
                <w:szCs w:val="24"/>
                <w:color w:val="auto"/>
              </w:rPr>
            </w:pPr>
          </w:p>
        </w:tc>
        <w:tc>
          <w:tcPr>
            <w:tcW w:w="940" w:type="dxa"/>
            <w:vAlign w:val="bottom"/>
            <w:tcBorders>
              <w:bottom w:val="single" w:sz="8" w:color="6D8CC3"/>
            </w:tcBorders>
          </w:tcPr>
          <w:p>
            <w:pPr>
              <w:spacing w:after="0"/>
              <w:rPr>
                <w:sz w:val="24"/>
                <w:szCs w:val="24"/>
                <w:color w:val="auto"/>
              </w:rPr>
            </w:pPr>
          </w:p>
        </w:tc>
        <w:tc>
          <w:tcPr>
            <w:tcW w:w="880" w:type="dxa"/>
            <w:vAlign w:val="bottom"/>
            <w:tcBorders>
              <w:bottom w:val="single" w:sz="8" w:color="6D8CC3"/>
            </w:tcBorders>
          </w:tcPr>
          <w:p>
            <w:pPr>
              <w:ind w:left="200"/>
              <w:spacing w:after="0"/>
              <w:rPr>
                <w:sz w:val="20"/>
                <w:szCs w:val="20"/>
                <w:color w:val="auto"/>
              </w:rPr>
            </w:pPr>
            <w:r>
              <w:rPr>
                <w:rFonts w:ascii="Arial" w:cs="Arial" w:eastAsia="Arial" w:hAnsi="Arial"/>
                <w:sz w:val="14"/>
                <w:szCs w:val="14"/>
                <w:color w:val="auto"/>
              </w:rPr>
              <w:t xml:space="preserve">78,764 </w:t>
            </w:r>
            <w:r>
              <w:rPr>
                <w:rFonts w:ascii="Arial" w:cs="Arial" w:eastAsia="Arial" w:hAnsi="Arial"/>
                <w:sz w:val="23"/>
                <w:szCs w:val="23"/>
                <w:color w:val="auto"/>
                <w:vertAlign w:val="superscript"/>
              </w:rPr>
              <w:t>(9)</w:t>
            </w:r>
          </w:p>
        </w:tc>
        <w:tc>
          <w:tcPr>
            <w:tcW w:w="1020" w:type="dxa"/>
            <w:vAlign w:val="bottom"/>
            <w:tcBorders>
              <w:bottom w:val="single" w:sz="8" w:color="6D8CC3"/>
            </w:tcBorders>
            <w:gridSpan w:val="2"/>
          </w:tcPr>
          <w:p>
            <w:pPr>
              <w:ind w:left="220"/>
              <w:spacing w:after="0"/>
              <w:rPr>
                <w:sz w:val="20"/>
                <w:szCs w:val="20"/>
                <w:color w:val="auto"/>
              </w:rPr>
            </w:pPr>
            <w:r>
              <w:rPr>
                <w:rFonts w:ascii="Arial" w:cs="Arial" w:eastAsia="Arial" w:hAnsi="Arial"/>
                <w:sz w:val="14"/>
                <w:szCs w:val="14"/>
                <w:color w:val="auto"/>
              </w:rPr>
              <w:t>​1,717,055</w:t>
            </w:r>
          </w:p>
        </w:tc>
        <w:tc>
          <w:tcPr>
            <w:tcW w:w="0" w:type="dxa"/>
            <w:vAlign w:val="bottom"/>
          </w:tcPr>
          <w:p>
            <w:pPr>
              <w:spacing w:after="0"/>
              <w:rPr>
                <w:sz w:val="1"/>
                <w:szCs w:val="1"/>
                <w:color w:val="auto"/>
              </w:rPr>
            </w:pPr>
          </w:p>
        </w:tc>
      </w:tr>
      <w:tr>
        <w:trPr>
          <w:trHeight w:val="282"/>
        </w:trPr>
        <w:tc>
          <w:tcPr>
            <w:tcW w:w="960" w:type="dxa"/>
            <w:vAlign w:val="bottom"/>
          </w:tcPr>
          <w:p>
            <w:pPr>
              <w:spacing w:after="0"/>
              <w:rPr>
                <w:sz w:val="24"/>
                <w:szCs w:val="24"/>
                <w:color w:val="auto"/>
              </w:rPr>
            </w:pPr>
          </w:p>
        </w:tc>
        <w:tc>
          <w:tcPr>
            <w:tcW w:w="820" w:type="dxa"/>
            <w:vAlign w:val="bottom"/>
            <w:tcBorders>
              <w:bottom w:val="single" w:sz="8" w:color="6D8CC3"/>
            </w:tcBorders>
          </w:tcPr>
          <w:p>
            <w:pPr>
              <w:spacing w:after="0"/>
              <w:rPr>
                <w:sz w:val="24"/>
                <w:szCs w:val="24"/>
                <w:color w:val="auto"/>
              </w:rPr>
            </w:pPr>
          </w:p>
        </w:tc>
        <w:tc>
          <w:tcPr>
            <w:tcW w:w="80" w:type="dxa"/>
            <w:vAlign w:val="bottom"/>
            <w:tcBorders>
              <w:bottom w:val="single" w:sz="8" w:color="6D8CC3"/>
            </w:tcBorders>
          </w:tcPr>
          <w:p>
            <w:pPr>
              <w:spacing w:after="0"/>
              <w:rPr>
                <w:sz w:val="24"/>
                <w:szCs w:val="24"/>
                <w:color w:val="auto"/>
              </w:rPr>
            </w:pPr>
          </w:p>
        </w:tc>
        <w:tc>
          <w:tcPr>
            <w:tcW w:w="940" w:type="dxa"/>
            <w:vAlign w:val="bottom"/>
            <w:tcBorders>
              <w:bottom w:val="single" w:sz="8" w:color="6D8CC3"/>
            </w:tcBorders>
          </w:tcPr>
          <w:p>
            <w:pPr>
              <w:spacing w:after="0"/>
              <w:rPr>
                <w:sz w:val="24"/>
                <w:szCs w:val="24"/>
                <w:color w:val="auto"/>
              </w:rPr>
            </w:pPr>
          </w:p>
        </w:tc>
        <w:tc>
          <w:tcPr>
            <w:tcW w:w="740" w:type="dxa"/>
            <w:vAlign w:val="bottom"/>
            <w:tcBorders>
              <w:bottom w:val="single" w:sz="8" w:color="6D8CC3"/>
            </w:tcBorders>
          </w:tcPr>
          <w:p>
            <w:pPr>
              <w:spacing w:after="0"/>
              <w:rPr>
                <w:sz w:val="24"/>
                <w:szCs w:val="24"/>
                <w:color w:val="auto"/>
              </w:rPr>
            </w:pPr>
          </w:p>
        </w:tc>
        <w:tc>
          <w:tcPr>
            <w:tcW w:w="800" w:type="dxa"/>
            <w:vAlign w:val="bottom"/>
            <w:tcBorders>
              <w:bottom w:val="single" w:sz="8" w:color="6D8CC3"/>
            </w:tcBorders>
          </w:tcPr>
          <w:p>
            <w:pPr>
              <w:spacing w:after="0"/>
              <w:rPr>
                <w:sz w:val="24"/>
                <w:szCs w:val="24"/>
                <w:color w:val="auto"/>
              </w:rPr>
            </w:pPr>
          </w:p>
        </w:tc>
        <w:tc>
          <w:tcPr>
            <w:tcW w:w="980" w:type="dxa"/>
            <w:vAlign w:val="bottom"/>
            <w:tcBorders>
              <w:bottom w:val="single" w:sz="8" w:color="6D8CC3"/>
            </w:tcBorders>
            <w:gridSpan w:val="2"/>
          </w:tcPr>
          <w:p>
            <w:pPr>
              <w:jc w:val="right"/>
              <w:ind w:right="140"/>
              <w:spacing w:after="0"/>
              <w:rPr>
                <w:sz w:val="20"/>
                <w:szCs w:val="20"/>
                <w:color w:val="auto"/>
              </w:rPr>
            </w:pPr>
            <w:r>
              <w:rPr>
                <w:rFonts w:ascii="Arial" w:cs="Arial" w:eastAsia="Arial" w:hAnsi="Arial"/>
                <w:sz w:val="14"/>
                <w:szCs w:val="14"/>
                <w:color w:val="auto"/>
              </w:rPr>
              <w:t>03/13/2024</w:t>
            </w:r>
          </w:p>
        </w:tc>
        <w:tc>
          <w:tcPr>
            <w:tcW w:w="880" w:type="dxa"/>
            <w:vAlign w:val="bottom"/>
            <w:tcBorders>
              <w:bottom w:val="single" w:sz="8" w:color="6D8CC3"/>
            </w:tcBorders>
          </w:tcPr>
          <w:p>
            <w:pPr>
              <w:spacing w:after="0"/>
              <w:rPr>
                <w:sz w:val="24"/>
                <w:szCs w:val="24"/>
                <w:color w:val="auto"/>
              </w:rPr>
            </w:pPr>
          </w:p>
        </w:tc>
        <w:tc>
          <w:tcPr>
            <w:tcW w:w="940" w:type="dxa"/>
            <w:vAlign w:val="bottom"/>
            <w:tcBorders>
              <w:bottom w:val="single" w:sz="8" w:color="6D8CC3"/>
            </w:tcBorders>
          </w:tcPr>
          <w:p>
            <w:pPr>
              <w:spacing w:after="0"/>
              <w:rPr>
                <w:sz w:val="24"/>
                <w:szCs w:val="24"/>
                <w:color w:val="auto"/>
              </w:rPr>
            </w:pPr>
          </w:p>
        </w:tc>
        <w:tc>
          <w:tcPr>
            <w:tcW w:w="880" w:type="dxa"/>
            <w:vAlign w:val="bottom"/>
            <w:tcBorders>
              <w:bottom w:val="single" w:sz="8" w:color="6D8CC3"/>
            </w:tcBorders>
          </w:tcPr>
          <w:p>
            <w:pPr>
              <w:ind w:left="200"/>
              <w:spacing w:after="0"/>
              <w:rPr>
                <w:sz w:val="20"/>
                <w:szCs w:val="20"/>
                <w:color w:val="auto"/>
              </w:rPr>
            </w:pPr>
            <w:r>
              <w:rPr>
                <w:rFonts w:ascii="Arial" w:cs="Arial" w:eastAsia="Arial" w:hAnsi="Arial"/>
                <w:sz w:val="14"/>
                <w:szCs w:val="14"/>
                <w:color w:val="auto"/>
              </w:rPr>
              <w:t xml:space="preserve">46,420 </w:t>
            </w:r>
            <w:r>
              <w:rPr>
                <w:rFonts w:ascii="Arial" w:cs="Arial" w:eastAsia="Arial" w:hAnsi="Arial"/>
                <w:sz w:val="23"/>
                <w:szCs w:val="23"/>
                <w:color w:val="auto"/>
                <w:vertAlign w:val="superscript"/>
              </w:rPr>
              <w:t>(5)</w:t>
            </w:r>
          </w:p>
        </w:tc>
        <w:tc>
          <w:tcPr>
            <w:tcW w:w="1020" w:type="dxa"/>
            <w:vAlign w:val="bottom"/>
            <w:tcBorders>
              <w:bottom w:val="single" w:sz="8" w:color="6D8CC3"/>
            </w:tcBorders>
            <w:gridSpan w:val="2"/>
          </w:tcPr>
          <w:p>
            <w:pPr>
              <w:ind w:left="220"/>
              <w:spacing w:after="0"/>
              <w:rPr>
                <w:sz w:val="20"/>
                <w:szCs w:val="20"/>
                <w:color w:val="auto"/>
              </w:rPr>
            </w:pPr>
            <w:r>
              <w:rPr>
                <w:rFonts w:ascii="Arial" w:cs="Arial" w:eastAsia="Arial" w:hAnsi="Arial"/>
                <w:sz w:val="14"/>
                <w:szCs w:val="14"/>
                <w:color w:val="auto"/>
              </w:rPr>
              <w:t>​1,011,956</w:t>
            </w:r>
          </w:p>
        </w:tc>
        <w:tc>
          <w:tcPr>
            <w:tcW w:w="0" w:type="dxa"/>
            <w:vAlign w:val="bottom"/>
          </w:tcPr>
          <w:p>
            <w:pPr>
              <w:spacing w:after="0"/>
              <w:rPr>
                <w:sz w:val="1"/>
                <w:szCs w:val="1"/>
                <w:color w:val="auto"/>
              </w:rPr>
            </w:pPr>
          </w:p>
        </w:tc>
      </w:tr>
      <w:tr>
        <w:trPr>
          <w:trHeight w:val="295"/>
        </w:trPr>
        <w:tc>
          <w:tcPr>
            <w:tcW w:w="960" w:type="dxa"/>
            <w:vAlign w:val="bottom"/>
            <w:tcBorders>
              <w:bottom w:val="single" w:sz="8" w:color="292F72"/>
            </w:tcBorders>
          </w:tcPr>
          <w:p>
            <w:pPr>
              <w:spacing w:after="0"/>
              <w:rPr>
                <w:sz w:val="24"/>
                <w:szCs w:val="24"/>
                <w:color w:val="auto"/>
              </w:rPr>
            </w:pPr>
          </w:p>
        </w:tc>
        <w:tc>
          <w:tcPr>
            <w:tcW w:w="820" w:type="dxa"/>
            <w:vAlign w:val="bottom"/>
            <w:tcBorders>
              <w:bottom w:val="single" w:sz="8" w:color="292F72"/>
            </w:tcBorders>
          </w:tcPr>
          <w:p>
            <w:pPr>
              <w:spacing w:after="0"/>
              <w:rPr>
                <w:sz w:val="24"/>
                <w:szCs w:val="24"/>
                <w:color w:val="auto"/>
              </w:rPr>
            </w:pPr>
          </w:p>
        </w:tc>
        <w:tc>
          <w:tcPr>
            <w:tcW w:w="80" w:type="dxa"/>
            <w:vAlign w:val="bottom"/>
            <w:tcBorders>
              <w:bottom w:val="single" w:sz="8" w:color="292F72"/>
            </w:tcBorders>
          </w:tcPr>
          <w:p>
            <w:pPr>
              <w:spacing w:after="0"/>
              <w:rPr>
                <w:sz w:val="24"/>
                <w:szCs w:val="24"/>
                <w:color w:val="auto"/>
              </w:rPr>
            </w:pPr>
          </w:p>
        </w:tc>
        <w:tc>
          <w:tcPr>
            <w:tcW w:w="940" w:type="dxa"/>
            <w:vAlign w:val="bottom"/>
            <w:tcBorders>
              <w:bottom w:val="single" w:sz="8" w:color="292F72"/>
            </w:tcBorders>
          </w:tcPr>
          <w:p>
            <w:pPr>
              <w:spacing w:after="0"/>
              <w:rPr>
                <w:sz w:val="24"/>
                <w:szCs w:val="24"/>
                <w:color w:val="auto"/>
              </w:rPr>
            </w:pPr>
          </w:p>
        </w:tc>
        <w:tc>
          <w:tcPr>
            <w:tcW w:w="740" w:type="dxa"/>
            <w:vAlign w:val="bottom"/>
            <w:tcBorders>
              <w:bottom w:val="single" w:sz="8" w:color="292F72"/>
            </w:tcBorders>
          </w:tcPr>
          <w:p>
            <w:pPr>
              <w:spacing w:after="0"/>
              <w:rPr>
                <w:sz w:val="24"/>
                <w:szCs w:val="24"/>
                <w:color w:val="auto"/>
              </w:rPr>
            </w:pPr>
          </w:p>
        </w:tc>
        <w:tc>
          <w:tcPr>
            <w:tcW w:w="800" w:type="dxa"/>
            <w:vAlign w:val="bottom"/>
            <w:tcBorders>
              <w:bottom w:val="single" w:sz="8" w:color="292F72"/>
            </w:tcBorders>
          </w:tcPr>
          <w:p>
            <w:pPr>
              <w:spacing w:after="0"/>
              <w:rPr>
                <w:sz w:val="24"/>
                <w:szCs w:val="24"/>
                <w:color w:val="auto"/>
              </w:rPr>
            </w:pPr>
          </w:p>
        </w:tc>
        <w:tc>
          <w:tcPr>
            <w:tcW w:w="980" w:type="dxa"/>
            <w:vAlign w:val="bottom"/>
            <w:tcBorders>
              <w:bottom w:val="single" w:sz="8" w:color="292F72"/>
            </w:tcBorders>
            <w:gridSpan w:val="2"/>
          </w:tcPr>
          <w:p>
            <w:pPr>
              <w:jc w:val="right"/>
              <w:ind w:right="140"/>
              <w:spacing w:after="0"/>
              <w:rPr>
                <w:sz w:val="20"/>
                <w:szCs w:val="20"/>
                <w:color w:val="auto"/>
              </w:rPr>
            </w:pPr>
            <w:r>
              <w:rPr>
                <w:rFonts w:ascii="Arial" w:cs="Arial" w:eastAsia="Arial" w:hAnsi="Arial"/>
                <w:sz w:val="14"/>
                <w:szCs w:val="14"/>
                <w:color w:val="auto"/>
              </w:rPr>
              <w:t>03/13/2025</w:t>
            </w:r>
          </w:p>
        </w:tc>
        <w:tc>
          <w:tcPr>
            <w:tcW w:w="880" w:type="dxa"/>
            <w:vAlign w:val="bottom"/>
            <w:tcBorders>
              <w:bottom w:val="single" w:sz="8" w:color="292F72"/>
            </w:tcBorders>
          </w:tcPr>
          <w:p>
            <w:pPr>
              <w:spacing w:after="0"/>
              <w:rPr>
                <w:sz w:val="24"/>
                <w:szCs w:val="24"/>
                <w:color w:val="auto"/>
              </w:rPr>
            </w:pPr>
          </w:p>
        </w:tc>
        <w:tc>
          <w:tcPr>
            <w:tcW w:w="940" w:type="dxa"/>
            <w:vAlign w:val="bottom"/>
            <w:tcBorders>
              <w:bottom w:val="single" w:sz="8" w:color="292F72"/>
            </w:tcBorders>
          </w:tcPr>
          <w:p>
            <w:pPr>
              <w:spacing w:after="0"/>
              <w:rPr>
                <w:sz w:val="24"/>
                <w:szCs w:val="24"/>
                <w:color w:val="auto"/>
              </w:rPr>
            </w:pPr>
          </w:p>
        </w:tc>
        <w:tc>
          <w:tcPr>
            <w:tcW w:w="880" w:type="dxa"/>
            <w:vAlign w:val="bottom"/>
            <w:tcBorders>
              <w:bottom w:val="single" w:sz="8" w:color="292F72"/>
            </w:tcBorders>
          </w:tcPr>
          <w:p>
            <w:pPr>
              <w:ind w:left="200"/>
              <w:spacing w:after="0"/>
              <w:rPr>
                <w:sz w:val="20"/>
                <w:szCs w:val="20"/>
                <w:color w:val="auto"/>
              </w:rPr>
            </w:pPr>
            <w:r>
              <w:rPr>
                <w:rFonts w:ascii="Arial" w:cs="Arial" w:eastAsia="Arial" w:hAnsi="Arial"/>
                <w:sz w:val="14"/>
                <w:szCs w:val="14"/>
                <w:color w:val="auto"/>
              </w:rPr>
              <w:t xml:space="preserve">18,629 </w:t>
            </w:r>
            <w:r>
              <w:rPr>
                <w:rFonts w:ascii="Arial" w:cs="Arial" w:eastAsia="Arial" w:hAnsi="Arial"/>
                <w:sz w:val="23"/>
                <w:szCs w:val="23"/>
                <w:color w:val="auto"/>
                <w:vertAlign w:val="superscript"/>
              </w:rPr>
              <w:t>(7)</w:t>
            </w:r>
          </w:p>
        </w:tc>
        <w:tc>
          <w:tcPr>
            <w:tcW w:w="1020" w:type="dxa"/>
            <w:vAlign w:val="bottom"/>
            <w:tcBorders>
              <w:bottom w:val="single" w:sz="8" w:color="292F72"/>
            </w:tcBorders>
            <w:gridSpan w:val="2"/>
          </w:tcPr>
          <w:p>
            <w:pPr>
              <w:ind w:left="220"/>
              <w:spacing w:after="0"/>
              <w:rPr>
                <w:sz w:val="20"/>
                <w:szCs w:val="20"/>
                <w:color w:val="auto"/>
              </w:rPr>
            </w:pPr>
            <w:r>
              <w:rPr>
                <w:rFonts w:ascii="Arial" w:cs="Arial" w:eastAsia="Arial" w:hAnsi="Arial"/>
                <w:sz w:val="14"/>
                <w:szCs w:val="14"/>
                <w:color w:val="auto"/>
              </w:rPr>
              <w:t>​ 406,112</w:t>
            </w:r>
          </w:p>
        </w:tc>
        <w:tc>
          <w:tcPr>
            <w:tcW w:w="0" w:type="dxa"/>
            <w:vAlign w:val="bottom"/>
          </w:tcPr>
          <w:p>
            <w:pPr>
              <w:spacing w:after="0"/>
              <w:rPr>
                <w:sz w:val="1"/>
                <w:szCs w:val="1"/>
                <w:color w:val="auto"/>
              </w:rPr>
            </w:pPr>
          </w:p>
        </w:tc>
      </w:tr>
      <w:tr>
        <w:trPr>
          <w:trHeight w:val="295"/>
        </w:trPr>
        <w:tc>
          <w:tcPr>
            <w:tcW w:w="960" w:type="dxa"/>
            <w:vAlign w:val="bottom"/>
          </w:tcPr>
          <w:p>
            <w:pPr>
              <w:spacing w:after="0"/>
              <w:rPr>
                <w:sz w:val="20"/>
                <w:szCs w:val="20"/>
                <w:color w:val="auto"/>
              </w:rPr>
            </w:pPr>
            <w:r>
              <w:rPr>
                <w:rFonts w:ascii="Arial" w:cs="Arial" w:eastAsia="Arial" w:hAnsi="Arial"/>
                <w:sz w:val="14"/>
                <w:szCs w:val="14"/>
                <w:b w:val="1"/>
                <w:bCs w:val="1"/>
                <w:color w:val="auto"/>
              </w:rPr>
              <w:t>Mr. Wu</w:t>
            </w:r>
          </w:p>
        </w:tc>
        <w:tc>
          <w:tcPr>
            <w:tcW w:w="820" w:type="dxa"/>
            <w:vAlign w:val="bottom"/>
            <w:tcBorders>
              <w:bottom w:val="single" w:sz="8" w:color="6D8CC3"/>
            </w:tcBorders>
          </w:tcPr>
          <w:p>
            <w:pPr>
              <w:spacing w:after="0"/>
              <w:rPr>
                <w:sz w:val="24"/>
                <w:szCs w:val="24"/>
                <w:color w:val="auto"/>
              </w:rPr>
            </w:pPr>
          </w:p>
        </w:tc>
        <w:tc>
          <w:tcPr>
            <w:tcW w:w="80" w:type="dxa"/>
            <w:vAlign w:val="bottom"/>
            <w:tcBorders>
              <w:bottom w:val="single" w:sz="8" w:color="6D8CC3"/>
            </w:tcBorders>
          </w:tcPr>
          <w:p>
            <w:pPr>
              <w:spacing w:after="0"/>
              <w:rPr>
                <w:sz w:val="24"/>
                <w:szCs w:val="24"/>
                <w:color w:val="auto"/>
              </w:rPr>
            </w:pPr>
          </w:p>
        </w:tc>
        <w:tc>
          <w:tcPr>
            <w:tcW w:w="940" w:type="dxa"/>
            <w:vAlign w:val="bottom"/>
            <w:tcBorders>
              <w:bottom w:val="single" w:sz="8" w:color="6D8CC3"/>
            </w:tcBorders>
          </w:tcPr>
          <w:p>
            <w:pPr>
              <w:spacing w:after="0"/>
              <w:rPr>
                <w:sz w:val="24"/>
                <w:szCs w:val="24"/>
                <w:color w:val="auto"/>
              </w:rPr>
            </w:pPr>
          </w:p>
        </w:tc>
        <w:tc>
          <w:tcPr>
            <w:tcW w:w="740" w:type="dxa"/>
            <w:vAlign w:val="bottom"/>
            <w:tcBorders>
              <w:bottom w:val="single" w:sz="8" w:color="6D8CC3"/>
            </w:tcBorders>
          </w:tcPr>
          <w:p>
            <w:pPr>
              <w:spacing w:after="0"/>
              <w:rPr>
                <w:sz w:val="24"/>
                <w:szCs w:val="24"/>
                <w:color w:val="auto"/>
              </w:rPr>
            </w:pPr>
          </w:p>
        </w:tc>
        <w:tc>
          <w:tcPr>
            <w:tcW w:w="800" w:type="dxa"/>
            <w:vAlign w:val="bottom"/>
            <w:tcBorders>
              <w:bottom w:val="single" w:sz="8" w:color="6D8CC3"/>
            </w:tcBorders>
          </w:tcPr>
          <w:p>
            <w:pPr>
              <w:spacing w:after="0"/>
              <w:rPr>
                <w:sz w:val="24"/>
                <w:szCs w:val="24"/>
                <w:color w:val="auto"/>
              </w:rPr>
            </w:pPr>
          </w:p>
        </w:tc>
        <w:tc>
          <w:tcPr>
            <w:tcW w:w="980" w:type="dxa"/>
            <w:vAlign w:val="bottom"/>
            <w:tcBorders>
              <w:bottom w:val="single" w:sz="8" w:color="6D8CC3"/>
            </w:tcBorders>
            <w:gridSpan w:val="2"/>
          </w:tcPr>
          <w:p>
            <w:pPr>
              <w:jc w:val="right"/>
              <w:ind w:right="140"/>
              <w:spacing w:after="0"/>
              <w:rPr>
                <w:sz w:val="20"/>
                <w:szCs w:val="20"/>
                <w:color w:val="auto"/>
              </w:rPr>
            </w:pPr>
            <w:r>
              <w:rPr>
                <w:rFonts w:ascii="Arial" w:cs="Arial" w:eastAsia="Arial" w:hAnsi="Arial"/>
                <w:sz w:val="14"/>
                <w:szCs w:val="14"/>
                <w:color w:val="auto"/>
              </w:rPr>
              <w:t>05/19/2023</w:t>
            </w:r>
          </w:p>
        </w:tc>
        <w:tc>
          <w:tcPr>
            <w:tcW w:w="880" w:type="dxa"/>
            <w:vAlign w:val="bottom"/>
            <w:tcBorders>
              <w:bottom w:val="single" w:sz="8" w:color="6D8CC3"/>
            </w:tcBorders>
          </w:tcPr>
          <w:p>
            <w:pPr>
              <w:ind w:left="300"/>
              <w:spacing w:after="0"/>
              <w:rPr>
                <w:sz w:val="20"/>
                <w:szCs w:val="20"/>
                <w:color w:val="auto"/>
              </w:rPr>
            </w:pPr>
            <w:r>
              <w:rPr>
                <w:rFonts w:ascii="Arial" w:cs="Arial" w:eastAsia="Arial" w:hAnsi="Arial"/>
                <w:sz w:val="14"/>
                <w:szCs w:val="14"/>
                <w:color w:val="auto"/>
                <w:w w:val="97"/>
              </w:rPr>
              <w:t xml:space="preserve">7,832 </w:t>
            </w:r>
            <w:r>
              <w:rPr>
                <w:rFonts w:ascii="Arial" w:cs="Arial" w:eastAsia="Arial" w:hAnsi="Arial"/>
                <w:sz w:val="23"/>
                <w:szCs w:val="23"/>
                <w:color w:val="auto"/>
                <w:w w:val="97"/>
                <w:vertAlign w:val="superscript"/>
              </w:rPr>
              <w:t>(8)</w:t>
            </w:r>
          </w:p>
        </w:tc>
        <w:tc>
          <w:tcPr>
            <w:tcW w:w="940" w:type="dxa"/>
            <w:vAlign w:val="bottom"/>
            <w:tcBorders>
              <w:bottom w:val="single" w:sz="8" w:color="6D8CC3"/>
            </w:tcBorders>
          </w:tcPr>
          <w:p>
            <w:pPr>
              <w:ind w:left="160"/>
              <w:spacing w:after="0"/>
              <w:rPr>
                <w:sz w:val="20"/>
                <w:szCs w:val="20"/>
                <w:color w:val="auto"/>
              </w:rPr>
            </w:pPr>
            <w:r>
              <w:rPr>
                <w:rFonts w:ascii="Arial" w:cs="Arial" w:eastAsia="Arial" w:hAnsi="Arial"/>
                <w:sz w:val="14"/>
                <w:szCs w:val="14"/>
                <w:color w:val="auto"/>
              </w:rPr>
              <w:t>​ 170,738</w:t>
            </w:r>
          </w:p>
        </w:tc>
        <w:tc>
          <w:tcPr>
            <w:tcW w:w="880" w:type="dxa"/>
            <w:vAlign w:val="bottom"/>
            <w:tcBorders>
              <w:bottom w:val="single" w:sz="8" w:color="6D8CC3"/>
            </w:tcBorders>
          </w:tcPr>
          <w:p>
            <w:pPr>
              <w:ind w:left="200"/>
              <w:spacing w:after="0"/>
              <w:rPr>
                <w:sz w:val="20"/>
                <w:szCs w:val="20"/>
                <w:color w:val="auto"/>
              </w:rPr>
            </w:pPr>
            <w:r>
              <w:rPr>
                <w:rFonts w:ascii="Arial" w:cs="Arial" w:eastAsia="Arial" w:hAnsi="Arial"/>
                <w:sz w:val="14"/>
                <w:szCs w:val="14"/>
                <w:color w:val="auto"/>
              </w:rPr>
              <w:t xml:space="preserve">19,578 </w:t>
            </w:r>
            <w:r>
              <w:rPr>
                <w:rFonts w:ascii="Arial" w:cs="Arial" w:eastAsia="Arial" w:hAnsi="Arial"/>
                <w:sz w:val="23"/>
                <w:szCs w:val="23"/>
                <w:color w:val="auto"/>
                <w:vertAlign w:val="superscript"/>
              </w:rPr>
              <w:t>(9)</w:t>
            </w:r>
          </w:p>
        </w:tc>
        <w:tc>
          <w:tcPr>
            <w:tcW w:w="1020" w:type="dxa"/>
            <w:vAlign w:val="bottom"/>
            <w:tcBorders>
              <w:bottom w:val="single" w:sz="8" w:color="6D8CC3"/>
            </w:tcBorders>
            <w:gridSpan w:val="2"/>
          </w:tcPr>
          <w:p>
            <w:pPr>
              <w:ind w:left="220"/>
              <w:spacing w:after="0"/>
              <w:rPr>
                <w:sz w:val="20"/>
                <w:szCs w:val="20"/>
                <w:color w:val="auto"/>
              </w:rPr>
            </w:pPr>
            <w:r>
              <w:rPr>
                <w:rFonts w:ascii="Arial" w:cs="Arial" w:eastAsia="Arial" w:hAnsi="Arial"/>
                <w:sz w:val="14"/>
                <w:szCs w:val="14"/>
                <w:color w:val="auto"/>
              </w:rPr>
              <w:t>​ 426,800</w:t>
            </w:r>
          </w:p>
        </w:tc>
        <w:tc>
          <w:tcPr>
            <w:tcW w:w="0" w:type="dxa"/>
            <w:vAlign w:val="bottom"/>
          </w:tcPr>
          <w:p>
            <w:pPr>
              <w:spacing w:after="0"/>
              <w:rPr>
                <w:sz w:val="1"/>
                <w:szCs w:val="1"/>
                <w:color w:val="auto"/>
              </w:rPr>
            </w:pPr>
          </w:p>
        </w:tc>
      </w:tr>
      <w:tr>
        <w:trPr>
          <w:trHeight w:val="282"/>
        </w:trPr>
        <w:tc>
          <w:tcPr>
            <w:tcW w:w="960" w:type="dxa"/>
            <w:vAlign w:val="bottom"/>
          </w:tcPr>
          <w:p>
            <w:pPr>
              <w:spacing w:after="0"/>
              <w:rPr>
                <w:sz w:val="24"/>
                <w:szCs w:val="24"/>
                <w:color w:val="auto"/>
              </w:rPr>
            </w:pPr>
          </w:p>
        </w:tc>
        <w:tc>
          <w:tcPr>
            <w:tcW w:w="820" w:type="dxa"/>
            <w:vAlign w:val="bottom"/>
            <w:tcBorders>
              <w:bottom w:val="single" w:sz="8" w:color="6D8CC3"/>
            </w:tcBorders>
          </w:tcPr>
          <w:p>
            <w:pPr>
              <w:spacing w:after="0"/>
              <w:rPr>
                <w:sz w:val="24"/>
                <w:szCs w:val="24"/>
                <w:color w:val="auto"/>
              </w:rPr>
            </w:pPr>
          </w:p>
        </w:tc>
        <w:tc>
          <w:tcPr>
            <w:tcW w:w="80" w:type="dxa"/>
            <w:vAlign w:val="bottom"/>
            <w:tcBorders>
              <w:bottom w:val="single" w:sz="8" w:color="6D8CC3"/>
            </w:tcBorders>
          </w:tcPr>
          <w:p>
            <w:pPr>
              <w:spacing w:after="0"/>
              <w:rPr>
                <w:sz w:val="24"/>
                <w:szCs w:val="24"/>
                <w:color w:val="auto"/>
              </w:rPr>
            </w:pPr>
          </w:p>
        </w:tc>
        <w:tc>
          <w:tcPr>
            <w:tcW w:w="940" w:type="dxa"/>
            <w:vAlign w:val="bottom"/>
            <w:tcBorders>
              <w:bottom w:val="single" w:sz="8" w:color="6D8CC3"/>
            </w:tcBorders>
          </w:tcPr>
          <w:p>
            <w:pPr>
              <w:spacing w:after="0"/>
              <w:rPr>
                <w:sz w:val="24"/>
                <w:szCs w:val="24"/>
                <w:color w:val="auto"/>
              </w:rPr>
            </w:pPr>
          </w:p>
        </w:tc>
        <w:tc>
          <w:tcPr>
            <w:tcW w:w="740" w:type="dxa"/>
            <w:vAlign w:val="bottom"/>
            <w:tcBorders>
              <w:bottom w:val="single" w:sz="8" w:color="6D8CC3"/>
            </w:tcBorders>
          </w:tcPr>
          <w:p>
            <w:pPr>
              <w:spacing w:after="0"/>
              <w:rPr>
                <w:sz w:val="24"/>
                <w:szCs w:val="24"/>
                <w:color w:val="auto"/>
              </w:rPr>
            </w:pPr>
          </w:p>
        </w:tc>
        <w:tc>
          <w:tcPr>
            <w:tcW w:w="800" w:type="dxa"/>
            <w:vAlign w:val="bottom"/>
            <w:tcBorders>
              <w:bottom w:val="single" w:sz="8" w:color="6D8CC3"/>
            </w:tcBorders>
          </w:tcPr>
          <w:p>
            <w:pPr>
              <w:spacing w:after="0"/>
              <w:rPr>
                <w:sz w:val="24"/>
                <w:szCs w:val="24"/>
                <w:color w:val="auto"/>
              </w:rPr>
            </w:pPr>
          </w:p>
        </w:tc>
        <w:tc>
          <w:tcPr>
            <w:tcW w:w="980" w:type="dxa"/>
            <w:vAlign w:val="bottom"/>
            <w:tcBorders>
              <w:bottom w:val="single" w:sz="8" w:color="6D8CC3"/>
            </w:tcBorders>
            <w:gridSpan w:val="2"/>
          </w:tcPr>
          <w:p>
            <w:pPr>
              <w:jc w:val="right"/>
              <w:ind w:right="140"/>
              <w:spacing w:after="0"/>
              <w:rPr>
                <w:sz w:val="20"/>
                <w:szCs w:val="20"/>
                <w:color w:val="auto"/>
              </w:rPr>
            </w:pPr>
            <w:r>
              <w:rPr>
                <w:rFonts w:ascii="Arial" w:cs="Arial" w:eastAsia="Arial" w:hAnsi="Arial"/>
                <w:sz w:val="14"/>
                <w:szCs w:val="14"/>
                <w:color w:val="auto"/>
              </w:rPr>
              <w:t>03/13/2024</w:t>
            </w:r>
          </w:p>
        </w:tc>
        <w:tc>
          <w:tcPr>
            <w:tcW w:w="880" w:type="dxa"/>
            <w:vAlign w:val="bottom"/>
            <w:tcBorders>
              <w:bottom w:val="single" w:sz="8" w:color="6D8CC3"/>
            </w:tcBorders>
          </w:tcPr>
          <w:p>
            <w:pPr>
              <w:ind w:left="220"/>
              <w:spacing w:after="0"/>
              <w:rPr>
                <w:sz w:val="20"/>
                <w:szCs w:val="20"/>
                <w:color w:val="auto"/>
              </w:rPr>
            </w:pPr>
            <w:r>
              <w:rPr>
                <w:rFonts w:ascii="Arial" w:cs="Arial" w:eastAsia="Arial" w:hAnsi="Arial"/>
                <w:sz w:val="14"/>
                <w:szCs w:val="14"/>
                <w:color w:val="auto"/>
                <w:w w:val="97"/>
              </w:rPr>
              <w:t xml:space="preserve">11,780 </w:t>
            </w:r>
            <w:r>
              <w:rPr>
                <w:rFonts w:ascii="Arial" w:cs="Arial" w:eastAsia="Arial" w:hAnsi="Arial"/>
                <w:sz w:val="23"/>
                <w:szCs w:val="23"/>
                <w:color w:val="auto"/>
                <w:w w:val="97"/>
                <w:vertAlign w:val="superscript"/>
              </w:rPr>
              <w:t>(4)</w:t>
            </w:r>
          </w:p>
        </w:tc>
        <w:tc>
          <w:tcPr>
            <w:tcW w:w="940" w:type="dxa"/>
            <w:vAlign w:val="bottom"/>
            <w:tcBorders>
              <w:bottom w:val="single" w:sz="8" w:color="6D8CC3"/>
            </w:tcBorders>
          </w:tcPr>
          <w:p>
            <w:pPr>
              <w:ind w:left="160"/>
              <w:spacing w:after="0"/>
              <w:rPr>
                <w:sz w:val="20"/>
                <w:szCs w:val="20"/>
                <w:color w:val="auto"/>
              </w:rPr>
            </w:pPr>
            <w:r>
              <w:rPr>
                <w:rFonts w:ascii="Arial" w:cs="Arial" w:eastAsia="Arial" w:hAnsi="Arial"/>
                <w:sz w:val="14"/>
                <w:szCs w:val="14"/>
                <w:color w:val="auto"/>
              </w:rPr>
              <w:t>​ 256,804</w:t>
            </w:r>
          </w:p>
        </w:tc>
        <w:tc>
          <w:tcPr>
            <w:tcW w:w="880" w:type="dxa"/>
            <w:vAlign w:val="bottom"/>
            <w:tcBorders>
              <w:bottom w:val="single" w:sz="8" w:color="6D8CC3"/>
            </w:tcBorders>
          </w:tcPr>
          <w:p>
            <w:pPr>
              <w:ind w:left="200"/>
              <w:spacing w:after="0"/>
              <w:rPr>
                <w:sz w:val="20"/>
                <w:szCs w:val="20"/>
                <w:color w:val="auto"/>
              </w:rPr>
            </w:pPr>
            <w:r>
              <w:rPr>
                <w:rFonts w:ascii="Arial" w:cs="Arial" w:eastAsia="Arial" w:hAnsi="Arial"/>
                <w:sz w:val="14"/>
                <w:szCs w:val="14"/>
                <w:color w:val="auto"/>
              </w:rPr>
              <w:t xml:space="preserve">16,826 </w:t>
            </w:r>
            <w:r>
              <w:rPr>
                <w:rFonts w:ascii="Arial" w:cs="Arial" w:eastAsia="Arial" w:hAnsi="Arial"/>
                <w:sz w:val="23"/>
                <w:szCs w:val="23"/>
                <w:color w:val="auto"/>
                <w:vertAlign w:val="superscript"/>
              </w:rPr>
              <w:t>(5)</w:t>
            </w:r>
          </w:p>
        </w:tc>
        <w:tc>
          <w:tcPr>
            <w:tcW w:w="1020" w:type="dxa"/>
            <w:vAlign w:val="bottom"/>
            <w:tcBorders>
              <w:bottom w:val="single" w:sz="8" w:color="6D8CC3"/>
            </w:tcBorders>
            <w:gridSpan w:val="2"/>
          </w:tcPr>
          <w:p>
            <w:pPr>
              <w:ind w:left="220"/>
              <w:spacing w:after="0"/>
              <w:rPr>
                <w:sz w:val="20"/>
                <w:szCs w:val="20"/>
                <w:color w:val="auto"/>
              </w:rPr>
            </w:pPr>
            <w:r>
              <w:rPr>
                <w:rFonts w:ascii="Arial" w:cs="Arial" w:eastAsia="Arial" w:hAnsi="Arial"/>
                <w:sz w:val="14"/>
                <w:szCs w:val="14"/>
                <w:color w:val="auto"/>
              </w:rPr>
              <w:t>​ 366,807</w:t>
            </w:r>
          </w:p>
        </w:tc>
        <w:tc>
          <w:tcPr>
            <w:tcW w:w="0" w:type="dxa"/>
            <w:vAlign w:val="bottom"/>
          </w:tcPr>
          <w:p>
            <w:pPr>
              <w:spacing w:after="0"/>
              <w:rPr>
                <w:sz w:val="1"/>
                <w:szCs w:val="1"/>
                <w:color w:val="auto"/>
              </w:rPr>
            </w:pPr>
          </w:p>
        </w:tc>
      </w:tr>
      <w:tr>
        <w:trPr>
          <w:trHeight w:val="268"/>
        </w:trPr>
        <w:tc>
          <w:tcPr>
            <w:tcW w:w="960" w:type="dxa"/>
            <w:vAlign w:val="bottom"/>
            <w:tcBorders>
              <w:bottom w:val="single" w:sz="8" w:color="292F72"/>
            </w:tcBorders>
          </w:tcPr>
          <w:p>
            <w:pPr>
              <w:spacing w:after="0"/>
              <w:rPr>
                <w:sz w:val="23"/>
                <w:szCs w:val="23"/>
                <w:color w:val="auto"/>
              </w:rPr>
            </w:pPr>
          </w:p>
        </w:tc>
        <w:tc>
          <w:tcPr>
            <w:tcW w:w="820" w:type="dxa"/>
            <w:vAlign w:val="bottom"/>
            <w:tcBorders>
              <w:bottom w:val="single" w:sz="8" w:color="292F72"/>
            </w:tcBorders>
          </w:tcPr>
          <w:p>
            <w:pPr>
              <w:spacing w:after="0"/>
              <w:rPr>
                <w:sz w:val="23"/>
                <w:szCs w:val="23"/>
                <w:color w:val="auto"/>
              </w:rPr>
            </w:pPr>
          </w:p>
        </w:tc>
        <w:tc>
          <w:tcPr>
            <w:tcW w:w="80" w:type="dxa"/>
            <w:vAlign w:val="bottom"/>
            <w:tcBorders>
              <w:bottom w:val="single" w:sz="8" w:color="292F72"/>
            </w:tcBorders>
          </w:tcPr>
          <w:p>
            <w:pPr>
              <w:spacing w:after="0"/>
              <w:rPr>
                <w:sz w:val="23"/>
                <w:szCs w:val="23"/>
                <w:color w:val="auto"/>
              </w:rPr>
            </w:pPr>
          </w:p>
        </w:tc>
        <w:tc>
          <w:tcPr>
            <w:tcW w:w="940" w:type="dxa"/>
            <w:vAlign w:val="bottom"/>
            <w:tcBorders>
              <w:bottom w:val="single" w:sz="8" w:color="292F72"/>
            </w:tcBorders>
          </w:tcPr>
          <w:p>
            <w:pPr>
              <w:spacing w:after="0"/>
              <w:rPr>
                <w:sz w:val="23"/>
                <w:szCs w:val="23"/>
                <w:color w:val="auto"/>
              </w:rPr>
            </w:pPr>
          </w:p>
        </w:tc>
        <w:tc>
          <w:tcPr>
            <w:tcW w:w="740" w:type="dxa"/>
            <w:vAlign w:val="bottom"/>
            <w:tcBorders>
              <w:bottom w:val="single" w:sz="8" w:color="292F72"/>
            </w:tcBorders>
          </w:tcPr>
          <w:p>
            <w:pPr>
              <w:spacing w:after="0"/>
              <w:rPr>
                <w:sz w:val="23"/>
                <w:szCs w:val="23"/>
                <w:color w:val="auto"/>
              </w:rPr>
            </w:pPr>
          </w:p>
        </w:tc>
        <w:tc>
          <w:tcPr>
            <w:tcW w:w="800" w:type="dxa"/>
            <w:vAlign w:val="bottom"/>
            <w:tcBorders>
              <w:bottom w:val="single" w:sz="8" w:color="292F72"/>
            </w:tcBorders>
          </w:tcPr>
          <w:p>
            <w:pPr>
              <w:spacing w:after="0"/>
              <w:rPr>
                <w:sz w:val="23"/>
                <w:szCs w:val="23"/>
                <w:color w:val="auto"/>
              </w:rPr>
            </w:pPr>
          </w:p>
        </w:tc>
        <w:tc>
          <w:tcPr>
            <w:tcW w:w="980" w:type="dxa"/>
            <w:vAlign w:val="bottom"/>
            <w:tcBorders>
              <w:bottom w:val="single" w:sz="8" w:color="292F72"/>
            </w:tcBorders>
            <w:gridSpan w:val="2"/>
          </w:tcPr>
          <w:p>
            <w:pPr>
              <w:jc w:val="right"/>
              <w:ind w:right="140"/>
              <w:spacing w:after="0"/>
              <w:rPr>
                <w:sz w:val="20"/>
                <w:szCs w:val="20"/>
                <w:color w:val="auto"/>
              </w:rPr>
            </w:pPr>
            <w:r>
              <w:rPr>
                <w:rFonts w:ascii="Arial" w:cs="Arial" w:eastAsia="Arial" w:hAnsi="Arial"/>
                <w:sz w:val="14"/>
                <w:szCs w:val="14"/>
                <w:color w:val="auto"/>
              </w:rPr>
              <w:t>03/13/2025</w:t>
            </w:r>
          </w:p>
        </w:tc>
        <w:tc>
          <w:tcPr>
            <w:tcW w:w="880" w:type="dxa"/>
            <w:vAlign w:val="bottom"/>
            <w:tcBorders>
              <w:bottom w:val="single" w:sz="8" w:color="292F72"/>
            </w:tcBorders>
          </w:tcPr>
          <w:p>
            <w:pPr>
              <w:ind w:left="220"/>
              <w:spacing w:after="0"/>
              <w:rPr>
                <w:sz w:val="20"/>
                <w:szCs w:val="20"/>
                <w:color w:val="auto"/>
              </w:rPr>
            </w:pPr>
            <w:r>
              <w:rPr>
                <w:rFonts w:ascii="Arial" w:cs="Arial" w:eastAsia="Arial" w:hAnsi="Arial"/>
                <w:sz w:val="14"/>
                <w:szCs w:val="14"/>
                <w:color w:val="auto"/>
                <w:w w:val="97"/>
              </w:rPr>
              <w:t xml:space="preserve">28,330 </w:t>
            </w:r>
            <w:r>
              <w:rPr>
                <w:rFonts w:ascii="Arial" w:cs="Arial" w:eastAsia="Arial" w:hAnsi="Arial"/>
                <w:sz w:val="23"/>
                <w:szCs w:val="23"/>
                <w:color w:val="auto"/>
                <w:w w:val="97"/>
                <w:vertAlign w:val="superscript"/>
              </w:rPr>
              <w:t>(6)</w:t>
            </w:r>
          </w:p>
        </w:tc>
        <w:tc>
          <w:tcPr>
            <w:tcW w:w="940" w:type="dxa"/>
            <w:vAlign w:val="bottom"/>
            <w:tcBorders>
              <w:bottom w:val="single" w:sz="8" w:color="292F72"/>
            </w:tcBorders>
          </w:tcPr>
          <w:p>
            <w:pPr>
              <w:ind w:left="160"/>
              <w:spacing w:after="0"/>
              <w:rPr>
                <w:sz w:val="20"/>
                <w:szCs w:val="20"/>
                <w:color w:val="auto"/>
              </w:rPr>
            </w:pPr>
            <w:r>
              <w:rPr>
                <w:rFonts w:ascii="Arial" w:cs="Arial" w:eastAsia="Arial" w:hAnsi="Arial"/>
                <w:sz w:val="14"/>
                <w:szCs w:val="14"/>
                <w:color w:val="auto"/>
              </w:rPr>
              <w:t>​ 617,594</w:t>
            </w:r>
          </w:p>
        </w:tc>
        <w:tc>
          <w:tcPr>
            <w:tcW w:w="880" w:type="dxa"/>
            <w:vAlign w:val="bottom"/>
            <w:tcBorders>
              <w:bottom w:val="single" w:sz="8" w:color="292F72"/>
            </w:tcBorders>
          </w:tcPr>
          <w:p>
            <w:pPr>
              <w:ind w:left="200"/>
              <w:spacing w:after="0"/>
              <w:rPr>
                <w:sz w:val="20"/>
                <w:szCs w:val="20"/>
                <w:color w:val="auto"/>
              </w:rPr>
            </w:pPr>
            <w:r>
              <w:rPr>
                <w:rFonts w:ascii="Arial" w:cs="Arial" w:eastAsia="Arial" w:hAnsi="Arial"/>
                <w:sz w:val="14"/>
                <w:szCs w:val="14"/>
                <w:color w:val="auto"/>
              </w:rPr>
              <w:t xml:space="preserve">28,330 </w:t>
            </w:r>
            <w:r>
              <w:rPr>
                <w:rFonts w:ascii="Arial" w:cs="Arial" w:eastAsia="Arial" w:hAnsi="Arial"/>
                <w:sz w:val="23"/>
                <w:szCs w:val="23"/>
                <w:color w:val="auto"/>
                <w:vertAlign w:val="superscript"/>
              </w:rPr>
              <w:t>(7)</w:t>
            </w:r>
          </w:p>
        </w:tc>
        <w:tc>
          <w:tcPr>
            <w:tcW w:w="1020" w:type="dxa"/>
            <w:vAlign w:val="bottom"/>
            <w:tcBorders>
              <w:bottom w:val="single" w:sz="8" w:color="292F72"/>
            </w:tcBorders>
            <w:gridSpan w:val="2"/>
          </w:tcPr>
          <w:p>
            <w:pPr>
              <w:ind w:left="220"/>
              <w:spacing w:after="0"/>
              <w:rPr>
                <w:sz w:val="20"/>
                <w:szCs w:val="20"/>
                <w:color w:val="auto"/>
              </w:rPr>
            </w:pPr>
            <w:r>
              <w:rPr>
                <w:rFonts w:ascii="Arial" w:cs="Arial" w:eastAsia="Arial" w:hAnsi="Arial"/>
                <w:sz w:val="14"/>
                <w:szCs w:val="14"/>
                <w:color w:val="auto"/>
              </w:rPr>
              <w:t>​ 617,594</w:t>
            </w: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260" w:hanging="256"/>
        <w:spacing w:after="0"/>
        <w:tabs>
          <w:tab w:leader="none" w:pos="260" w:val="left"/>
        </w:tabs>
        <w:numPr>
          <w:ilvl w:val="0"/>
          <w:numId w:val="74"/>
        </w:numPr>
        <w:rPr>
          <w:rFonts w:ascii="Arial" w:cs="Arial" w:eastAsia="Arial" w:hAnsi="Arial"/>
          <w:sz w:val="14"/>
          <w:szCs w:val="14"/>
          <w:color w:val="auto"/>
        </w:rPr>
      </w:pPr>
      <w:r>
        <w:rPr>
          <w:rFonts w:ascii="Arial" w:cs="Arial" w:eastAsia="Arial" w:hAnsi="Arial"/>
          <w:sz w:val="14"/>
          <w:szCs w:val="14"/>
          <w:color w:val="auto"/>
        </w:rPr>
        <w:t>Shares will vest 30% on May 16, 2026, and will vest 30% on May 16, 2027 and 40% on May 16, 2028.</w:t>
      </w:r>
    </w:p>
    <w:p>
      <w:pPr>
        <w:spacing w:after="0" w:line="61" w:lineRule="exact"/>
        <w:rPr>
          <w:rFonts w:ascii="Arial" w:cs="Arial" w:eastAsia="Arial" w:hAnsi="Arial"/>
          <w:sz w:val="14"/>
          <w:szCs w:val="14"/>
          <w:color w:val="auto"/>
        </w:rPr>
      </w:pPr>
    </w:p>
    <w:p>
      <w:pPr>
        <w:ind w:left="260" w:hanging="256"/>
        <w:spacing w:after="0"/>
        <w:tabs>
          <w:tab w:leader="none" w:pos="260" w:val="left"/>
        </w:tabs>
        <w:numPr>
          <w:ilvl w:val="0"/>
          <w:numId w:val="74"/>
        </w:numPr>
        <w:rPr>
          <w:rFonts w:ascii="Arial" w:cs="Arial" w:eastAsia="Arial" w:hAnsi="Arial"/>
          <w:sz w:val="14"/>
          <w:szCs w:val="14"/>
          <w:color w:val="auto"/>
        </w:rPr>
      </w:pPr>
      <w:r>
        <w:rPr>
          <w:rFonts w:ascii="Arial" w:cs="Arial" w:eastAsia="Arial" w:hAnsi="Arial"/>
          <w:sz w:val="14"/>
          <w:szCs w:val="14"/>
          <w:color w:val="auto"/>
        </w:rPr>
        <w:t>Subject to achievement of performance conditions (assumed at target), 100% of these shares vest on May 16, 2028.</w:t>
      </w:r>
    </w:p>
    <w:p>
      <w:pPr>
        <w:spacing w:after="0" w:line="61" w:lineRule="exact"/>
        <w:rPr>
          <w:rFonts w:ascii="Arial" w:cs="Arial" w:eastAsia="Arial" w:hAnsi="Arial"/>
          <w:sz w:val="14"/>
          <w:szCs w:val="14"/>
          <w:color w:val="auto"/>
        </w:rPr>
      </w:pPr>
    </w:p>
    <w:p>
      <w:pPr>
        <w:ind w:left="260" w:hanging="256"/>
        <w:spacing w:after="0"/>
        <w:tabs>
          <w:tab w:leader="none" w:pos="260" w:val="left"/>
        </w:tabs>
        <w:numPr>
          <w:ilvl w:val="0"/>
          <w:numId w:val="74"/>
        </w:numPr>
        <w:rPr>
          <w:rFonts w:ascii="Arial" w:cs="Arial" w:eastAsia="Arial" w:hAnsi="Arial"/>
          <w:sz w:val="14"/>
          <w:szCs w:val="14"/>
          <w:color w:val="auto"/>
        </w:rPr>
      </w:pPr>
      <w:r>
        <w:rPr>
          <w:rFonts w:ascii="Arial" w:cs="Arial" w:eastAsia="Arial" w:hAnsi="Arial"/>
          <w:sz w:val="14"/>
          <w:szCs w:val="14"/>
          <w:color w:val="auto"/>
        </w:rPr>
        <w:t>Remaining shares to vest on August 1, 2026.</w:t>
      </w:r>
    </w:p>
    <w:p>
      <w:pPr>
        <w:spacing w:after="0" w:line="75" w:lineRule="exact"/>
        <w:rPr>
          <w:rFonts w:ascii="Arial" w:cs="Arial" w:eastAsia="Arial" w:hAnsi="Arial"/>
          <w:sz w:val="14"/>
          <w:szCs w:val="14"/>
          <w:color w:val="auto"/>
        </w:rPr>
      </w:pPr>
    </w:p>
    <w:p>
      <w:pPr>
        <w:ind w:left="260" w:hanging="256"/>
        <w:spacing w:after="0"/>
        <w:tabs>
          <w:tab w:leader="none" w:pos="260" w:val="left"/>
        </w:tabs>
        <w:numPr>
          <w:ilvl w:val="0"/>
          <w:numId w:val="74"/>
        </w:numPr>
        <w:rPr>
          <w:rFonts w:ascii="Arial" w:cs="Arial" w:eastAsia="Arial" w:hAnsi="Arial"/>
          <w:sz w:val="14"/>
          <w:szCs w:val="14"/>
          <w:color w:val="auto"/>
        </w:rPr>
      </w:pPr>
      <w:r>
        <w:rPr>
          <w:rFonts w:ascii="Arial" w:cs="Arial" w:eastAsia="Arial" w:hAnsi="Arial"/>
          <w:sz w:val="14"/>
          <w:szCs w:val="14"/>
          <w:color w:val="auto"/>
        </w:rPr>
        <w:t>Shares vested 43% on March 13, 2026 and 57% will vest on March 13, 2027.</w:t>
      </w:r>
    </w:p>
    <w:p>
      <w:pPr>
        <w:spacing w:after="0" w:line="61" w:lineRule="exact"/>
        <w:rPr>
          <w:rFonts w:ascii="Arial" w:cs="Arial" w:eastAsia="Arial" w:hAnsi="Arial"/>
          <w:sz w:val="14"/>
          <w:szCs w:val="14"/>
          <w:color w:val="auto"/>
        </w:rPr>
      </w:pPr>
    </w:p>
    <w:p>
      <w:pPr>
        <w:ind w:left="260" w:hanging="256"/>
        <w:spacing w:after="0"/>
        <w:tabs>
          <w:tab w:leader="none" w:pos="260" w:val="left"/>
        </w:tabs>
        <w:numPr>
          <w:ilvl w:val="0"/>
          <w:numId w:val="74"/>
        </w:numPr>
        <w:rPr>
          <w:rFonts w:ascii="Arial" w:cs="Arial" w:eastAsia="Arial" w:hAnsi="Arial"/>
          <w:sz w:val="14"/>
          <w:szCs w:val="14"/>
          <w:color w:val="auto"/>
        </w:rPr>
      </w:pPr>
      <w:r>
        <w:rPr>
          <w:rFonts w:ascii="Arial" w:cs="Arial" w:eastAsia="Arial" w:hAnsi="Arial"/>
          <w:sz w:val="14"/>
          <w:szCs w:val="14"/>
          <w:color w:val="auto"/>
        </w:rPr>
        <w:t>Subject to achievement of performance conditions (assumed at target), 100% of these shares vest on March 13, 2027.</w:t>
      </w:r>
    </w:p>
    <w:p>
      <w:pPr>
        <w:spacing w:after="0" w:line="61" w:lineRule="exact"/>
        <w:rPr>
          <w:rFonts w:ascii="Arial" w:cs="Arial" w:eastAsia="Arial" w:hAnsi="Arial"/>
          <w:sz w:val="14"/>
          <w:szCs w:val="14"/>
          <w:color w:val="auto"/>
        </w:rPr>
      </w:pPr>
    </w:p>
    <w:p>
      <w:pPr>
        <w:ind w:left="260" w:hanging="256"/>
        <w:spacing w:after="0"/>
        <w:tabs>
          <w:tab w:leader="none" w:pos="260" w:val="left"/>
        </w:tabs>
        <w:numPr>
          <w:ilvl w:val="0"/>
          <w:numId w:val="74"/>
        </w:numPr>
        <w:rPr>
          <w:rFonts w:ascii="Arial" w:cs="Arial" w:eastAsia="Arial" w:hAnsi="Arial"/>
          <w:sz w:val="14"/>
          <w:szCs w:val="14"/>
          <w:color w:val="auto"/>
        </w:rPr>
      </w:pPr>
      <w:r>
        <w:rPr>
          <w:rFonts w:ascii="Arial" w:cs="Arial" w:eastAsia="Arial" w:hAnsi="Arial"/>
          <w:sz w:val="14"/>
          <w:szCs w:val="14"/>
          <w:color w:val="auto"/>
        </w:rPr>
        <w:t>Shares vested 30% on March 13, 2026, and will vest 30% on March 13, 2027 and 40% on March 13, 2028.</w:t>
      </w:r>
    </w:p>
    <w:p>
      <w:pPr>
        <w:spacing w:after="0" w:line="75" w:lineRule="exact"/>
        <w:rPr>
          <w:rFonts w:ascii="Arial" w:cs="Arial" w:eastAsia="Arial" w:hAnsi="Arial"/>
          <w:sz w:val="14"/>
          <w:szCs w:val="14"/>
          <w:color w:val="auto"/>
        </w:rPr>
      </w:pPr>
    </w:p>
    <w:p>
      <w:pPr>
        <w:ind w:left="260" w:hanging="256"/>
        <w:spacing w:after="0"/>
        <w:tabs>
          <w:tab w:leader="none" w:pos="260" w:val="left"/>
        </w:tabs>
        <w:numPr>
          <w:ilvl w:val="0"/>
          <w:numId w:val="74"/>
        </w:numPr>
        <w:rPr>
          <w:rFonts w:ascii="Arial" w:cs="Arial" w:eastAsia="Arial" w:hAnsi="Arial"/>
          <w:sz w:val="14"/>
          <w:szCs w:val="14"/>
          <w:color w:val="auto"/>
        </w:rPr>
      </w:pPr>
      <w:r>
        <w:rPr>
          <w:rFonts w:ascii="Arial" w:cs="Arial" w:eastAsia="Arial" w:hAnsi="Arial"/>
          <w:sz w:val="14"/>
          <w:szCs w:val="14"/>
          <w:color w:val="auto"/>
        </w:rPr>
        <w:t>Subject to achievement of performance conditions (assumed at target), 100% of these shares vest on March 13, 2028.</w:t>
      </w:r>
    </w:p>
    <w:p>
      <w:pPr>
        <w:spacing w:after="0" w:line="61" w:lineRule="exact"/>
        <w:rPr>
          <w:rFonts w:ascii="Arial" w:cs="Arial" w:eastAsia="Arial" w:hAnsi="Arial"/>
          <w:sz w:val="14"/>
          <w:szCs w:val="14"/>
          <w:color w:val="auto"/>
        </w:rPr>
      </w:pPr>
    </w:p>
    <w:p>
      <w:pPr>
        <w:ind w:left="260" w:hanging="256"/>
        <w:spacing w:after="0"/>
        <w:tabs>
          <w:tab w:leader="none" w:pos="260" w:val="left"/>
        </w:tabs>
        <w:numPr>
          <w:ilvl w:val="0"/>
          <w:numId w:val="74"/>
        </w:numPr>
        <w:rPr>
          <w:rFonts w:ascii="Arial" w:cs="Arial" w:eastAsia="Arial" w:hAnsi="Arial"/>
          <w:sz w:val="14"/>
          <w:szCs w:val="14"/>
          <w:color w:val="auto"/>
        </w:rPr>
      </w:pPr>
      <w:r>
        <w:rPr>
          <w:rFonts w:ascii="Arial" w:cs="Arial" w:eastAsia="Arial" w:hAnsi="Arial"/>
          <w:sz w:val="14"/>
          <w:szCs w:val="14"/>
          <w:color w:val="auto"/>
        </w:rPr>
        <w:t>Remaining shares to vest on May 19, 2026.</w:t>
      </w:r>
    </w:p>
    <w:p>
      <w:pPr>
        <w:spacing w:after="0" w:line="61" w:lineRule="exact"/>
        <w:rPr>
          <w:rFonts w:ascii="Arial" w:cs="Arial" w:eastAsia="Arial" w:hAnsi="Arial"/>
          <w:sz w:val="14"/>
          <w:szCs w:val="14"/>
          <w:color w:val="auto"/>
        </w:rPr>
      </w:pPr>
    </w:p>
    <w:p>
      <w:pPr>
        <w:ind w:left="260" w:hanging="256"/>
        <w:spacing w:after="0"/>
        <w:tabs>
          <w:tab w:leader="none" w:pos="260" w:val="left"/>
        </w:tabs>
        <w:numPr>
          <w:ilvl w:val="0"/>
          <w:numId w:val="74"/>
        </w:numPr>
        <w:rPr>
          <w:rFonts w:ascii="Arial" w:cs="Arial" w:eastAsia="Arial" w:hAnsi="Arial"/>
          <w:sz w:val="14"/>
          <w:szCs w:val="14"/>
          <w:color w:val="auto"/>
        </w:rPr>
      </w:pPr>
      <w:r>
        <w:rPr>
          <w:rFonts w:ascii="Arial" w:cs="Arial" w:eastAsia="Arial" w:hAnsi="Arial"/>
          <w:sz w:val="14"/>
          <w:szCs w:val="14"/>
          <w:color w:val="auto"/>
        </w:rPr>
        <w:t>Subject to achievement of performance conditions (assumed at target), 100% of these shares vest on May 19, 2026.</w:t>
      </w:r>
    </w:p>
    <w:p>
      <w:pPr>
        <w:spacing w:after="0" w:line="75" w:lineRule="exact"/>
        <w:rPr>
          <w:rFonts w:ascii="Arial" w:cs="Arial" w:eastAsia="Arial" w:hAnsi="Arial"/>
          <w:sz w:val="14"/>
          <w:szCs w:val="14"/>
          <w:color w:val="auto"/>
        </w:rPr>
      </w:pPr>
    </w:p>
    <w:p>
      <w:pPr>
        <w:ind w:left="260" w:right="40" w:hanging="256"/>
        <w:spacing w:after="0" w:line="246" w:lineRule="auto"/>
        <w:tabs>
          <w:tab w:leader="none" w:pos="260" w:val="left"/>
        </w:tabs>
        <w:numPr>
          <w:ilvl w:val="0"/>
          <w:numId w:val="74"/>
        </w:numPr>
        <w:rPr>
          <w:rFonts w:ascii="Arial" w:cs="Arial" w:eastAsia="Arial" w:hAnsi="Arial"/>
          <w:sz w:val="14"/>
          <w:szCs w:val="14"/>
          <w:color w:val="auto"/>
        </w:rPr>
      </w:pPr>
      <w:r>
        <w:rPr>
          <w:rFonts w:ascii="Arial" w:cs="Arial" w:eastAsia="Arial" w:hAnsi="Arial"/>
          <w:sz w:val="14"/>
          <w:szCs w:val="14"/>
          <w:color w:val="auto"/>
        </w:rPr>
        <w:t>Pursuant to the terms of the Employee Matters Agreement, dated as of August 2, 2021, by and between the Company and Victoria’s Secret &amp; Co., each applicable stock option, RSU and PSU held by our associates (including the applicable NEOs) as of such date was equitably adjusted upon the occurrence of the separation of the Company and Victoria’s Secret &amp; Co. These amounts reflect these equitable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120015</wp:posOffset>
            </wp:positionV>
            <wp:extent cx="573722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737225"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b w:val="1"/>
          <w:bCs w:val="1"/>
          <w:color w:val="292F72"/>
        </w:rPr>
        <w:t>48</w:t>
      </w:r>
      <w:r>
        <w:rPr>
          <w:rFonts w:ascii="Arial" w:cs="Arial" w:eastAsia="Arial" w:hAnsi="Arial"/>
          <w:sz w:val="14"/>
          <w:szCs w:val="14"/>
          <w:color w:val="292F72"/>
        </w:rPr>
        <w:t xml:space="preserve">     Bath &amp; Body Works, Inc.</w:t>
      </w:r>
      <w:r>
        <w:rPr>
          <w:rFonts w:ascii="Arial" w:cs="Arial" w:eastAsia="Arial" w:hAnsi="Arial"/>
          <w:sz w:val="14"/>
          <w:szCs w:val="14"/>
          <w:color w:val="6D8CC3"/>
        </w:rPr>
        <w:t xml:space="preserve">   | </w:t>
      </w:r>
      <w:r>
        <w:rPr>
          <w:rFonts w:ascii="Arial" w:cs="Arial" w:eastAsia="Arial" w:hAnsi="Arial"/>
          <w:sz w:val="14"/>
          <w:szCs w:val="14"/>
          <w:b w:val="1"/>
          <w:bCs w:val="1"/>
          <w:color w:val="292F72"/>
        </w:rPr>
        <w:t xml:space="preserve">  </w:t>
      </w:r>
      <w:r>
        <w:rPr>
          <w:rFonts w:ascii="Arial" w:cs="Arial" w:eastAsia="Arial" w:hAnsi="Arial"/>
          <w:sz w:val="14"/>
          <w:szCs w:val="14"/>
          <w:color w:val="292F72"/>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170180</wp:posOffset>
            </wp:positionV>
            <wp:extent cx="6795135" cy="1651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795135" cy="16510"/>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2" w:lineRule="exact"/>
        <w:rPr>
          <w:sz w:val="20"/>
          <w:szCs w:val="20"/>
          <w:color w:val="auto"/>
        </w:rPr>
      </w:pPr>
    </w:p>
    <w:p>
      <w:pPr>
        <w:ind w:left="6840"/>
        <w:spacing w:after="0"/>
        <w:rPr>
          <w:sz w:val="20"/>
          <w:szCs w:val="20"/>
          <w:color w:val="auto"/>
        </w:rPr>
      </w:pPr>
      <w:r>
        <w:rPr>
          <w:rFonts w:ascii="Arial" w:cs="Arial" w:eastAsia="Arial" w:hAnsi="Arial"/>
          <w:sz w:val="15"/>
          <w:szCs w:val="15"/>
          <w:color w:val="292F72"/>
        </w:rPr>
        <w:t>Compensation-Related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48260</wp:posOffset>
            </wp:positionV>
            <wp:extent cx="1407160" cy="3302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407160" cy="33020"/>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Arial" w:cs="Arial" w:eastAsia="Arial" w:hAnsi="Arial"/>
          <w:sz w:val="23"/>
          <w:szCs w:val="23"/>
          <w:b w:val="1"/>
          <w:bCs w:val="1"/>
          <w:color w:val="292F72"/>
        </w:rPr>
        <w:t>Option Exercises and Stock Vested Information for Fiscal 2025</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provides information relating to option awards exercised and RSU and PSU awards vested during fiscal 2025.</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6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220" w:type="dxa"/>
            <w:vAlign w:val="bottom"/>
            <w:gridSpan w:val="2"/>
          </w:tcPr>
          <w:p>
            <w:pPr>
              <w:ind w:left="520"/>
              <w:spacing w:after="0"/>
              <w:rPr>
                <w:sz w:val="20"/>
                <w:szCs w:val="20"/>
                <w:color w:val="auto"/>
              </w:rPr>
            </w:pPr>
            <w:r>
              <w:rPr>
                <w:rFonts w:ascii="Arial" w:cs="Arial" w:eastAsia="Arial" w:hAnsi="Arial"/>
                <w:sz w:val="14"/>
                <w:szCs w:val="14"/>
                <w:b w:val="1"/>
                <w:bCs w:val="1"/>
                <w:color w:val="292F72"/>
              </w:rPr>
              <w:t>OPTION AWARDS</w:t>
            </w:r>
          </w:p>
        </w:tc>
        <w:tc>
          <w:tcPr>
            <w:tcW w:w="260" w:type="dxa"/>
            <w:vAlign w:val="bottom"/>
          </w:tcPr>
          <w:p>
            <w:pPr>
              <w:spacing w:after="0"/>
              <w:rPr>
                <w:sz w:val="16"/>
                <w:szCs w:val="16"/>
                <w:color w:val="auto"/>
              </w:rPr>
            </w:pPr>
          </w:p>
        </w:tc>
        <w:tc>
          <w:tcPr>
            <w:tcW w:w="2220" w:type="dxa"/>
            <w:vAlign w:val="bottom"/>
            <w:gridSpan w:val="2"/>
          </w:tcPr>
          <w:p>
            <w:pPr>
              <w:jc w:val="right"/>
              <w:ind w:right="466"/>
              <w:spacing w:after="0"/>
              <w:rPr>
                <w:sz w:val="20"/>
                <w:szCs w:val="20"/>
                <w:color w:val="auto"/>
              </w:rPr>
            </w:pPr>
            <w:r>
              <w:rPr>
                <w:rFonts w:ascii="Arial" w:cs="Arial" w:eastAsia="Arial" w:hAnsi="Arial"/>
                <w:sz w:val="14"/>
                <w:szCs w:val="14"/>
                <w:b w:val="1"/>
                <w:bCs w:val="1"/>
                <w:color w:val="292F72"/>
              </w:rPr>
              <w:t>STOCK AWARDS</w:t>
            </w:r>
          </w:p>
        </w:tc>
        <w:tc>
          <w:tcPr>
            <w:tcW w:w="0" w:type="dxa"/>
            <w:vAlign w:val="bottom"/>
          </w:tcPr>
          <w:p>
            <w:pPr>
              <w:spacing w:after="0"/>
              <w:rPr>
                <w:sz w:val="1"/>
                <w:szCs w:val="1"/>
                <w:color w:val="auto"/>
              </w:rPr>
            </w:pPr>
          </w:p>
        </w:tc>
      </w:tr>
      <w:tr>
        <w:trPr>
          <w:trHeight w:val="66"/>
        </w:trPr>
        <w:tc>
          <w:tcPr>
            <w:tcW w:w="26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2620" w:type="dxa"/>
            <w:vAlign w:val="bottom"/>
          </w:tcPr>
          <w:p>
            <w:pPr>
              <w:spacing w:after="0"/>
              <w:rPr>
                <w:sz w:val="19"/>
                <w:szCs w:val="19"/>
                <w:color w:val="auto"/>
              </w:rPr>
            </w:pPr>
          </w:p>
        </w:tc>
        <w:tc>
          <w:tcPr>
            <w:tcW w:w="2860" w:type="dxa"/>
            <w:vAlign w:val="bottom"/>
            <w:gridSpan w:val="2"/>
          </w:tcPr>
          <w:p>
            <w:pPr>
              <w:ind w:left="1720"/>
              <w:spacing w:after="0"/>
              <w:rPr>
                <w:sz w:val="20"/>
                <w:szCs w:val="20"/>
                <w:color w:val="auto"/>
              </w:rPr>
            </w:pPr>
            <w:r>
              <w:rPr>
                <w:rFonts w:ascii="Arial" w:cs="Arial" w:eastAsia="Arial" w:hAnsi="Arial"/>
                <w:sz w:val="14"/>
                <w:szCs w:val="14"/>
                <w:b w:val="1"/>
                <w:bCs w:val="1"/>
                <w:color w:val="292F72"/>
              </w:rPr>
              <w:t>NUMBER OF</w:t>
            </w:r>
          </w:p>
        </w:tc>
        <w:tc>
          <w:tcPr>
            <w:tcW w:w="1080" w:type="dxa"/>
            <w:vAlign w:val="bottom"/>
          </w:tcPr>
          <w:p>
            <w:pPr>
              <w:spacing w:after="0"/>
              <w:rPr>
                <w:sz w:val="19"/>
                <w:szCs w:val="19"/>
                <w:color w:val="auto"/>
              </w:rPr>
            </w:pPr>
          </w:p>
        </w:tc>
        <w:tc>
          <w:tcPr>
            <w:tcW w:w="1400" w:type="dxa"/>
            <w:vAlign w:val="bottom"/>
            <w:gridSpan w:val="2"/>
          </w:tcPr>
          <w:p>
            <w:pPr>
              <w:ind w:left="260"/>
              <w:spacing w:after="0"/>
              <w:rPr>
                <w:sz w:val="20"/>
                <w:szCs w:val="20"/>
                <w:color w:val="auto"/>
              </w:rPr>
            </w:pPr>
            <w:r>
              <w:rPr>
                <w:rFonts w:ascii="Arial" w:cs="Arial" w:eastAsia="Arial" w:hAnsi="Arial"/>
                <w:sz w:val="14"/>
                <w:szCs w:val="14"/>
                <w:b w:val="1"/>
                <w:bCs w:val="1"/>
                <w:color w:val="292F72"/>
              </w:rPr>
              <w:t>NUMBER OF</w:t>
            </w:r>
          </w:p>
        </w:tc>
        <w:tc>
          <w:tcPr>
            <w:tcW w:w="1080" w:type="dxa"/>
            <w:vAlign w:val="bottom"/>
            <w:vMerge w:val="restart"/>
          </w:tcPr>
          <w:p>
            <w:pPr>
              <w:ind w:left="120"/>
              <w:spacing w:after="0"/>
              <w:rPr>
                <w:sz w:val="20"/>
                <w:szCs w:val="20"/>
                <w:color w:val="auto"/>
              </w:rPr>
            </w:pPr>
            <w:r>
              <w:rPr>
                <w:rFonts w:ascii="Arial" w:cs="Arial" w:eastAsia="Arial" w:hAnsi="Arial"/>
                <w:sz w:val="14"/>
                <w:szCs w:val="14"/>
                <w:b w:val="1"/>
                <w:bCs w:val="1"/>
                <w:color w:val="292F72"/>
              </w:rPr>
              <w:t>VALUE</w:t>
            </w:r>
          </w:p>
        </w:tc>
        <w:tc>
          <w:tcPr>
            <w:tcW w:w="0" w:type="dxa"/>
            <w:vAlign w:val="bottom"/>
          </w:tcPr>
          <w:p>
            <w:pPr>
              <w:spacing w:after="0"/>
              <w:rPr>
                <w:sz w:val="1"/>
                <w:szCs w:val="1"/>
                <w:color w:val="auto"/>
              </w:rPr>
            </w:pPr>
          </w:p>
        </w:tc>
      </w:tr>
      <w:tr>
        <w:trPr>
          <w:trHeight w:val="141"/>
        </w:trPr>
        <w:tc>
          <w:tcPr>
            <w:tcW w:w="2620" w:type="dxa"/>
            <w:vAlign w:val="bottom"/>
          </w:tcPr>
          <w:p>
            <w:pPr>
              <w:spacing w:after="0"/>
              <w:rPr>
                <w:sz w:val="12"/>
                <w:szCs w:val="12"/>
                <w:color w:val="auto"/>
              </w:rPr>
            </w:pPr>
          </w:p>
        </w:tc>
        <w:tc>
          <w:tcPr>
            <w:tcW w:w="2860" w:type="dxa"/>
            <w:vAlign w:val="bottom"/>
            <w:gridSpan w:val="2"/>
          </w:tcPr>
          <w:p>
            <w:pPr>
              <w:ind w:left="1720"/>
              <w:spacing w:after="0" w:line="141" w:lineRule="exact"/>
              <w:rPr>
                <w:sz w:val="20"/>
                <w:szCs w:val="20"/>
                <w:color w:val="auto"/>
              </w:rPr>
            </w:pPr>
            <w:r>
              <w:rPr>
                <w:rFonts w:ascii="Arial" w:cs="Arial" w:eastAsia="Arial" w:hAnsi="Arial"/>
                <w:sz w:val="14"/>
                <w:szCs w:val="14"/>
                <w:b w:val="1"/>
                <w:bCs w:val="1"/>
                <w:color w:val="292F72"/>
              </w:rPr>
              <w:t>SHARES</w:t>
            </w:r>
          </w:p>
        </w:tc>
        <w:tc>
          <w:tcPr>
            <w:tcW w:w="1080" w:type="dxa"/>
            <w:vAlign w:val="bottom"/>
          </w:tcPr>
          <w:p>
            <w:pPr>
              <w:ind w:left="120"/>
              <w:spacing w:after="0" w:line="141" w:lineRule="exact"/>
              <w:rPr>
                <w:sz w:val="20"/>
                <w:szCs w:val="20"/>
                <w:color w:val="auto"/>
              </w:rPr>
            </w:pPr>
            <w:r>
              <w:rPr>
                <w:rFonts w:ascii="Arial" w:cs="Arial" w:eastAsia="Arial" w:hAnsi="Arial"/>
                <w:sz w:val="14"/>
                <w:szCs w:val="14"/>
                <w:b w:val="1"/>
                <w:bCs w:val="1"/>
                <w:color w:val="292F72"/>
              </w:rPr>
              <w:t>VALUE</w:t>
            </w:r>
          </w:p>
        </w:tc>
        <w:tc>
          <w:tcPr>
            <w:tcW w:w="1400" w:type="dxa"/>
            <w:vAlign w:val="bottom"/>
            <w:gridSpan w:val="2"/>
          </w:tcPr>
          <w:p>
            <w:pPr>
              <w:ind w:left="260"/>
              <w:spacing w:after="0" w:line="141" w:lineRule="exact"/>
              <w:rPr>
                <w:sz w:val="20"/>
                <w:szCs w:val="20"/>
                <w:color w:val="auto"/>
              </w:rPr>
            </w:pPr>
            <w:r>
              <w:rPr>
                <w:rFonts w:ascii="Arial" w:cs="Arial" w:eastAsia="Arial" w:hAnsi="Arial"/>
                <w:sz w:val="14"/>
                <w:szCs w:val="14"/>
                <w:b w:val="1"/>
                <w:bCs w:val="1"/>
                <w:color w:val="292F72"/>
              </w:rPr>
              <w:t>SHARES</w:t>
            </w: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620" w:type="dxa"/>
            <w:vAlign w:val="bottom"/>
          </w:tcPr>
          <w:p>
            <w:pPr>
              <w:spacing w:after="0"/>
              <w:rPr>
                <w:sz w:val="13"/>
                <w:szCs w:val="13"/>
                <w:color w:val="auto"/>
              </w:rPr>
            </w:pPr>
          </w:p>
        </w:tc>
        <w:tc>
          <w:tcPr>
            <w:tcW w:w="2860" w:type="dxa"/>
            <w:vAlign w:val="bottom"/>
            <w:gridSpan w:val="2"/>
          </w:tcPr>
          <w:p>
            <w:pPr>
              <w:ind w:left="1720"/>
              <w:spacing w:after="0" w:line="157" w:lineRule="exact"/>
              <w:rPr>
                <w:sz w:val="20"/>
                <w:szCs w:val="20"/>
                <w:color w:val="auto"/>
              </w:rPr>
            </w:pPr>
            <w:r>
              <w:rPr>
                <w:rFonts w:ascii="Arial" w:cs="Arial" w:eastAsia="Arial" w:hAnsi="Arial"/>
                <w:sz w:val="14"/>
                <w:szCs w:val="14"/>
                <w:b w:val="1"/>
                <w:bCs w:val="1"/>
                <w:color w:val="292F72"/>
              </w:rPr>
              <w:t>ACQUIRED ON</w:t>
            </w:r>
          </w:p>
        </w:tc>
        <w:tc>
          <w:tcPr>
            <w:tcW w:w="1080" w:type="dxa"/>
            <w:vAlign w:val="bottom"/>
          </w:tcPr>
          <w:p>
            <w:pPr>
              <w:jc w:val="center"/>
              <w:ind w:left="45"/>
              <w:spacing w:after="0" w:line="157" w:lineRule="exact"/>
              <w:rPr>
                <w:sz w:val="20"/>
                <w:szCs w:val="20"/>
                <w:color w:val="auto"/>
              </w:rPr>
            </w:pPr>
            <w:r>
              <w:rPr>
                <w:rFonts w:ascii="Arial" w:cs="Arial" w:eastAsia="Arial" w:hAnsi="Arial"/>
                <w:sz w:val="14"/>
                <w:szCs w:val="14"/>
                <w:b w:val="1"/>
                <w:bCs w:val="1"/>
                <w:color w:val="292F72"/>
              </w:rPr>
              <w:t>REALIZED ON</w:t>
            </w:r>
          </w:p>
        </w:tc>
        <w:tc>
          <w:tcPr>
            <w:tcW w:w="1400" w:type="dxa"/>
            <w:vAlign w:val="bottom"/>
            <w:gridSpan w:val="2"/>
          </w:tcPr>
          <w:p>
            <w:pPr>
              <w:ind w:left="260"/>
              <w:spacing w:after="0" w:line="157" w:lineRule="exact"/>
              <w:rPr>
                <w:sz w:val="20"/>
                <w:szCs w:val="20"/>
                <w:color w:val="auto"/>
              </w:rPr>
            </w:pPr>
            <w:r>
              <w:rPr>
                <w:rFonts w:ascii="Arial" w:cs="Arial" w:eastAsia="Arial" w:hAnsi="Arial"/>
                <w:sz w:val="14"/>
                <w:szCs w:val="14"/>
                <w:b w:val="1"/>
                <w:bCs w:val="1"/>
                <w:color w:val="292F72"/>
              </w:rPr>
              <w:t>ACQUIRED ON</w:t>
            </w:r>
          </w:p>
        </w:tc>
        <w:tc>
          <w:tcPr>
            <w:tcW w:w="1080" w:type="dxa"/>
            <w:vAlign w:val="bottom"/>
          </w:tcPr>
          <w:p>
            <w:pPr>
              <w:ind w:left="120"/>
              <w:spacing w:after="0" w:line="157" w:lineRule="exact"/>
              <w:rPr>
                <w:sz w:val="20"/>
                <w:szCs w:val="20"/>
                <w:color w:val="auto"/>
              </w:rPr>
            </w:pPr>
            <w:r>
              <w:rPr>
                <w:rFonts w:ascii="Arial" w:cs="Arial" w:eastAsia="Arial" w:hAnsi="Arial"/>
                <w:sz w:val="14"/>
                <w:szCs w:val="14"/>
                <w:b w:val="1"/>
                <w:bCs w:val="1"/>
                <w:color w:val="292F72"/>
                <w:w w:val="99"/>
              </w:rPr>
              <w:t>REALIZED ON</w:t>
            </w:r>
          </w:p>
        </w:tc>
        <w:tc>
          <w:tcPr>
            <w:tcW w:w="0" w:type="dxa"/>
            <w:vAlign w:val="bottom"/>
          </w:tcPr>
          <w:p>
            <w:pPr>
              <w:spacing w:after="0"/>
              <w:rPr>
                <w:sz w:val="1"/>
                <w:szCs w:val="1"/>
                <w:color w:val="auto"/>
              </w:rPr>
            </w:pPr>
          </w:p>
        </w:tc>
      </w:tr>
      <w:tr>
        <w:trPr>
          <w:trHeight w:val="174"/>
        </w:trPr>
        <w:tc>
          <w:tcPr>
            <w:tcW w:w="2620" w:type="dxa"/>
            <w:vAlign w:val="bottom"/>
          </w:tcPr>
          <w:p>
            <w:pPr>
              <w:spacing w:after="0"/>
              <w:rPr>
                <w:sz w:val="15"/>
                <w:szCs w:val="15"/>
                <w:color w:val="auto"/>
              </w:rPr>
            </w:pPr>
          </w:p>
        </w:tc>
        <w:tc>
          <w:tcPr>
            <w:tcW w:w="2860" w:type="dxa"/>
            <w:vAlign w:val="bottom"/>
            <w:gridSpan w:val="2"/>
          </w:tcPr>
          <w:p>
            <w:pPr>
              <w:ind w:left="1720"/>
              <w:spacing w:after="0"/>
              <w:rPr>
                <w:sz w:val="20"/>
                <w:szCs w:val="20"/>
                <w:color w:val="auto"/>
              </w:rPr>
            </w:pPr>
            <w:r>
              <w:rPr>
                <w:rFonts w:ascii="Arial" w:cs="Arial" w:eastAsia="Arial" w:hAnsi="Arial"/>
                <w:sz w:val="14"/>
                <w:szCs w:val="14"/>
                <w:b w:val="1"/>
                <w:bCs w:val="1"/>
                <w:color w:val="292F72"/>
              </w:rPr>
              <w:t>EXERCISE</w:t>
            </w:r>
          </w:p>
        </w:tc>
        <w:tc>
          <w:tcPr>
            <w:tcW w:w="1080" w:type="dxa"/>
            <w:vAlign w:val="bottom"/>
          </w:tcPr>
          <w:p>
            <w:pPr>
              <w:ind w:left="120"/>
              <w:spacing w:after="0"/>
              <w:rPr>
                <w:sz w:val="20"/>
                <w:szCs w:val="20"/>
                <w:color w:val="auto"/>
              </w:rPr>
            </w:pPr>
            <w:r>
              <w:rPr>
                <w:rFonts w:ascii="Arial" w:cs="Arial" w:eastAsia="Arial" w:hAnsi="Arial"/>
                <w:sz w:val="14"/>
                <w:szCs w:val="14"/>
                <w:b w:val="1"/>
                <w:bCs w:val="1"/>
                <w:color w:val="292F72"/>
              </w:rPr>
              <w:t>EXERCISE</w:t>
            </w:r>
          </w:p>
        </w:tc>
        <w:tc>
          <w:tcPr>
            <w:tcW w:w="1400" w:type="dxa"/>
            <w:vAlign w:val="bottom"/>
            <w:gridSpan w:val="2"/>
          </w:tcPr>
          <w:p>
            <w:pPr>
              <w:ind w:left="260"/>
              <w:spacing w:after="0"/>
              <w:rPr>
                <w:sz w:val="20"/>
                <w:szCs w:val="20"/>
                <w:color w:val="auto"/>
              </w:rPr>
            </w:pPr>
            <w:r>
              <w:rPr>
                <w:rFonts w:ascii="Arial" w:cs="Arial" w:eastAsia="Arial" w:hAnsi="Arial"/>
                <w:sz w:val="14"/>
                <w:szCs w:val="14"/>
                <w:b w:val="1"/>
                <w:bCs w:val="1"/>
                <w:color w:val="292F72"/>
              </w:rPr>
              <w:t>VESTING</w:t>
            </w:r>
          </w:p>
        </w:tc>
        <w:tc>
          <w:tcPr>
            <w:tcW w:w="1080" w:type="dxa"/>
            <w:vAlign w:val="bottom"/>
          </w:tcPr>
          <w:p>
            <w:pPr>
              <w:ind w:left="120"/>
              <w:spacing w:after="0" w:line="174" w:lineRule="exact"/>
              <w:rPr>
                <w:sz w:val="20"/>
                <w:szCs w:val="20"/>
                <w:color w:val="auto"/>
              </w:rPr>
            </w:pPr>
            <w:r>
              <w:rPr>
                <w:rFonts w:ascii="Arial" w:cs="Arial" w:eastAsia="Arial" w:hAnsi="Arial"/>
                <w:sz w:val="12"/>
                <w:szCs w:val="12"/>
                <w:b w:val="1"/>
                <w:bCs w:val="1"/>
                <w:color w:val="292F72"/>
              </w:rPr>
              <w:t>VESTING</w:t>
            </w:r>
            <w:r>
              <w:rPr>
                <w:rFonts w:ascii="Arial" w:cs="Arial" w:eastAsia="Arial" w:hAnsi="Arial"/>
                <w:sz w:val="20"/>
                <w:szCs w:val="20"/>
                <w:b w:val="1"/>
                <w:bCs w:val="1"/>
                <w:color w:val="292F72"/>
                <w:vertAlign w:val="superscript"/>
              </w:rPr>
              <w:t>(1)</w:t>
            </w:r>
          </w:p>
        </w:tc>
        <w:tc>
          <w:tcPr>
            <w:tcW w:w="0" w:type="dxa"/>
            <w:vAlign w:val="bottom"/>
          </w:tcPr>
          <w:p>
            <w:pPr>
              <w:spacing w:after="0"/>
              <w:rPr>
                <w:sz w:val="1"/>
                <w:szCs w:val="1"/>
                <w:color w:val="auto"/>
              </w:rPr>
            </w:pPr>
          </w:p>
        </w:tc>
      </w:tr>
      <w:tr>
        <w:trPr>
          <w:trHeight w:val="193"/>
        </w:trPr>
        <w:tc>
          <w:tcPr>
            <w:tcW w:w="2620" w:type="dxa"/>
            <w:vAlign w:val="bottom"/>
          </w:tcPr>
          <w:p>
            <w:pPr>
              <w:spacing w:after="0"/>
              <w:rPr>
                <w:sz w:val="20"/>
                <w:szCs w:val="20"/>
                <w:color w:val="auto"/>
              </w:rPr>
            </w:pPr>
            <w:r>
              <w:rPr>
                <w:rFonts w:ascii="Arial" w:cs="Arial" w:eastAsia="Arial" w:hAnsi="Arial"/>
                <w:sz w:val="14"/>
                <w:szCs w:val="14"/>
                <w:b w:val="1"/>
                <w:bCs w:val="1"/>
                <w:color w:val="292F72"/>
              </w:rPr>
              <w:t>NAME</w:t>
            </w:r>
          </w:p>
        </w:tc>
        <w:tc>
          <w:tcPr>
            <w:tcW w:w="2860" w:type="dxa"/>
            <w:vAlign w:val="bottom"/>
            <w:gridSpan w:val="2"/>
          </w:tcPr>
          <w:p>
            <w:pPr>
              <w:ind w:left="2140"/>
              <w:spacing w:after="0"/>
              <w:rPr>
                <w:sz w:val="20"/>
                <w:szCs w:val="20"/>
                <w:color w:val="auto"/>
              </w:rPr>
            </w:pPr>
            <w:r>
              <w:rPr>
                <w:rFonts w:ascii="Arial" w:cs="Arial" w:eastAsia="Arial" w:hAnsi="Arial"/>
                <w:sz w:val="14"/>
                <w:szCs w:val="14"/>
                <w:b w:val="1"/>
                <w:bCs w:val="1"/>
                <w:color w:val="292F72"/>
              </w:rPr>
              <w:t>(#)</w:t>
            </w:r>
          </w:p>
        </w:tc>
        <w:tc>
          <w:tcPr>
            <w:tcW w:w="1080" w:type="dxa"/>
            <w:vAlign w:val="bottom"/>
          </w:tcPr>
          <w:p>
            <w:pPr>
              <w:jc w:val="center"/>
              <w:ind w:left="45"/>
              <w:spacing w:after="0"/>
              <w:rPr>
                <w:sz w:val="20"/>
                <w:szCs w:val="20"/>
                <w:color w:val="auto"/>
              </w:rPr>
            </w:pPr>
            <w:r>
              <w:rPr>
                <w:rFonts w:ascii="Arial" w:cs="Arial" w:eastAsia="Arial" w:hAnsi="Arial"/>
                <w:sz w:val="14"/>
                <w:szCs w:val="14"/>
                <w:b w:val="1"/>
                <w:bCs w:val="1"/>
                <w:color w:val="292F72"/>
                <w:w w:val="93"/>
              </w:rPr>
              <w:t>($)</w:t>
            </w:r>
          </w:p>
        </w:tc>
        <w:tc>
          <w:tcPr>
            <w:tcW w:w="1400" w:type="dxa"/>
            <w:vAlign w:val="bottom"/>
            <w:gridSpan w:val="2"/>
          </w:tcPr>
          <w:p>
            <w:pPr>
              <w:jc w:val="right"/>
              <w:ind w:right="486"/>
              <w:spacing w:after="0"/>
              <w:rPr>
                <w:sz w:val="20"/>
                <w:szCs w:val="20"/>
                <w:color w:val="auto"/>
              </w:rPr>
            </w:pPr>
            <w:r>
              <w:rPr>
                <w:rFonts w:ascii="Arial" w:cs="Arial" w:eastAsia="Arial" w:hAnsi="Arial"/>
                <w:sz w:val="14"/>
                <w:szCs w:val="14"/>
                <w:b w:val="1"/>
                <w:bCs w:val="1"/>
                <w:color w:val="292F72"/>
              </w:rPr>
              <w:t>(#)</w:t>
            </w:r>
          </w:p>
        </w:tc>
        <w:tc>
          <w:tcPr>
            <w:tcW w:w="1080" w:type="dxa"/>
            <w:vAlign w:val="bottom"/>
          </w:tcPr>
          <w:p>
            <w:pPr>
              <w:jc w:val="right"/>
              <w:ind w:right="346"/>
              <w:spacing w:after="0"/>
              <w:rPr>
                <w:sz w:val="20"/>
                <w:szCs w:val="20"/>
                <w:color w:val="auto"/>
              </w:rPr>
            </w:pPr>
            <w:r>
              <w:rPr>
                <w:rFonts w:ascii="Arial" w:cs="Arial" w:eastAsia="Arial" w:hAnsi="Arial"/>
                <w:sz w:val="14"/>
                <w:szCs w:val="14"/>
                <w:b w:val="1"/>
                <w:bCs w:val="1"/>
                <w:color w:val="292F72"/>
              </w:rPr>
              <w:t>($)</w:t>
            </w:r>
          </w:p>
        </w:tc>
        <w:tc>
          <w:tcPr>
            <w:tcW w:w="0" w:type="dxa"/>
            <w:vAlign w:val="bottom"/>
          </w:tcPr>
          <w:p>
            <w:pPr>
              <w:spacing w:after="0"/>
              <w:rPr>
                <w:sz w:val="1"/>
                <w:szCs w:val="1"/>
                <w:color w:val="auto"/>
              </w:rPr>
            </w:pPr>
          </w:p>
        </w:tc>
      </w:tr>
      <w:tr>
        <w:trPr>
          <w:trHeight w:val="40"/>
        </w:trPr>
        <w:tc>
          <w:tcPr>
            <w:tcW w:w="2620" w:type="dxa"/>
            <w:vAlign w:val="bottom"/>
            <w:tcBorders>
              <w:bottom w:val="single" w:sz="8" w:color="292F72"/>
            </w:tcBorders>
          </w:tcPr>
          <w:p>
            <w:pPr>
              <w:spacing w:after="0"/>
              <w:rPr>
                <w:sz w:val="3"/>
                <w:szCs w:val="3"/>
                <w:color w:val="auto"/>
              </w:rPr>
            </w:pPr>
          </w:p>
        </w:tc>
        <w:tc>
          <w:tcPr>
            <w:tcW w:w="1720" w:type="dxa"/>
            <w:vAlign w:val="bottom"/>
            <w:tcBorders>
              <w:bottom w:val="single" w:sz="8" w:color="292F72"/>
            </w:tcBorders>
          </w:tcPr>
          <w:p>
            <w:pPr>
              <w:spacing w:after="0"/>
              <w:rPr>
                <w:sz w:val="3"/>
                <w:szCs w:val="3"/>
                <w:color w:val="auto"/>
              </w:rPr>
            </w:pPr>
          </w:p>
        </w:tc>
        <w:tc>
          <w:tcPr>
            <w:tcW w:w="1140" w:type="dxa"/>
            <w:vAlign w:val="bottom"/>
            <w:tcBorders>
              <w:bottom w:val="single" w:sz="8" w:color="292F72"/>
            </w:tcBorders>
          </w:tcPr>
          <w:p>
            <w:pPr>
              <w:spacing w:after="0"/>
              <w:rPr>
                <w:sz w:val="3"/>
                <w:szCs w:val="3"/>
                <w:color w:val="auto"/>
              </w:rPr>
            </w:pPr>
          </w:p>
        </w:tc>
        <w:tc>
          <w:tcPr>
            <w:tcW w:w="1080" w:type="dxa"/>
            <w:vAlign w:val="bottom"/>
            <w:tcBorders>
              <w:bottom w:val="single" w:sz="8" w:color="292F72"/>
            </w:tcBorders>
          </w:tcPr>
          <w:p>
            <w:pPr>
              <w:spacing w:after="0"/>
              <w:rPr>
                <w:sz w:val="3"/>
                <w:szCs w:val="3"/>
                <w:color w:val="auto"/>
              </w:rPr>
            </w:pPr>
          </w:p>
        </w:tc>
        <w:tc>
          <w:tcPr>
            <w:tcW w:w="260" w:type="dxa"/>
            <w:vAlign w:val="bottom"/>
            <w:tcBorders>
              <w:bottom w:val="single" w:sz="8" w:color="292F72"/>
            </w:tcBorders>
          </w:tcPr>
          <w:p>
            <w:pPr>
              <w:spacing w:after="0"/>
              <w:rPr>
                <w:sz w:val="3"/>
                <w:szCs w:val="3"/>
                <w:color w:val="auto"/>
              </w:rPr>
            </w:pPr>
          </w:p>
        </w:tc>
        <w:tc>
          <w:tcPr>
            <w:tcW w:w="1140" w:type="dxa"/>
            <w:vAlign w:val="bottom"/>
            <w:tcBorders>
              <w:bottom w:val="single" w:sz="8" w:color="292F72"/>
            </w:tcBorders>
          </w:tcPr>
          <w:p>
            <w:pPr>
              <w:spacing w:after="0"/>
              <w:rPr>
                <w:sz w:val="3"/>
                <w:szCs w:val="3"/>
                <w:color w:val="auto"/>
              </w:rPr>
            </w:pPr>
          </w:p>
        </w:tc>
        <w:tc>
          <w:tcPr>
            <w:tcW w:w="1080" w:type="dxa"/>
            <w:vAlign w:val="bottom"/>
            <w:tcBorders>
              <w:bottom w:val="single" w:sz="8" w:color="292F72"/>
            </w:tcBorders>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620" w:type="dxa"/>
            <w:vAlign w:val="bottom"/>
          </w:tcPr>
          <w:p>
            <w:pPr>
              <w:spacing w:after="0"/>
              <w:rPr>
                <w:sz w:val="20"/>
                <w:szCs w:val="20"/>
                <w:color w:val="auto"/>
              </w:rPr>
            </w:pPr>
            <w:r>
              <w:rPr>
                <w:rFonts w:ascii="Arial" w:cs="Arial" w:eastAsia="Arial" w:hAnsi="Arial"/>
                <w:sz w:val="16"/>
                <w:szCs w:val="16"/>
                <w:b w:val="1"/>
                <w:bCs w:val="1"/>
                <w:color w:val="auto"/>
              </w:rPr>
              <w:t>Mr. Heaf</w:t>
            </w:r>
          </w:p>
        </w:tc>
        <w:tc>
          <w:tcPr>
            <w:tcW w:w="1720" w:type="dxa"/>
            <w:vAlign w:val="bottom"/>
          </w:tcPr>
          <w:p>
            <w:pPr>
              <w:spacing w:after="0"/>
              <w:rPr>
                <w:sz w:val="22"/>
                <w:szCs w:val="22"/>
                <w:color w:val="auto"/>
              </w:rPr>
            </w:pPr>
          </w:p>
        </w:tc>
        <w:tc>
          <w:tcPr>
            <w:tcW w:w="1140" w:type="dxa"/>
            <w:vAlign w:val="bottom"/>
          </w:tcPr>
          <w:p>
            <w:pPr>
              <w:ind w:left="420"/>
              <w:spacing w:after="0"/>
              <w:rPr>
                <w:sz w:val="20"/>
                <w:szCs w:val="20"/>
                <w:color w:val="auto"/>
              </w:rPr>
            </w:pPr>
            <w:r>
              <w:rPr>
                <w:rFonts w:ascii="Arial" w:cs="Arial" w:eastAsia="Arial" w:hAnsi="Arial"/>
                <w:sz w:val="16"/>
                <w:szCs w:val="16"/>
                <w:color w:val="auto"/>
              </w:rPr>
              <w:t>—</w:t>
            </w:r>
          </w:p>
        </w:tc>
        <w:tc>
          <w:tcPr>
            <w:tcW w:w="1080" w:type="dxa"/>
            <w:vAlign w:val="bottom"/>
          </w:tcPr>
          <w:p>
            <w:pPr>
              <w:jc w:val="center"/>
              <w:ind w:left="5"/>
              <w:spacing w:after="0"/>
              <w:rPr>
                <w:sz w:val="20"/>
                <w:szCs w:val="20"/>
                <w:color w:val="auto"/>
              </w:rPr>
            </w:pPr>
            <w:r>
              <w:rPr>
                <w:rFonts w:ascii="Arial" w:cs="Arial" w:eastAsia="Arial" w:hAnsi="Arial"/>
                <w:sz w:val="16"/>
                <w:szCs w:val="16"/>
                <w:color w:val="auto"/>
                <w:w w:val="99"/>
              </w:rPr>
              <w:t>—</w:t>
            </w:r>
          </w:p>
        </w:tc>
        <w:tc>
          <w:tcPr>
            <w:tcW w:w="260" w:type="dxa"/>
            <w:vAlign w:val="bottom"/>
          </w:tcPr>
          <w:p>
            <w:pPr>
              <w:spacing w:after="0"/>
              <w:rPr>
                <w:sz w:val="22"/>
                <w:szCs w:val="22"/>
                <w:color w:val="auto"/>
              </w:rPr>
            </w:pPr>
          </w:p>
        </w:tc>
        <w:tc>
          <w:tcPr>
            <w:tcW w:w="1140" w:type="dxa"/>
            <w:vAlign w:val="bottom"/>
          </w:tcPr>
          <w:p>
            <w:pPr>
              <w:jc w:val="right"/>
              <w:ind w:right="346"/>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66"/>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2620" w:type="dxa"/>
            <w:vAlign w:val="bottom"/>
            <w:tcBorders>
              <w:bottom w:val="single" w:sz="8" w:color="6D8CC3"/>
            </w:tcBorders>
          </w:tcPr>
          <w:p>
            <w:pPr>
              <w:spacing w:after="0"/>
              <w:rPr>
                <w:sz w:val="4"/>
                <w:szCs w:val="4"/>
                <w:color w:val="auto"/>
              </w:rPr>
            </w:pPr>
          </w:p>
        </w:tc>
        <w:tc>
          <w:tcPr>
            <w:tcW w:w="1720" w:type="dxa"/>
            <w:vAlign w:val="bottom"/>
            <w:tcBorders>
              <w:bottom w:val="single" w:sz="8" w:color="6D8CC3"/>
            </w:tcBorders>
          </w:tcPr>
          <w:p>
            <w:pPr>
              <w:spacing w:after="0"/>
              <w:rPr>
                <w:sz w:val="4"/>
                <w:szCs w:val="4"/>
                <w:color w:val="auto"/>
              </w:rPr>
            </w:pPr>
          </w:p>
        </w:tc>
        <w:tc>
          <w:tcPr>
            <w:tcW w:w="1140" w:type="dxa"/>
            <w:vAlign w:val="bottom"/>
            <w:tcBorders>
              <w:bottom w:val="single" w:sz="8" w:color="6D8CC3"/>
            </w:tcBorders>
          </w:tcPr>
          <w:p>
            <w:pPr>
              <w:spacing w:after="0"/>
              <w:rPr>
                <w:sz w:val="4"/>
                <w:szCs w:val="4"/>
                <w:color w:val="auto"/>
              </w:rPr>
            </w:pPr>
          </w:p>
        </w:tc>
        <w:tc>
          <w:tcPr>
            <w:tcW w:w="1080" w:type="dxa"/>
            <w:vAlign w:val="bottom"/>
            <w:tcBorders>
              <w:bottom w:val="single" w:sz="8" w:color="6D8CC3"/>
            </w:tcBorders>
          </w:tcPr>
          <w:p>
            <w:pPr>
              <w:spacing w:after="0"/>
              <w:rPr>
                <w:sz w:val="4"/>
                <w:szCs w:val="4"/>
                <w:color w:val="auto"/>
              </w:rPr>
            </w:pPr>
          </w:p>
        </w:tc>
        <w:tc>
          <w:tcPr>
            <w:tcW w:w="1400" w:type="dxa"/>
            <w:vAlign w:val="bottom"/>
            <w:tcBorders>
              <w:bottom w:val="single" w:sz="8" w:color="6D8CC3"/>
            </w:tcBorders>
            <w:gridSpan w:val="2"/>
          </w:tcPr>
          <w:p>
            <w:pPr>
              <w:spacing w:after="0"/>
              <w:rPr>
                <w:sz w:val="4"/>
                <w:szCs w:val="4"/>
                <w:color w:val="auto"/>
              </w:rPr>
            </w:pPr>
          </w:p>
        </w:tc>
        <w:tc>
          <w:tcPr>
            <w:tcW w:w="1080" w:type="dxa"/>
            <w:vAlign w:val="bottom"/>
            <w:tcBorders>
              <w:bottom w:val="single" w:sz="8" w:color="6D8CC3"/>
            </w:tcBorders>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2620" w:type="dxa"/>
            <w:vAlign w:val="bottom"/>
          </w:tcPr>
          <w:p>
            <w:pPr>
              <w:spacing w:after="0"/>
              <w:rPr>
                <w:sz w:val="20"/>
                <w:szCs w:val="20"/>
                <w:color w:val="auto"/>
              </w:rPr>
            </w:pPr>
            <w:r>
              <w:rPr>
                <w:rFonts w:ascii="Arial" w:cs="Arial" w:eastAsia="Arial" w:hAnsi="Arial"/>
                <w:sz w:val="16"/>
                <w:szCs w:val="16"/>
                <w:b w:val="1"/>
                <w:bCs w:val="1"/>
                <w:color w:val="auto"/>
              </w:rPr>
              <w:t>Ms. Boratto</w:t>
            </w:r>
          </w:p>
        </w:tc>
        <w:tc>
          <w:tcPr>
            <w:tcW w:w="1720" w:type="dxa"/>
            <w:vAlign w:val="bottom"/>
          </w:tcPr>
          <w:p>
            <w:pPr>
              <w:spacing w:after="0"/>
              <w:rPr>
                <w:sz w:val="21"/>
                <w:szCs w:val="21"/>
                <w:color w:val="auto"/>
              </w:rPr>
            </w:pPr>
          </w:p>
        </w:tc>
        <w:tc>
          <w:tcPr>
            <w:tcW w:w="1140" w:type="dxa"/>
            <w:vAlign w:val="bottom"/>
          </w:tcPr>
          <w:p>
            <w:pPr>
              <w:ind w:left="420"/>
              <w:spacing w:after="0"/>
              <w:rPr>
                <w:sz w:val="20"/>
                <w:szCs w:val="20"/>
                <w:color w:val="auto"/>
              </w:rPr>
            </w:pPr>
            <w:r>
              <w:rPr>
                <w:rFonts w:ascii="Arial" w:cs="Arial" w:eastAsia="Arial" w:hAnsi="Arial"/>
                <w:sz w:val="16"/>
                <w:szCs w:val="16"/>
                <w:color w:val="auto"/>
              </w:rPr>
              <w:t>—</w:t>
            </w:r>
          </w:p>
        </w:tc>
        <w:tc>
          <w:tcPr>
            <w:tcW w:w="1080" w:type="dxa"/>
            <w:vAlign w:val="bottom"/>
          </w:tcPr>
          <w:p>
            <w:pPr>
              <w:jc w:val="center"/>
              <w:ind w:left="5"/>
              <w:spacing w:after="0"/>
              <w:rPr>
                <w:sz w:val="20"/>
                <w:szCs w:val="20"/>
                <w:color w:val="auto"/>
              </w:rPr>
            </w:pPr>
            <w:r>
              <w:rPr>
                <w:rFonts w:ascii="Arial" w:cs="Arial" w:eastAsia="Arial" w:hAnsi="Arial"/>
                <w:sz w:val="16"/>
                <w:szCs w:val="16"/>
                <w:color w:val="auto"/>
                <w:w w:val="99"/>
              </w:rPr>
              <w:t>—</w:t>
            </w:r>
          </w:p>
        </w:tc>
        <w:tc>
          <w:tcPr>
            <w:tcW w:w="1400" w:type="dxa"/>
            <w:vAlign w:val="bottom"/>
            <w:gridSpan w:val="2"/>
          </w:tcPr>
          <w:p>
            <w:pPr>
              <w:jc w:val="right"/>
              <w:ind w:right="326"/>
              <w:spacing w:after="0"/>
              <w:rPr>
                <w:sz w:val="20"/>
                <w:szCs w:val="20"/>
                <w:color w:val="auto"/>
              </w:rPr>
            </w:pPr>
            <w:r>
              <w:rPr>
                <w:rFonts w:ascii="Arial" w:cs="Arial" w:eastAsia="Arial" w:hAnsi="Arial"/>
                <w:sz w:val="16"/>
                <w:szCs w:val="16"/>
                <w:color w:val="auto"/>
              </w:rPr>
              <w:t>25,382</w:t>
            </w:r>
          </w:p>
        </w:tc>
        <w:tc>
          <w:tcPr>
            <w:tcW w:w="1080" w:type="dxa"/>
            <w:vAlign w:val="bottom"/>
          </w:tcPr>
          <w:p>
            <w:pPr>
              <w:jc w:val="right"/>
              <w:ind w:right="66"/>
              <w:spacing w:after="0"/>
              <w:rPr>
                <w:sz w:val="20"/>
                <w:szCs w:val="20"/>
                <w:color w:val="auto"/>
              </w:rPr>
            </w:pPr>
            <w:r>
              <w:rPr>
                <w:rFonts w:ascii="Arial" w:cs="Arial" w:eastAsia="Arial" w:hAnsi="Arial"/>
                <w:sz w:val="16"/>
                <w:szCs w:val="16"/>
                <w:color w:val="auto"/>
              </w:rPr>
              <w:t>​ 717,540</w:t>
            </w:r>
          </w:p>
        </w:tc>
        <w:tc>
          <w:tcPr>
            <w:tcW w:w="0" w:type="dxa"/>
            <w:vAlign w:val="bottom"/>
          </w:tcPr>
          <w:p>
            <w:pPr>
              <w:spacing w:after="0"/>
              <w:rPr>
                <w:sz w:val="1"/>
                <w:szCs w:val="1"/>
                <w:color w:val="auto"/>
              </w:rPr>
            </w:pPr>
          </w:p>
        </w:tc>
      </w:tr>
      <w:tr>
        <w:trPr>
          <w:trHeight w:val="47"/>
        </w:trPr>
        <w:tc>
          <w:tcPr>
            <w:tcW w:w="2620" w:type="dxa"/>
            <w:vAlign w:val="bottom"/>
            <w:tcBorders>
              <w:bottom w:val="single" w:sz="8" w:color="6D8CC3"/>
            </w:tcBorders>
          </w:tcPr>
          <w:p>
            <w:pPr>
              <w:spacing w:after="0"/>
              <w:rPr>
                <w:sz w:val="4"/>
                <w:szCs w:val="4"/>
                <w:color w:val="auto"/>
              </w:rPr>
            </w:pPr>
          </w:p>
        </w:tc>
        <w:tc>
          <w:tcPr>
            <w:tcW w:w="1720" w:type="dxa"/>
            <w:vAlign w:val="bottom"/>
            <w:tcBorders>
              <w:bottom w:val="single" w:sz="8" w:color="6D8CC3"/>
            </w:tcBorders>
          </w:tcPr>
          <w:p>
            <w:pPr>
              <w:spacing w:after="0"/>
              <w:rPr>
                <w:sz w:val="4"/>
                <w:szCs w:val="4"/>
                <w:color w:val="auto"/>
              </w:rPr>
            </w:pPr>
          </w:p>
        </w:tc>
        <w:tc>
          <w:tcPr>
            <w:tcW w:w="1140" w:type="dxa"/>
            <w:vAlign w:val="bottom"/>
            <w:tcBorders>
              <w:bottom w:val="single" w:sz="8" w:color="6D8CC3"/>
            </w:tcBorders>
          </w:tcPr>
          <w:p>
            <w:pPr>
              <w:spacing w:after="0"/>
              <w:rPr>
                <w:sz w:val="4"/>
                <w:szCs w:val="4"/>
                <w:color w:val="auto"/>
              </w:rPr>
            </w:pPr>
          </w:p>
        </w:tc>
        <w:tc>
          <w:tcPr>
            <w:tcW w:w="1080" w:type="dxa"/>
            <w:vAlign w:val="bottom"/>
            <w:tcBorders>
              <w:bottom w:val="single" w:sz="8" w:color="6D8CC3"/>
            </w:tcBorders>
          </w:tcPr>
          <w:p>
            <w:pPr>
              <w:spacing w:after="0"/>
              <w:rPr>
                <w:sz w:val="4"/>
                <w:szCs w:val="4"/>
                <w:color w:val="auto"/>
              </w:rPr>
            </w:pPr>
          </w:p>
        </w:tc>
        <w:tc>
          <w:tcPr>
            <w:tcW w:w="1400" w:type="dxa"/>
            <w:vAlign w:val="bottom"/>
            <w:tcBorders>
              <w:bottom w:val="single" w:sz="8" w:color="6D8CC3"/>
            </w:tcBorders>
            <w:gridSpan w:val="2"/>
          </w:tcPr>
          <w:p>
            <w:pPr>
              <w:spacing w:after="0"/>
              <w:rPr>
                <w:sz w:val="4"/>
                <w:szCs w:val="4"/>
                <w:color w:val="auto"/>
              </w:rPr>
            </w:pPr>
          </w:p>
        </w:tc>
        <w:tc>
          <w:tcPr>
            <w:tcW w:w="1080" w:type="dxa"/>
            <w:vAlign w:val="bottom"/>
            <w:tcBorders>
              <w:bottom w:val="single" w:sz="8" w:color="6D8CC3"/>
            </w:tcBorders>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2620" w:type="dxa"/>
            <w:vAlign w:val="bottom"/>
          </w:tcPr>
          <w:p>
            <w:pPr>
              <w:spacing w:after="0"/>
              <w:rPr>
                <w:sz w:val="20"/>
                <w:szCs w:val="20"/>
                <w:color w:val="auto"/>
              </w:rPr>
            </w:pPr>
            <w:r>
              <w:rPr>
                <w:rFonts w:ascii="Arial" w:cs="Arial" w:eastAsia="Arial" w:hAnsi="Arial"/>
                <w:sz w:val="16"/>
                <w:szCs w:val="16"/>
                <w:b w:val="1"/>
                <w:bCs w:val="1"/>
                <w:color w:val="auto"/>
              </w:rPr>
              <w:t>Mr. Mazurek</w:t>
            </w:r>
          </w:p>
        </w:tc>
        <w:tc>
          <w:tcPr>
            <w:tcW w:w="1720" w:type="dxa"/>
            <w:vAlign w:val="bottom"/>
          </w:tcPr>
          <w:p>
            <w:pPr>
              <w:spacing w:after="0"/>
              <w:rPr>
                <w:sz w:val="21"/>
                <w:szCs w:val="21"/>
                <w:color w:val="auto"/>
              </w:rPr>
            </w:pPr>
          </w:p>
        </w:tc>
        <w:tc>
          <w:tcPr>
            <w:tcW w:w="1140" w:type="dxa"/>
            <w:vAlign w:val="bottom"/>
          </w:tcPr>
          <w:p>
            <w:pPr>
              <w:ind w:left="420"/>
              <w:spacing w:after="0"/>
              <w:rPr>
                <w:sz w:val="20"/>
                <w:szCs w:val="20"/>
                <w:color w:val="auto"/>
              </w:rPr>
            </w:pPr>
            <w:r>
              <w:rPr>
                <w:rFonts w:ascii="Arial" w:cs="Arial" w:eastAsia="Arial" w:hAnsi="Arial"/>
                <w:sz w:val="16"/>
                <w:szCs w:val="16"/>
                <w:color w:val="auto"/>
              </w:rPr>
              <w:t>—</w:t>
            </w:r>
          </w:p>
        </w:tc>
        <w:tc>
          <w:tcPr>
            <w:tcW w:w="1080" w:type="dxa"/>
            <w:vAlign w:val="bottom"/>
          </w:tcPr>
          <w:p>
            <w:pPr>
              <w:jc w:val="center"/>
              <w:ind w:left="5"/>
              <w:spacing w:after="0"/>
              <w:rPr>
                <w:sz w:val="20"/>
                <w:szCs w:val="20"/>
                <w:color w:val="auto"/>
              </w:rPr>
            </w:pPr>
            <w:r>
              <w:rPr>
                <w:rFonts w:ascii="Arial" w:cs="Arial" w:eastAsia="Arial" w:hAnsi="Arial"/>
                <w:sz w:val="16"/>
                <w:szCs w:val="16"/>
                <w:color w:val="auto"/>
                <w:w w:val="99"/>
              </w:rPr>
              <w:t>—</w:t>
            </w:r>
          </w:p>
        </w:tc>
        <w:tc>
          <w:tcPr>
            <w:tcW w:w="1400" w:type="dxa"/>
            <w:vAlign w:val="bottom"/>
            <w:gridSpan w:val="2"/>
          </w:tcPr>
          <w:p>
            <w:pPr>
              <w:jc w:val="right"/>
              <w:ind w:right="326"/>
              <w:spacing w:after="0"/>
              <w:rPr>
                <w:sz w:val="20"/>
                <w:szCs w:val="20"/>
                <w:color w:val="auto"/>
              </w:rPr>
            </w:pPr>
            <w:r>
              <w:rPr>
                <w:rFonts w:ascii="Arial" w:cs="Arial" w:eastAsia="Arial" w:hAnsi="Arial"/>
                <w:sz w:val="16"/>
                <w:szCs w:val="16"/>
                <w:color w:val="auto"/>
              </w:rPr>
              <w:t>16,961</w:t>
            </w:r>
          </w:p>
        </w:tc>
        <w:tc>
          <w:tcPr>
            <w:tcW w:w="1080" w:type="dxa"/>
            <w:vAlign w:val="bottom"/>
          </w:tcPr>
          <w:p>
            <w:pPr>
              <w:jc w:val="right"/>
              <w:ind w:right="66"/>
              <w:spacing w:after="0"/>
              <w:rPr>
                <w:sz w:val="20"/>
                <w:szCs w:val="20"/>
                <w:color w:val="auto"/>
              </w:rPr>
            </w:pPr>
            <w:r>
              <w:rPr>
                <w:rFonts w:ascii="Arial" w:cs="Arial" w:eastAsia="Arial" w:hAnsi="Arial"/>
                <w:sz w:val="16"/>
                <w:szCs w:val="16"/>
                <w:color w:val="auto"/>
              </w:rPr>
              <w:t>​ 530,041</w:t>
            </w:r>
          </w:p>
        </w:tc>
        <w:tc>
          <w:tcPr>
            <w:tcW w:w="0" w:type="dxa"/>
            <w:vAlign w:val="bottom"/>
          </w:tcPr>
          <w:p>
            <w:pPr>
              <w:spacing w:after="0"/>
              <w:rPr>
                <w:sz w:val="1"/>
                <w:szCs w:val="1"/>
                <w:color w:val="auto"/>
              </w:rPr>
            </w:pPr>
          </w:p>
        </w:tc>
      </w:tr>
      <w:tr>
        <w:trPr>
          <w:trHeight w:val="47"/>
        </w:trPr>
        <w:tc>
          <w:tcPr>
            <w:tcW w:w="2620" w:type="dxa"/>
            <w:vAlign w:val="bottom"/>
            <w:tcBorders>
              <w:bottom w:val="single" w:sz="8" w:color="6D8CC3"/>
            </w:tcBorders>
          </w:tcPr>
          <w:p>
            <w:pPr>
              <w:spacing w:after="0"/>
              <w:rPr>
                <w:sz w:val="4"/>
                <w:szCs w:val="4"/>
                <w:color w:val="auto"/>
              </w:rPr>
            </w:pPr>
          </w:p>
        </w:tc>
        <w:tc>
          <w:tcPr>
            <w:tcW w:w="1720" w:type="dxa"/>
            <w:vAlign w:val="bottom"/>
            <w:tcBorders>
              <w:bottom w:val="single" w:sz="8" w:color="6D8CC3"/>
            </w:tcBorders>
          </w:tcPr>
          <w:p>
            <w:pPr>
              <w:spacing w:after="0"/>
              <w:rPr>
                <w:sz w:val="4"/>
                <w:szCs w:val="4"/>
                <w:color w:val="auto"/>
              </w:rPr>
            </w:pPr>
          </w:p>
        </w:tc>
        <w:tc>
          <w:tcPr>
            <w:tcW w:w="1140" w:type="dxa"/>
            <w:vAlign w:val="bottom"/>
            <w:tcBorders>
              <w:bottom w:val="single" w:sz="8" w:color="6D8CC3"/>
            </w:tcBorders>
          </w:tcPr>
          <w:p>
            <w:pPr>
              <w:spacing w:after="0"/>
              <w:rPr>
                <w:sz w:val="4"/>
                <w:szCs w:val="4"/>
                <w:color w:val="auto"/>
              </w:rPr>
            </w:pPr>
          </w:p>
        </w:tc>
        <w:tc>
          <w:tcPr>
            <w:tcW w:w="1080" w:type="dxa"/>
            <w:vAlign w:val="bottom"/>
            <w:tcBorders>
              <w:bottom w:val="single" w:sz="8" w:color="6D8CC3"/>
            </w:tcBorders>
          </w:tcPr>
          <w:p>
            <w:pPr>
              <w:spacing w:after="0"/>
              <w:rPr>
                <w:sz w:val="4"/>
                <w:szCs w:val="4"/>
                <w:color w:val="auto"/>
              </w:rPr>
            </w:pPr>
          </w:p>
        </w:tc>
        <w:tc>
          <w:tcPr>
            <w:tcW w:w="1400" w:type="dxa"/>
            <w:vAlign w:val="bottom"/>
            <w:tcBorders>
              <w:bottom w:val="single" w:sz="8" w:color="6D8CC3"/>
            </w:tcBorders>
            <w:gridSpan w:val="2"/>
          </w:tcPr>
          <w:p>
            <w:pPr>
              <w:spacing w:after="0"/>
              <w:rPr>
                <w:sz w:val="4"/>
                <w:szCs w:val="4"/>
                <w:color w:val="auto"/>
              </w:rPr>
            </w:pPr>
          </w:p>
        </w:tc>
        <w:tc>
          <w:tcPr>
            <w:tcW w:w="1080" w:type="dxa"/>
            <w:vAlign w:val="bottom"/>
            <w:tcBorders>
              <w:bottom w:val="single" w:sz="8" w:color="6D8CC3"/>
            </w:tcBorders>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2620" w:type="dxa"/>
            <w:vAlign w:val="bottom"/>
          </w:tcPr>
          <w:p>
            <w:pPr>
              <w:spacing w:after="0"/>
              <w:rPr>
                <w:sz w:val="20"/>
                <w:szCs w:val="20"/>
                <w:color w:val="auto"/>
              </w:rPr>
            </w:pPr>
            <w:r>
              <w:rPr>
                <w:rFonts w:ascii="Arial" w:cs="Arial" w:eastAsia="Arial" w:hAnsi="Arial"/>
                <w:sz w:val="16"/>
                <w:szCs w:val="16"/>
                <w:b w:val="1"/>
                <w:bCs w:val="1"/>
                <w:color w:val="auto"/>
              </w:rPr>
              <w:t>Ms. Boswell</w:t>
            </w:r>
          </w:p>
        </w:tc>
        <w:tc>
          <w:tcPr>
            <w:tcW w:w="1720" w:type="dxa"/>
            <w:vAlign w:val="bottom"/>
          </w:tcPr>
          <w:p>
            <w:pPr>
              <w:spacing w:after="0"/>
              <w:rPr>
                <w:sz w:val="21"/>
                <w:szCs w:val="21"/>
                <w:color w:val="auto"/>
              </w:rPr>
            </w:pPr>
          </w:p>
        </w:tc>
        <w:tc>
          <w:tcPr>
            <w:tcW w:w="1140" w:type="dxa"/>
            <w:vAlign w:val="bottom"/>
          </w:tcPr>
          <w:p>
            <w:pPr>
              <w:ind w:left="420"/>
              <w:spacing w:after="0"/>
              <w:rPr>
                <w:sz w:val="20"/>
                <w:szCs w:val="20"/>
                <w:color w:val="auto"/>
              </w:rPr>
            </w:pPr>
            <w:r>
              <w:rPr>
                <w:rFonts w:ascii="Arial" w:cs="Arial" w:eastAsia="Arial" w:hAnsi="Arial"/>
                <w:sz w:val="16"/>
                <w:szCs w:val="16"/>
                <w:color w:val="auto"/>
              </w:rPr>
              <w:t>—</w:t>
            </w:r>
          </w:p>
        </w:tc>
        <w:tc>
          <w:tcPr>
            <w:tcW w:w="1080" w:type="dxa"/>
            <w:vAlign w:val="bottom"/>
          </w:tcPr>
          <w:p>
            <w:pPr>
              <w:jc w:val="center"/>
              <w:ind w:left="5"/>
              <w:spacing w:after="0"/>
              <w:rPr>
                <w:sz w:val="20"/>
                <w:szCs w:val="20"/>
                <w:color w:val="auto"/>
              </w:rPr>
            </w:pPr>
            <w:r>
              <w:rPr>
                <w:rFonts w:ascii="Arial" w:cs="Arial" w:eastAsia="Arial" w:hAnsi="Arial"/>
                <w:sz w:val="16"/>
                <w:szCs w:val="16"/>
                <w:color w:val="auto"/>
                <w:w w:val="99"/>
              </w:rPr>
              <w:t>—</w:t>
            </w:r>
          </w:p>
        </w:tc>
        <w:tc>
          <w:tcPr>
            <w:tcW w:w="1400" w:type="dxa"/>
            <w:vAlign w:val="bottom"/>
            <w:gridSpan w:val="2"/>
          </w:tcPr>
          <w:p>
            <w:pPr>
              <w:jc w:val="right"/>
              <w:ind w:right="326"/>
              <w:spacing w:after="0"/>
              <w:rPr>
                <w:sz w:val="20"/>
                <w:szCs w:val="20"/>
                <w:color w:val="auto"/>
              </w:rPr>
            </w:pPr>
            <w:r>
              <w:rPr>
                <w:rFonts w:ascii="Arial" w:cs="Arial" w:eastAsia="Arial" w:hAnsi="Arial"/>
                <w:sz w:val="16"/>
                <w:szCs w:val="16"/>
                <w:color w:val="auto"/>
              </w:rPr>
              <w:t>97,030</w:t>
            </w:r>
          </w:p>
        </w:tc>
        <w:tc>
          <w:tcPr>
            <w:tcW w:w="1080" w:type="dxa"/>
            <w:vAlign w:val="bottom"/>
          </w:tcPr>
          <w:p>
            <w:pPr>
              <w:jc w:val="right"/>
              <w:ind w:right="66"/>
              <w:spacing w:after="0"/>
              <w:rPr>
                <w:sz w:val="20"/>
                <w:szCs w:val="20"/>
                <w:color w:val="auto"/>
              </w:rPr>
            </w:pPr>
            <w:r>
              <w:rPr>
                <w:rFonts w:ascii="Arial" w:cs="Arial" w:eastAsia="Arial" w:hAnsi="Arial"/>
                <w:sz w:val="16"/>
                <w:szCs w:val="16"/>
                <w:color w:val="auto"/>
              </w:rPr>
              <w:t>2,596,039​</w:t>
            </w:r>
          </w:p>
        </w:tc>
        <w:tc>
          <w:tcPr>
            <w:tcW w:w="0" w:type="dxa"/>
            <w:vAlign w:val="bottom"/>
          </w:tcPr>
          <w:p>
            <w:pPr>
              <w:spacing w:after="0"/>
              <w:rPr>
                <w:sz w:val="1"/>
                <w:szCs w:val="1"/>
                <w:color w:val="auto"/>
              </w:rPr>
            </w:pPr>
          </w:p>
        </w:tc>
      </w:tr>
      <w:tr>
        <w:trPr>
          <w:trHeight w:val="47"/>
        </w:trPr>
        <w:tc>
          <w:tcPr>
            <w:tcW w:w="2620" w:type="dxa"/>
            <w:vAlign w:val="bottom"/>
            <w:tcBorders>
              <w:bottom w:val="single" w:sz="8" w:color="6D8CC3"/>
            </w:tcBorders>
          </w:tcPr>
          <w:p>
            <w:pPr>
              <w:spacing w:after="0"/>
              <w:rPr>
                <w:sz w:val="4"/>
                <w:szCs w:val="4"/>
                <w:color w:val="auto"/>
              </w:rPr>
            </w:pPr>
          </w:p>
        </w:tc>
        <w:tc>
          <w:tcPr>
            <w:tcW w:w="1720" w:type="dxa"/>
            <w:vAlign w:val="bottom"/>
            <w:tcBorders>
              <w:bottom w:val="single" w:sz="8" w:color="6D8CC3"/>
            </w:tcBorders>
          </w:tcPr>
          <w:p>
            <w:pPr>
              <w:spacing w:after="0"/>
              <w:rPr>
                <w:sz w:val="4"/>
                <w:szCs w:val="4"/>
                <w:color w:val="auto"/>
              </w:rPr>
            </w:pPr>
          </w:p>
        </w:tc>
        <w:tc>
          <w:tcPr>
            <w:tcW w:w="1140" w:type="dxa"/>
            <w:vAlign w:val="bottom"/>
            <w:tcBorders>
              <w:bottom w:val="single" w:sz="8" w:color="6D8CC3"/>
            </w:tcBorders>
          </w:tcPr>
          <w:p>
            <w:pPr>
              <w:spacing w:after="0"/>
              <w:rPr>
                <w:sz w:val="4"/>
                <w:szCs w:val="4"/>
                <w:color w:val="auto"/>
              </w:rPr>
            </w:pPr>
          </w:p>
        </w:tc>
        <w:tc>
          <w:tcPr>
            <w:tcW w:w="1080" w:type="dxa"/>
            <w:vAlign w:val="bottom"/>
            <w:tcBorders>
              <w:bottom w:val="single" w:sz="8" w:color="6D8CC3"/>
            </w:tcBorders>
          </w:tcPr>
          <w:p>
            <w:pPr>
              <w:spacing w:after="0"/>
              <w:rPr>
                <w:sz w:val="4"/>
                <w:szCs w:val="4"/>
                <w:color w:val="auto"/>
              </w:rPr>
            </w:pPr>
          </w:p>
        </w:tc>
        <w:tc>
          <w:tcPr>
            <w:tcW w:w="1400" w:type="dxa"/>
            <w:vAlign w:val="bottom"/>
            <w:tcBorders>
              <w:bottom w:val="single" w:sz="8" w:color="6D8CC3"/>
            </w:tcBorders>
            <w:gridSpan w:val="2"/>
          </w:tcPr>
          <w:p>
            <w:pPr>
              <w:spacing w:after="0"/>
              <w:rPr>
                <w:sz w:val="4"/>
                <w:szCs w:val="4"/>
                <w:color w:val="auto"/>
              </w:rPr>
            </w:pPr>
          </w:p>
        </w:tc>
        <w:tc>
          <w:tcPr>
            <w:tcW w:w="1080" w:type="dxa"/>
            <w:vAlign w:val="bottom"/>
            <w:tcBorders>
              <w:bottom w:val="single" w:sz="8" w:color="6D8CC3"/>
            </w:tcBorders>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2620" w:type="dxa"/>
            <w:vAlign w:val="bottom"/>
          </w:tcPr>
          <w:p>
            <w:pPr>
              <w:spacing w:after="0"/>
              <w:rPr>
                <w:sz w:val="20"/>
                <w:szCs w:val="20"/>
                <w:color w:val="auto"/>
              </w:rPr>
            </w:pPr>
            <w:r>
              <w:rPr>
                <w:rFonts w:ascii="Arial" w:cs="Arial" w:eastAsia="Arial" w:hAnsi="Arial"/>
                <w:sz w:val="16"/>
                <w:szCs w:val="16"/>
                <w:b w:val="1"/>
                <w:bCs w:val="1"/>
                <w:color w:val="auto"/>
              </w:rPr>
              <w:t>Mr. Wu</w:t>
            </w:r>
          </w:p>
        </w:tc>
        <w:tc>
          <w:tcPr>
            <w:tcW w:w="1720" w:type="dxa"/>
            <w:vAlign w:val="bottom"/>
          </w:tcPr>
          <w:p>
            <w:pPr>
              <w:spacing w:after="0"/>
              <w:rPr>
                <w:sz w:val="21"/>
                <w:szCs w:val="21"/>
                <w:color w:val="auto"/>
              </w:rPr>
            </w:pPr>
          </w:p>
        </w:tc>
        <w:tc>
          <w:tcPr>
            <w:tcW w:w="1140" w:type="dxa"/>
            <w:vAlign w:val="bottom"/>
          </w:tcPr>
          <w:p>
            <w:pPr>
              <w:ind w:left="420"/>
              <w:spacing w:after="0"/>
              <w:rPr>
                <w:sz w:val="20"/>
                <w:szCs w:val="20"/>
                <w:color w:val="auto"/>
              </w:rPr>
            </w:pPr>
            <w:r>
              <w:rPr>
                <w:rFonts w:ascii="Arial" w:cs="Arial" w:eastAsia="Arial" w:hAnsi="Arial"/>
                <w:sz w:val="16"/>
                <w:szCs w:val="16"/>
                <w:color w:val="auto"/>
              </w:rPr>
              <w:t>—</w:t>
            </w:r>
          </w:p>
        </w:tc>
        <w:tc>
          <w:tcPr>
            <w:tcW w:w="1080" w:type="dxa"/>
            <w:vAlign w:val="bottom"/>
          </w:tcPr>
          <w:p>
            <w:pPr>
              <w:jc w:val="center"/>
              <w:ind w:left="5"/>
              <w:spacing w:after="0"/>
              <w:rPr>
                <w:sz w:val="20"/>
                <w:szCs w:val="20"/>
                <w:color w:val="auto"/>
              </w:rPr>
            </w:pPr>
            <w:r>
              <w:rPr>
                <w:rFonts w:ascii="Arial" w:cs="Arial" w:eastAsia="Arial" w:hAnsi="Arial"/>
                <w:sz w:val="16"/>
                <w:szCs w:val="16"/>
                <w:color w:val="auto"/>
                <w:w w:val="99"/>
              </w:rPr>
              <w:t>—</w:t>
            </w:r>
          </w:p>
        </w:tc>
        <w:tc>
          <w:tcPr>
            <w:tcW w:w="1400" w:type="dxa"/>
            <w:vAlign w:val="bottom"/>
            <w:gridSpan w:val="2"/>
          </w:tcPr>
          <w:p>
            <w:pPr>
              <w:jc w:val="right"/>
              <w:ind w:right="326"/>
              <w:spacing w:after="0"/>
              <w:rPr>
                <w:sz w:val="20"/>
                <w:szCs w:val="20"/>
                <w:color w:val="auto"/>
              </w:rPr>
            </w:pPr>
            <w:r>
              <w:rPr>
                <w:rFonts w:ascii="Arial" w:cs="Arial" w:eastAsia="Arial" w:hAnsi="Arial"/>
                <w:sz w:val="16"/>
                <w:szCs w:val="16"/>
                <w:color w:val="auto"/>
              </w:rPr>
              <w:t>22,684</w:t>
            </w:r>
          </w:p>
        </w:tc>
        <w:tc>
          <w:tcPr>
            <w:tcW w:w="1080" w:type="dxa"/>
            <w:vAlign w:val="bottom"/>
          </w:tcPr>
          <w:p>
            <w:pPr>
              <w:jc w:val="right"/>
              <w:ind w:right="66"/>
              <w:spacing w:after="0"/>
              <w:rPr>
                <w:sz w:val="20"/>
                <w:szCs w:val="20"/>
                <w:color w:val="auto"/>
              </w:rPr>
            </w:pPr>
            <w:r>
              <w:rPr>
                <w:rFonts w:ascii="Arial" w:cs="Arial" w:eastAsia="Arial" w:hAnsi="Arial"/>
                <w:sz w:val="16"/>
                <w:szCs w:val="16"/>
                <w:color w:val="auto"/>
              </w:rPr>
              <w:t>​ 709,239</w:t>
            </w:r>
          </w:p>
        </w:tc>
        <w:tc>
          <w:tcPr>
            <w:tcW w:w="0" w:type="dxa"/>
            <w:vAlign w:val="bottom"/>
          </w:tcPr>
          <w:p>
            <w:pPr>
              <w:spacing w:after="0"/>
              <w:rPr>
                <w:sz w:val="1"/>
                <w:szCs w:val="1"/>
                <w:color w:val="auto"/>
              </w:rPr>
            </w:pPr>
          </w:p>
        </w:tc>
      </w:tr>
      <w:tr>
        <w:trPr>
          <w:trHeight w:val="34"/>
        </w:trPr>
        <w:tc>
          <w:tcPr>
            <w:tcW w:w="2620" w:type="dxa"/>
            <w:vAlign w:val="bottom"/>
            <w:tcBorders>
              <w:bottom w:val="single" w:sz="8" w:color="6D8CC3"/>
            </w:tcBorders>
          </w:tcPr>
          <w:p>
            <w:pPr>
              <w:spacing w:after="0"/>
              <w:rPr>
                <w:sz w:val="2"/>
                <w:szCs w:val="2"/>
                <w:color w:val="auto"/>
              </w:rPr>
            </w:pPr>
          </w:p>
        </w:tc>
        <w:tc>
          <w:tcPr>
            <w:tcW w:w="1720" w:type="dxa"/>
            <w:vAlign w:val="bottom"/>
            <w:tcBorders>
              <w:bottom w:val="single" w:sz="8" w:color="6D8CC3"/>
            </w:tcBorders>
          </w:tcPr>
          <w:p>
            <w:pPr>
              <w:spacing w:after="0"/>
              <w:rPr>
                <w:sz w:val="2"/>
                <w:szCs w:val="2"/>
                <w:color w:val="auto"/>
              </w:rPr>
            </w:pPr>
          </w:p>
        </w:tc>
        <w:tc>
          <w:tcPr>
            <w:tcW w:w="1140" w:type="dxa"/>
            <w:vAlign w:val="bottom"/>
            <w:tcBorders>
              <w:bottom w:val="single" w:sz="8" w:color="6D8CC3"/>
            </w:tcBorders>
          </w:tcPr>
          <w:p>
            <w:pPr>
              <w:spacing w:after="0"/>
              <w:rPr>
                <w:sz w:val="2"/>
                <w:szCs w:val="2"/>
                <w:color w:val="auto"/>
              </w:rPr>
            </w:pPr>
          </w:p>
        </w:tc>
        <w:tc>
          <w:tcPr>
            <w:tcW w:w="1080" w:type="dxa"/>
            <w:vAlign w:val="bottom"/>
            <w:tcBorders>
              <w:bottom w:val="single" w:sz="8" w:color="6D8CC3"/>
            </w:tcBorders>
          </w:tcPr>
          <w:p>
            <w:pPr>
              <w:spacing w:after="0"/>
              <w:rPr>
                <w:sz w:val="2"/>
                <w:szCs w:val="2"/>
                <w:color w:val="auto"/>
              </w:rPr>
            </w:pPr>
          </w:p>
        </w:tc>
        <w:tc>
          <w:tcPr>
            <w:tcW w:w="260" w:type="dxa"/>
            <w:vAlign w:val="bottom"/>
            <w:tcBorders>
              <w:bottom w:val="single" w:sz="8" w:color="6D8CC3"/>
            </w:tcBorders>
          </w:tcPr>
          <w:p>
            <w:pPr>
              <w:spacing w:after="0"/>
              <w:rPr>
                <w:sz w:val="2"/>
                <w:szCs w:val="2"/>
                <w:color w:val="auto"/>
              </w:rPr>
            </w:pPr>
          </w:p>
        </w:tc>
        <w:tc>
          <w:tcPr>
            <w:tcW w:w="1140" w:type="dxa"/>
            <w:vAlign w:val="bottom"/>
            <w:tcBorders>
              <w:bottom w:val="single" w:sz="8" w:color="6D8CC3"/>
            </w:tcBorders>
          </w:tcPr>
          <w:p>
            <w:pPr>
              <w:spacing w:after="0"/>
              <w:rPr>
                <w:sz w:val="2"/>
                <w:szCs w:val="2"/>
                <w:color w:val="auto"/>
              </w:rPr>
            </w:pPr>
          </w:p>
        </w:tc>
        <w:tc>
          <w:tcPr>
            <w:tcW w:w="1080" w:type="dxa"/>
            <w:vAlign w:val="bottom"/>
            <w:tcBorders>
              <w:bottom w:val="single" w:sz="8" w:color="6D8CC3"/>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(1) Stock Award Value Realized is calculated based on the closing stock price on the date the RSUs and PSUs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573722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737225" cy="8255"/>
                    </a:xfrm>
                    <a:prstGeom prst="rect">
                      <a:avLst/>
                    </a:prstGeom>
                    <a:noFill/>
                  </pic:spPr>
                </pic:pic>
              </a:graphicData>
            </a:graphic>
          </wp:anchor>
        </w:drawing>
      </w:r>
    </w:p>
    <w:p>
      <w:pPr>
        <w:spacing w:after="0" w:line="291" w:lineRule="exact"/>
        <w:rPr>
          <w:sz w:val="20"/>
          <w:szCs w:val="20"/>
          <w:color w:val="auto"/>
        </w:rPr>
      </w:pPr>
    </w:p>
    <w:p>
      <w:pPr>
        <w:ind w:left="5460"/>
        <w:spacing w:after="0"/>
        <w:rPr>
          <w:sz w:val="20"/>
          <w:szCs w:val="20"/>
          <w:color w:val="auto"/>
        </w:rPr>
      </w:pPr>
      <w:r>
        <w:rPr>
          <w:rFonts w:ascii="Arial" w:cs="Arial" w:eastAsia="Arial" w:hAnsi="Arial"/>
          <w:sz w:val="13"/>
          <w:szCs w:val="13"/>
          <w:color w:val="292F72"/>
        </w:rPr>
        <w:t>Bath &amp; Body Works, Inc.</w:t>
      </w:r>
      <w:r>
        <w:rPr>
          <w:rFonts w:ascii="Arial" w:cs="Arial" w:eastAsia="Arial" w:hAnsi="Arial"/>
          <w:sz w:val="13"/>
          <w:szCs w:val="13"/>
          <w:color w:val="6D8CC3"/>
        </w:rPr>
        <w:t xml:space="preserve">   | </w:t>
      </w:r>
      <w:r>
        <w:rPr>
          <w:rFonts w:ascii="Arial" w:cs="Arial" w:eastAsia="Arial" w:hAnsi="Arial"/>
          <w:sz w:val="13"/>
          <w:szCs w:val="13"/>
          <w:color w:val="292F72"/>
        </w:rPr>
        <w:t xml:space="preserve">  2026 Proxy Statement     </w:t>
      </w:r>
      <w:r>
        <w:rPr>
          <w:rFonts w:ascii="Arial" w:cs="Arial" w:eastAsia="Arial" w:hAnsi="Arial"/>
          <w:sz w:val="13"/>
          <w:szCs w:val="13"/>
          <w:b w:val="1"/>
          <w:bCs w:val="1"/>
          <w:color w:val="292F72"/>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152400</wp:posOffset>
            </wp:positionV>
            <wp:extent cx="6795135" cy="1651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795135" cy="16510"/>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6"/>
          <w:szCs w:val="16"/>
          <w:color w:val="292F72"/>
        </w:rPr>
        <w:t>Compensation-Related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40640</wp:posOffset>
            </wp:positionV>
            <wp:extent cx="1407160" cy="3302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407160" cy="3302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23"/>
          <w:szCs w:val="23"/>
          <w:b w:val="1"/>
          <w:bCs w:val="1"/>
          <w:color w:val="292F72"/>
        </w:rPr>
        <w:t>Potential Payments Upon Termination or Change in Control</w:t>
      </w:r>
    </w:p>
    <w:p>
      <w:pPr>
        <w:spacing w:after="0" w:line="148" w:lineRule="exact"/>
        <w:rPr>
          <w:sz w:val="20"/>
          <w:szCs w:val="20"/>
          <w:color w:val="auto"/>
        </w:rPr>
      </w:pPr>
    </w:p>
    <w:p>
      <w:pPr>
        <w:ind w:right="460"/>
        <w:spacing w:after="0" w:line="268" w:lineRule="auto"/>
        <w:rPr>
          <w:sz w:val="20"/>
          <w:szCs w:val="20"/>
          <w:color w:val="auto"/>
        </w:rPr>
      </w:pPr>
      <w:r>
        <w:rPr>
          <w:rFonts w:ascii="Arial" w:cs="Arial" w:eastAsia="Arial" w:hAnsi="Arial"/>
          <w:sz w:val="16"/>
          <w:szCs w:val="16"/>
          <w:color w:val="auto"/>
        </w:rPr>
        <w:t>We have entered into certain agreements with our current NEOs that will require us to provide compensation in the event of certain terminations of employment, including a termination following a change in control of our Company.</w:t>
      </w:r>
    </w:p>
    <w:p>
      <w:pPr>
        <w:spacing w:after="0" w:line="127"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color w:val="auto"/>
        </w:rPr>
        <w:t>The following tables set forth the expected benefits to be received by each of our current NEOs in the event of termination resulting from various scenarios, assuming a termination date of January 31, 2026, and a stock price of $21.80, the closing price of the Company’s common stock on January 30, 2026 (the last trading day during fiscal 2025). Each scenario relates to the single termination event described, and amounts are not cumulative in situations where multiple scenarios may apply. Assumptions and explanations of the numbers set forth in the tables below are set forth in additional text following the tables.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480" w:type="dxa"/>
            <w:vAlign w:val="bottom"/>
          </w:tcPr>
          <w:p>
            <w:pPr>
              <w:ind w:left="320"/>
              <w:spacing w:after="0"/>
              <w:rPr>
                <w:sz w:val="20"/>
                <w:szCs w:val="20"/>
                <w:color w:val="auto"/>
              </w:rPr>
            </w:pPr>
            <w:r>
              <w:rPr>
                <w:rFonts w:ascii="Arial" w:cs="Arial" w:eastAsia="Arial" w:hAnsi="Arial"/>
                <w:sz w:val="14"/>
                <w:szCs w:val="14"/>
                <w:b w:val="1"/>
                <w:bCs w:val="1"/>
                <w:color w:val="292F72"/>
              </w:rPr>
              <w:t>INVOLUNTARY</w:t>
            </w:r>
          </w:p>
        </w:tc>
        <w:tc>
          <w:tcPr>
            <w:tcW w:w="1300" w:type="dxa"/>
            <w:vAlign w:val="bottom"/>
          </w:tcPr>
          <w:p>
            <w:pPr>
              <w:ind w:left="160"/>
              <w:spacing w:after="0"/>
              <w:rPr>
                <w:sz w:val="20"/>
                <w:szCs w:val="20"/>
                <w:color w:val="auto"/>
              </w:rPr>
            </w:pPr>
            <w:r>
              <w:rPr>
                <w:rFonts w:ascii="Arial" w:cs="Arial" w:eastAsia="Arial" w:hAnsi="Arial"/>
                <w:sz w:val="14"/>
                <w:szCs w:val="14"/>
                <w:b w:val="1"/>
                <w:bCs w:val="1"/>
                <w:color w:val="292F72"/>
              </w:rPr>
              <w:t>INVOLUNTARY</w:t>
            </w: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480" w:type="dxa"/>
            <w:vAlign w:val="bottom"/>
          </w:tcPr>
          <w:p>
            <w:pPr>
              <w:ind w:left="320"/>
              <w:spacing w:after="0" w:line="157" w:lineRule="exact"/>
              <w:rPr>
                <w:sz w:val="20"/>
                <w:szCs w:val="20"/>
                <w:color w:val="auto"/>
              </w:rPr>
            </w:pPr>
            <w:r>
              <w:rPr>
                <w:rFonts w:ascii="Arial" w:cs="Arial" w:eastAsia="Arial" w:hAnsi="Arial"/>
                <w:sz w:val="14"/>
                <w:szCs w:val="14"/>
                <w:b w:val="1"/>
                <w:bCs w:val="1"/>
                <w:color w:val="292F72"/>
              </w:rPr>
              <w:t>W/OUT CAUSE</w:t>
            </w:r>
          </w:p>
        </w:tc>
        <w:tc>
          <w:tcPr>
            <w:tcW w:w="1300" w:type="dxa"/>
            <w:vAlign w:val="bottom"/>
          </w:tcPr>
          <w:p>
            <w:pPr>
              <w:ind w:left="160"/>
              <w:spacing w:after="0" w:line="157" w:lineRule="exact"/>
              <w:rPr>
                <w:sz w:val="20"/>
                <w:szCs w:val="20"/>
                <w:color w:val="auto"/>
              </w:rPr>
            </w:pPr>
            <w:r>
              <w:rPr>
                <w:rFonts w:ascii="Arial" w:cs="Arial" w:eastAsia="Arial" w:hAnsi="Arial"/>
                <w:sz w:val="14"/>
                <w:szCs w:val="14"/>
                <w:b w:val="1"/>
                <w:bCs w:val="1"/>
                <w:color w:val="292F72"/>
              </w:rPr>
              <w:t>W/OUT CAUSE</w:t>
            </w: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480" w:type="dxa"/>
            <w:vAlign w:val="bottom"/>
          </w:tcPr>
          <w:p>
            <w:pPr>
              <w:ind w:left="320"/>
              <w:spacing w:after="0" w:line="157" w:lineRule="exact"/>
              <w:rPr>
                <w:sz w:val="20"/>
                <w:szCs w:val="20"/>
                <w:color w:val="auto"/>
              </w:rPr>
            </w:pPr>
            <w:r>
              <w:rPr>
                <w:rFonts w:ascii="Arial" w:cs="Arial" w:eastAsia="Arial" w:hAnsi="Arial"/>
                <w:sz w:val="14"/>
                <w:szCs w:val="14"/>
                <w:b w:val="1"/>
                <w:bCs w:val="1"/>
                <w:color w:val="292F72"/>
              </w:rPr>
              <w:t>VOLUNTARY</w:t>
            </w:r>
          </w:p>
        </w:tc>
        <w:tc>
          <w:tcPr>
            <w:tcW w:w="1300" w:type="dxa"/>
            <w:vAlign w:val="bottom"/>
          </w:tcPr>
          <w:p>
            <w:pPr>
              <w:ind w:left="160"/>
              <w:spacing w:after="0" w:line="157" w:lineRule="exact"/>
              <w:rPr>
                <w:sz w:val="20"/>
                <w:szCs w:val="20"/>
                <w:color w:val="auto"/>
              </w:rPr>
            </w:pPr>
            <w:r>
              <w:rPr>
                <w:rFonts w:ascii="Arial" w:cs="Arial" w:eastAsia="Arial" w:hAnsi="Arial"/>
                <w:sz w:val="14"/>
                <w:szCs w:val="14"/>
                <w:b w:val="1"/>
                <w:bCs w:val="1"/>
                <w:color w:val="292F72"/>
              </w:rPr>
              <w:t>FOLLOWING</w:t>
            </w: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480" w:type="dxa"/>
            <w:vAlign w:val="bottom"/>
          </w:tcPr>
          <w:p>
            <w:pPr>
              <w:ind w:left="320"/>
              <w:spacing w:after="0" w:line="157" w:lineRule="exact"/>
              <w:rPr>
                <w:sz w:val="20"/>
                <w:szCs w:val="20"/>
                <w:color w:val="auto"/>
              </w:rPr>
            </w:pPr>
            <w:r>
              <w:rPr>
                <w:rFonts w:ascii="Arial" w:cs="Arial" w:eastAsia="Arial" w:hAnsi="Arial"/>
                <w:sz w:val="14"/>
                <w:szCs w:val="14"/>
                <w:b w:val="1"/>
                <w:bCs w:val="1"/>
                <w:color w:val="292F72"/>
              </w:rPr>
              <w:t>W/GOOD</w:t>
            </w:r>
          </w:p>
        </w:tc>
        <w:tc>
          <w:tcPr>
            <w:tcW w:w="1300" w:type="dxa"/>
            <w:vAlign w:val="bottom"/>
          </w:tcPr>
          <w:p>
            <w:pPr>
              <w:ind w:left="160"/>
              <w:spacing w:after="0" w:line="157" w:lineRule="exact"/>
              <w:rPr>
                <w:sz w:val="20"/>
                <w:szCs w:val="20"/>
                <w:color w:val="auto"/>
              </w:rPr>
            </w:pPr>
            <w:r>
              <w:rPr>
                <w:rFonts w:ascii="Arial" w:cs="Arial" w:eastAsia="Arial" w:hAnsi="Arial"/>
                <w:sz w:val="14"/>
                <w:szCs w:val="14"/>
                <w:b w:val="1"/>
                <w:bCs w:val="1"/>
                <w:color w:val="292F72"/>
              </w:rPr>
              <w:t>CHANGE IN</w:t>
            </w:r>
          </w:p>
        </w:tc>
        <w:tc>
          <w:tcPr>
            <w:tcW w:w="1020" w:type="dxa"/>
            <w:vAlign w:val="bottom"/>
            <w:vMerge w:val="restart"/>
          </w:tcPr>
          <w:p>
            <w:pPr>
              <w:jc w:val="right"/>
              <w:ind w:right="162"/>
              <w:spacing w:after="0"/>
              <w:rPr>
                <w:sz w:val="20"/>
                <w:szCs w:val="20"/>
                <w:color w:val="auto"/>
              </w:rPr>
            </w:pPr>
            <w:r>
              <w:rPr>
                <w:rFonts w:ascii="Arial" w:cs="Arial" w:eastAsia="Arial" w:hAnsi="Arial"/>
                <w:sz w:val="14"/>
                <w:szCs w:val="14"/>
                <w:b w:val="1"/>
                <w:bCs w:val="1"/>
                <w:color w:val="292F72"/>
              </w:rPr>
              <w:t>DEATH</w:t>
            </w:r>
            <w:r>
              <w:rPr>
                <w:rFonts w:ascii="Arial" w:cs="Arial" w:eastAsia="Arial" w:hAnsi="Arial"/>
                <w:sz w:val="23"/>
                <w:szCs w:val="23"/>
                <w:b w:val="1"/>
                <w:bCs w:val="1"/>
                <w:color w:val="292F72"/>
                <w:vertAlign w:val="superscript"/>
              </w:rPr>
              <w:t>(5)</w:t>
            </w:r>
          </w:p>
        </w:tc>
        <w:tc>
          <w:tcPr>
            <w:tcW w:w="1100" w:type="dxa"/>
            <w:vAlign w:val="bottom"/>
          </w:tcPr>
          <w:p>
            <w:pPr>
              <w:spacing w:after="0"/>
              <w:rPr>
                <w:sz w:val="13"/>
                <w:szCs w:val="13"/>
                <w:color w:val="auto"/>
              </w:rPr>
            </w:pPr>
          </w:p>
        </w:tc>
        <w:tc>
          <w:tcPr>
            <w:tcW w:w="1280" w:type="dxa"/>
            <w:vAlign w:val="bottom"/>
          </w:tcPr>
          <w:p>
            <w:pPr>
              <w:ind w:left="160"/>
              <w:spacing w:after="0" w:line="157" w:lineRule="exact"/>
              <w:rPr>
                <w:sz w:val="20"/>
                <w:szCs w:val="20"/>
                <w:color w:val="auto"/>
              </w:rPr>
            </w:pPr>
            <w:r>
              <w:rPr>
                <w:rFonts w:ascii="Arial" w:cs="Arial" w:eastAsia="Arial" w:hAnsi="Arial"/>
                <w:sz w:val="14"/>
                <w:szCs w:val="14"/>
                <w:b w:val="1"/>
                <w:bCs w:val="1"/>
                <w:color w:val="292F72"/>
                <w:w w:val="98"/>
              </w:rPr>
              <w:t>VOLUNTARY OR</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480" w:type="dxa"/>
            <w:vAlign w:val="bottom"/>
          </w:tcPr>
          <w:p>
            <w:pPr>
              <w:ind w:left="320"/>
              <w:spacing w:after="0" w:line="157" w:lineRule="exact"/>
              <w:rPr>
                <w:sz w:val="20"/>
                <w:szCs w:val="20"/>
                <w:color w:val="auto"/>
              </w:rPr>
            </w:pPr>
            <w:r>
              <w:rPr>
                <w:rFonts w:ascii="Arial" w:cs="Arial" w:eastAsia="Arial" w:hAnsi="Arial"/>
                <w:sz w:val="14"/>
                <w:szCs w:val="14"/>
                <w:b w:val="1"/>
                <w:bCs w:val="1"/>
                <w:color w:val="292F72"/>
              </w:rPr>
              <w:t>REASON</w:t>
            </w:r>
          </w:p>
        </w:tc>
        <w:tc>
          <w:tcPr>
            <w:tcW w:w="1300" w:type="dxa"/>
            <w:vAlign w:val="bottom"/>
          </w:tcPr>
          <w:p>
            <w:pPr>
              <w:ind w:left="160"/>
              <w:spacing w:after="0" w:line="157" w:lineRule="exact"/>
              <w:rPr>
                <w:sz w:val="20"/>
                <w:szCs w:val="20"/>
                <w:color w:val="auto"/>
              </w:rPr>
            </w:pPr>
            <w:r>
              <w:rPr>
                <w:rFonts w:ascii="Arial" w:cs="Arial" w:eastAsia="Arial" w:hAnsi="Arial"/>
                <w:sz w:val="14"/>
                <w:szCs w:val="14"/>
                <w:b w:val="1"/>
                <w:bCs w:val="1"/>
                <w:color w:val="292F72"/>
              </w:rPr>
              <w:t>CONTROL</w:t>
            </w:r>
          </w:p>
        </w:tc>
        <w:tc>
          <w:tcPr>
            <w:tcW w:w="1020" w:type="dxa"/>
            <w:vAlign w:val="bottom"/>
            <w:vMerge w:val="continue"/>
          </w:tcPr>
          <w:p>
            <w:pPr>
              <w:spacing w:after="0"/>
              <w:rPr>
                <w:sz w:val="13"/>
                <w:szCs w:val="13"/>
                <w:color w:val="auto"/>
              </w:rPr>
            </w:pPr>
          </w:p>
        </w:tc>
        <w:tc>
          <w:tcPr>
            <w:tcW w:w="1100" w:type="dxa"/>
            <w:vAlign w:val="bottom"/>
          </w:tcPr>
          <w:p>
            <w:pPr>
              <w:jc w:val="right"/>
              <w:ind w:right="82"/>
              <w:spacing w:after="0" w:line="157" w:lineRule="exact"/>
              <w:rPr>
                <w:sz w:val="20"/>
                <w:szCs w:val="20"/>
                <w:color w:val="auto"/>
              </w:rPr>
            </w:pPr>
            <w:r>
              <w:rPr>
                <w:rFonts w:ascii="Arial" w:cs="Arial" w:eastAsia="Arial" w:hAnsi="Arial"/>
                <w:sz w:val="14"/>
                <w:szCs w:val="14"/>
                <w:b w:val="1"/>
                <w:bCs w:val="1"/>
                <w:color w:val="292F72"/>
              </w:rPr>
              <w:t>DISABILITY</w:t>
            </w:r>
          </w:p>
        </w:tc>
        <w:tc>
          <w:tcPr>
            <w:tcW w:w="1280" w:type="dxa"/>
            <w:vAlign w:val="bottom"/>
          </w:tcPr>
          <w:p>
            <w:pPr>
              <w:ind w:left="160"/>
              <w:spacing w:after="0" w:line="157" w:lineRule="exact"/>
              <w:rPr>
                <w:sz w:val="20"/>
                <w:szCs w:val="20"/>
                <w:color w:val="auto"/>
              </w:rPr>
            </w:pPr>
            <w:r>
              <w:rPr>
                <w:rFonts w:ascii="Arial" w:cs="Arial" w:eastAsia="Arial" w:hAnsi="Arial"/>
                <w:sz w:val="14"/>
                <w:szCs w:val="14"/>
                <w:b w:val="1"/>
                <w:bCs w:val="1"/>
                <w:color w:val="292F72"/>
              </w:rPr>
              <w:t>RETIREMENT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840" w:type="dxa"/>
            <w:vAlign w:val="bottom"/>
            <w:tcBorders>
              <w:bottom w:val="single" w:sz="8" w:color="292F72"/>
            </w:tcBorders>
          </w:tcPr>
          <w:p>
            <w:pPr>
              <w:spacing w:after="0"/>
              <w:rPr>
                <w:sz w:val="16"/>
                <w:szCs w:val="16"/>
                <w:color w:val="auto"/>
              </w:rPr>
            </w:pPr>
          </w:p>
        </w:tc>
        <w:tc>
          <w:tcPr>
            <w:tcW w:w="1480" w:type="dxa"/>
            <w:vAlign w:val="bottom"/>
            <w:tcBorders>
              <w:bottom w:val="single" w:sz="8" w:color="292F72"/>
            </w:tcBorders>
          </w:tcPr>
          <w:p>
            <w:pPr>
              <w:jc w:val="right"/>
              <w:ind w:right="503"/>
              <w:spacing w:after="0"/>
              <w:rPr>
                <w:sz w:val="20"/>
                <w:szCs w:val="20"/>
                <w:color w:val="auto"/>
              </w:rPr>
            </w:pPr>
            <w:r>
              <w:rPr>
                <w:rFonts w:ascii="Arial" w:cs="Arial" w:eastAsia="Arial" w:hAnsi="Arial"/>
                <w:sz w:val="14"/>
                <w:szCs w:val="14"/>
                <w:b w:val="1"/>
                <w:bCs w:val="1"/>
                <w:color w:val="292F72"/>
              </w:rPr>
              <w:t>($)</w:t>
            </w:r>
          </w:p>
        </w:tc>
        <w:tc>
          <w:tcPr>
            <w:tcW w:w="1300" w:type="dxa"/>
            <w:vAlign w:val="bottom"/>
            <w:tcBorders>
              <w:bottom w:val="single" w:sz="8" w:color="292F72"/>
            </w:tcBorders>
          </w:tcPr>
          <w:p>
            <w:pPr>
              <w:jc w:val="right"/>
              <w:ind w:right="483"/>
              <w:spacing w:after="0"/>
              <w:rPr>
                <w:sz w:val="20"/>
                <w:szCs w:val="20"/>
                <w:color w:val="auto"/>
              </w:rPr>
            </w:pPr>
            <w:r>
              <w:rPr>
                <w:rFonts w:ascii="Arial" w:cs="Arial" w:eastAsia="Arial" w:hAnsi="Arial"/>
                <w:sz w:val="14"/>
                <w:szCs w:val="14"/>
                <w:b w:val="1"/>
                <w:bCs w:val="1"/>
                <w:color w:val="292F72"/>
              </w:rPr>
              <w:t>($)</w:t>
            </w:r>
          </w:p>
        </w:tc>
        <w:tc>
          <w:tcPr>
            <w:tcW w:w="1020" w:type="dxa"/>
            <w:vAlign w:val="bottom"/>
            <w:tcBorders>
              <w:bottom w:val="single" w:sz="8" w:color="292F72"/>
            </w:tcBorders>
          </w:tcPr>
          <w:p>
            <w:pPr>
              <w:jc w:val="right"/>
              <w:ind w:right="342"/>
              <w:spacing w:after="0"/>
              <w:rPr>
                <w:sz w:val="20"/>
                <w:szCs w:val="20"/>
                <w:color w:val="auto"/>
              </w:rPr>
            </w:pPr>
            <w:r>
              <w:rPr>
                <w:rFonts w:ascii="Arial" w:cs="Arial" w:eastAsia="Arial" w:hAnsi="Arial"/>
                <w:sz w:val="14"/>
                <w:szCs w:val="14"/>
                <w:b w:val="1"/>
                <w:bCs w:val="1"/>
                <w:color w:val="292F72"/>
              </w:rPr>
              <w:t>($)</w:t>
            </w:r>
          </w:p>
        </w:tc>
        <w:tc>
          <w:tcPr>
            <w:tcW w:w="1100" w:type="dxa"/>
            <w:vAlign w:val="bottom"/>
            <w:tcBorders>
              <w:bottom w:val="single" w:sz="8" w:color="292F72"/>
            </w:tcBorders>
          </w:tcPr>
          <w:p>
            <w:pPr>
              <w:jc w:val="right"/>
              <w:ind w:right="382"/>
              <w:spacing w:after="0"/>
              <w:rPr>
                <w:sz w:val="20"/>
                <w:szCs w:val="20"/>
                <w:color w:val="auto"/>
              </w:rPr>
            </w:pPr>
            <w:r>
              <w:rPr>
                <w:rFonts w:ascii="Arial" w:cs="Arial" w:eastAsia="Arial" w:hAnsi="Arial"/>
                <w:sz w:val="14"/>
                <w:szCs w:val="14"/>
                <w:b w:val="1"/>
                <w:bCs w:val="1"/>
                <w:color w:val="292F72"/>
              </w:rPr>
              <w:t>($)</w:t>
            </w:r>
          </w:p>
        </w:tc>
        <w:tc>
          <w:tcPr>
            <w:tcW w:w="1280" w:type="dxa"/>
            <w:vAlign w:val="bottom"/>
            <w:tcBorders>
              <w:bottom w:val="single" w:sz="8" w:color="292F72"/>
            </w:tcBorders>
          </w:tcPr>
          <w:p>
            <w:pPr>
              <w:ind w:left="620"/>
              <w:spacing w:after="0"/>
              <w:rPr>
                <w:sz w:val="20"/>
                <w:szCs w:val="20"/>
                <w:color w:val="auto"/>
              </w:rPr>
            </w:pPr>
            <w:r>
              <w:rPr>
                <w:rFonts w:ascii="Arial" w:cs="Arial" w:eastAsia="Arial" w:hAnsi="Arial"/>
                <w:sz w:val="14"/>
                <w:szCs w:val="14"/>
                <w:b w:val="1"/>
                <w:bCs w:val="1"/>
                <w:color w:val="292F72"/>
              </w:rPr>
              <w:t>($)</w:t>
            </w:r>
          </w:p>
        </w:tc>
        <w:tc>
          <w:tcPr>
            <w:tcW w:w="0" w:type="dxa"/>
            <w:vAlign w:val="bottom"/>
          </w:tcPr>
          <w:p>
            <w:pPr>
              <w:spacing w:after="0"/>
              <w:rPr>
                <w:sz w:val="1"/>
                <w:szCs w:val="1"/>
                <w:color w:val="auto"/>
              </w:rPr>
            </w:pPr>
          </w:p>
        </w:tc>
      </w:tr>
      <w:tr>
        <w:trPr>
          <w:trHeight w:val="226"/>
        </w:trPr>
        <w:tc>
          <w:tcPr>
            <w:tcW w:w="2860" w:type="dxa"/>
            <w:vAlign w:val="bottom"/>
            <w:tcBorders>
              <w:bottom w:val="single" w:sz="8" w:color="6D8CC3"/>
            </w:tcBorders>
            <w:gridSpan w:val="2"/>
          </w:tcPr>
          <w:p>
            <w:pPr>
              <w:spacing w:after="0"/>
              <w:rPr>
                <w:sz w:val="20"/>
                <w:szCs w:val="20"/>
                <w:color w:val="auto"/>
              </w:rPr>
            </w:pPr>
            <w:r>
              <w:rPr>
                <w:rFonts w:ascii="Arial" w:cs="Arial" w:eastAsia="Arial" w:hAnsi="Arial"/>
                <w:sz w:val="16"/>
                <w:szCs w:val="16"/>
                <w:b w:val="1"/>
                <w:bCs w:val="1"/>
                <w:color w:val="6D8CC3"/>
              </w:rPr>
              <w:t>Mr. Heaf</w:t>
            </w:r>
          </w:p>
        </w:tc>
        <w:tc>
          <w:tcPr>
            <w:tcW w:w="1480" w:type="dxa"/>
            <w:vAlign w:val="bottom"/>
            <w:tcBorders>
              <w:bottom w:val="single" w:sz="8" w:color="6D8CC3"/>
            </w:tcBorders>
          </w:tcPr>
          <w:p>
            <w:pPr>
              <w:spacing w:after="0"/>
              <w:rPr>
                <w:sz w:val="19"/>
                <w:szCs w:val="19"/>
                <w:color w:val="auto"/>
              </w:rPr>
            </w:pPr>
          </w:p>
        </w:tc>
        <w:tc>
          <w:tcPr>
            <w:tcW w:w="1300" w:type="dxa"/>
            <w:vAlign w:val="bottom"/>
            <w:tcBorders>
              <w:bottom w:val="single" w:sz="8" w:color="6D8CC3"/>
            </w:tcBorders>
          </w:tcPr>
          <w:p>
            <w:pPr>
              <w:spacing w:after="0"/>
              <w:rPr>
                <w:sz w:val="19"/>
                <w:szCs w:val="19"/>
                <w:color w:val="auto"/>
              </w:rPr>
            </w:pPr>
          </w:p>
        </w:tc>
        <w:tc>
          <w:tcPr>
            <w:tcW w:w="1020" w:type="dxa"/>
            <w:vAlign w:val="bottom"/>
            <w:tcBorders>
              <w:bottom w:val="single" w:sz="8" w:color="6D8CC3"/>
            </w:tcBorders>
          </w:tcPr>
          <w:p>
            <w:pPr>
              <w:spacing w:after="0"/>
              <w:rPr>
                <w:sz w:val="19"/>
                <w:szCs w:val="19"/>
                <w:color w:val="auto"/>
              </w:rPr>
            </w:pPr>
          </w:p>
        </w:tc>
        <w:tc>
          <w:tcPr>
            <w:tcW w:w="1100" w:type="dxa"/>
            <w:vAlign w:val="bottom"/>
            <w:tcBorders>
              <w:bottom w:val="single" w:sz="8" w:color="6D8CC3"/>
            </w:tcBorders>
          </w:tcPr>
          <w:p>
            <w:pPr>
              <w:spacing w:after="0"/>
              <w:rPr>
                <w:sz w:val="19"/>
                <w:szCs w:val="19"/>
                <w:color w:val="auto"/>
              </w:rPr>
            </w:pPr>
          </w:p>
        </w:tc>
        <w:tc>
          <w:tcPr>
            <w:tcW w:w="1280" w:type="dxa"/>
            <w:vAlign w:val="bottom"/>
            <w:tcBorders>
              <w:bottom w:val="single" w:sz="8" w:color="6D8CC3"/>
            </w:tcBorders>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2860" w:type="dxa"/>
            <w:vAlign w:val="bottom"/>
            <w:tcBorders>
              <w:bottom w:val="single" w:sz="8" w:color="6D8CC3"/>
            </w:tcBorders>
            <w:gridSpan w:val="2"/>
          </w:tcPr>
          <w:p>
            <w:pPr>
              <w:spacing w:after="0" w:line="260" w:lineRule="exact"/>
              <w:rPr>
                <w:sz w:val="20"/>
                <w:szCs w:val="20"/>
                <w:color w:val="auto"/>
              </w:rPr>
            </w:pPr>
            <w:r>
              <w:rPr>
                <w:rFonts w:ascii="Arial" w:cs="Arial" w:eastAsia="Arial" w:hAnsi="Arial"/>
                <w:sz w:val="16"/>
                <w:szCs w:val="16"/>
                <w:color w:val="auto"/>
              </w:rPr>
              <w:t>Base Salary</w:t>
            </w:r>
            <w:r>
              <w:rPr>
                <w:rFonts w:ascii="Arial" w:cs="Arial" w:eastAsia="Arial" w:hAnsi="Arial"/>
                <w:sz w:val="26"/>
                <w:szCs w:val="26"/>
                <w:color w:val="auto"/>
                <w:vertAlign w:val="superscript"/>
              </w:rPr>
              <w:t>(1)</w:t>
            </w:r>
          </w:p>
        </w:tc>
        <w:tc>
          <w:tcPr>
            <w:tcW w:w="1480" w:type="dxa"/>
            <w:vAlign w:val="bottom"/>
            <w:tcBorders>
              <w:bottom w:val="single" w:sz="8" w:color="6D8CC3"/>
            </w:tcBorders>
          </w:tcPr>
          <w:p>
            <w:pPr>
              <w:jc w:val="right"/>
              <w:ind w:right="243"/>
              <w:spacing w:after="0"/>
              <w:rPr>
                <w:sz w:val="20"/>
                <w:szCs w:val="20"/>
                <w:color w:val="auto"/>
              </w:rPr>
            </w:pPr>
            <w:r>
              <w:rPr>
                <w:rFonts w:ascii="Arial" w:cs="Arial" w:eastAsia="Arial" w:hAnsi="Arial"/>
                <w:sz w:val="16"/>
                <w:szCs w:val="16"/>
                <w:color w:val="auto"/>
              </w:rPr>
              <w:t>2,700,000</w:t>
            </w:r>
          </w:p>
        </w:tc>
        <w:tc>
          <w:tcPr>
            <w:tcW w:w="1300" w:type="dxa"/>
            <w:vAlign w:val="bottom"/>
            <w:tcBorders>
              <w:bottom w:val="single" w:sz="8" w:color="6D8CC3"/>
            </w:tcBorders>
          </w:tcPr>
          <w:p>
            <w:pPr>
              <w:jc w:val="right"/>
              <w:ind w:right="203"/>
              <w:spacing w:after="0"/>
              <w:rPr>
                <w:sz w:val="20"/>
                <w:szCs w:val="20"/>
                <w:color w:val="auto"/>
              </w:rPr>
            </w:pPr>
            <w:r>
              <w:rPr>
                <w:rFonts w:ascii="Arial" w:cs="Arial" w:eastAsia="Arial" w:hAnsi="Arial"/>
                <w:sz w:val="16"/>
                <w:szCs w:val="16"/>
                <w:color w:val="auto"/>
              </w:rPr>
              <w:t>2,700,000</w:t>
            </w:r>
          </w:p>
        </w:tc>
        <w:tc>
          <w:tcPr>
            <w:tcW w:w="1020" w:type="dxa"/>
            <w:vAlign w:val="bottom"/>
            <w:tcBorders>
              <w:bottom w:val="single" w:sz="8" w:color="6D8CC3"/>
            </w:tcBorders>
          </w:tcPr>
          <w:p>
            <w:pPr>
              <w:jc w:val="right"/>
              <w:ind w:right="82"/>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6D8CC3"/>
            </w:tcBorders>
          </w:tcPr>
          <w:p>
            <w:pPr>
              <w:jc w:val="right"/>
              <w:ind w:right="142"/>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6D8CC3"/>
            </w:tcBorders>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5"/>
        </w:trPr>
        <w:tc>
          <w:tcPr>
            <w:tcW w:w="2860" w:type="dxa"/>
            <w:vAlign w:val="bottom"/>
            <w:tcBorders>
              <w:bottom w:val="single" w:sz="8" w:color="6D8CC3"/>
            </w:tcBorders>
            <w:gridSpan w:val="2"/>
          </w:tcPr>
          <w:p>
            <w:pPr>
              <w:spacing w:after="0" w:line="255" w:lineRule="exact"/>
              <w:rPr>
                <w:sz w:val="20"/>
                <w:szCs w:val="20"/>
                <w:color w:val="auto"/>
              </w:rPr>
            </w:pPr>
            <w:r>
              <w:rPr>
                <w:rFonts w:ascii="Arial" w:cs="Arial" w:eastAsia="Arial" w:hAnsi="Arial"/>
                <w:sz w:val="29"/>
                <w:szCs w:val="29"/>
                <w:color w:val="auto"/>
                <w:vertAlign w:val="subscript"/>
              </w:rPr>
              <w:t>IC</w:t>
            </w:r>
            <w:r>
              <w:rPr>
                <w:rFonts w:ascii="Arial" w:cs="Arial" w:eastAsia="Arial" w:hAnsi="Arial"/>
                <w:sz w:val="13"/>
                <w:szCs w:val="13"/>
                <w:color w:val="auto"/>
              </w:rPr>
              <w:t>(2)</w:t>
            </w:r>
          </w:p>
        </w:tc>
        <w:tc>
          <w:tcPr>
            <w:tcW w:w="1480" w:type="dxa"/>
            <w:vAlign w:val="bottom"/>
            <w:tcBorders>
              <w:bottom w:val="single" w:sz="8" w:color="6D8CC3"/>
            </w:tcBorders>
          </w:tcPr>
          <w:p>
            <w:pPr>
              <w:jc w:val="right"/>
              <w:ind w:right="243"/>
              <w:spacing w:after="0"/>
              <w:rPr>
                <w:sz w:val="20"/>
                <w:szCs w:val="20"/>
                <w:color w:val="auto"/>
              </w:rPr>
            </w:pPr>
            <w:r>
              <w:rPr>
                <w:rFonts w:ascii="Arial" w:cs="Arial" w:eastAsia="Arial" w:hAnsi="Arial"/>
                <w:sz w:val="16"/>
                <w:szCs w:val="16"/>
                <w:color w:val="auto"/>
              </w:rPr>
              <w:t>5,130,000</w:t>
            </w:r>
          </w:p>
        </w:tc>
        <w:tc>
          <w:tcPr>
            <w:tcW w:w="1300" w:type="dxa"/>
            <w:vAlign w:val="bottom"/>
            <w:tcBorders>
              <w:bottom w:val="single" w:sz="8" w:color="6D8CC3"/>
            </w:tcBorders>
          </w:tcPr>
          <w:p>
            <w:pPr>
              <w:jc w:val="right"/>
              <w:ind w:right="203"/>
              <w:spacing w:after="0"/>
              <w:rPr>
                <w:sz w:val="20"/>
                <w:szCs w:val="20"/>
                <w:color w:val="auto"/>
              </w:rPr>
            </w:pPr>
            <w:r>
              <w:rPr>
                <w:rFonts w:ascii="Arial" w:cs="Arial" w:eastAsia="Arial" w:hAnsi="Arial"/>
                <w:sz w:val="16"/>
                <w:szCs w:val="16"/>
                <w:color w:val="auto"/>
              </w:rPr>
              <w:t>​ 5,130,000</w:t>
            </w:r>
          </w:p>
        </w:tc>
        <w:tc>
          <w:tcPr>
            <w:tcW w:w="1020" w:type="dxa"/>
            <w:vAlign w:val="bottom"/>
            <w:tcBorders>
              <w:bottom w:val="single" w:sz="8" w:color="6D8CC3"/>
            </w:tcBorders>
          </w:tcPr>
          <w:p>
            <w:pPr>
              <w:jc w:val="right"/>
              <w:ind w:right="82"/>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6D8CC3"/>
            </w:tcBorders>
          </w:tcPr>
          <w:p>
            <w:pPr>
              <w:jc w:val="right"/>
              <w:ind w:right="142"/>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6D8CC3"/>
            </w:tcBorders>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5"/>
        </w:trPr>
        <w:tc>
          <w:tcPr>
            <w:tcW w:w="2860" w:type="dxa"/>
            <w:vAlign w:val="bottom"/>
            <w:tcBorders>
              <w:bottom w:val="single" w:sz="8" w:color="6D8CC3"/>
            </w:tcBorders>
            <w:gridSpan w:val="2"/>
          </w:tcPr>
          <w:p>
            <w:pPr>
              <w:spacing w:after="0" w:line="255" w:lineRule="exact"/>
              <w:rPr>
                <w:sz w:val="20"/>
                <w:szCs w:val="20"/>
                <w:color w:val="auto"/>
              </w:rPr>
            </w:pPr>
            <w:r>
              <w:rPr>
                <w:rFonts w:ascii="Arial" w:cs="Arial" w:eastAsia="Arial" w:hAnsi="Arial"/>
                <w:sz w:val="16"/>
                <w:szCs w:val="16"/>
                <w:color w:val="auto"/>
              </w:rPr>
              <w:t>Value of Vested Stock</w:t>
            </w:r>
            <w:r>
              <w:rPr>
                <w:rFonts w:ascii="Arial" w:cs="Arial" w:eastAsia="Arial" w:hAnsi="Arial"/>
                <w:sz w:val="26"/>
                <w:szCs w:val="26"/>
                <w:color w:val="auto"/>
                <w:vertAlign w:val="superscript"/>
              </w:rPr>
              <w:t>(3)</w:t>
            </w:r>
          </w:p>
        </w:tc>
        <w:tc>
          <w:tcPr>
            <w:tcW w:w="1480" w:type="dxa"/>
            <w:vAlign w:val="bottom"/>
            <w:tcBorders>
              <w:bottom w:val="single" w:sz="8" w:color="6D8CC3"/>
            </w:tcBorders>
          </w:tcPr>
          <w:p>
            <w:pPr>
              <w:jc w:val="right"/>
              <w:ind w:right="243"/>
              <w:spacing w:after="0"/>
              <w:rPr>
                <w:sz w:val="20"/>
                <w:szCs w:val="20"/>
                <w:color w:val="auto"/>
              </w:rPr>
            </w:pPr>
            <w:r>
              <w:rPr>
                <w:rFonts w:ascii="Arial" w:cs="Arial" w:eastAsia="Arial" w:hAnsi="Arial"/>
                <w:sz w:val="16"/>
                <w:szCs w:val="16"/>
                <w:color w:val="auto"/>
              </w:rPr>
              <w:t>​ 400,103</w:t>
            </w:r>
          </w:p>
        </w:tc>
        <w:tc>
          <w:tcPr>
            <w:tcW w:w="1300" w:type="dxa"/>
            <w:vAlign w:val="bottom"/>
            <w:tcBorders>
              <w:bottom w:val="single" w:sz="8" w:color="6D8CC3"/>
            </w:tcBorders>
          </w:tcPr>
          <w:p>
            <w:pPr>
              <w:jc w:val="right"/>
              <w:ind w:right="203"/>
              <w:spacing w:after="0"/>
              <w:rPr>
                <w:sz w:val="20"/>
                <w:szCs w:val="20"/>
                <w:color w:val="auto"/>
              </w:rPr>
            </w:pPr>
            <w:r>
              <w:rPr>
                <w:rFonts w:ascii="Arial" w:cs="Arial" w:eastAsia="Arial" w:hAnsi="Arial"/>
                <w:sz w:val="16"/>
                <w:szCs w:val="16"/>
                <w:color w:val="auto"/>
              </w:rPr>
              <w:t>3,600,924</w:t>
            </w:r>
          </w:p>
        </w:tc>
        <w:tc>
          <w:tcPr>
            <w:tcW w:w="1020" w:type="dxa"/>
            <w:vAlign w:val="bottom"/>
            <w:tcBorders>
              <w:bottom w:val="single" w:sz="8" w:color="6D8CC3"/>
            </w:tcBorders>
          </w:tcPr>
          <w:p>
            <w:pPr>
              <w:jc w:val="right"/>
              <w:ind w:right="82"/>
              <w:spacing w:after="0"/>
              <w:rPr>
                <w:sz w:val="20"/>
                <w:szCs w:val="20"/>
                <w:color w:val="auto"/>
              </w:rPr>
            </w:pPr>
            <w:r>
              <w:rPr>
                <w:rFonts w:ascii="Arial" w:cs="Arial" w:eastAsia="Arial" w:hAnsi="Arial"/>
                <w:sz w:val="16"/>
                <w:szCs w:val="16"/>
                <w:color w:val="auto"/>
              </w:rPr>
              <w:t>1,800,462</w:t>
            </w:r>
          </w:p>
        </w:tc>
        <w:tc>
          <w:tcPr>
            <w:tcW w:w="1100" w:type="dxa"/>
            <w:vAlign w:val="bottom"/>
            <w:tcBorders>
              <w:bottom w:val="single" w:sz="8" w:color="6D8CC3"/>
            </w:tcBorders>
          </w:tcPr>
          <w:p>
            <w:pPr>
              <w:jc w:val="right"/>
              <w:ind w:right="122"/>
              <w:spacing w:after="0"/>
              <w:rPr>
                <w:sz w:val="20"/>
                <w:szCs w:val="20"/>
                <w:color w:val="auto"/>
              </w:rPr>
            </w:pPr>
            <w:r>
              <w:rPr>
                <w:rFonts w:ascii="Arial" w:cs="Arial" w:eastAsia="Arial" w:hAnsi="Arial"/>
                <w:sz w:val="16"/>
                <w:szCs w:val="16"/>
                <w:color w:val="auto"/>
              </w:rPr>
              <w:t>1,800,462</w:t>
            </w:r>
          </w:p>
        </w:tc>
        <w:tc>
          <w:tcPr>
            <w:tcW w:w="1280" w:type="dxa"/>
            <w:vAlign w:val="bottom"/>
            <w:tcBorders>
              <w:bottom w:val="single" w:sz="8" w:color="6D8CC3"/>
            </w:tcBorders>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5"/>
        </w:trPr>
        <w:tc>
          <w:tcPr>
            <w:tcW w:w="2860" w:type="dxa"/>
            <w:vAlign w:val="bottom"/>
            <w:tcBorders>
              <w:bottom w:val="single" w:sz="8" w:color="6D8CC3"/>
            </w:tcBorders>
            <w:gridSpan w:val="2"/>
          </w:tcPr>
          <w:p>
            <w:pPr>
              <w:spacing w:after="0" w:line="255" w:lineRule="exact"/>
              <w:rPr>
                <w:sz w:val="20"/>
                <w:szCs w:val="20"/>
                <w:color w:val="auto"/>
              </w:rPr>
            </w:pPr>
            <w:r>
              <w:rPr>
                <w:rFonts w:ascii="Arial" w:cs="Arial" w:eastAsia="Arial" w:hAnsi="Arial"/>
                <w:sz w:val="16"/>
                <w:szCs w:val="16"/>
                <w:color w:val="auto"/>
              </w:rPr>
              <w:t>Benefits and Perquisites</w:t>
            </w:r>
            <w:r>
              <w:rPr>
                <w:rFonts w:ascii="Arial" w:cs="Arial" w:eastAsia="Arial" w:hAnsi="Arial"/>
                <w:sz w:val="26"/>
                <w:szCs w:val="26"/>
                <w:color w:val="auto"/>
                <w:vertAlign w:val="superscript"/>
              </w:rPr>
              <w:t>(4)</w:t>
            </w:r>
          </w:p>
        </w:tc>
        <w:tc>
          <w:tcPr>
            <w:tcW w:w="1480" w:type="dxa"/>
            <w:vAlign w:val="bottom"/>
            <w:tcBorders>
              <w:bottom w:val="single" w:sz="8" w:color="6D8CC3"/>
            </w:tcBorders>
          </w:tcPr>
          <w:p>
            <w:pPr>
              <w:jc w:val="right"/>
              <w:ind w:right="243"/>
              <w:spacing w:after="0"/>
              <w:rPr>
                <w:sz w:val="20"/>
                <w:szCs w:val="20"/>
                <w:color w:val="auto"/>
              </w:rPr>
            </w:pPr>
            <w:r>
              <w:rPr>
                <w:rFonts w:ascii="Arial" w:cs="Arial" w:eastAsia="Arial" w:hAnsi="Arial"/>
                <w:sz w:val="16"/>
                <w:szCs w:val="16"/>
                <w:color w:val="auto"/>
              </w:rPr>
              <w:t>62,935</w:t>
            </w:r>
          </w:p>
        </w:tc>
        <w:tc>
          <w:tcPr>
            <w:tcW w:w="1300" w:type="dxa"/>
            <w:vAlign w:val="bottom"/>
            <w:tcBorders>
              <w:bottom w:val="single" w:sz="8" w:color="6D8CC3"/>
            </w:tcBorders>
          </w:tcPr>
          <w:p>
            <w:pPr>
              <w:jc w:val="right"/>
              <w:ind w:right="183"/>
              <w:spacing w:after="0"/>
              <w:rPr>
                <w:sz w:val="20"/>
                <w:szCs w:val="20"/>
                <w:color w:val="auto"/>
              </w:rPr>
            </w:pPr>
            <w:r>
              <w:rPr>
                <w:rFonts w:ascii="Arial" w:cs="Arial" w:eastAsia="Arial" w:hAnsi="Arial"/>
                <w:sz w:val="16"/>
                <w:szCs w:val="16"/>
                <w:color w:val="auto"/>
              </w:rPr>
              <w:t>62,935</w:t>
            </w:r>
          </w:p>
        </w:tc>
        <w:tc>
          <w:tcPr>
            <w:tcW w:w="1020" w:type="dxa"/>
            <w:vAlign w:val="bottom"/>
            <w:tcBorders>
              <w:bottom w:val="single" w:sz="8" w:color="6D8CC3"/>
            </w:tcBorders>
          </w:tcPr>
          <w:p>
            <w:pPr>
              <w:jc w:val="right"/>
              <w:ind w:right="82"/>
              <w:spacing w:after="0"/>
              <w:rPr>
                <w:sz w:val="20"/>
                <w:szCs w:val="20"/>
                <w:color w:val="auto"/>
              </w:rPr>
            </w:pPr>
            <w:r>
              <w:rPr>
                <w:rFonts w:ascii="Arial" w:cs="Arial" w:eastAsia="Arial" w:hAnsi="Arial"/>
                <w:sz w:val="16"/>
                <w:szCs w:val="16"/>
                <w:color w:val="auto"/>
              </w:rPr>
              <w:t>2,000,000</w:t>
            </w:r>
          </w:p>
        </w:tc>
        <w:tc>
          <w:tcPr>
            <w:tcW w:w="1100" w:type="dxa"/>
            <w:vAlign w:val="bottom"/>
            <w:tcBorders>
              <w:bottom w:val="single" w:sz="8" w:color="6D8CC3"/>
            </w:tcBorders>
          </w:tcPr>
          <w:p>
            <w:pPr>
              <w:jc w:val="right"/>
              <w:ind w:right="122"/>
              <w:spacing w:after="0"/>
              <w:rPr>
                <w:sz w:val="20"/>
                <w:szCs w:val="20"/>
                <w:color w:val="auto"/>
              </w:rPr>
            </w:pPr>
            <w:r>
              <w:rPr>
                <w:rFonts w:ascii="Arial" w:cs="Arial" w:eastAsia="Arial" w:hAnsi="Arial"/>
                <w:sz w:val="16"/>
                <w:szCs w:val="16"/>
                <w:color w:val="auto"/>
              </w:rPr>
              <w:t>300,000</w:t>
            </w:r>
          </w:p>
        </w:tc>
        <w:tc>
          <w:tcPr>
            <w:tcW w:w="1280" w:type="dxa"/>
            <w:vAlign w:val="bottom"/>
            <w:tcBorders>
              <w:bottom w:val="single" w:sz="8" w:color="6D8CC3"/>
            </w:tcBorders>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40" w:type="dxa"/>
            <w:vAlign w:val="bottom"/>
            <w:tcBorders>
              <w:bottom w:val="single" w:sz="8" w:color="292F72"/>
            </w:tcBorders>
            <w:shd w:val="clear" w:color="auto" w:fill="F0F5FE"/>
          </w:tcPr>
          <w:p>
            <w:pPr>
              <w:spacing w:after="0"/>
              <w:rPr>
                <w:sz w:val="20"/>
                <w:szCs w:val="20"/>
                <w:color w:val="auto"/>
              </w:rPr>
            </w:pPr>
            <w:r>
              <w:rPr>
                <w:rFonts w:ascii="Arial" w:cs="Arial" w:eastAsia="Arial" w:hAnsi="Arial"/>
                <w:sz w:val="16"/>
                <w:szCs w:val="16"/>
                <w:b w:val="1"/>
                <w:bCs w:val="1"/>
                <w:color w:val="auto"/>
              </w:rPr>
              <w:t>Total</w:t>
            </w:r>
          </w:p>
        </w:tc>
        <w:tc>
          <w:tcPr>
            <w:tcW w:w="1480" w:type="dxa"/>
            <w:vAlign w:val="bottom"/>
            <w:tcBorders>
              <w:bottom w:val="single" w:sz="8" w:color="292F72"/>
            </w:tcBorders>
            <w:shd w:val="clear" w:color="auto" w:fill="F0F5FE"/>
          </w:tcPr>
          <w:p>
            <w:pPr>
              <w:jc w:val="right"/>
              <w:ind w:right="243"/>
              <w:spacing w:after="0"/>
              <w:rPr>
                <w:sz w:val="20"/>
                <w:szCs w:val="20"/>
                <w:color w:val="auto"/>
              </w:rPr>
            </w:pPr>
            <w:r>
              <w:rPr>
                <w:rFonts w:ascii="Arial" w:cs="Arial" w:eastAsia="Arial" w:hAnsi="Arial"/>
                <w:sz w:val="16"/>
                <w:szCs w:val="16"/>
                <w:b w:val="1"/>
                <w:bCs w:val="1"/>
                <w:color w:val="auto"/>
              </w:rPr>
              <w:t>8,293,038</w:t>
            </w:r>
          </w:p>
        </w:tc>
        <w:tc>
          <w:tcPr>
            <w:tcW w:w="1300" w:type="dxa"/>
            <w:vAlign w:val="bottom"/>
            <w:tcBorders>
              <w:bottom w:val="single" w:sz="8" w:color="292F72"/>
            </w:tcBorders>
            <w:shd w:val="clear" w:color="auto" w:fill="F0F5FE"/>
          </w:tcPr>
          <w:p>
            <w:pPr>
              <w:jc w:val="right"/>
              <w:ind w:right="203"/>
              <w:spacing w:after="0"/>
              <w:rPr>
                <w:sz w:val="20"/>
                <w:szCs w:val="20"/>
                <w:color w:val="auto"/>
              </w:rPr>
            </w:pPr>
            <w:r>
              <w:rPr>
                <w:rFonts w:ascii="Arial" w:cs="Arial" w:eastAsia="Arial" w:hAnsi="Arial"/>
                <w:sz w:val="16"/>
                <w:szCs w:val="16"/>
                <w:b w:val="1"/>
                <w:bCs w:val="1"/>
                <w:color w:val="auto"/>
              </w:rPr>
              <w:t>11,493,859​</w:t>
            </w:r>
          </w:p>
        </w:tc>
        <w:tc>
          <w:tcPr>
            <w:tcW w:w="1020" w:type="dxa"/>
            <w:vAlign w:val="bottom"/>
            <w:tcBorders>
              <w:bottom w:val="single" w:sz="8" w:color="292F72"/>
            </w:tcBorders>
            <w:shd w:val="clear" w:color="auto" w:fill="F0F5FE"/>
          </w:tcPr>
          <w:p>
            <w:pPr>
              <w:jc w:val="right"/>
              <w:ind w:right="82"/>
              <w:spacing w:after="0"/>
              <w:rPr>
                <w:sz w:val="20"/>
                <w:szCs w:val="20"/>
                <w:color w:val="auto"/>
              </w:rPr>
            </w:pPr>
            <w:r>
              <w:rPr>
                <w:rFonts w:ascii="Arial" w:cs="Arial" w:eastAsia="Arial" w:hAnsi="Arial"/>
                <w:sz w:val="16"/>
                <w:szCs w:val="16"/>
                <w:b w:val="1"/>
                <w:bCs w:val="1"/>
                <w:color w:val="auto"/>
              </w:rPr>
              <w:t>3,800,462</w:t>
            </w:r>
          </w:p>
        </w:tc>
        <w:tc>
          <w:tcPr>
            <w:tcW w:w="1100" w:type="dxa"/>
            <w:vAlign w:val="bottom"/>
            <w:tcBorders>
              <w:bottom w:val="single" w:sz="8" w:color="292F72"/>
            </w:tcBorders>
            <w:shd w:val="clear" w:color="auto" w:fill="F0F5FE"/>
          </w:tcPr>
          <w:p>
            <w:pPr>
              <w:jc w:val="right"/>
              <w:ind w:right="122"/>
              <w:spacing w:after="0"/>
              <w:rPr>
                <w:sz w:val="20"/>
                <w:szCs w:val="20"/>
                <w:color w:val="auto"/>
              </w:rPr>
            </w:pPr>
            <w:r>
              <w:rPr>
                <w:rFonts w:ascii="Arial" w:cs="Arial" w:eastAsia="Arial" w:hAnsi="Arial"/>
                <w:sz w:val="16"/>
                <w:szCs w:val="16"/>
                <w:b w:val="1"/>
                <w:bCs w:val="1"/>
                <w:color w:val="auto"/>
              </w:rPr>
              <w:t>2,100,462</w:t>
            </w:r>
          </w:p>
        </w:tc>
        <w:tc>
          <w:tcPr>
            <w:tcW w:w="1280" w:type="dxa"/>
            <w:vAlign w:val="bottom"/>
            <w:tcBorders>
              <w:bottom w:val="single" w:sz="8" w:color="292F72"/>
            </w:tcBorders>
            <w:shd w:val="clear" w:color="auto" w:fill="F0F5FE"/>
          </w:tcPr>
          <w:p>
            <w:pPr>
              <w:ind w:left="6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Borders>
              <w:bottom w:val="single" w:sz="8" w:color="6D8CC3"/>
            </w:tcBorders>
          </w:tcPr>
          <w:p>
            <w:pPr>
              <w:spacing w:after="0"/>
              <w:rPr>
                <w:sz w:val="18"/>
                <w:szCs w:val="18"/>
                <w:color w:val="auto"/>
              </w:rPr>
            </w:pPr>
          </w:p>
        </w:tc>
        <w:tc>
          <w:tcPr>
            <w:tcW w:w="2840" w:type="dxa"/>
            <w:vAlign w:val="bottom"/>
            <w:tcBorders>
              <w:bottom w:val="single" w:sz="8" w:color="6D8CC3"/>
            </w:tcBorders>
          </w:tcPr>
          <w:p>
            <w:pPr>
              <w:spacing w:after="0"/>
              <w:rPr>
                <w:sz w:val="20"/>
                <w:szCs w:val="20"/>
                <w:color w:val="auto"/>
              </w:rPr>
            </w:pPr>
            <w:r>
              <w:rPr>
                <w:rFonts w:ascii="Arial" w:cs="Arial" w:eastAsia="Arial" w:hAnsi="Arial"/>
                <w:sz w:val="16"/>
                <w:szCs w:val="16"/>
                <w:b w:val="1"/>
                <w:bCs w:val="1"/>
                <w:color w:val="6D8CC3"/>
              </w:rPr>
              <w:t>Ms. Boratto</w:t>
            </w:r>
          </w:p>
        </w:tc>
        <w:tc>
          <w:tcPr>
            <w:tcW w:w="1480" w:type="dxa"/>
            <w:vAlign w:val="bottom"/>
            <w:tcBorders>
              <w:bottom w:val="single" w:sz="8" w:color="6D8CC3"/>
            </w:tcBorders>
          </w:tcPr>
          <w:p>
            <w:pPr>
              <w:spacing w:after="0"/>
              <w:rPr>
                <w:sz w:val="18"/>
                <w:szCs w:val="18"/>
                <w:color w:val="auto"/>
              </w:rPr>
            </w:pPr>
          </w:p>
        </w:tc>
        <w:tc>
          <w:tcPr>
            <w:tcW w:w="1300" w:type="dxa"/>
            <w:vAlign w:val="bottom"/>
            <w:tcBorders>
              <w:bottom w:val="single" w:sz="8" w:color="6D8CC3"/>
            </w:tcBorders>
          </w:tcPr>
          <w:p>
            <w:pPr>
              <w:spacing w:after="0"/>
              <w:rPr>
                <w:sz w:val="18"/>
                <w:szCs w:val="18"/>
                <w:color w:val="auto"/>
              </w:rPr>
            </w:pPr>
          </w:p>
        </w:tc>
        <w:tc>
          <w:tcPr>
            <w:tcW w:w="1020" w:type="dxa"/>
            <w:vAlign w:val="bottom"/>
            <w:tcBorders>
              <w:bottom w:val="single" w:sz="8" w:color="6D8CC3"/>
            </w:tcBorders>
          </w:tcPr>
          <w:p>
            <w:pPr>
              <w:spacing w:after="0"/>
              <w:rPr>
                <w:sz w:val="18"/>
                <w:szCs w:val="18"/>
                <w:color w:val="auto"/>
              </w:rPr>
            </w:pPr>
          </w:p>
        </w:tc>
        <w:tc>
          <w:tcPr>
            <w:tcW w:w="1100" w:type="dxa"/>
            <w:vAlign w:val="bottom"/>
            <w:tcBorders>
              <w:bottom w:val="single" w:sz="8" w:color="6D8CC3"/>
            </w:tcBorders>
          </w:tcPr>
          <w:p>
            <w:pPr>
              <w:spacing w:after="0"/>
              <w:rPr>
                <w:sz w:val="18"/>
                <w:szCs w:val="18"/>
                <w:color w:val="auto"/>
              </w:rPr>
            </w:pPr>
          </w:p>
        </w:tc>
        <w:tc>
          <w:tcPr>
            <w:tcW w:w="1280" w:type="dxa"/>
            <w:vAlign w:val="bottom"/>
            <w:tcBorders>
              <w:bottom w:val="single" w:sz="8" w:color="6D8CC3"/>
            </w:tcBorders>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2860" w:type="dxa"/>
            <w:vAlign w:val="bottom"/>
            <w:tcBorders>
              <w:bottom w:val="single" w:sz="8" w:color="6D8CC3"/>
            </w:tcBorders>
            <w:gridSpan w:val="2"/>
          </w:tcPr>
          <w:p>
            <w:pPr>
              <w:spacing w:after="0" w:line="258" w:lineRule="exact"/>
              <w:rPr>
                <w:sz w:val="20"/>
                <w:szCs w:val="20"/>
                <w:color w:val="auto"/>
              </w:rPr>
            </w:pPr>
            <w:r>
              <w:rPr>
                <w:rFonts w:ascii="Arial" w:cs="Arial" w:eastAsia="Arial" w:hAnsi="Arial"/>
                <w:sz w:val="16"/>
                <w:szCs w:val="16"/>
                <w:color w:val="auto"/>
              </w:rPr>
              <w:t>Base Salary</w:t>
            </w:r>
            <w:r>
              <w:rPr>
                <w:rFonts w:ascii="Arial" w:cs="Arial" w:eastAsia="Arial" w:hAnsi="Arial"/>
                <w:sz w:val="26"/>
                <w:szCs w:val="26"/>
                <w:color w:val="auto"/>
                <w:vertAlign w:val="superscript"/>
              </w:rPr>
              <w:t>(1)</w:t>
            </w:r>
          </w:p>
        </w:tc>
        <w:tc>
          <w:tcPr>
            <w:tcW w:w="1480" w:type="dxa"/>
            <w:vAlign w:val="bottom"/>
            <w:tcBorders>
              <w:bottom w:val="single" w:sz="8" w:color="6D8CC3"/>
            </w:tcBorders>
          </w:tcPr>
          <w:p>
            <w:pPr>
              <w:jc w:val="right"/>
              <w:ind w:right="243"/>
              <w:spacing w:after="0"/>
              <w:rPr>
                <w:sz w:val="20"/>
                <w:szCs w:val="20"/>
                <w:color w:val="auto"/>
              </w:rPr>
            </w:pPr>
            <w:r>
              <w:rPr>
                <w:rFonts w:ascii="Arial" w:cs="Arial" w:eastAsia="Arial" w:hAnsi="Arial"/>
                <w:sz w:val="16"/>
                <w:szCs w:val="16"/>
                <w:color w:val="auto"/>
              </w:rPr>
              <w:t>1,700,000</w:t>
            </w:r>
          </w:p>
        </w:tc>
        <w:tc>
          <w:tcPr>
            <w:tcW w:w="1300" w:type="dxa"/>
            <w:vAlign w:val="bottom"/>
            <w:tcBorders>
              <w:bottom w:val="single" w:sz="8" w:color="6D8CC3"/>
            </w:tcBorders>
          </w:tcPr>
          <w:p>
            <w:pPr>
              <w:jc w:val="right"/>
              <w:ind w:right="203"/>
              <w:spacing w:after="0"/>
              <w:rPr>
                <w:sz w:val="20"/>
                <w:szCs w:val="20"/>
                <w:color w:val="auto"/>
              </w:rPr>
            </w:pPr>
            <w:r>
              <w:rPr>
                <w:rFonts w:ascii="Arial" w:cs="Arial" w:eastAsia="Arial" w:hAnsi="Arial"/>
                <w:sz w:val="16"/>
                <w:szCs w:val="16"/>
                <w:color w:val="auto"/>
              </w:rPr>
              <w:t>1,700,000</w:t>
            </w:r>
          </w:p>
        </w:tc>
        <w:tc>
          <w:tcPr>
            <w:tcW w:w="1020" w:type="dxa"/>
            <w:vAlign w:val="bottom"/>
            <w:tcBorders>
              <w:bottom w:val="single" w:sz="8" w:color="6D8CC3"/>
            </w:tcBorders>
          </w:tcPr>
          <w:p>
            <w:pPr>
              <w:jc w:val="right"/>
              <w:ind w:right="82"/>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6D8CC3"/>
            </w:tcBorders>
          </w:tcPr>
          <w:p>
            <w:pPr>
              <w:jc w:val="right"/>
              <w:ind w:right="142"/>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6D8CC3"/>
            </w:tcBorders>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5"/>
        </w:trPr>
        <w:tc>
          <w:tcPr>
            <w:tcW w:w="2860" w:type="dxa"/>
            <w:vAlign w:val="bottom"/>
            <w:tcBorders>
              <w:bottom w:val="single" w:sz="8" w:color="6D8CC3"/>
            </w:tcBorders>
            <w:gridSpan w:val="2"/>
          </w:tcPr>
          <w:p>
            <w:pPr>
              <w:spacing w:after="0" w:line="255" w:lineRule="exact"/>
              <w:rPr>
                <w:sz w:val="20"/>
                <w:szCs w:val="20"/>
                <w:color w:val="auto"/>
              </w:rPr>
            </w:pPr>
            <w:r>
              <w:rPr>
                <w:rFonts w:ascii="Arial" w:cs="Arial" w:eastAsia="Arial" w:hAnsi="Arial"/>
                <w:sz w:val="29"/>
                <w:szCs w:val="29"/>
                <w:color w:val="auto"/>
                <w:vertAlign w:val="subscript"/>
              </w:rPr>
              <w:t>IC</w:t>
            </w:r>
            <w:r>
              <w:rPr>
                <w:rFonts w:ascii="Arial" w:cs="Arial" w:eastAsia="Arial" w:hAnsi="Arial"/>
                <w:sz w:val="13"/>
                <w:szCs w:val="13"/>
                <w:color w:val="auto"/>
              </w:rPr>
              <w:t>(2)</w:t>
            </w:r>
          </w:p>
        </w:tc>
        <w:tc>
          <w:tcPr>
            <w:tcW w:w="1480" w:type="dxa"/>
            <w:vAlign w:val="bottom"/>
            <w:tcBorders>
              <w:bottom w:val="single" w:sz="8" w:color="6D8CC3"/>
            </w:tcBorders>
          </w:tcPr>
          <w:p>
            <w:pPr>
              <w:jc w:val="right"/>
              <w:ind w:right="243"/>
              <w:spacing w:after="0"/>
              <w:rPr>
                <w:sz w:val="20"/>
                <w:szCs w:val="20"/>
                <w:color w:val="auto"/>
              </w:rPr>
            </w:pPr>
            <w:r>
              <w:rPr>
                <w:rFonts w:ascii="Arial" w:cs="Arial" w:eastAsia="Arial" w:hAnsi="Arial"/>
                <w:sz w:val="16"/>
                <w:szCs w:val="16"/>
                <w:color w:val="auto"/>
              </w:rPr>
              <w:t>2,040,000</w:t>
            </w:r>
          </w:p>
        </w:tc>
        <w:tc>
          <w:tcPr>
            <w:tcW w:w="1300" w:type="dxa"/>
            <w:vAlign w:val="bottom"/>
            <w:tcBorders>
              <w:bottom w:val="single" w:sz="8" w:color="6D8CC3"/>
            </w:tcBorders>
          </w:tcPr>
          <w:p>
            <w:pPr>
              <w:jc w:val="right"/>
              <w:ind w:right="203"/>
              <w:spacing w:after="0"/>
              <w:rPr>
                <w:sz w:val="20"/>
                <w:szCs w:val="20"/>
                <w:color w:val="auto"/>
              </w:rPr>
            </w:pPr>
            <w:r>
              <w:rPr>
                <w:rFonts w:ascii="Arial" w:cs="Arial" w:eastAsia="Arial" w:hAnsi="Arial"/>
                <w:sz w:val="16"/>
                <w:szCs w:val="16"/>
                <w:color w:val="auto"/>
              </w:rPr>
              <w:t>1,345,176</w:t>
            </w:r>
          </w:p>
        </w:tc>
        <w:tc>
          <w:tcPr>
            <w:tcW w:w="1020" w:type="dxa"/>
            <w:vAlign w:val="bottom"/>
            <w:tcBorders>
              <w:bottom w:val="single" w:sz="8" w:color="6D8CC3"/>
            </w:tcBorders>
          </w:tcPr>
          <w:p>
            <w:pPr>
              <w:jc w:val="right"/>
              <w:ind w:right="82"/>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6D8CC3"/>
            </w:tcBorders>
          </w:tcPr>
          <w:p>
            <w:pPr>
              <w:jc w:val="right"/>
              <w:ind w:right="142"/>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6D8CC3"/>
            </w:tcBorders>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5"/>
        </w:trPr>
        <w:tc>
          <w:tcPr>
            <w:tcW w:w="2860" w:type="dxa"/>
            <w:vAlign w:val="bottom"/>
            <w:tcBorders>
              <w:bottom w:val="single" w:sz="8" w:color="6D8CC3"/>
            </w:tcBorders>
            <w:gridSpan w:val="2"/>
          </w:tcPr>
          <w:p>
            <w:pPr>
              <w:spacing w:after="0" w:line="255" w:lineRule="exact"/>
              <w:rPr>
                <w:sz w:val="20"/>
                <w:szCs w:val="20"/>
                <w:color w:val="auto"/>
              </w:rPr>
            </w:pPr>
            <w:r>
              <w:rPr>
                <w:rFonts w:ascii="Arial" w:cs="Arial" w:eastAsia="Arial" w:hAnsi="Arial"/>
                <w:sz w:val="16"/>
                <w:szCs w:val="16"/>
                <w:color w:val="auto"/>
              </w:rPr>
              <w:t>Sign on</w:t>
            </w:r>
            <w:r>
              <w:rPr>
                <w:rFonts w:ascii="Arial" w:cs="Arial" w:eastAsia="Arial" w:hAnsi="Arial"/>
                <w:sz w:val="26"/>
                <w:szCs w:val="26"/>
                <w:color w:val="auto"/>
                <w:vertAlign w:val="superscript"/>
              </w:rPr>
              <w:t>(5)</w:t>
            </w:r>
          </w:p>
        </w:tc>
        <w:tc>
          <w:tcPr>
            <w:tcW w:w="1480" w:type="dxa"/>
            <w:vAlign w:val="bottom"/>
            <w:tcBorders>
              <w:bottom w:val="single" w:sz="8" w:color="6D8CC3"/>
            </w:tcBorders>
          </w:tcPr>
          <w:p>
            <w:pPr>
              <w:jc w:val="right"/>
              <w:ind w:right="243"/>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6D8CC3"/>
            </w:tcBorders>
          </w:tcPr>
          <w:p>
            <w:pPr>
              <w:jc w:val="right"/>
              <w:ind w:right="183"/>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6D8CC3"/>
            </w:tcBorders>
          </w:tcPr>
          <w:p>
            <w:pPr>
              <w:jc w:val="right"/>
              <w:ind w:right="82"/>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6D8CC3"/>
            </w:tcBorders>
          </w:tcPr>
          <w:p>
            <w:pPr>
              <w:jc w:val="right"/>
              <w:ind w:right="142"/>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6D8CC3"/>
            </w:tcBorders>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5"/>
        </w:trPr>
        <w:tc>
          <w:tcPr>
            <w:tcW w:w="2860" w:type="dxa"/>
            <w:vAlign w:val="bottom"/>
            <w:tcBorders>
              <w:bottom w:val="single" w:sz="8" w:color="6D8CC3"/>
            </w:tcBorders>
            <w:gridSpan w:val="2"/>
          </w:tcPr>
          <w:p>
            <w:pPr>
              <w:spacing w:after="0" w:line="255" w:lineRule="exact"/>
              <w:rPr>
                <w:sz w:val="20"/>
                <w:szCs w:val="20"/>
                <w:color w:val="auto"/>
              </w:rPr>
            </w:pPr>
            <w:r>
              <w:rPr>
                <w:rFonts w:ascii="Arial" w:cs="Arial" w:eastAsia="Arial" w:hAnsi="Arial"/>
                <w:sz w:val="16"/>
                <w:szCs w:val="16"/>
                <w:color w:val="auto"/>
              </w:rPr>
              <w:t>Value of Vested Stock</w:t>
            </w:r>
            <w:r>
              <w:rPr>
                <w:rFonts w:ascii="Arial" w:cs="Arial" w:eastAsia="Arial" w:hAnsi="Arial"/>
                <w:sz w:val="26"/>
                <w:szCs w:val="26"/>
                <w:color w:val="auto"/>
                <w:vertAlign w:val="superscript"/>
              </w:rPr>
              <w:t>(3)</w:t>
            </w:r>
          </w:p>
        </w:tc>
        <w:tc>
          <w:tcPr>
            <w:tcW w:w="1480" w:type="dxa"/>
            <w:vAlign w:val="bottom"/>
            <w:tcBorders>
              <w:bottom w:val="single" w:sz="8" w:color="6D8CC3"/>
            </w:tcBorders>
          </w:tcPr>
          <w:p>
            <w:pPr>
              <w:jc w:val="right"/>
              <w:ind w:right="243"/>
              <w:spacing w:after="0"/>
              <w:rPr>
                <w:sz w:val="20"/>
                <w:szCs w:val="20"/>
                <w:color w:val="auto"/>
              </w:rPr>
            </w:pPr>
            <w:r>
              <w:rPr>
                <w:rFonts w:ascii="Arial" w:cs="Arial" w:eastAsia="Arial" w:hAnsi="Arial"/>
                <w:sz w:val="16"/>
                <w:szCs w:val="16"/>
                <w:color w:val="auto"/>
              </w:rPr>
              <w:t>751,704</w:t>
            </w:r>
          </w:p>
        </w:tc>
        <w:tc>
          <w:tcPr>
            <w:tcW w:w="1300" w:type="dxa"/>
            <w:vAlign w:val="bottom"/>
            <w:tcBorders>
              <w:bottom w:val="single" w:sz="8" w:color="6D8CC3"/>
            </w:tcBorders>
          </w:tcPr>
          <w:p>
            <w:pPr>
              <w:jc w:val="right"/>
              <w:ind w:right="203"/>
              <w:spacing w:after="0"/>
              <w:rPr>
                <w:sz w:val="20"/>
                <w:szCs w:val="20"/>
                <w:color w:val="auto"/>
              </w:rPr>
            </w:pPr>
            <w:r>
              <w:rPr>
                <w:rFonts w:ascii="Arial" w:cs="Arial" w:eastAsia="Arial" w:hAnsi="Arial"/>
                <w:sz w:val="16"/>
                <w:szCs w:val="16"/>
                <w:color w:val="auto"/>
              </w:rPr>
              <w:t>4,431,112</w:t>
            </w:r>
          </w:p>
        </w:tc>
        <w:tc>
          <w:tcPr>
            <w:tcW w:w="1020" w:type="dxa"/>
            <w:vAlign w:val="bottom"/>
            <w:tcBorders>
              <w:bottom w:val="single" w:sz="8" w:color="6D8CC3"/>
            </w:tcBorders>
          </w:tcPr>
          <w:p>
            <w:pPr>
              <w:jc w:val="right"/>
              <w:ind w:right="82"/>
              <w:spacing w:after="0"/>
              <w:rPr>
                <w:sz w:val="20"/>
                <w:szCs w:val="20"/>
                <w:color w:val="auto"/>
              </w:rPr>
            </w:pPr>
            <w:r>
              <w:rPr>
                <w:rFonts w:ascii="Arial" w:cs="Arial" w:eastAsia="Arial" w:hAnsi="Arial"/>
                <w:sz w:val="16"/>
                <w:szCs w:val="16"/>
                <w:color w:val="auto"/>
              </w:rPr>
              <w:t>2,026,572</w:t>
            </w:r>
          </w:p>
        </w:tc>
        <w:tc>
          <w:tcPr>
            <w:tcW w:w="1100" w:type="dxa"/>
            <w:vAlign w:val="bottom"/>
            <w:tcBorders>
              <w:bottom w:val="single" w:sz="8" w:color="6D8CC3"/>
            </w:tcBorders>
          </w:tcPr>
          <w:p>
            <w:pPr>
              <w:jc w:val="right"/>
              <w:ind w:right="122"/>
              <w:spacing w:after="0"/>
              <w:rPr>
                <w:sz w:val="20"/>
                <w:szCs w:val="20"/>
                <w:color w:val="auto"/>
              </w:rPr>
            </w:pPr>
            <w:r>
              <w:rPr>
                <w:rFonts w:ascii="Arial" w:cs="Arial" w:eastAsia="Arial" w:hAnsi="Arial"/>
                <w:sz w:val="16"/>
                <w:szCs w:val="16"/>
                <w:color w:val="auto"/>
              </w:rPr>
              <w:t>2,026,572</w:t>
            </w:r>
          </w:p>
        </w:tc>
        <w:tc>
          <w:tcPr>
            <w:tcW w:w="1280" w:type="dxa"/>
            <w:vAlign w:val="bottom"/>
            <w:tcBorders>
              <w:bottom w:val="single" w:sz="8" w:color="6D8CC3"/>
            </w:tcBorders>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5"/>
        </w:trPr>
        <w:tc>
          <w:tcPr>
            <w:tcW w:w="2860" w:type="dxa"/>
            <w:vAlign w:val="bottom"/>
            <w:tcBorders>
              <w:bottom w:val="single" w:sz="8" w:color="6D8CC3"/>
            </w:tcBorders>
            <w:gridSpan w:val="2"/>
          </w:tcPr>
          <w:p>
            <w:pPr>
              <w:spacing w:after="0" w:line="255" w:lineRule="exact"/>
              <w:rPr>
                <w:sz w:val="20"/>
                <w:szCs w:val="20"/>
                <w:color w:val="auto"/>
              </w:rPr>
            </w:pPr>
            <w:r>
              <w:rPr>
                <w:rFonts w:ascii="Arial" w:cs="Arial" w:eastAsia="Arial" w:hAnsi="Arial"/>
                <w:sz w:val="16"/>
                <w:szCs w:val="16"/>
                <w:color w:val="auto"/>
              </w:rPr>
              <w:t>Benefits and Perquisites</w:t>
            </w:r>
            <w:r>
              <w:rPr>
                <w:rFonts w:ascii="Arial" w:cs="Arial" w:eastAsia="Arial" w:hAnsi="Arial"/>
                <w:sz w:val="26"/>
                <w:szCs w:val="26"/>
                <w:color w:val="auto"/>
                <w:vertAlign w:val="superscript"/>
              </w:rPr>
              <w:t>(4)</w:t>
            </w:r>
          </w:p>
        </w:tc>
        <w:tc>
          <w:tcPr>
            <w:tcW w:w="1480" w:type="dxa"/>
            <w:vAlign w:val="bottom"/>
            <w:tcBorders>
              <w:bottom w:val="single" w:sz="8" w:color="6D8CC3"/>
            </w:tcBorders>
          </w:tcPr>
          <w:p>
            <w:pPr>
              <w:jc w:val="right"/>
              <w:ind w:right="243"/>
              <w:spacing w:after="0"/>
              <w:rPr>
                <w:sz w:val="20"/>
                <w:szCs w:val="20"/>
                <w:color w:val="auto"/>
              </w:rPr>
            </w:pPr>
            <w:r>
              <w:rPr>
                <w:rFonts w:ascii="Arial" w:cs="Arial" w:eastAsia="Arial" w:hAnsi="Arial"/>
                <w:sz w:val="16"/>
                <w:szCs w:val="16"/>
                <w:color w:val="auto"/>
              </w:rPr>
              <w:t>63,200</w:t>
            </w:r>
          </w:p>
        </w:tc>
        <w:tc>
          <w:tcPr>
            <w:tcW w:w="1300" w:type="dxa"/>
            <w:vAlign w:val="bottom"/>
            <w:tcBorders>
              <w:bottom w:val="single" w:sz="8" w:color="6D8CC3"/>
            </w:tcBorders>
          </w:tcPr>
          <w:p>
            <w:pPr>
              <w:jc w:val="right"/>
              <w:ind w:right="183"/>
              <w:spacing w:after="0"/>
              <w:rPr>
                <w:sz w:val="20"/>
                <w:szCs w:val="20"/>
                <w:color w:val="auto"/>
              </w:rPr>
            </w:pPr>
            <w:r>
              <w:rPr>
                <w:rFonts w:ascii="Arial" w:cs="Arial" w:eastAsia="Arial" w:hAnsi="Arial"/>
                <w:sz w:val="16"/>
                <w:szCs w:val="16"/>
                <w:color w:val="auto"/>
              </w:rPr>
              <w:t>63,200</w:t>
            </w:r>
          </w:p>
        </w:tc>
        <w:tc>
          <w:tcPr>
            <w:tcW w:w="1020" w:type="dxa"/>
            <w:vAlign w:val="bottom"/>
            <w:tcBorders>
              <w:bottom w:val="single" w:sz="8" w:color="6D8CC3"/>
            </w:tcBorders>
          </w:tcPr>
          <w:p>
            <w:pPr>
              <w:jc w:val="right"/>
              <w:ind w:right="82"/>
              <w:spacing w:after="0"/>
              <w:rPr>
                <w:sz w:val="20"/>
                <w:szCs w:val="20"/>
                <w:color w:val="auto"/>
              </w:rPr>
            </w:pPr>
            <w:r>
              <w:rPr>
                <w:rFonts w:ascii="Arial" w:cs="Arial" w:eastAsia="Arial" w:hAnsi="Arial"/>
                <w:sz w:val="16"/>
                <w:szCs w:val="16"/>
                <w:color w:val="auto"/>
              </w:rPr>
              <w:t>1,700,000</w:t>
            </w:r>
          </w:p>
        </w:tc>
        <w:tc>
          <w:tcPr>
            <w:tcW w:w="1100" w:type="dxa"/>
            <w:vAlign w:val="bottom"/>
            <w:tcBorders>
              <w:bottom w:val="single" w:sz="8" w:color="6D8CC3"/>
            </w:tcBorders>
          </w:tcPr>
          <w:p>
            <w:pPr>
              <w:jc w:val="right"/>
              <w:ind w:right="122"/>
              <w:spacing w:after="0"/>
              <w:rPr>
                <w:sz w:val="20"/>
                <w:szCs w:val="20"/>
                <w:color w:val="auto"/>
              </w:rPr>
            </w:pPr>
            <w:r>
              <w:rPr>
                <w:rFonts w:ascii="Arial" w:cs="Arial" w:eastAsia="Arial" w:hAnsi="Arial"/>
                <w:sz w:val="16"/>
                <w:szCs w:val="16"/>
                <w:color w:val="auto"/>
              </w:rPr>
              <w:t>300,000</w:t>
            </w:r>
          </w:p>
        </w:tc>
        <w:tc>
          <w:tcPr>
            <w:tcW w:w="1280" w:type="dxa"/>
            <w:vAlign w:val="bottom"/>
            <w:tcBorders>
              <w:bottom w:val="single" w:sz="8" w:color="6D8CC3"/>
            </w:tcBorders>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40" w:type="dxa"/>
            <w:vAlign w:val="bottom"/>
            <w:tcBorders>
              <w:bottom w:val="single" w:sz="8" w:color="292F72"/>
            </w:tcBorders>
            <w:shd w:val="clear" w:color="auto" w:fill="F0F5FE"/>
          </w:tcPr>
          <w:p>
            <w:pPr>
              <w:spacing w:after="0"/>
              <w:rPr>
                <w:sz w:val="20"/>
                <w:szCs w:val="20"/>
                <w:color w:val="auto"/>
              </w:rPr>
            </w:pPr>
            <w:r>
              <w:rPr>
                <w:rFonts w:ascii="Arial" w:cs="Arial" w:eastAsia="Arial" w:hAnsi="Arial"/>
                <w:sz w:val="16"/>
                <w:szCs w:val="16"/>
                <w:b w:val="1"/>
                <w:bCs w:val="1"/>
                <w:color w:val="auto"/>
              </w:rPr>
              <w:t>Total</w:t>
            </w:r>
          </w:p>
        </w:tc>
        <w:tc>
          <w:tcPr>
            <w:tcW w:w="1480" w:type="dxa"/>
            <w:vAlign w:val="bottom"/>
            <w:tcBorders>
              <w:bottom w:val="single" w:sz="8" w:color="292F72"/>
            </w:tcBorders>
            <w:shd w:val="clear" w:color="auto" w:fill="F0F5FE"/>
          </w:tcPr>
          <w:p>
            <w:pPr>
              <w:jc w:val="right"/>
              <w:ind w:right="243"/>
              <w:spacing w:after="0"/>
              <w:rPr>
                <w:sz w:val="20"/>
                <w:szCs w:val="20"/>
                <w:color w:val="auto"/>
              </w:rPr>
            </w:pPr>
            <w:r>
              <w:rPr>
                <w:rFonts w:ascii="Arial" w:cs="Arial" w:eastAsia="Arial" w:hAnsi="Arial"/>
                <w:sz w:val="16"/>
                <w:szCs w:val="16"/>
                <w:b w:val="1"/>
                <w:bCs w:val="1"/>
                <w:color w:val="auto"/>
              </w:rPr>
              <w:t>4,554,904</w:t>
            </w:r>
          </w:p>
        </w:tc>
        <w:tc>
          <w:tcPr>
            <w:tcW w:w="1300" w:type="dxa"/>
            <w:vAlign w:val="bottom"/>
            <w:tcBorders>
              <w:bottom w:val="single" w:sz="8" w:color="292F72"/>
            </w:tcBorders>
            <w:shd w:val="clear" w:color="auto" w:fill="F0F5FE"/>
          </w:tcPr>
          <w:p>
            <w:pPr>
              <w:jc w:val="right"/>
              <w:ind w:right="203"/>
              <w:spacing w:after="0"/>
              <w:rPr>
                <w:sz w:val="20"/>
                <w:szCs w:val="20"/>
                <w:color w:val="auto"/>
              </w:rPr>
            </w:pPr>
            <w:r>
              <w:rPr>
                <w:rFonts w:ascii="Arial" w:cs="Arial" w:eastAsia="Arial" w:hAnsi="Arial"/>
                <w:sz w:val="16"/>
                <w:szCs w:val="16"/>
                <w:b w:val="1"/>
                <w:bCs w:val="1"/>
                <w:color w:val="auto"/>
              </w:rPr>
              <w:t>7,539,488</w:t>
            </w:r>
          </w:p>
        </w:tc>
        <w:tc>
          <w:tcPr>
            <w:tcW w:w="1020" w:type="dxa"/>
            <w:vAlign w:val="bottom"/>
            <w:tcBorders>
              <w:bottom w:val="single" w:sz="8" w:color="292F72"/>
            </w:tcBorders>
            <w:shd w:val="clear" w:color="auto" w:fill="F0F5FE"/>
          </w:tcPr>
          <w:p>
            <w:pPr>
              <w:jc w:val="right"/>
              <w:ind w:right="82"/>
              <w:spacing w:after="0"/>
              <w:rPr>
                <w:sz w:val="20"/>
                <w:szCs w:val="20"/>
                <w:color w:val="auto"/>
              </w:rPr>
            </w:pPr>
            <w:r>
              <w:rPr>
                <w:rFonts w:ascii="Arial" w:cs="Arial" w:eastAsia="Arial" w:hAnsi="Arial"/>
                <w:sz w:val="16"/>
                <w:szCs w:val="16"/>
                <w:b w:val="1"/>
                <w:bCs w:val="1"/>
                <w:color w:val="auto"/>
              </w:rPr>
              <w:t>3,726,572</w:t>
            </w:r>
          </w:p>
        </w:tc>
        <w:tc>
          <w:tcPr>
            <w:tcW w:w="1100" w:type="dxa"/>
            <w:vAlign w:val="bottom"/>
            <w:tcBorders>
              <w:bottom w:val="single" w:sz="8" w:color="292F72"/>
            </w:tcBorders>
            <w:shd w:val="clear" w:color="auto" w:fill="F0F5FE"/>
          </w:tcPr>
          <w:p>
            <w:pPr>
              <w:jc w:val="right"/>
              <w:ind w:right="122"/>
              <w:spacing w:after="0"/>
              <w:rPr>
                <w:sz w:val="20"/>
                <w:szCs w:val="20"/>
                <w:color w:val="auto"/>
              </w:rPr>
            </w:pPr>
            <w:r>
              <w:rPr>
                <w:rFonts w:ascii="Arial" w:cs="Arial" w:eastAsia="Arial" w:hAnsi="Arial"/>
                <w:sz w:val="16"/>
                <w:szCs w:val="16"/>
                <w:b w:val="1"/>
                <w:bCs w:val="1"/>
                <w:color w:val="auto"/>
              </w:rPr>
              <w:t>2,326,572</w:t>
            </w:r>
          </w:p>
        </w:tc>
        <w:tc>
          <w:tcPr>
            <w:tcW w:w="1280" w:type="dxa"/>
            <w:vAlign w:val="bottom"/>
            <w:tcBorders>
              <w:bottom w:val="single" w:sz="8" w:color="292F72"/>
            </w:tcBorders>
            <w:shd w:val="clear" w:color="auto" w:fill="F0F5FE"/>
          </w:tcPr>
          <w:p>
            <w:pPr>
              <w:ind w:left="6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Borders>
              <w:bottom w:val="single" w:sz="8" w:color="6D8CC3"/>
            </w:tcBorders>
          </w:tcPr>
          <w:p>
            <w:pPr>
              <w:spacing w:after="0"/>
              <w:rPr>
                <w:sz w:val="18"/>
                <w:szCs w:val="18"/>
                <w:color w:val="auto"/>
              </w:rPr>
            </w:pPr>
          </w:p>
        </w:tc>
        <w:tc>
          <w:tcPr>
            <w:tcW w:w="2840" w:type="dxa"/>
            <w:vAlign w:val="bottom"/>
            <w:tcBorders>
              <w:bottom w:val="single" w:sz="8" w:color="6D8CC3"/>
            </w:tcBorders>
          </w:tcPr>
          <w:p>
            <w:pPr>
              <w:spacing w:after="0"/>
              <w:rPr>
                <w:sz w:val="20"/>
                <w:szCs w:val="20"/>
                <w:color w:val="auto"/>
              </w:rPr>
            </w:pPr>
            <w:r>
              <w:rPr>
                <w:rFonts w:ascii="Arial" w:cs="Arial" w:eastAsia="Arial" w:hAnsi="Arial"/>
                <w:sz w:val="16"/>
                <w:szCs w:val="16"/>
                <w:b w:val="1"/>
                <w:bCs w:val="1"/>
                <w:color w:val="6D8CC3"/>
              </w:rPr>
              <w:t>Mr. Mazurek</w:t>
            </w:r>
          </w:p>
        </w:tc>
        <w:tc>
          <w:tcPr>
            <w:tcW w:w="1480" w:type="dxa"/>
            <w:vAlign w:val="bottom"/>
            <w:tcBorders>
              <w:bottom w:val="single" w:sz="8" w:color="6D8CC3"/>
            </w:tcBorders>
          </w:tcPr>
          <w:p>
            <w:pPr>
              <w:spacing w:after="0"/>
              <w:rPr>
                <w:sz w:val="18"/>
                <w:szCs w:val="18"/>
                <w:color w:val="auto"/>
              </w:rPr>
            </w:pPr>
          </w:p>
        </w:tc>
        <w:tc>
          <w:tcPr>
            <w:tcW w:w="1300" w:type="dxa"/>
            <w:vAlign w:val="bottom"/>
            <w:tcBorders>
              <w:bottom w:val="single" w:sz="8" w:color="6D8CC3"/>
            </w:tcBorders>
          </w:tcPr>
          <w:p>
            <w:pPr>
              <w:spacing w:after="0"/>
              <w:rPr>
                <w:sz w:val="18"/>
                <w:szCs w:val="18"/>
                <w:color w:val="auto"/>
              </w:rPr>
            </w:pPr>
          </w:p>
        </w:tc>
        <w:tc>
          <w:tcPr>
            <w:tcW w:w="1020" w:type="dxa"/>
            <w:vAlign w:val="bottom"/>
            <w:tcBorders>
              <w:bottom w:val="single" w:sz="8" w:color="6D8CC3"/>
            </w:tcBorders>
          </w:tcPr>
          <w:p>
            <w:pPr>
              <w:spacing w:after="0"/>
              <w:rPr>
                <w:sz w:val="18"/>
                <w:szCs w:val="18"/>
                <w:color w:val="auto"/>
              </w:rPr>
            </w:pPr>
          </w:p>
        </w:tc>
        <w:tc>
          <w:tcPr>
            <w:tcW w:w="1100" w:type="dxa"/>
            <w:vAlign w:val="bottom"/>
            <w:tcBorders>
              <w:bottom w:val="single" w:sz="8" w:color="6D8CC3"/>
            </w:tcBorders>
          </w:tcPr>
          <w:p>
            <w:pPr>
              <w:spacing w:after="0"/>
              <w:rPr>
                <w:sz w:val="18"/>
                <w:szCs w:val="18"/>
                <w:color w:val="auto"/>
              </w:rPr>
            </w:pPr>
          </w:p>
        </w:tc>
        <w:tc>
          <w:tcPr>
            <w:tcW w:w="1280" w:type="dxa"/>
            <w:vAlign w:val="bottom"/>
            <w:tcBorders>
              <w:bottom w:val="single" w:sz="8" w:color="6D8CC3"/>
            </w:tcBorders>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2860" w:type="dxa"/>
            <w:vAlign w:val="bottom"/>
            <w:tcBorders>
              <w:bottom w:val="single" w:sz="8" w:color="6D8CC3"/>
            </w:tcBorders>
            <w:gridSpan w:val="2"/>
          </w:tcPr>
          <w:p>
            <w:pPr>
              <w:spacing w:after="0" w:line="258" w:lineRule="exact"/>
              <w:rPr>
                <w:sz w:val="20"/>
                <w:szCs w:val="20"/>
                <w:color w:val="auto"/>
              </w:rPr>
            </w:pPr>
            <w:r>
              <w:rPr>
                <w:rFonts w:ascii="Arial" w:cs="Arial" w:eastAsia="Arial" w:hAnsi="Arial"/>
                <w:sz w:val="16"/>
                <w:szCs w:val="16"/>
                <w:color w:val="auto"/>
              </w:rPr>
              <w:t>Base Salary</w:t>
            </w:r>
            <w:r>
              <w:rPr>
                <w:rFonts w:ascii="Arial" w:cs="Arial" w:eastAsia="Arial" w:hAnsi="Arial"/>
                <w:sz w:val="26"/>
                <w:szCs w:val="26"/>
                <w:color w:val="auto"/>
                <w:vertAlign w:val="superscript"/>
              </w:rPr>
              <w:t>(1)</w:t>
            </w:r>
          </w:p>
        </w:tc>
        <w:tc>
          <w:tcPr>
            <w:tcW w:w="1480" w:type="dxa"/>
            <w:vAlign w:val="bottom"/>
            <w:tcBorders>
              <w:bottom w:val="single" w:sz="8" w:color="6D8CC3"/>
            </w:tcBorders>
          </w:tcPr>
          <w:p>
            <w:pPr>
              <w:jc w:val="right"/>
              <w:ind w:right="243"/>
              <w:spacing w:after="0"/>
              <w:rPr>
                <w:sz w:val="20"/>
                <w:szCs w:val="20"/>
                <w:color w:val="auto"/>
              </w:rPr>
            </w:pPr>
            <w:r>
              <w:rPr>
                <w:rFonts w:ascii="Arial" w:cs="Arial" w:eastAsia="Arial" w:hAnsi="Arial"/>
                <w:sz w:val="16"/>
                <w:szCs w:val="16"/>
                <w:color w:val="auto"/>
              </w:rPr>
              <w:t>1,450,000</w:t>
            </w:r>
          </w:p>
        </w:tc>
        <w:tc>
          <w:tcPr>
            <w:tcW w:w="1300" w:type="dxa"/>
            <w:vAlign w:val="bottom"/>
            <w:tcBorders>
              <w:bottom w:val="single" w:sz="8" w:color="6D8CC3"/>
            </w:tcBorders>
          </w:tcPr>
          <w:p>
            <w:pPr>
              <w:jc w:val="right"/>
              <w:ind w:right="203"/>
              <w:spacing w:after="0"/>
              <w:rPr>
                <w:sz w:val="20"/>
                <w:szCs w:val="20"/>
                <w:color w:val="auto"/>
              </w:rPr>
            </w:pPr>
            <w:r>
              <w:rPr>
                <w:rFonts w:ascii="Arial" w:cs="Arial" w:eastAsia="Arial" w:hAnsi="Arial"/>
                <w:sz w:val="16"/>
                <w:szCs w:val="16"/>
                <w:color w:val="auto"/>
              </w:rPr>
              <w:t>1,450,000</w:t>
            </w:r>
          </w:p>
        </w:tc>
        <w:tc>
          <w:tcPr>
            <w:tcW w:w="1020" w:type="dxa"/>
            <w:vAlign w:val="bottom"/>
            <w:tcBorders>
              <w:bottom w:val="single" w:sz="8" w:color="6D8CC3"/>
            </w:tcBorders>
          </w:tcPr>
          <w:p>
            <w:pPr>
              <w:jc w:val="right"/>
              <w:ind w:right="82"/>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6D8CC3"/>
            </w:tcBorders>
          </w:tcPr>
          <w:p>
            <w:pPr>
              <w:jc w:val="right"/>
              <w:ind w:right="142"/>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6D8CC3"/>
            </w:tcBorders>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5"/>
        </w:trPr>
        <w:tc>
          <w:tcPr>
            <w:tcW w:w="2860" w:type="dxa"/>
            <w:vAlign w:val="bottom"/>
            <w:tcBorders>
              <w:bottom w:val="single" w:sz="8" w:color="6D8CC3"/>
            </w:tcBorders>
            <w:gridSpan w:val="2"/>
          </w:tcPr>
          <w:p>
            <w:pPr>
              <w:spacing w:after="0" w:line="255" w:lineRule="exact"/>
              <w:rPr>
                <w:sz w:val="20"/>
                <w:szCs w:val="20"/>
                <w:color w:val="auto"/>
              </w:rPr>
            </w:pPr>
            <w:r>
              <w:rPr>
                <w:rFonts w:ascii="Arial" w:cs="Arial" w:eastAsia="Arial" w:hAnsi="Arial"/>
                <w:sz w:val="29"/>
                <w:szCs w:val="29"/>
                <w:color w:val="auto"/>
                <w:vertAlign w:val="subscript"/>
              </w:rPr>
              <w:t>IC</w:t>
            </w:r>
            <w:r>
              <w:rPr>
                <w:rFonts w:ascii="Arial" w:cs="Arial" w:eastAsia="Arial" w:hAnsi="Arial"/>
                <w:sz w:val="13"/>
                <w:szCs w:val="13"/>
                <w:color w:val="auto"/>
              </w:rPr>
              <w:t>(2)</w:t>
            </w:r>
          </w:p>
        </w:tc>
        <w:tc>
          <w:tcPr>
            <w:tcW w:w="1480" w:type="dxa"/>
            <w:vAlign w:val="bottom"/>
            <w:tcBorders>
              <w:bottom w:val="single" w:sz="8" w:color="6D8CC3"/>
            </w:tcBorders>
          </w:tcPr>
          <w:p>
            <w:pPr>
              <w:jc w:val="right"/>
              <w:ind w:right="243"/>
              <w:spacing w:after="0"/>
              <w:rPr>
                <w:sz w:val="20"/>
                <w:szCs w:val="20"/>
                <w:color w:val="auto"/>
              </w:rPr>
            </w:pPr>
            <w:r>
              <w:rPr>
                <w:rFonts w:ascii="Arial" w:cs="Arial" w:eastAsia="Arial" w:hAnsi="Arial"/>
                <w:sz w:val="16"/>
                <w:szCs w:val="16"/>
                <w:color w:val="auto"/>
              </w:rPr>
              <w:t>1,450,000</w:t>
            </w:r>
          </w:p>
        </w:tc>
        <w:tc>
          <w:tcPr>
            <w:tcW w:w="1300" w:type="dxa"/>
            <w:vAlign w:val="bottom"/>
            <w:tcBorders>
              <w:bottom w:val="single" w:sz="8" w:color="6D8CC3"/>
            </w:tcBorders>
          </w:tcPr>
          <w:p>
            <w:pPr>
              <w:jc w:val="right"/>
              <w:ind w:right="203"/>
              <w:spacing w:after="0"/>
              <w:rPr>
                <w:sz w:val="20"/>
                <w:szCs w:val="20"/>
                <w:color w:val="auto"/>
              </w:rPr>
            </w:pPr>
            <w:r>
              <w:rPr>
                <w:rFonts w:ascii="Arial" w:cs="Arial" w:eastAsia="Arial" w:hAnsi="Arial"/>
                <w:sz w:val="16"/>
                <w:szCs w:val="16"/>
                <w:color w:val="auto"/>
              </w:rPr>
              <w:t>931,220</w:t>
            </w:r>
          </w:p>
        </w:tc>
        <w:tc>
          <w:tcPr>
            <w:tcW w:w="1020" w:type="dxa"/>
            <w:vAlign w:val="bottom"/>
            <w:tcBorders>
              <w:bottom w:val="single" w:sz="8" w:color="6D8CC3"/>
            </w:tcBorders>
          </w:tcPr>
          <w:p>
            <w:pPr>
              <w:jc w:val="right"/>
              <w:ind w:right="82"/>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6D8CC3"/>
            </w:tcBorders>
          </w:tcPr>
          <w:p>
            <w:pPr>
              <w:jc w:val="right"/>
              <w:ind w:right="142"/>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6D8CC3"/>
            </w:tcBorders>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5"/>
        </w:trPr>
        <w:tc>
          <w:tcPr>
            <w:tcW w:w="2860" w:type="dxa"/>
            <w:vAlign w:val="bottom"/>
            <w:tcBorders>
              <w:bottom w:val="single" w:sz="8" w:color="6D8CC3"/>
            </w:tcBorders>
            <w:gridSpan w:val="2"/>
          </w:tcPr>
          <w:p>
            <w:pPr>
              <w:spacing w:after="0" w:line="255" w:lineRule="exact"/>
              <w:rPr>
                <w:sz w:val="20"/>
                <w:szCs w:val="20"/>
                <w:color w:val="auto"/>
              </w:rPr>
            </w:pPr>
            <w:r>
              <w:rPr>
                <w:rFonts w:ascii="Arial" w:cs="Arial" w:eastAsia="Arial" w:hAnsi="Arial"/>
                <w:sz w:val="16"/>
                <w:szCs w:val="16"/>
                <w:color w:val="auto"/>
              </w:rPr>
              <w:t>Value of Vested Stock</w:t>
            </w:r>
            <w:r>
              <w:rPr>
                <w:rFonts w:ascii="Arial" w:cs="Arial" w:eastAsia="Arial" w:hAnsi="Arial"/>
                <w:sz w:val="26"/>
                <w:szCs w:val="26"/>
                <w:color w:val="auto"/>
                <w:vertAlign w:val="superscript"/>
              </w:rPr>
              <w:t>(3)</w:t>
            </w:r>
          </w:p>
        </w:tc>
        <w:tc>
          <w:tcPr>
            <w:tcW w:w="1480" w:type="dxa"/>
            <w:vAlign w:val="bottom"/>
            <w:tcBorders>
              <w:bottom w:val="single" w:sz="8" w:color="6D8CC3"/>
            </w:tcBorders>
          </w:tcPr>
          <w:p>
            <w:pPr>
              <w:jc w:val="right"/>
              <w:ind w:right="243"/>
              <w:spacing w:after="0"/>
              <w:rPr>
                <w:sz w:val="20"/>
                <w:szCs w:val="20"/>
                <w:color w:val="auto"/>
              </w:rPr>
            </w:pPr>
            <w:r>
              <w:rPr>
                <w:rFonts w:ascii="Arial" w:cs="Arial" w:eastAsia="Arial" w:hAnsi="Arial"/>
                <w:sz w:val="16"/>
                <w:szCs w:val="16"/>
                <w:color w:val="auto"/>
              </w:rPr>
              <w:t>543,175</w:t>
            </w:r>
          </w:p>
        </w:tc>
        <w:tc>
          <w:tcPr>
            <w:tcW w:w="1300" w:type="dxa"/>
            <w:vAlign w:val="bottom"/>
            <w:tcBorders>
              <w:bottom w:val="single" w:sz="8" w:color="6D8CC3"/>
            </w:tcBorders>
          </w:tcPr>
          <w:p>
            <w:pPr>
              <w:jc w:val="right"/>
              <w:ind w:right="203"/>
              <w:spacing w:after="0"/>
              <w:rPr>
                <w:sz w:val="20"/>
                <w:szCs w:val="20"/>
                <w:color w:val="auto"/>
              </w:rPr>
            </w:pPr>
            <w:r>
              <w:rPr>
                <w:rFonts w:ascii="Arial" w:cs="Arial" w:eastAsia="Arial" w:hAnsi="Arial"/>
                <w:sz w:val="16"/>
                <w:szCs w:val="16"/>
                <w:color w:val="auto"/>
              </w:rPr>
              <w:t>3,282,382</w:t>
            </w:r>
          </w:p>
        </w:tc>
        <w:tc>
          <w:tcPr>
            <w:tcW w:w="1020" w:type="dxa"/>
            <w:vAlign w:val="bottom"/>
            <w:tcBorders>
              <w:bottom w:val="single" w:sz="8" w:color="6D8CC3"/>
            </w:tcBorders>
          </w:tcPr>
          <w:p>
            <w:pPr>
              <w:jc w:val="right"/>
              <w:ind w:right="82"/>
              <w:spacing w:after="0"/>
              <w:rPr>
                <w:sz w:val="20"/>
                <w:szCs w:val="20"/>
                <w:color w:val="auto"/>
              </w:rPr>
            </w:pPr>
            <w:r>
              <w:rPr>
                <w:rFonts w:ascii="Arial" w:cs="Arial" w:eastAsia="Arial" w:hAnsi="Arial"/>
                <w:sz w:val="16"/>
                <w:szCs w:val="16"/>
                <w:color w:val="auto"/>
              </w:rPr>
              <w:t>1,225,589</w:t>
            </w:r>
          </w:p>
        </w:tc>
        <w:tc>
          <w:tcPr>
            <w:tcW w:w="1100" w:type="dxa"/>
            <w:vAlign w:val="bottom"/>
            <w:tcBorders>
              <w:bottom w:val="single" w:sz="8" w:color="6D8CC3"/>
            </w:tcBorders>
          </w:tcPr>
          <w:p>
            <w:pPr>
              <w:jc w:val="right"/>
              <w:ind w:right="122"/>
              <w:spacing w:after="0"/>
              <w:rPr>
                <w:sz w:val="20"/>
                <w:szCs w:val="20"/>
                <w:color w:val="auto"/>
              </w:rPr>
            </w:pPr>
            <w:r>
              <w:rPr>
                <w:rFonts w:ascii="Arial" w:cs="Arial" w:eastAsia="Arial" w:hAnsi="Arial"/>
                <w:sz w:val="16"/>
                <w:szCs w:val="16"/>
                <w:color w:val="auto"/>
              </w:rPr>
              <w:t>1,225,589</w:t>
            </w:r>
          </w:p>
        </w:tc>
        <w:tc>
          <w:tcPr>
            <w:tcW w:w="1280" w:type="dxa"/>
            <w:vAlign w:val="bottom"/>
            <w:tcBorders>
              <w:bottom w:val="single" w:sz="8" w:color="6D8CC3"/>
            </w:tcBorders>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5"/>
        </w:trPr>
        <w:tc>
          <w:tcPr>
            <w:tcW w:w="2860" w:type="dxa"/>
            <w:vAlign w:val="bottom"/>
            <w:tcBorders>
              <w:bottom w:val="single" w:sz="8" w:color="6D8CC3"/>
            </w:tcBorders>
            <w:gridSpan w:val="2"/>
          </w:tcPr>
          <w:p>
            <w:pPr>
              <w:spacing w:after="0" w:line="255" w:lineRule="exact"/>
              <w:rPr>
                <w:sz w:val="20"/>
                <w:szCs w:val="20"/>
                <w:color w:val="auto"/>
              </w:rPr>
            </w:pPr>
            <w:r>
              <w:rPr>
                <w:rFonts w:ascii="Arial" w:cs="Arial" w:eastAsia="Arial" w:hAnsi="Arial"/>
                <w:sz w:val="16"/>
                <w:szCs w:val="16"/>
                <w:color w:val="auto"/>
              </w:rPr>
              <w:t>Benefits and Perquisites</w:t>
            </w:r>
            <w:r>
              <w:rPr>
                <w:rFonts w:ascii="Arial" w:cs="Arial" w:eastAsia="Arial" w:hAnsi="Arial"/>
                <w:sz w:val="26"/>
                <w:szCs w:val="26"/>
                <w:color w:val="auto"/>
                <w:vertAlign w:val="superscript"/>
              </w:rPr>
              <w:t>(4)</w:t>
            </w:r>
          </w:p>
        </w:tc>
        <w:tc>
          <w:tcPr>
            <w:tcW w:w="1480" w:type="dxa"/>
            <w:vAlign w:val="bottom"/>
            <w:tcBorders>
              <w:bottom w:val="single" w:sz="8" w:color="6D8CC3"/>
            </w:tcBorders>
          </w:tcPr>
          <w:p>
            <w:pPr>
              <w:jc w:val="right"/>
              <w:ind w:right="243"/>
              <w:spacing w:after="0"/>
              <w:rPr>
                <w:sz w:val="20"/>
                <w:szCs w:val="20"/>
                <w:color w:val="auto"/>
              </w:rPr>
            </w:pPr>
            <w:r>
              <w:rPr>
                <w:rFonts w:ascii="Arial" w:cs="Arial" w:eastAsia="Arial" w:hAnsi="Arial"/>
                <w:sz w:val="16"/>
                <w:szCs w:val="16"/>
                <w:color w:val="auto"/>
              </w:rPr>
              <w:t>58,750</w:t>
            </w:r>
          </w:p>
        </w:tc>
        <w:tc>
          <w:tcPr>
            <w:tcW w:w="1300" w:type="dxa"/>
            <w:vAlign w:val="bottom"/>
            <w:tcBorders>
              <w:bottom w:val="single" w:sz="8" w:color="6D8CC3"/>
            </w:tcBorders>
          </w:tcPr>
          <w:p>
            <w:pPr>
              <w:jc w:val="right"/>
              <w:ind w:right="183"/>
              <w:spacing w:after="0"/>
              <w:rPr>
                <w:sz w:val="20"/>
                <w:szCs w:val="20"/>
                <w:color w:val="auto"/>
              </w:rPr>
            </w:pPr>
            <w:r>
              <w:rPr>
                <w:rFonts w:ascii="Arial" w:cs="Arial" w:eastAsia="Arial" w:hAnsi="Arial"/>
                <w:sz w:val="16"/>
                <w:szCs w:val="16"/>
                <w:color w:val="auto"/>
              </w:rPr>
              <w:t>58,751</w:t>
            </w:r>
          </w:p>
        </w:tc>
        <w:tc>
          <w:tcPr>
            <w:tcW w:w="1020" w:type="dxa"/>
            <w:vAlign w:val="bottom"/>
            <w:tcBorders>
              <w:bottom w:val="single" w:sz="8" w:color="6D8CC3"/>
            </w:tcBorders>
          </w:tcPr>
          <w:p>
            <w:pPr>
              <w:jc w:val="right"/>
              <w:ind w:right="82"/>
              <w:spacing w:after="0"/>
              <w:rPr>
                <w:sz w:val="20"/>
                <w:szCs w:val="20"/>
                <w:color w:val="auto"/>
              </w:rPr>
            </w:pPr>
            <w:r>
              <w:rPr>
                <w:rFonts w:ascii="Arial" w:cs="Arial" w:eastAsia="Arial" w:hAnsi="Arial"/>
                <w:sz w:val="16"/>
                <w:szCs w:val="16"/>
                <w:color w:val="auto"/>
              </w:rPr>
              <w:t>1,450,000</w:t>
            </w:r>
          </w:p>
        </w:tc>
        <w:tc>
          <w:tcPr>
            <w:tcW w:w="1100" w:type="dxa"/>
            <w:vAlign w:val="bottom"/>
            <w:tcBorders>
              <w:bottom w:val="single" w:sz="8" w:color="6D8CC3"/>
            </w:tcBorders>
          </w:tcPr>
          <w:p>
            <w:pPr>
              <w:jc w:val="right"/>
              <w:ind w:right="122"/>
              <w:spacing w:after="0"/>
              <w:rPr>
                <w:sz w:val="20"/>
                <w:szCs w:val="20"/>
                <w:color w:val="auto"/>
              </w:rPr>
            </w:pPr>
            <w:r>
              <w:rPr>
                <w:rFonts w:ascii="Arial" w:cs="Arial" w:eastAsia="Arial" w:hAnsi="Arial"/>
                <w:sz w:val="16"/>
                <w:szCs w:val="16"/>
                <w:color w:val="auto"/>
              </w:rPr>
              <w:t>300,000</w:t>
            </w:r>
          </w:p>
        </w:tc>
        <w:tc>
          <w:tcPr>
            <w:tcW w:w="1280" w:type="dxa"/>
            <w:vAlign w:val="bottom"/>
            <w:tcBorders>
              <w:bottom w:val="single" w:sz="8" w:color="6D8CC3"/>
            </w:tcBorders>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40" w:type="dxa"/>
            <w:vAlign w:val="bottom"/>
            <w:tcBorders>
              <w:bottom w:val="single" w:sz="8" w:color="292F72"/>
            </w:tcBorders>
            <w:shd w:val="clear" w:color="auto" w:fill="F0F5FE"/>
          </w:tcPr>
          <w:p>
            <w:pPr>
              <w:spacing w:after="0"/>
              <w:rPr>
                <w:sz w:val="20"/>
                <w:szCs w:val="20"/>
                <w:color w:val="auto"/>
              </w:rPr>
            </w:pPr>
            <w:r>
              <w:rPr>
                <w:rFonts w:ascii="Arial" w:cs="Arial" w:eastAsia="Arial" w:hAnsi="Arial"/>
                <w:sz w:val="16"/>
                <w:szCs w:val="16"/>
                <w:b w:val="1"/>
                <w:bCs w:val="1"/>
                <w:color w:val="auto"/>
              </w:rPr>
              <w:t>Total</w:t>
            </w:r>
          </w:p>
        </w:tc>
        <w:tc>
          <w:tcPr>
            <w:tcW w:w="1480" w:type="dxa"/>
            <w:vAlign w:val="bottom"/>
            <w:tcBorders>
              <w:bottom w:val="single" w:sz="8" w:color="292F72"/>
            </w:tcBorders>
            <w:shd w:val="clear" w:color="auto" w:fill="F0F5FE"/>
          </w:tcPr>
          <w:p>
            <w:pPr>
              <w:jc w:val="right"/>
              <w:ind w:right="243"/>
              <w:spacing w:after="0"/>
              <w:rPr>
                <w:sz w:val="20"/>
                <w:szCs w:val="20"/>
                <w:color w:val="auto"/>
              </w:rPr>
            </w:pPr>
            <w:r>
              <w:rPr>
                <w:rFonts w:ascii="Arial" w:cs="Arial" w:eastAsia="Arial" w:hAnsi="Arial"/>
                <w:sz w:val="16"/>
                <w:szCs w:val="16"/>
                <w:b w:val="1"/>
                <w:bCs w:val="1"/>
                <w:color w:val="auto"/>
              </w:rPr>
              <w:t>3,501,925</w:t>
            </w:r>
          </w:p>
        </w:tc>
        <w:tc>
          <w:tcPr>
            <w:tcW w:w="1300" w:type="dxa"/>
            <w:vAlign w:val="bottom"/>
            <w:tcBorders>
              <w:bottom w:val="single" w:sz="8" w:color="292F72"/>
            </w:tcBorders>
            <w:shd w:val="clear" w:color="auto" w:fill="F0F5FE"/>
          </w:tcPr>
          <w:p>
            <w:pPr>
              <w:jc w:val="right"/>
              <w:ind w:right="203"/>
              <w:spacing w:after="0"/>
              <w:rPr>
                <w:sz w:val="20"/>
                <w:szCs w:val="20"/>
                <w:color w:val="auto"/>
              </w:rPr>
            </w:pPr>
            <w:r>
              <w:rPr>
                <w:rFonts w:ascii="Arial" w:cs="Arial" w:eastAsia="Arial" w:hAnsi="Arial"/>
                <w:sz w:val="16"/>
                <w:szCs w:val="16"/>
                <w:b w:val="1"/>
                <w:bCs w:val="1"/>
                <w:color w:val="auto"/>
              </w:rPr>
              <w:t>5,722,353</w:t>
            </w:r>
          </w:p>
        </w:tc>
        <w:tc>
          <w:tcPr>
            <w:tcW w:w="1020" w:type="dxa"/>
            <w:vAlign w:val="bottom"/>
            <w:tcBorders>
              <w:bottom w:val="single" w:sz="8" w:color="292F72"/>
            </w:tcBorders>
            <w:shd w:val="clear" w:color="auto" w:fill="F0F5FE"/>
          </w:tcPr>
          <w:p>
            <w:pPr>
              <w:jc w:val="right"/>
              <w:ind w:right="82"/>
              <w:spacing w:after="0"/>
              <w:rPr>
                <w:sz w:val="20"/>
                <w:szCs w:val="20"/>
                <w:color w:val="auto"/>
              </w:rPr>
            </w:pPr>
            <w:r>
              <w:rPr>
                <w:rFonts w:ascii="Arial" w:cs="Arial" w:eastAsia="Arial" w:hAnsi="Arial"/>
                <w:sz w:val="16"/>
                <w:szCs w:val="16"/>
                <w:b w:val="1"/>
                <w:bCs w:val="1"/>
                <w:color w:val="auto"/>
              </w:rPr>
              <w:t>2,675,589</w:t>
            </w:r>
          </w:p>
        </w:tc>
        <w:tc>
          <w:tcPr>
            <w:tcW w:w="1100" w:type="dxa"/>
            <w:vAlign w:val="bottom"/>
            <w:tcBorders>
              <w:bottom w:val="single" w:sz="8" w:color="292F72"/>
            </w:tcBorders>
            <w:shd w:val="clear" w:color="auto" w:fill="F0F5FE"/>
          </w:tcPr>
          <w:p>
            <w:pPr>
              <w:jc w:val="right"/>
              <w:ind w:right="122"/>
              <w:spacing w:after="0"/>
              <w:rPr>
                <w:sz w:val="20"/>
                <w:szCs w:val="20"/>
                <w:color w:val="auto"/>
              </w:rPr>
            </w:pPr>
            <w:r>
              <w:rPr>
                <w:rFonts w:ascii="Arial" w:cs="Arial" w:eastAsia="Arial" w:hAnsi="Arial"/>
                <w:sz w:val="16"/>
                <w:szCs w:val="16"/>
                <w:b w:val="1"/>
                <w:bCs w:val="1"/>
                <w:color w:val="auto"/>
              </w:rPr>
              <w:t>1,525,589</w:t>
            </w:r>
          </w:p>
        </w:tc>
        <w:tc>
          <w:tcPr>
            <w:tcW w:w="1280" w:type="dxa"/>
            <w:vAlign w:val="bottom"/>
            <w:tcBorders>
              <w:bottom w:val="single" w:sz="8" w:color="292F72"/>
            </w:tcBorders>
            <w:shd w:val="clear" w:color="auto" w:fill="F0F5FE"/>
          </w:tcPr>
          <w:p>
            <w:pPr>
              <w:ind w:left="6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Borders>
              <w:bottom w:val="single" w:sz="8" w:color="6D8CC3"/>
            </w:tcBorders>
          </w:tcPr>
          <w:p>
            <w:pPr>
              <w:spacing w:after="0"/>
              <w:rPr>
                <w:sz w:val="18"/>
                <w:szCs w:val="18"/>
                <w:color w:val="auto"/>
              </w:rPr>
            </w:pPr>
          </w:p>
        </w:tc>
        <w:tc>
          <w:tcPr>
            <w:tcW w:w="2840" w:type="dxa"/>
            <w:vAlign w:val="bottom"/>
            <w:tcBorders>
              <w:bottom w:val="single" w:sz="8" w:color="6D8CC3"/>
            </w:tcBorders>
          </w:tcPr>
          <w:p>
            <w:pPr>
              <w:spacing w:after="0"/>
              <w:rPr>
                <w:sz w:val="20"/>
                <w:szCs w:val="20"/>
                <w:color w:val="auto"/>
              </w:rPr>
            </w:pPr>
            <w:r>
              <w:rPr>
                <w:rFonts w:ascii="Arial" w:cs="Arial" w:eastAsia="Arial" w:hAnsi="Arial"/>
                <w:sz w:val="16"/>
                <w:szCs w:val="16"/>
                <w:b w:val="1"/>
                <w:bCs w:val="1"/>
                <w:color w:val="6D8CC3"/>
              </w:rPr>
              <w:t>Mr. Wu</w:t>
            </w:r>
          </w:p>
        </w:tc>
        <w:tc>
          <w:tcPr>
            <w:tcW w:w="1480" w:type="dxa"/>
            <w:vAlign w:val="bottom"/>
            <w:tcBorders>
              <w:bottom w:val="single" w:sz="8" w:color="6D8CC3"/>
            </w:tcBorders>
          </w:tcPr>
          <w:p>
            <w:pPr>
              <w:spacing w:after="0"/>
              <w:rPr>
                <w:sz w:val="18"/>
                <w:szCs w:val="18"/>
                <w:color w:val="auto"/>
              </w:rPr>
            </w:pPr>
          </w:p>
        </w:tc>
        <w:tc>
          <w:tcPr>
            <w:tcW w:w="1300" w:type="dxa"/>
            <w:vAlign w:val="bottom"/>
            <w:tcBorders>
              <w:bottom w:val="single" w:sz="8" w:color="6D8CC3"/>
            </w:tcBorders>
          </w:tcPr>
          <w:p>
            <w:pPr>
              <w:spacing w:after="0"/>
              <w:rPr>
                <w:sz w:val="18"/>
                <w:szCs w:val="18"/>
                <w:color w:val="auto"/>
              </w:rPr>
            </w:pPr>
          </w:p>
        </w:tc>
        <w:tc>
          <w:tcPr>
            <w:tcW w:w="1020" w:type="dxa"/>
            <w:vAlign w:val="bottom"/>
            <w:tcBorders>
              <w:bottom w:val="single" w:sz="8" w:color="6D8CC3"/>
            </w:tcBorders>
          </w:tcPr>
          <w:p>
            <w:pPr>
              <w:spacing w:after="0"/>
              <w:rPr>
                <w:sz w:val="18"/>
                <w:szCs w:val="18"/>
                <w:color w:val="auto"/>
              </w:rPr>
            </w:pPr>
          </w:p>
        </w:tc>
        <w:tc>
          <w:tcPr>
            <w:tcW w:w="1100" w:type="dxa"/>
            <w:vAlign w:val="bottom"/>
            <w:tcBorders>
              <w:bottom w:val="single" w:sz="8" w:color="6D8CC3"/>
            </w:tcBorders>
          </w:tcPr>
          <w:p>
            <w:pPr>
              <w:spacing w:after="0"/>
              <w:rPr>
                <w:sz w:val="18"/>
                <w:szCs w:val="18"/>
                <w:color w:val="auto"/>
              </w:rPr>
            </w:pPr>
          </w:p>
        </w:tc>
        <w:tc>
          <w:tcPr>
            <w:tcW w:w="1280" w:type="dxa"/>
            <w:vAlign w:val="bottom"/>
            <w:tcBorders>
              <w:bottom w:val="single" w:sz="8" w:color="6D8CC3"/>
            </w:tcBorders>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2860" w:type="dxa"/>
            <w:vAlign w:val="bottom"/>
            <w:tcBorders>
              <w:bottom w:val="single" w:sz="8" w:color="6D8CC3"/>
            </w:tcBorders>
            <w:gridSpan w:val="2"/>
          </w:tcPr>
          <w:p>
            <w:pPr>
              <w:spacing w:after="0" w:line="258" w:lineRule="exact"/>
              <w:rPr>
                <w:sz w:val="20"/>
                <w:szCs w:val="20"/>
                <w:color w:val="auto"/>
              </w:rPr>
            </w:pPr>
            <w:r>
              <w:rPr>
                <w:rFonts w:ascii="Arial" w:cs="Arial" w:eastAsia="Arial" w:hAnsi="Arial"/>
                <w:sz w:val="16"/>
                <w:szCs w:val="16"/>
                <w:color w:val="auto"/>
              </w:rPr>
              <w:t>Base Salary</w:t>
            </w:r>
            <w:r>
              <w:rPr>
                <w:rFonts w:ascii="Arial" w:cs="Arial" w:eastAsia="Arial" w:hAnsi="Arial"/>
                <w:sz w:val="26"/>
                <w:szCs w:val="26"/>
                <w:color w:val="auto"/>
                <w:vertAlign w:val="superscript"/>
              </w:rPr>
              <w:t>(1)</w:t>
            </w:r>
          </w:p>
        </w:tc>
        <w:tc>
          <w:tcPr>
            <w:tcW w:w="1480" w:type="dxa"/>
            <w:vAlign w:val="bottom"/>
            <w:tcBorders>
              <w:bottom w:val="single" w:sz="8" w:color="6D8CC3"/>
            </w:tcBorders>
          </w:tcPr>
          <w:p>
            <w:pPr>
              <w:jc w:val="right"/>
              <w:ind w:right="243"/>
              <w:spacing w:after="0"/>
              <w:rPr>
                <w:sz w:val="20"/>
                <w:szCs w:val="20"/>
                <w:color w:val="auto"/>
              </w:rPr>
            </w:pPr>
            <w:r>
              <w:rPr>
                <w:rFonts w:ascii="Arial" w:cs="Arial" w:eastAsia="Arial" w:hAnsi="Arial"/>
                <w:sz w:val="16"/>
                <w:szCs w:val="16"/>
                <w:color w:val="auto"/>
              </w:rPr>
              <w:t>1,450,000</w:t>
            </w:r>
          </w:p>
        </w:tc>
        <w:tc>
          <w:tcPr>
            <w:tcW w:w="1300" w:type="dxa"/>
            <w:vAlign w:val="bottom"/>
            <w:tcBorders>
              <w:bottom w:val="single" w:sz="8" w:color="6D8CC3"/>
            </w:tcBorders>
          </w:tcPr>
          <w:p>
            <w:pPr>
              <w:jc w:val="right"/>
              <w:ind w:right="203"/>
              <w:spacing w:after="0"/>
              <w:rPr>
                <w:sz w:val="20"/>
                <w:szCs w:val="20"/>
                <w:color w:val="auto"/>
              </w:rPr>
            </w:pPr>
            <w:r>
              <w:rPr>
                <w:rFonts w:ascii="Arial" w:cs="Arial" w:eastAsia="Arial" w:hAnsi="Arial"/>
                <w:sz w:val="16"/>
                <w:szCs w:val="16"/>
                <w:color w:val="auto"/>
              </w:rPr>
              <w:t>1,450,000</w:t>
            </w:r>
          </w:p>
        </w:tc>
        <w:tc>
          <w:tcPr>
            <w:tcW w:w="1020" w:type="dxa"/>
            <w:vAlign w:val="bottom"/>
            <w:tcBorders>
              <w:bottom w:val="single" w:sz="8" w:color="6D8CC3"/>
            </w:tcBorders>
          </w:tcPr>
          <w:p>
            <w:pPr>
              <w:jc w:val="right"/>
              <w:ind w:right="82"/>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6D8CC3"/>
            </w:tcBorders>
          </w:tcPr>
          <w:p>
            <w:pPr>
              <w:jc w:val="right"/>
              <w:ind w:right="142"/>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6D8CC3"/>
            </w:tcBorders>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5"/>
        </w:trPr>
        <w:tc>
          <w:tcPr>
            <w:tcW w:w="2860" w:type="dxa"/>
            <w:vAlign w:val="bottom"/>
            <w:tcBorders>
              <w:bottom w:val="single" w:sz="8" w:color="6D8CC3"/>
            </w:tcBorders>
            <w:gridSpan w:val="2"/>
          </w:tcPr>
          <w:p>
            <w:pPr>
              <w:spacing w:after="0" w:line="255" w:lineRule="exact"/>
              <w:rPr>
                <w:sz w:val="20"/>
                <w:szCs w:val="20"/>
                <w:color w:val="auto"/>
              </w:rPr>
            </w:pPr>
            <w:r>
              <w:rPr>
                <w:rFonts w:ascii="Arial" w:cs="Arial" w:eastAsia="Arial" w:hAnsi="Arial"/>
                <w:sz w:val="29"/>
                <w:szCs w:val="29"/>
                <w:color w:val="auto"/>
                <w:vertAlign w:val="subscript"/>
              </w:rPr>
              <w:t>IC</w:t>
            </w:r>
            <w:r>
              <w:rPr>
                <w:rFonts w:ascii="Arial" w:cs="Arial" w:eastAsia="Arial" w:hAnsi="Arial"/>
                <w:sz w:val="13"/>
                <w:szCs w:val="13"/>
                <w:color w:val="auto"/>
              </w:rPr>
              <w:t>(2)</w:t>
            </w:r>
          </w:p>
        </w:tc>
        <w:tc>
          <w:tcPr>
            <w:tcW w:w="1480" w:type="dxa"/>
            <w:vAlign w:val="bottom"/>
            <w:tcBorders>
              <w:bottom w:val="single" w:sz="8" w:color="6D8CC3"/>
            </w:tcBorders>
          </w:tcPr>
          <w:p>
            <w:pPr>
              <w:jc w:val="right"/>
              <w:ind w:right="243"/>
              <w:spacing w:after="0"/>
              <w:rPr>
                <w:sz w:val="20"/>
                <w:szCs w:val="20"/>
                <w:color w:val="auto"/>
              </w:rPr>
            </w:pPr>
            <w:r>
              <w:rPr>
                <w:rFonts w:ascii="Arial" w:cs="Arial" w:eastAsia="Arial" w:hAnsi="Arial"/>
                <w:sz w:val="16"/>
                <w:szCs w:val="16"/>
                <w:color w:val="auto"/>
              </w:rPr>
              <w:t>1,450,000</w:t>
            </w:r>
          </w:p>
        </w:tc>
        <w:tc>
          <w:tcPr>
            <w:tcW w:w="1300" w:type="dxa"/>
            <w:vAlign w:val="bottom"/>
            <w:tcBorders>
              <w:bottom w:val="single" w:sz="8" w:color="6D8CC3"/>
            </w:tcBorders>
          </w:tcPr>
          <w:p>
            <w:pPr>
              <w:jc w:val="right"/>
              <w:ind w:right="203"/>
              <w:spacing w:after="0"/>
              <w:rPr>
                <w:sz w:val="20"/>
                <w:szCs w:val="20"/>
                <w:color w:val="auto"/>
              </w:rPr>
            </w:pPr>
            <w:r>
              <w:rPr>
                <w:rFonts w:ascii="Arial" w:cs="Arial" w:eastAsia="Arial" w:hAnsi="Arial"/>
                <w:sz w:val="16"/>
                <w:szCs w:val="16"/>
                <w:color w:val="auto"/>
              </w:rPr>
              <w:t>956,130</w:t>
            </w:r>
          </w:p>
        </w:tc>
        <w:tc>
          <w:tcPr>
            <w:tcW w:w="1020" w:type="dxa"/>
            <w:vAlign w:val="bottom"/>
            <w:tcBorders>
              <w:bottom w:val="single" w:sz="8" w:color="6D8CC3"/>
            </w:tcBorders>
          </w:tcPr>
          <w:p>
            <w:pPr>
              <w:jc w:val="right"/>
              <w:ind w:right="82"/>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6D8CC3"/>
            </w:tcBorders>
          </w:tcPr>
          <w:p>
            <w:pPr>
              <w:jc w:val="right"/>
              <w:ind w:right="142"/>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6D8CC3"/>
            </w:tcBorders>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5"/>
        </w:trPr>
        <w:tc>
          <w:tcPr>
            <w:tcW w:w="2860" w:type="dxa"/>
            <w:vAlign w:val="bottom"/>
            <w:tcBorders>
              <w:bottom w:val="single" w:sz="8" w:color="6D8CC3"/>
            </w:tcBorders>
            <w:gridSpan w:val="2"/>
          </w:tcPr>
          <w:p>
            <w:pPr>
              <w:spacing w:after="0" w:line="255" w:lineRule="exact"/>
              <w:rPr>
                <w:sz w:val="20"/>
                <w:szCs w:val="20"/>
                <w:color w:val="auto"/>
              </w:rPr>
            </w:pPr>
            <w:r>
              <w:rPr>
                <w:rFonts w:ascii="Arial" w:cs="Arial" w:eastAsia="Arial" w:hAnsi="Arial"/>
                <w:sz w:val="16"/>
                <w:szCs w:val="16"/>
                <w:color w:val="auto"/>
              </w:rPr>
              <w:t>Value of Vested Stock</w:t>
            </w:r>
            <w:r>
              <w:rPr>
                <w:rFonts w:ascii="Arial" w:cs="Arial" w:eastAsia="Arial" w:hAnsi="Arial"/>
                <w:sz w:val="26"/>
                <w:szCs w:val="26"/>
                <w:color w:val="auto"/>
                <w:vertAlign w:val="superscript"/>
              </w:rPr>
              <w:t>(3)</w:t>
            </w:r>
          </w:p>
        </w:tc>
        <w:tc>
          <w:tcPr>
            <w:tcW w:w="1480" w:type="dxa"/>
            <w:vAlign w:val="bottom"/>
            <w:tcBorders>
              <w:bottom w:val="single" w:sz="8" w:color="6D8CC3"/>
            </w:tcBorders>
          </w:tcPr>
          <w:p>
            <w:pPr>
              <w:jc w:val="right"/>
              <w:ind w:right="243"/>
              <w:spacing w:after="0"/>
              <w:rPr>
                <w:sz w:val="20"/>
                <w:szCs w:val="20"/>
                <w:color w:val="auto"/>
              </w:rPr>
            </w:pPr>
            <w:r>
              <w:rPr>
                <w:rFonts w:ascii="Arial" w:cs="Arial" w:eastAsia="Arial" w:hAnsi="Arial"/>
                <w:sz w:val="16"/>
                <w:szCs w:val="16"/>
                <w:color w:val="auto"/>
              </w:rPr>
              <w:t>541,789</w:t>
            </w:r>
          </w:p>
        </w:tc>
        <w:tc>
          <w:tcPr>
            <w:tcW w:w="1300" w:type="dxa"/>
            <w:vAlign w:val="bottom"/>
            <w:tcBorders>
              <w:bottom w:val="single" w:sz="8" w:color="6D8CC3"/>
            </w:tcBorders>
          </w:tcPr>
          <w:p>
            <w:pPr>
              <w:jc w:val="right"/>
              <w:ind w:right="203"/>
              <w:spacing w:after="0"/>
              <w:rPr>
                <w:sz w:val="20"/>
                <w:szCs w:val="20"/>
                <w:color w:val="auto"/>
              </w:rPr>
            </w:pPr>
            <w:r>
              <w:rPr>
                <w:rFonts w:ascii="Arial" w:cs="Arial" w:eastAsia="Arial" w:hAnsi="Arial"/>
                <w:sz w:val="16"/>
                <w:szCs w:val="16"/>
                <w:color w:val="auto"/>
              </w:rPr>
              <w:t>3,249,944</w:t>
            </w:r>
          </w:p>
        </w:tc>
        <w:tc>
          <w:tcPr>
            <w:tcW w:w="1020" w:type="dxa"/>
            <w:vAlign w:val="bottom"/>
            <w:tcBorders>
              <w:bottom w:val="single" w:sz="8" w:color="6D8CC3"/>
            </w:tcBorders>
          </w:tcPr>
          <w:p>
            <w:pPr>
              <w:jc w:val="right"/>
              <w:ind w:right="82"/>
              <w:spacing w:after="0"/>
              <w:rPr>
                <w:sz w:val="20"/>
                <w:szCs w:val="20"/>
                <w:color w:val="auto"/>
              </w:rPr>
            </w:pPr>
            <w:r>
              <w:rPr>
                <w:rFonts w:ascii="Arial" w:cs="Arial" w:eastAsia="Arial" w:hAnsi="Arial"/>
                <w:sz w:val="16"/>
                <w:szCs w:val="16"/>
                <w:color w:val="auto"/>
              </w:rPr>
              <w:t>1,194,516</w:t>
            </w:r>
          </w:p>
        </w:tc>
        <w:tc>
          <w:tcPr>
            <w:tcW w:w="1100" w:type="dxa"/>
            <w:vAlign w:val="bottom"/>
            <w:tcBorders>
              <w:bottom w:val="single" w:sz="8" w:color="6D8CC3"/>
            </w:tcBorders>
          </w:tcPr>
          <w:p>
            <w:pPr>
              <w:jc w:val="right"/>
              <w:ind w:right="122"/>
              <w:spacing w:after="0"/>
              <w:rPr>
                <w:sz w:val="20"/>
                <w:szCs w:val="20"/>
                <w:color w:val="auto"/>
              </w:rPr>
            </w:pPr>
            <w:r>
              <w:rPr>
                <w:rFonts w:ascii="Arial" w:cs="Arial" w:eastAsia="Arial" w:hAnsi="Arial"/>
                <w:sz w:val="16"/>
                <w:szCs w:val="16"/>
                <w:color w:val="auto"/>
              </w:rPr>
              <w:t>1,194,516</w:t>
            </w:r>
          </w:p>
        </w:tc>
        <w:tc>
          <w:tcPr>
            <w:tcW w:w="1280" w:type="dxa"/>
            <w:vAlign w:val="bottom"/>
            <w:tcBorders>
              <w:bottom w:val="single" w:sz="8" w:color="6D8CC3"/>
            </w:tcBorders>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5"/>
        </w:trPr>
        <w:tc>
          <w:tcPr>
            <w:tcW w:w="2860" w:type="dxa"/>
            <w:vAlign w:val="bottom"/>
            <w:tcBorders>
              <w:bottom w:val="single" w:sz="8" w:color="6D8CC3"/>
            </w:tcBorders>
            <w:gridSpan w:val="2"/>
          </w:tcPr>
          <w:p>
            <w:pPr>
              <w:spacing w:after="0" w:line="255" w:lineRule="exact"/>
              <w:rPr>
                <w:sz w:val="20"/>
                <w:szCs w:val="20"/>
                <w:color w:val="auto"/>
              </w:rPr>
            </w:pPr>
            <w:r>
              <w:rPr>
                <w:rFonts w:ascii="Arial" w:cs="Arial" w:eastAsia="Arial" w:hAnsi="Arial"/>
                <w:sz w:val="16"/>
                <w:szCs w:val="16"/>
                <w:color w:val="auto"/>
              </w:rPr>
              <w:t>Benefits and Perquisites</w:t>
            </w:r>
            <w:r>
              <w:rPr>
                <w:rFonts w:ascii="Arial" w:cs="Arial" w:eastAsia="Arial" w:hAnsi="Arial"/>
                <w:sz w:val="26"/>
                <w:szCs w:val="26"/>
                <w:color w:val="auto"/>
                <w:vertAlign w:val="superscript"/>
              </w:rPr>
              <w:t>(4)</w:t>
            </w:r>
          </w:p>
        </w:tc>
        <w:tc>
          <w:tcPr>
            <w:tcW w:w="1480" w:type="dxa"/>
            <w:vAlign w:val="bottom"/>
            <w:tcBorders>
              <w:bottom w:val="single" w:sz="8" w:color="6D8CC3"/>
            </w:tcBorders>
          </w:tcPr>
          <w:p>
            <w:pPr>
              <w:jc w:val="right"/>
              <w:ind w:right="243"/>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6D8CC3"/>
            </w:tcBorders>
          </w:tcPr>
          <w:p>
            <w:pPr>
              <w:jc w:val="right"/>
              <w:ind w:right="183"/>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6D8CC3"/>
            </w:tcBorders>
          </w:tcPr>
          <w:p>
            <w:pPr>
              <w:jc w:val="right"/>
              <w:ind w:right="82"/>
              <w:spacing w:after="0"/>
              <w:rPr>
                <w:sz w:val="20"/>
                <w:szCs w:val="20"/>
                <w:color w:val="auto"/>
              </w:rPr>
            </w:pPr>
            <w:r>
              <w:rPr>
                <w:rFonts w:ascii="Arial" w:cs="Arial" w:eastAsia="Arial" w:hAnsi="Arial"/>
                <w:sz w:val="16"/>
                <w:szCs w:val="16"/>
                <w:color w:val="auto"/>
              </w:rPr>
              <w:t>1,450,000</w:t>
            </w:r>
          </w:p>
        </w:tc>
        <w:tc>
          <w:tcPr>
            <w:tcW w:w="1100" w:type="dxa"/>
            <w:vAlign w:val="bottom"/>
            <w:tcBorders>
              <w:bottom w:val="single" w:sz="8" w:color="6D8CC3"/>
            </w:tcBorders>
          </w:tcPr>
          <w:p>
            <w:pPr>
              <w:jc w:val="right"/>
              <w:ind w:right="122"/>
              <w:spacing w:after="0"/>
              <w:rPr>
                <w:sz w:val="20"/>
                <w:szCs w:val="20"/>
                <w:color w:val="auto"/>
              </w:rPr>
            </w:pPr>
            <w:r>
              <w:rPr>
                <w:rFonts w:ascii="Arial" w:cs="Arial" w:eastAsia="Arial" w:hAnsi="Arial"/>
                <w:sz w:val="16"/>
                <w:szCs w:val="16"/>
                <w:color w:val="auto"/>
              </w:rPr>
              <w:t>300,000</w:t>
            </w:r>
          </w:p>
        </w:tc>
        <w:tc>
          <w:tcPr>
            <w:tcW w:w="1280" w:type="dxa"/>
            <w:vAlign w:val="bottom"/>
            <w:tcBorders>
              <w:bottom w:val="single" w:sz="8" w:color="6D8CC3"/>
            </w:tcBorders>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40" w:type="dxa"/>
            <w:vAlign w:val="bottom"/>
            <w:tcBorders>
              <w:bottom w:val="single" w:sz="8" w:color="F0F5FE"/>
            </w:tcBorders>
            <w:shd w:val="clear" w:color="auto" w:fill="F0F5FE"/>
          </w:tcPr>
          <w:p>
            <w:pPr>
              <w:spacing w:after="0"/>
              <w:rPr>
                <w:sz w:val="20"/>
                <w:szCs w:val="20"/>
                <w:color w:val="auto"/>
              </w:rPr>
            </w:pPr>
            <w:r>
              <w:rPr>
                <w:rFonts w:ascii="Arial" w:cs="Arial" w:eastAsia="Arial" w:hAnsi="Arial"/>
                <w:sz w:val="16"/>
                <w:szCs w:val="16"/>
                <w:b w:val="1"/>
                <w:bCs w:val="1"/>
                <w:color w:val="auto"/>
              </w:rPr>
              <w:t>Total</w:t>
            </w:r>
          </w:p>
        </w:tc>
        <w:tc>
          <w:tcPr>
            <w:tcW w:w="1480" w:type="dxa"/>
            <w:vAlign w:val="bottom"/>
            <w:tcBorders>
              <w:bottom w:val="single" w:sz="8" w:color="F0F5FE"/>
            </w:tcBorders>
            <w:shd w:val="clear" w:color="auto" w:fill="F0F5FE"/>
          </w:tcPr>
          <w:p>
            <w:pPr>
              <w:jc w:val="right"/>
              <w:ind w:right="243"/>
              <w:spacing w:after="0"/>
              <w:rPr>
                <w:sz w:val="20"/>
                <w:szCs w:val="20"/>
                <w:color w:val="auto"/>
              </w:rPr>
            </w:pPr>
            <w:r>
              <w:rPr>
                <w:rFonts w:ascii="Arial" w:cs="Arial" w:eastAsia="Arial" w:hAnsi="Arial"/>
                <w:sz w:val="16"/>
                <w:szCs w:val="16"/>
                <w:b w:val="1"/>
                <w:bCs w:val="1"/>
                <w:color w:val="auto"/>
              </w:rPr>
              <w:t>3,441,789</w:t>
            </w:r>
          </w:p>
        </w:tc>
        <w:tc>
          <w:tcPr>
            <w:tcW w:w="1300" w:type="dxa"/>
            <w:vAlign w:val="bottom"/>
            <w:tcBorders>
              <w:bottom w:val="single" w:sz="8" w:color="F0F5FE"/>
            </w:tcBorders>
            <w:shd w:val="clear" w:color="auto" w:fill="F0F5FE"/>
          </w:tcPr>
          <w:p>
            <w:pPr>
              <w:jc w:val="right"/>
              <w:ind w:right="203"/>
              <w:spacing w:after="0"/>
              <w:rPr>
                <w:sz w:val="20"/>
                <w:szCs w:val="20"/>
                <w:color w:val="auto"/>
              </w:rPr>
            </w:pPr>
            <w:r>
              <w:rPr>
                <w:rFonts w:ascii="Arial" w:cs="Arial" w:eastAsia="Arial" w:hAnsi="Arial"/>
                <w:sz w:val="16"/>
                <w:szCs w:val="16"/>
                <w:b w:val="1"/>
                <w:bCs w:val="1"/>
                <w:color w:val="auto"/>
              </w:rPr>
              <w:t>5,656,074</w:t>
            </w:r>
          </w:p>
        </w:tc>
        <w:tc>
          <w:tcPr>
            <w:tcW w:w="1020" w:type="dxa"/>
            <w:vAlign w:val="bottom"/>
            <w:tcBorders>
              <w:bottom w:val="single" w:sz="8" w:color="F0F5FE"/>
            </w:tcBorders>
            <w:shd w:val="clear" w:color="auto" w:fill="F0F5FE"/>
          </w:tcPr>
          <w:p>
            <w:pPr>
              <w:jc w:val="right"/>
              <w:ind w:right="82"/>
              <w:spacing w:after="0"/>
              <w:rPr>
                <w:sz w:val="20"/>
                <w:szCs w:val="20"/>
                <w:color w:val="auto"/>
              </w:rPr>
            </w:pPr>
            <w:r>
              <w:rPr>
                <w:rFonts w:ascii="Arial" w:cs="Arial" w:eastAsia="Arial" w:hAnsi="Arial"/>
                <w:sz w:val="16"/>
                <w:szCs w:val="16"/>
                <w:b w:val="1"/>
                <w:bCs w:val="1"/>
                <w:color w:val="auto"/>
              </w:rPr>
              <w:t>2,644,516</w:t>
            </w:r>
          </w:p>
        </w:tc>
        <w:tc>
          <w:tcPr>
            <w:tcW w:w="1100" w:type="dxa"/>
            <w:vAlign w:val="bottom"/>
            <w:tcBorders>
              <w:bottom w:val="single" w:sz="8" w:color="F0F5FE"/>
            </w:tcBorders>
            <w:shd w:val="clear" w:color="auto" w:fill="F0F5FE"/>
          </w:tcPr>
          <w:p>
            <w:pPr>
              <w:jc w:val="right"/>
              <w:ind w:right="122"/>
              <w:spacing w:after="0"/>
              <w:rPr>
                <w:sz w:val="20"/>
                <w:szCs w:val="20"/>
                <w:color w:val="auto"/>
              </w:rPr>
            </w:pPr>
            <w:r>
              <w:rPr>
                <w:rFonts w:ascii="Arial" w:cs="Arial" w:eastAsia="Arial" w:hAnsi="Arial"/>
                <w:sz w:val="16"/>
                <w:szCs w:val="16"/>
                <w:b w:val="1"/>
                <w:bCs w:val="1"/>
                <w:color w:val="auto"/>
              </w:rPr>
              <w:t>1,494,516</w:t>
            </w:r>
          </w:p>
        </w:tc>
        <w:tc>
          <w:tcPr>
            <w:tcW w:w="1280" w:type="dxa"/>
            <w:vAlign w:val="bottom"/>
            <w:tcBorders>
              <w:bottom w:val="single" w:sz="8" w:color="F0F5FE"/>
            </w:tcBorders>
            <w:shd w:val="clear" w:color="auto" w:fill="F0F5FE"/>
          </w:tcPr>
          <w:p>
            <w:pPr>
              <w:ind w:left="6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shd w:val="clear" w:color="auto" w:fill="292F72"/>
          </w:tcPr>
          <w:p>
            <w:pPr>
              <w:spacing w:after="0" w:line="20" w:lineRule="exact"/>
              <w:rPr>
                <w:sz w:val="1"/>
                <w:szCs w:val="1"/>
                <w:color w:val="auto"/>
              </w:rPr>
            </w:pPr>
          </w:p>
        </w:tc>
        <w:tc>
          <w:tcPr>
            <w:tcW w:w="1480" w:type="dxa"/>
            <w:vAlign w:val="bottom"/>
            <w:shd w:val="clear" w:color="auto" w:fill="292F72"/>
          </w:tcPr>
          <w:p>
            <w:pPr>
              <w:spacing w:after="0" w:line="20" w:lineRule="exact"/>
              <w:rPr>
                <w:sz w:val="1"/>
                <w:szCs w:val="1"/>
                <w:color w:val="auto"/>
              </w:rPr>
            </w:pPr>
          </w:p>
        </w:tc>
        <w:tc>
          <w:tcPr>
            <w:tcW w:w="1300" w:type="dxa"/>
            <w:vAlign w:val="bottom"/>
            <w:shd w:val="clear" w:color="auto" w:fill="292F72"/>
          </w:tcPr>
          <w:p>
            <w:pPr>
              <w:spacing w:after="0" w:line="20" w:lineRule="exact"/>
              <w:rPr>
                <w:sz w:val="1"/>
                <w:szCs w:val="1"/>
                <w:color w:val="auto"/>
              </w:rPr>
            </w:pPr>
          </w:p>
        </w:tc>
        <w:tc>
          <w:tcPr>
            <w:tcW w:w="1020" w:type="dxa"/>
            <w:vAlign w:val="bottom"/>
            <w:shd w:val="clear" w:color="auto" w:fill="292F72"/>
          </w:tcPr>
          <w:p>
            <w:pPr>
              <w:spacing w:after="0" w:line="20" w:lineRule="exact"/>
              <w:rPr>
                <w:sz w:val="1"/>
                <w:szCs w:val="1"/>
                <w:color w:val="auto"/>
              </w:rPr>
            </w:pPr>
          </w:p>
        </w:tc>
        <w:tc>
          <w:tcPr>
            <w:tcW w:w="1100" w:type="dxa"/>
            <w:vAlign w:val="bottom"/>
            <w:shd w:val="clear" w:color="auto" w:fill="292F72"/>
          </w:tcPr>
          <w:p>
            <w:pPr>
              <w:spacing w:after="0" w:line="20" w:lineRule="exact"/>
              <w:rPr>
                <w:sz w:val="1"/>
                <w:szCs w:val="1"/>
                <w:color w:val="auto"/>
              </w:rPr>
            </w:pPr>
          </w:p>
        </w:tc>
        <w:tc>
          <w:tcPr>
            <w:tcW w:w="1280" w:type="dxa"/>
            <w:vAlign w:val="bottom"/>
            <w:shd w:val="clear" w:color="auto" w:fill="292F7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ind w:left="260" w:right="60" w:hanging="256"/>
        <w:spacing w:after="0" w:line="241" w:lineRule="auto"/>
        <w:tabs>
          <w:tab w:leader="none" w:pos="2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In the event of a termination of the NEO’s employment by the Company other than for “Cause” or by the NEO for “Good Reason,” other than during the three-month period prior to or the 24-month period following a “Change in Control,” the NEO will receive continued payment of base salary for 24 months following the termination date in accordance with the Company’s normal payroll practices. If such termination occurs within the three-month period prior to or the 24-month period following a Change in Control, the NEO will receive a lump sum payment equal to two times his or her annual base salary. The foregoing payments are subject to such NEO’s execution and non-revocation of a release of claims.</w:t>
      </w:r>
    </w:p>
    <w:p>
      <w:pPr>
        <w:spacing w:after="0" w:line="39" w:lineRule="exact"/>
        <w:rPr>
          <w:rFonts w:ascii="Arial" w:cs="Arial" w:eastAsia="Arial" w:hAnsi="Arial"/>
          <w:sz w:val="14"/>
          <w:szCs w:val="14"/>
          <w:color w:val="auto"/>
        </w:rPr>
      </w:pPr>
    </w:p>
    <w:p>
      <w:pPr>
        <w:ind w:left="260" w:right="20" w:hanging="256"/>
        <w:spacing w:after="0" w:line="238" w:lineRule="auto"/>
        <w:tabs>
          <w:tab w:leader="none" w:pos="2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In the event of a termination of the NEO’s employment by the Company other than for “Cause” or by the NEO for “Good Reason,” other than during the three-month period prior to or the 24-month period following a “Change in Control,” the NEO will receive bonus payments based on the bonus amounts the NEO would have received under the Cash Incentive Plan (and its predecessor plan) had the NEO remained employed by the Company for two years of completed performance periods following the NEO’s termination date plus a pro rata amount for the performance period in which the termination occurs. For purposes of these tables, future bonus amounts are assumed at target levels.</w:t>
      </w:r>
    </w:p>
    <w:p>
      <w:pPr>
        <w:spacing w:after="0" w:line="2" w:lineRule="exact"/>
        <w:rPr>
          <w:rFonts w:ascii="Arial" w:cs="Arial" w:eastAsia="Arial" w:hAnsi="Arial"/>
          <w:sz w:val="14"/>
          <w:szCs w:val="14"/>
          <w:color w:val="auto"/>
        </w:rPr>
      </w:pPr>
    </w:p>
    <w:p>
      <w:pPr>
        <w:ind w:left="260"/>
        <w:spacing w:after="0" w:line="182" w:lineRule="auto"/>
        <w:rPr>
          <w:rFonts w:ascii="Arial" w:cs="Arial" w:eastAsia="Arial" w:hAnsi="Arial"/>
          <w:sz w:val="14"/>
          <w:szCs w:val="14"/>
          <w:color w:val="auto"/>
        </w:rPr>
      </w:pPr>
      <w:r>
        <w:rPr>
          <w:rFonts w:ascii="Arial" w:cs="Arial" w:eastAsia="Arial" w:hAnsi="Arial"/>
          <w:sz w:val="6"/>
          <w:szCs w:val="6"/>
          <w:color w:val="auto"/>
        </w:rPr>
        <w:t> </w:t>
      </w:r>
    </w:p>
    <w:p>
      <w:pPr>
        <w:ind w:left="260" w:right="20"/>
        <w:spacing w:after="0" w:line="239" w:lineRule="auto"/>
        <w:rPr>
          <w:rFonts w:ascii="Arial" w:cs="Arial" w:eastAsia="Arial" w:hAnsi="Arial"/>
          <w:sz w:val="14"/>
          <w:szCs w:val="14"/>
          <w:color w:val="auto"/>
        </w:rPr>
      </w:pPr>
      <w:r>
        <w:rPr>
          <w:rFonts w:ascii="Arial" w:cs="Arial" w:eastAsia="Arial" w:hAnsi="Arial"/>
          <w:sz w:val="14"/>
          <w:szCs w:val="14"/>
          <w:color w:val="auto"/>
        </w:rPr>
        <w:t>If such termination occurs within the three-month period prior to or the 24-month period following a Change in Control, the NEOs will receive a lump sum amount equal to the sum of the last two years of completed performance periods bonus payments received under the Cash Incentive Plan (and its predecessor plan), plus a pro rata amount for the performance period in which the termination occurs (based on an average of the prior four payments received). Ms. Boswell, pursuant to the terms of her severance arrangement with the Company,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122555</wp:posOffset>
            </wp:positionV>
            <wp:extent cx="573722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737225" cy="8255"/>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b w:val="1"/>
          <w:bCs w:val="1"/>
          <w:color w:val="292F72"/>
        </w:rPr>
        <w:t>50</w:t>
      </w:r>
      <w:r>
        <w:rPr>
          <w:rFonts w:ascii="Arial" w:cs="Arial" w:eastAsia="Arial" w:hAnsi="Arial"/>
          <w:sz w:val="14"/>
          <w:szCs w:val="14"/>
          <w:color w:val="292F72"/>
        </w:rPr>
        <w:t xml:space="preserve">     Bath &amp; Body Works, Inc.</w:t>
      </w:r>
      <w:r>
        <w:rPr>
          <w:rFonts w:ascii="Arial" w:cs="Arial" w:eastAsia="Arial" w:hAnsi="Arial"/>
          <w:sz w:val="14"/>
          <w:szCs w:val="14"/>
          <w:color w:val="6D8CC3"/>
        </w:rPr>
        <w:t xml:space="preserve">   | </w:t>
      </w:r>
      <w:r>
        <w:rPr>
          <w:rFonts w:ascii="Arial" w:cs="Arial" w:eastAsia="Arial" w:hAnsi="Arial"/>
          <w:sz w:val="14"/>
          <w:szCs w:val="14"/>
          <w:b w:val="1"/>
          <w:bCs w:val="1"/>
          <w:color w:val="292F72"/>
        </w:rPr>
        <w:t xml:space="preserve">  </w:t>
      </w:r>
      <w:r>
        <w:rPr>
          <w:rFonts w:ascii="Arial" w:cs="Arial" w:eastAsia="Arial" w:hAnsi="Arial"/>
          <w:sz w:val="14"/>
          <w:szCs w:val="14"/>
          <w:color w:val="292F72"/>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178435</wp:posOffset>
            </wp:positionV>
            <wp:extent cx="6795135" cy="1651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795135" cy="16510"/>
                    </a:xfrm>
                    <a:prstGeom prst="rect">
                      <a:avLst/>
                    </a:prstGeom>
                    <a:noFill/>
                  </pic:spPr>
                </pic:pic>
              </a:graphicData>
            </a:graphic>
          </wp:anchor>
        </w:drawing>
      </w:r>
    </w:p>
    <w:p>
      <w:pPr>
        <w:sectPr>
          <w:pgSz w:w="11900" w:h="16838" w:orient="portrait"/>
          <w:cols w:equalWidth="0" w:num="1">
            <w:col w:w="9040"/>
          </w:cols>
          <w:pgMar w:left="1420" w:top="116" w:right="14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2" w:lineRule="exact"/>
        <w:rPr>
          <w:sz w:val="20"/>
          <w:szCs w:val="20"/>
          <w:color w:val="auto"/>
        </w:rPr>
      </w:pPr>
    </w:p>
    <w:p>
      <w:pPr>
        <w:ind w:left="6840"/>
        <w:spacing w:after="0"/>
        <w:rPr>
          <w:sz w:val="20"/>
          <w:szCs w:val="20"/>
          <w:color w:val="auto"/>
        </w:rPr>
      </w:pPr>
      <w:r>
        <w:rPr>
          <w:rFonts w:ascii="Arial" w:cs="Arial" w:eastAsia="Arial" w:hAnsi="Arial"/>
          <w:sz w:val="15"/>
          <w:szCs w:val="15"/>
          <w:color w:val="292F72"/>
        </w:rPr>
        <w:t>Compensation-Related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48260</wp:posOffset>
            </wp:positionV>
            <wp:extent cx="1407160" cy="3302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407160" cy="33020"/>
                    </a:xfrm>
                    <a:prstGeom prst="rect">
                      <a:avLst/>
                    </a:prstGeom>
                    <a:noFill/>
                  </pic:spPr>
                </pic:pic>
              </a:graphicData>
            </a:graphic>
          </wp:anchor>
        </w:drawing>
      </w:r>
    </w:p>
    <w:p>
      <w:pPr>
        <w:spacing w:after="0" w:line="191" w:lineRule="exact"/>
        <w:rPr>
          <w:sz w:val="20"/>
          <w:szCs w:val="20"/>
          <w:color w:val="auto"/>
        </w:rPr>
      </w:pPr>
    </w:p>
    <w:p>
      <w:pPr>
        <w:ind w:left="260" w:right="40"/>
        <w:spacing w:after="0" w:line="255" w:lineRule="auto"/>
        <w:rPr>
          <w:sz w:val="20"/>
          <w:szCs w:val="20"/>
          <w:color w:val="auto"/>
        </w:rPr>
      </w:pPr>
      <w:r>
        <w:rPr>
          <w:rFonts w:ascii="Arial" w:cs="Arial" w:eastAsia="Arial" w:hAnsi="Arial"/>
          <w:sz w:val="13"/>
          <w:szCs w:val="13"/>
          <w:color w:val="auto"/>
        </w:rPr>
        <w:t>receive a lump sum amount equal to the sum of the last four seasonal bonus payments received under the Cash Incentive Plan (and its predecessor plan) (with the payout of any partial seasonal performance period to be annualized and the target seasonal incentive opportunity to be used for purposes of calculating such bonus amounts for any season during which she is not eligible for a payout because she has not been employed long enough to be eligible for four seasonal incentive payouts), plus a pro rata amount for the season in which the termination occurs (based on an average of the prior four payments received, with the payout for any partial seasonal performance period to be annualized and the target seasonal incentive opportunity to be included in such average if she has not been employed long enough to be eligible for four seasonal bonus payments). Mr. Heaf, pursuant to the terms of his severance agreement with the Company, will receive (a) a lump sum payment equal to two times his “Applicable Bonus” (i.e., the greater of (i) his target annual bonus for the year of his termination and</w:t>
      </w:r>
    </w:p>
    <w:p>
      <w:pPr>
        <w:spacing w:after="0" w:line="2" w:lineRule="exact"/>
        <w:rPr>
          <w:sz w:val="20"/>
          <w:szCs w:val="20"/>
          <w:color w:val="auto"/>
        </w:rPr>
      </w:pPr>
    </w:p>
    <w:p>
      <w:pPr>
        <w:ind w:left="260" w:right="100"/>
        <w:spacing w:after="0" w:line="239" w:lineRule="auto"/>
        <w:rPr>
          <w:sz w:val="20"/>
          <w:szCs w:val="20"/>
          <w:color w:val="auto"/>
        </w:rPr>
      </w:pPr>
      <w:r>
        <w:rPr>
          <w:rFonts w:ascii="Arial" w:cs="Arial" w:eastAsia="Arial" w:hAnsi="Arial"/>
          <w:sz w:val="14"/>
          <w:szCs w:val="14"/>
          <w:color w:val="auto"/>
        </w:rPr>
        <w:t>(ii) the average of his cash incentive for the two years prior to termination (with any payout prorated due to the date of commencement of Mr. Heaf’s employment to be adjusted so as to reflect the amount earned for the full incentive period as nonprorated)) and (b) a prorated Applicable Bonus for the year of termination based on the number of days employed during the performance period prior to the termination date.</w:t>
      </w:r>
    </w:p>
    <w:p>
      <w:pPr>
        <w:spacing w:after="0" w:line="39" w:lineRule="exact"/>
        <w:rPr>
          <w:sz w:val="20"/>
          <w:szCs w:val="20"/>
          <w:color w:val="auto"/>
        </w:rPr>
      </w:pPr>
    </w:p>
    <w:p>
      <w:pPr>
        <w:ind w:left="260" w:right="80" w:hanging="256"/>
        <w:spacing w:after="0" w:line="243" w:lineRule="auto"/>
        <w:tabs>
          <w:tab w:leader="none" w:pos="260" w:val="left"/>
        </w:tabs>
        <w:numPr>
          <w:ilvl w:val="0"/>
          <w:numId w:val="76"/>
        </w:numPr>
        <w:rPr>
          <w:rFonts w:ascii="Arial" w:cs="Arial" w:eastAsia="Arial" w:hAnsi="Arial"/>
          <w:sz w:val="14"/>
          <w:szCs w:val="14"/>
          <w:color w:val="auto"/>
        </w:rPr>
      </w:pPr>
      <w:r>
        <w:rPr>
          <w:rFonts w:ascii="Arial" w:cs="Arial" w:eastAsia="Arial" w:hAnsi="Arial"/>
          <w:sz w:val="14"/>
          <w:szCs w:val="14"/>
          <w:color w:val="auto"/>
        </w:rPr>
        <w:t>Reflects the value of the “double-trigger” acceleration of unvested stock options, RSUs and PSUs in the event of a termination of the NEO’s employment by the Company without “Cause” or by the NEO for “Good Reason” within three months prior to or 24 months following a “Change in Control” or due to the NEO’s death or “Disability.” In the event of a termination of the NEO’s employment by the Company without “Cause” or by the NEO for “Good Reason” absent a “Change in Control,” unvested stock options, RSUs and PSUs will accelerate on a pro-rated basis. For purposes of these tables, PSUs are assumed achieved at target levels.</w:t>
      </w:r>
    </w:p>
    <w:p>
      <w:pPr>
        <w:spacing w:after="0" w:line="37" w:lineRule="exact"/>
        <w:rPr>
          <w:rFonts w:ascii="Arial" w:cs="Arial" w:eastAsia="Arial" w:hAnsi="Arial"/>
          <w:sz w:val="14"/>
          <w:szCs w:val="14"/>
          <w:color w:val="auto"/>
        </w:rPr>
      </w:pPr>
    </w:p>
    <w:p>
      <w:pPr>
        <w:ind w:left="260" w:right="20" w:hanging="256"/>
        <w:spacing w:after="0" w:line="241" w:lineRule="auto"/>
        <w:tabs>
          <w:tab w:leader="none" w:pos="260" w:val="left"/>
        </w:tabs>
        <w:numPr>
          <w:ilvl w:val="0"/>
          <w:numId w:val="76"/>
        </w:numPr>
        <w:rPr>
          <w:rFonts w:ascii="Arial" w:cs="Arial" w:eastAsia="Arial" w:hAnsi="Arial"/>
          <w:sz w:val="14"/>
          <w:szCs w:val="14"/>
          <w:color w:val="auto"/>
        </w:rPr>
      </w:pPr>
      <w:r>
        <w:rPr>
          <w:rFonts w:ascii="Arial" w:cs="Arial" w:eastAsia="Arial" w:hAnsi="Arial"/>
          <w:sz w:val="14"/>
          <w:szCs w:val="14"/>
          <w:color w:val="auto"/>
        </w:rPr>
        <w:t>Reflects estimates for benefits and perquisites payable to the NEOs upon a termination of employment, which includes an amount equal to two years of COBRA premiums (based on the premium rate in effect as of January 31, 2026) under the involuntary termination without “Cause,” voluntary resignation for “Good Reason” and involuntary termination following a “Change in Control” scenarios. Under the death and disability scenarios, the applicable amounts include proceeds from life insurance policies, as applicable, and the value of unvested retirement plan balances that would become vested, as applicable. Under the disability scenario, the applicable amounts include the maximum long-term disability payments for one year.</w:t>
      </w:r>
    </w:p>
    <w:p>
      <w:pPr>
        <w:spacing w:after="0" w:line="52" w:lineRule="exact"/>
        <w:rPr>
          <w:rFonts w:ascii="Arial" w:cs="Arial" w:eastAsia="Arial" w:hAnsi="Arial"/>
          <w:sz w:val="14"/>
          <w:szCs w:val="14"/>
          <w:color w:val="auto"/>
        </w:rPr>
      </w:pPr>
    </w:p>
    <w:p>
      <w:pPr>
        <w:ind w:left="260" w:right="180" w:hanging="256"/>
        <w:spacing w:after="0" w:line="269" w:lineRule="auto"/>
        <w:tabs>
          <w:tab w:leader="none" w:pos="260" w:val="left"/>
        </w:tabs>
        <w:numPr>
          <w:ilvl w:val="0"/>
          <w:numId w:val="76"/>
        </w:numPr>
        <w:rPr>
          <w:rFonts w:ascii="Arial" w:cs="Arial" w:eastAsia="Arial" w:hAnsi="Arial"/>
          <w:sz w:val="14"/>
          <w:szCs w:val="14"/>
          <w:color w:val="auto"/>
        </w:rPr>
      </w:pPr>
      <w:r>
        <w:rPr>
          <w:rFonts w:ascii="Arial" w:cs="Arial" w:eastAsia="Arial" w:hAnsi="Arial"/>
          <w:sz w:val="14"/>
          <w:szCs w:val="14"/>
          <w:color w:val="auto"/>
        </w:rPr>
        <w:t>Generally, in the event of a NEO’s death, subject to achievement of any underlying performance conditions, any time-vesting conditions are deemed satisfied. PSUs awarded to our NEOs are subject to continued vesting based on performance.</w:t>
      </w:r>
    </w:p>
    <w:p>
      <w:pPr>
        <w:spacing w:after="0" w:line="122" w:lineRule="exact"/>
        <w:rPr>
          <w:sz w:val="20"/>
          <w:szCs w:val="20"/>
          <w:color w:val="auto"/>
        </w:rPr>
      </w:pPr>
    </w:p>
    <w:p>
      <w:pPr>
        <w:ind w:right="140"/>
        <w:spacing w:after="0" w:line="268" w:lineRule="auto"/>
        <w:rPr>
          <w:sz w:val="20"/>
          <w:szCs w:val="20"/>
          <w:color w:val="auto"/>
        </w:rPr>
      </w:pPr>
      <w:r>
        <w:rPr>
          <w:rFonts w:ascii="Arial" w:cs="Arial" w:eastAsia="Arial" w:hAnsi="Arial"/>
          <w:sz w:val="16"/>
          <w:szCs w:val="16"/>
          <w:color w:val="auto"/>
        </w:rPr>
        <w:t>The HCC Committee retains discretion to provide, and in the past has provided, additional benefits to NEOs upon termination or resignation if it determines the circumstances so warrant.</w:t>
      </w:r>
    </w:p>
    <w:p>
      <w:pPr>
        <w:spacing w:after="0" w:line="299" w:lineRule="exact"/>
        <w:rPr>
          <w:sz w:val="20"/>
          <w:szCs w:val="20"/>
          <w:color w:val="auto"/>
        </w:rPr>
      </w:pPr>
    </w:p>
    <w:p>
      <w:pPr>
        <w:spacing w:after="0"/>
        <w:rPr>
          <w:sz w:val="20"/>
          <w:szCs w:val="20"/>
          <w:color w:val="auto"/>
        </w:rPr>
      </w:pPr>
      <w:r>
        <w:rPr>
          <w:rFonts w:ascii="Arial" w:cs="Arial" w:eastAsia="Arial" w:hAnsi="Arial"/>
          <w:sz w:val="19"/>
          <w:szCs w:val="19"/>
          <w:b w:val="1"/>
          <w:bCs w:val="1"/>
          <w:color w:val="6D8CC3"/>
        </w:rPr>
        <w:t>MS. BOSWELL’S SEPARATION AGREEMENT</w:t>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color w:val="auto"/>
        </w:rPr>
        <w:t>In connection with Ms. Boswell’s termination of employment without cause in May 2025, we entered into a separation agreement</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with Ms. Boswell which provided for certain payments and benefits in accordance with the terms of Ms. Boswell’s existing</w:t>
      </w:r>
    </w:p>
    <w:p>
      <w:pPr>
        <w:spacing w:after="0"/>
        <w:rPr>
          <w:sz w:val="20"/>
          <w:szCs w:val="20"/>
          <w:color w:val="auto"/>
        </w:rPr>
      </w:pPr>
      <w:r>
        <w:rPr>
          <w:rFonts w:ascii="Arial" w:cs="Arial" w:eastAsia="Arial" w:hAnsi="Arial"/>
          <w:sz w:val="16"/>
          <w:szCs w:val="16"/>
          <w:color w:val="auto"/>
        </w:rPr>
        <w:t>entitlements under her executive severance agreement (the terms of which are described in more detail under the heading “—</w:t>
      </w:r>
    </w:p>
    <w:p>
      <w:pPr>
        <w:spacing w:after="0"/>
        <w:rPr>
          <w:sz w:val="20"/>
          <w:szCs w:val="20"/>
          <w:color w:val="auto"/>
        </w:rPr>
      </w:pPr>
      <w:r>
        <w:rPr>
          <w:rFonts w:ascii="Arial" w:cs="Arial" w:eastAsia="Arial" w:hAnsi="Arial"/>
          <w:sz w:val="15"/>
          <w:szCs w:val="15"/>
          <w:color w:val="auto"/>
        </w:rPr>
        <w:t>Compensation Discussion and Analysis—Compensation for NEOs—Severance and Change in Control Agreements” beginning on</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u w:val="single" w:color="auto"/>
          <w:color w:val="0000EE"/>
        </w:rPr>
        <w:t>41</w:t>
      </w:r>
      <w:r>
        <w:rPr>
          <w:rFonts w:ascii="Arial" w:cs="Arial" w:eastAsia="Arial" w:hAnsi="Arial"/>
          <w:sz w:val="16"/>
          <w:szCs w:val="16"/>
          <w:color w:val="auto"/>
        </w:rPr>
        <w:t xml:space="preserve"> of this proxy statement). The payments and benefits are as follows: (i) continued payment of her annual base salary for</w:t>
      </w:r>
    </w:p>
    <w:p>
      <w:pPr>
        <w:spacing w:after="0"/>
        <w:rPr>
          <w:sz w:val="20"/>
          <w:szCs w:val="20"/>
          <w:color w:val="auto"/>
        </w:rPr>
      </w:pPr>
      <w:r>
        <w:rPr>
          <w:rFonts w:ascii="Arial" w:cs="Arial" w:eastAsia="Arial" w:hAnsi="Arial"/>
          <w:sz w:val="16"/>
          <w:szCs w:val="16"/>
          <w:color w:val="auto"/>
        </w:rPr>
        <w:t>two years following her termination date ($3,000,000) plus payment of her annual base salary for 30 days in lieu of notice</w:t>
      </w:r>
    </w:p>
    <w:p>
      <w:pPr>
        <w:spacing w:after="0"/>
        <w:rPr>
          <w:sz w:val="20"/>
          <w:szCs w:val="20"/>
          <w:color w:val="auto"/>
        </w:rPr>
      </w:pPr>
      <w:r>
        <w:rPr>
          <w:rFonts w:ascii="Arial" w:cs="Arial" w:eastAsia="Arial" w:hAnsi="Arial"/>
          <w:sz w:val="16"/>
          <w:szCs w:val="16"/>
          <w:color w:val="auto"/>
        </w:rPr>
        <w:t>($123,626), (ii) an amount equal to two years of COBRA premiums and one month of life insurance ($51,459), (iii) the incentive</w:t>
      </w:r>
    </w:p>
    <w:p>
      <w:pPr>
        <w:spacing w:after="0"/>
        <w:rPr>
          <w:sz w:val="20"/>
          <w:szCs w:val="20"/>
          <w:color w:val="auto"/>
        </w:rPr>
      </w:pPr>
      <w:r>
        <w:rPr>
          <w:rFonts w:ascii="Arial" w:cs="Arial" w:eastAsia="Arial" w:hAnsi="Arial"/>
          <w:sz w:val="16"/>
          <w:szCs w:val="16"/>
          <w:color w:val="auto"/>
        </w:rPr>
        <w:t>compensation she would have received if she had remained employed by the Company for two years following her termination</w:t>
      </w:r>
    </w:p>
    <w:p>
      <w:pPr>
        <w:spacing w:after="0"/>
        <w:rPr>
          <w:sz w:val="20"/>
          <w:szCs w:val="20"/>
          <w:color w:val="auto"/>
        </w:rPr>
      </w:pPr>
      <w:r>
        <w:rPr>
          <w:rFonts w:ascii="Arial" w:cs="Arial" w:eastAsia="Arial" w:hAnsi="Arial"/>
          <w:sz w:val="16"/>
          <w:szCs w:val="16"/>
          <w:color w:val="auto"/>
        </w:rPr>
        <w:t>date (i.e., through fiscal 2026 and 40% of fiscal 2027), determined based on actual performance, (iv) a pro-rated cash bonus for</w:t>
      </w:r>
    </w:p>
    <w:p>
      <w:pPr>
        <w:spacing w:after="0"/>
        <w:rPr>
          <w:sz w:val="20"/>
          <w:szCs w:val="20"/>
          <w:color w:val="auto"/>
        </w:rPr>
      </w:pPr>
      <w:r>
        <w:rPr>
          <w:rFonts w:ascii="Arial" w:cs="Arial" w:eastAsia="Arial" w:hAnsi="Arial"/>
          <w:sz w:val="16"/>
          <w:szCs w:val="16"/>
          <w:color w:val="auto"/>
        </w:rPr>
        <w:t>the performance period in which the separation date occurs, determined based on actual performance (for first half payout),</w:t>
      </w:r>
    </w:p>
    <w:p>
      <w:pPr>
        <w:ind w:right="40" w:firstLine="4"/>
        <w:spacing w:after="0" w:line="244" w:lineRule="auto"/>
        <w:tabs>
          <w:tab w:leader="none" w:pos="227" w:val="left"/>
        </w:tabs>
        <w:numPr>
          <w:ilvl w:val="0"/>
          <w:numId w:val="77"/>
        </w:numPr>
        <w:rPr>
          <w:rFonts w:ascii="Arial" w:cs="Arial" w:eastAsia="Arial" w:hAnsi="Arial"/>
          <w:sz w:val="16"/>
          <w:szCs w:val="16"/>
          <w:color w:val="auto"/>
        </w:rPr>
      </w:pPr>
      <w:r>
        <w:rPr>
          <w:rFonts w:ascii="Arial" w:cs="Arial" w:eastAsia="Arial" w:hAnsi="Arial"/>
          <w:sz w:val="16"/>
          <w:szCs w:val="16"/>
          <w:color w:val="auto"/>
        </w:rPr>
        <w:t>accelerated vesting of a pro rata portion of her unvested equity awards that vest solely upon the time-based vesting conditions and (vi) continued vesting of a pro rata portion of her unvested equity awards that vest based on performance-based vesting conditions, which will remain subject to achievement of the existing performance metrics.</w:t>
      </w:r>
    </w:p>
    <w:p>
      <w:pPr>
        <w:spacing w:after="0" w:line="159" w:lineRule="exact"/>
        <w:rPr>
          <w:sz w:val="20"/>
          <w:szCs w:val="20"/>
          <w:color w:val="auto"/>
        </w:rPr>
      </w:pPr>
    </w:p>
    <w:p>
      <w:pPr>
        <w:ind w:right="760"/>
        <w:spacing w:after="0" w:line="302" w:lineRule="auto"/>
        <w:rPr>
          <w:sz w:val="20"/>
          <w:szCs w:val="20"/>
          <w:color w:val="auto"/>
        </w:rPr>
      </w:pPr>
      <w:r>
        <w:rPr>
          <w:rFonts w:ascii="Arial" w:cs="Arial" w:eastAsia="Arial" w:hAnsi="Arial"/>
          <w:sz w:val="15"/>
          <w:szCs w:val="15"/>
          <w:color w:val="auto"/>
        </w:rPr>
        <w:t>Payments of such benefits were conditioned on Ms. Boswell remaining employed in good standing through her ultimate separation date to ensure a seamless transition and her execution and non-revocation of a release of claims.</w:t>
      </w:r>
    </w:p>
    <w:p>
      <w:pPr>
        <w:spacing w:after="0" w:line="276" w:lineRule="exact"/>
        <w:rPr>
          <w:sz w:val="20"/>
          <w:szCs w:val="20"/>
          <w:color w:val="auto"/>
        </w:rPr>
      </w:pPr>
    </w:p>
    <w:p>
      <w:pPr>
        <w:spacing w:after="0"/>
        <w:rPr>
          <w:sz w:val="20"/>
          <w:szCs w:val="20"/>
          <w:color w:val="auto"/>
        </w:rPr>
      </w:pPr>
      <w:r>
        <w:rPr>
          <w:rFonts w:ascii="Arial" w:cs="Arial" w:eastAsia="Arial" w:hAnsi="Arial"/>
          <w:sz w:val="19"/>
          <w:szCs w:val="19"/>
          <w:b w:val="1"/>
          <w:bCs w:val="1"/>
          <w:color w:val="6D8CC3"/>
        </w:rPr>
        <w:t>MR. WU’S SEPARATION</w:t>
      </w:r>
    </w:p>
    <w:p>
      <w:pPr>
        <w:spacing w:after="0" w:line="55" w:lineRule="exact"/>
        <w:rPr>
          <w:sz w:val="20"/>
          <w:szCs w:val="20"/>
          <w:color w:val="auto"/>
        </w:rPr>
      </w:pPr>
    </w:p>
    <w:p>
      <w:pPr>
        <w:spacing w:after="0" w:line="267" w:lineRule="auto"/>
        <w:rPr>
          <w:sz w:val="20"/>
          <w:szCs w:val="20"/>
          <w:color w:val="auto"/>
        </w:rPr>
      </w:pPr>
      <w:r>
        <w:rPr>
          <w:rFonts w:ascii="Arial" w:cs="Arial" w:eastAsia="Arial" w:hAnsi="Arial"/>
          <w:sz w:val="15"/>
          <w:szCs w:val="15"/>
          <w:color w:val="auto"/>
        </w:rPr>
        <w:t xml:space="preserve">In connection with Mr. Wu’s termination of employment without cause in March 2026, Mr. Wu is eligible to receive certain payments and benefits in accordance with the terms of Mr. Wu’s existing entitlements under his executive severance agreement (the terms of which are described in more detail under the heading “—Compensation Discussion and Analysis—Compensation for NEOs—Severance and Change in Control Agreements” beginning on page </w:t>
      </w:r>
      <w:r>
        <w:rPr>
          <w:rFonts w:ascii="Arial" w:cs="Arial" w:eastAsia="Arial" w:hAnsi="Arial"/>
          <w:sz w:val="15"/>
          <w:szCs w:val="15"/>
          <w:u w:val="single" w:color="auto"/>
          <w:color w:val="0000EE"/>
        </w:rPr>
        <w:t>41</w:t>
      </w:r>
      <w:r>
        <w:rPr>
          <w:rFonts w:ascii="Arial" w:cs="Arial" w:eastAsia="Arial" w:hAnsi="Arial"/>
          <w:sz w:val="15"/>
          <w:szCs w:val="15"/>
          <w:color w:val="auto"/>
        </w:rPr>
        <w:t xml:space="preserve"> of this proxy statement). Payment of these amounts is subject to Mr. Wu’s execution and non-revocation of a separation agreement and release of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114300</wp:posOffset>
            </wp:positionV>
            <wp:extent cx="573722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737225" cy="8255"/>
                    </a:xfrm>
                    <a:prstGeom prst="rect">
                      <a:avLst/>
                    </a:prstGeom>
                    <a:noFill/>
                  </pic:spPr>
                </pic:pic>
              </a:graphicData>
            </a:graphic>
          </wp:anchor>
        </w:drawing>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4"/>
          <w:szCs w:val="14"/>
          <w:color w:val="292F72"/>
        </w:rPr>
        <w:t>Bath &amp; Body Works, Inc.</w:t>
      </w:r>
      <w:r>
        <w:rPr>
          <w:rFonts w:ascii="Arial" w:cs="Arial" w:eastAsia="Arial" w:hAnsi="Arial"/>
          <w:sz w:val="14"/>
          <w:szCs w:val="14"/>
          <w:color w:val="6D8CC3"/>
        </w:rPr>
        <w:t xml:space="preserve">   | </w:t>
      </w:r>
      <w:r>
        <w:rPr>
          <w:rFonts w:ascii="Arial" w:cs="Arial" w:eastAsia="Arial" w:hAnsi="Arial"/>
          <w:sz w:val="14"/>
          <w:szCs w:val="14"/>
          <w:color w:val="292F72"/>
        </w:rPr>
        <w:t xml:space="preserve">  2026 Proxy Statement     </w:t>
      </w:r>
      <w:r>
        <w:rPr>
          <w:rFonts w:ascii="Arial" w:cs="Arial" w:eastAsia="Arial" w:hAnsi="Arial"/>
          <w:sz w:val="14"/>
          <w:szCs w:val="14"/>
          <w:b w:val="1"/>
          <w:bCs w:val="1"/>
          <w:color w:val="292F72"/>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145415</wp:posOffset>
            </wp:positionV>
            <wp:extent cx="6795135" cy="1651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795135" cy="16510"/>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6"/>
          <w:szCs w:val="16"/>
          <w:color w:val="292F72"/>
        </w:rPr>
        <w:t>Compensation-Related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40640</wp:posOffset>
            </wp:positionV>
            <wp:extent cx="1407160" cy="3302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407160" cy="3302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b w:val="1"/>
          <w:bCs w:val="1"/>
          <w:color w:val="6D8CC3"/>
        </w:rPr>
        <w:t>CONFIDENTIALITY, NON-COMPETITION AND NON-SOLICITATION AGREEMENTS</w:t>
      </w:r>
    </w:p>
    <w:p>
      <w:pPr>
        <w:spacing w:after="0" w:line="55" w:lineRule="exact"/>
        <w:rPr>
          <w:sz w:val="20"/>
          <w:szCs w:val="20"/>
          <w:color w:val="auto"/>
        </w:rPr>
      </w:pPr>
    </w:p>
    <w:p>
      <w:pPr>
        <w:ind w:right="60"/>
        <w:spacing w:after="0" w:line="246" w:lineRule="auto"/>
        <w:rPr>
          <w:sz w:val="20"/>
          <w:szCs w:val="20"/>
          <w:color w:val="auto"/>
        </w:rPr>
      </w:pPr>
      <w:r>
        <w:rPr>
          <w:rFonts w:ascii="Arial" w:cs="Arial" w:eastAsia="Arial" w:hAnsi="Arial"/>
          <w:sz w:val="16"/>
          <w:szCs w:val="16"/>
          <w:color w:val="auto"/>
        </w:rPr>
        <w:t>As a condition to each NEO’s entitlement to receive certain severance payments and equity vesting acceleration upon certain termination scenarios, the NEO is required to execute a release of claims against the Company and shall be bound by the terms of certain restrictive covenants, including non-competition and non-solicitation agreements that prohibit the NEO from soliciting or diverting any current or potential associate, customer or supplier or competing with any of the Company’s businesses in which he or she has been employed for a period of one year from the date of termination.</w:t>
      </w:r>
    </w:p>
    <w:p>
      <w:pPr>
        <w:spacing w:after="0" w:line="331" w:lineRule="exact"/>
        <w:rPr>
          <w:sz w:val="20"/>
          <w:szCs w:val="20"/>
          <w:color w:val="auto"/>
        </w:rPr>
      </w:pPr>
    </w:p>
    <w:p>
      <w:pPr>
        <w:spacing w:after="0"/>
        <w:rPr>
          <w:sz w:val="20"/>
          <w:szCs w:val="20"/>
          <w:color w:val="auto"/>
        </w:rPr>
      </w:pPr>
      <w:r>
        <w:rPr>
          <w:rFonts w:ascii="Arial" w:cs="Arial" w:eastAsia="Arial" w:hAnsi="Arial"/>
          <w:sz w:val="19"/>
          <w:szCs w:val="19"/>
          <w:b w:val="1"/>
          <w:bCs w:val="1"/>
          <w:color w:val="6D8CC3"/>
        </w:rPr>
        <w:t>TERMINATION PROVISIONS—DEFINITIONS OF CAUSE AND GOOD REASON</w:t>
      </w:r>
    </w:p>
    <w:p>
      <w:pPr>
        <w:spacing w:after="0" w:line="55" w:lineRule="exact"/>
        <w:rPr>
          <w:sz w:val="20"/>
          <w:szCs w:val="20"/>
          <w:color w:val="auto"/>
        </w:rPr>
      </w:pPr>
    </w:p>
    <w:p>
      <w:pPr>
        <w:ind w:right="20"/>
        <w:spacing w:after="0" w:line="243" w:lineRule="auto"/>
        <w:rPr>
          <w:sz w:val="20"/>
          <w:szCs w:val="20"/>
          <w:color w:val="auto"/>
        </w:rPr>
      </w:pPr>
      <w:r>
        <w:rPr>
          <w:rFonts w:ascii="Arial" w:cs="Arial" w:eastAsia="Arial" w:hAnsi="Arial"/>
          <w:sz w:val="16"/>
          <w:szCs w:val="16"/>
          <w:color w:val="auto"/>
        </w:rPr>
        <w:t>The agreements for the NEOs contain customary definitions of cause and good reason. “Cause” generally means that (i) the applicable NEO was grossly negligent in the performance of his or her duties with the Company (in each case, other than a failure resulting from his or her incapacity due to physical or mental illness); (ii) the NEO has pled “guilty” or “no contest” to or has been convicted of an act which is defined as a felony under federal or state law; (iii) the NEO engaged in misconduct in bad faith which could reasonably be expected to materially harm the Company’s business or its reputation; or (iv) the NEO committed or engaged in sexual harassment (including creation of a hostile work environment), gender discrimination and retaliation related to the foregoing or a violation of any policy of the Company relating to sexual harassment (including creation of a hostile work environment), gender discrimination and retaliation related to the foregoing.</w:t>
      </w:r>
    </w:p>
    <w:p>
      <w:pPr>
        <w:spacing w:after="0" w:line="149"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Each NEO has the right to resign for “Good Reason” in case of certain events. “Good Reason” generally means (i) for Ms. Boswell, the failure to continue as Chief Executive Officer of the Company (or, in the event of a change in control, the resulting ultimate parent company) and, for our NEOs other than Ms. Boswell (including Mr. Heaf), a material diminution in such NEO’s position as of the date set forth in the severance agreement; (ii) the assignment to the NEO of any duties materially inconsistent with, and that constitute a material adverse change to, his or her duties, authority, responsibilities or reporting requirements or structure, including, for our NEOs other than Ms. Boswell, ceasing being a direct report of the Company’s Chief Executive Officer (or, in the case of Mr. Heaf, ceasing to report to the Board); (iii) the NEO’s mandatory relocation to an office location more than 50 miles from the NEO’s principal office location in the Columbus, Ohio area; (iv) the failure by the Company to obtain the assumption in writing of its obligation to perform the agreement by a successor; (v) for Ms. Boswell only, a reduction in her annual base salary, target annual bonus opportunity or target annual equity award opportunity (other than any across the board reduction in annual base salary not to exceed 15% of the annual base salary (and corresponding decrease in target annual bonus opportunity) that applies uniformly to Ms. Boswell and similarly situated executives of the Company); (vi) for Ms. Boswell only, the Company’s failure to renominate Ms. Boswell to the Board upon the expiration of her term of service as a member of the Board occurring during her employment; (vii) for Ms. Boswell only, any other material breach by the Company of any material agreement between her and the Company or (viii) for Mr. Heaf only, a decrease in his base salary (other than in connection with across-the-board decrease applied on the same basis to similarly situated executives).</w:t>
      </w:r>
    </w:p>
    <w:p>
      <w:pPr>
        <w:spacing w:after="0" w:line="324" w:lineRule="exact"/>
        <w:rPr>
          <w:sz w:val="20"/>
          <w:szCs w:val="20"/>
          <w:color w:val="auto"/>
        </w:rPr>
      </w:pPr>
    </w:p>
    <w:p>
      <w:pPr>
        <w:spacing w:after="0"/>
        <w:rPr>
          <w:sz w:val="20"/>
          <w:szCs w:val="20"/>
          <w:color w:val="auto"/>
        </w:rPr>
      </w:pPr>
      <w:r>
        <w:rPr>
          <w:rFonts w:ascii="Arial" w:cs="Arial" w:eastAsia="Arial" w:hAnsi="Arial"/>
          <w:sz w:val="19"/>
          <w:szCs w:val="19"/>
          <w:b w:val="1"/>
          <w:bCs w:val="1"/>
          <w:color w:val="6D8CC3"/>
        </w:rPr>
        <w:t>PAYMENTS UPON A TERMINATION IN CONNECTION WITH A CHANGE IN CONTROL</w:t>
      </w:r>
    </w:p>
    <w:p>
      <w:pPr>
        <w:spacing w:after="0" w:line="55" w:lineRule="exact"/>
        <w:rPr>
          <w:sz w:val="20"/>
          <w:szCs w:val="20"/>
          <w:color w:val="auto"/>
        </w:rPr>
      </w:pPr>
    </w:p>
    <w:p>
      <w:pPr>
        <w:ind w:right="900"/>
        <w:spacing w:after="0" w:line="268" w:lineRule="auto"/>
        <w:rPr>
          <w:sz w:val="20"/>
          <w:szCs w:val="20"/>
          <w:color w:val="auto"/>
        </w:rPr>
      </w:pPr>
      <w:r>
        <w:rPr>
          <w:rFonts w:ascii="Arial" w:cs="Arial" w:eastAsia="Arial" w:hAnsi="Arial"/>
          <w:sz w:val="16"/>
          <w:szCs w:val="16"/>
          <w:color w:val="auto"/>
        </w:rPr>
        <w:t>A “Change in Control” of the Company will generally be deemed to have occurred upon the first to occur of any of the following events:</w:t>
      </w:r>
    </w:p>
    <w:p>
      <w:pPr>
        <w:spacing w:after="0" w:line="127" w:lineRule="exact"/>
        <w:rPr>
          <w:sz w:val="20"/>
          <w:szCs w:val="20"/>
          <w:color w:val="auto"/>
        </w:rPr>
      </w:pPr>
    </w:p>
    <w:p>
      <w:pPr>
        <w:ind w:left="260" w:right="240" w:hanging="256"/>
        <w:spacing w:after="0" w:line="268" w:lineRule="auto"/>
        <w:tabs>
          <w:tab w:leader="none" w:pos="2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any person, together with all affiliates, becomes a beneficial owner of securities representing 33% or more of the combined voting power of the voting stock then outstanding;</w:t>
      </w:r>
    </w:p>
    <w:p>
      <w:pPr>
        <w:spacing w:after="0" w:line="126" w:lineRule="exact"/>
        <w:rPr>
          <w:rFonts w:ascii="Arial" w:cs="Arial" w:eastAsia="Arial" w:hAnsi="Arial"/>
          <w:sz w:val="16"/>
          <w:szCs w:val="16"/>
          <w:color w:val="auto"/>
        </w:rPr>
      </w:pPr>
    </w:p>
    <w:p>
      <w:pPr>
        <w:ind w:left="260" w:right="100" w:hanging="256"/>
        <w:spacing w:after="0" w:line="246" w:lineRule="auto"/>
        <w:tabs>
          <w:tab w:leader="none" w:pos="2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during any period of 24 consecutive months, individuals who at the beginning of such period constitute the Board (and any new director, whose election by the Board or nomination for election by the shareholders of the Company was approved by a vote of at least two-thirds of the directors then in office who either were directors at the beginning of the period or whose election or nomination for election was so approved) cease for any reason to constitute a majority of directors then constituting the Board;</w:t>
      </w:r>
    </w:p>
    <w:p>
      <w:pPr>
        <w:spacing w:after="0" w:line="158" w:lineRule="exact"/>
        <w:rPr>
          <w:rFonts w:ascii="Arial" w:cs="Arial" w:eastAsia="Arial" w:hAnsi="Arial"/>
          <w:sz w:val="16"/>
          <w:szCs w:val="16"/>
          <w:color w:val="auto"/>
        </w:rPr>
      </w:pPr>
    </w:p>
    <w:p>
      <w:pPr>
        <w:ind w:left="260" w:right="100" w:hanging="256"/>
        <w:spacing w:after="0" w:line="249" w:lineRule="auto"/>
        <w:tabs>
          <w:tab w:leader="none" w:pos="2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 reorganization, merger or consolidation of the Company is consummated, unless more than 50% of the outstanding shares of the Company’s common stock resulting from such reorganization, merger or consolidation are beneficially owned by individuals and entities who beneficially owned the Company’s voting stock outstanding just prior to such reorganization, merger or consolidation; or</w:t>
      </w:r>
    </w:p>
    <w:p>
      <w:pPr>
        <w:spacing w:after="0" w:line="141" w:lineRule="exact"/>
        <w:rPr>
          <w:rFonts w:ascii="Arial" w:cs="Arial" w:eastAsia="Arial" w:hAnsi="Arial"/>
          <w:sz w:val="16"/>
          <w:szCs w:val="16"/>
          <w:color w:val="auto"/>
        </w:rPr>
      </w:pPr>
    </w:p>
    <w:p>
      <w:pPr>
        <w:ind w:left="260" w:right="920" w:hanging="256"/>
        <w:spacing w:after="0" w:line="268" w:lineRule="auto"/>
        <w:tabs>
          <w:tab w:leader="none" w:pos="2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consummation of a complete liquidation or dissolution of the Company or the sale or other disposition of all or substantially all of the assets of the Company.</w:t>
      </w:r>
    </w:p>
    <w:p>
      <w:pPr>
        <w:spacing w:after="0" w:line="127" w:lineRule="exact"/>
        <w:rPr>
          <w:sz w:val="20"/>
          <w:szCs w:val="20"/>
          <w:color w:val="auto"/>
        </w:rPr>
      </w:pPr>
    </w:p>
    <w:p>
      <w:pPr>
        <w:ind w:right="120"/>
        <w:spacing w:after="0" w:line="279" w:lineRule="auto"/>
        <w:rPr>
          <w:sz w:val="20"/>
          <w:szCs w:val="20"/>
          <w:color w:val="auto"/>
        </w:rPr>
      </w:pPr>
      <w:r>
        <w:rPr>
          <w:rFonts w:ascii="Arial" w:cs="Arial" w:eastAsia="Arial" w:hAnsi="Arial"/>
          <w:sz w:val="15"/>
          <w:szCs w:val="15"/>
          <w:color w:val="auto"/>
        </w:rPr>
        <w:t>Participants in the 2020 Plan receive accelerated vesting of equity awards upon a Change in Control in the event of the participant’s termination of employment (other than for Cause or Good Reason (if applicable)) within 24 months of the Change in Control (“double trigger” vesting), with performance (if applicable) fixed as of the date of the Change in Control (and thus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108585</wp:posOffset>
            </wp:positionV>
            <wp:extent cx="573722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737225" cy="8255"/>
                    </a:xfrm>
                    <a:prstGeom prst="rect">
                      <a:avLst/>
                    </a:prstGeom>
                    <a:noFill/>
                  </pic:spPr>
                </pic:pic>
              </a:graphicData>
            </a:graphic>
          </wp:anchor>
        </w:drawing>
      </w: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b w:val="1"/>
          <w:bCs w:val="1"/>
          <w:color w:val="292F72"/>
        </w:rPr>
        <w:t>52</w:t>
      </w:r>
      <w:r>
        <w:rPr>
          <w:rFonts w:ascii="Arial" w:cs="Arial" w:eastAsia="Arial" w:hAnsi="Arial"/>
          <w:sz w:val="14"/>
          <w:szCs w:val="14"/>
          <w:color w:val="292F72"/>
        </w:rPr>
        <w:t xml:space="preserve">     Bath &amp; Body Works, Inc.</w:t>
      </w:r>
      <w:r>
        <w:rPr>
          <w:rFonts w:ascii="Arial" w:cs="Arial" w:eastAsia="Arial" w:hAnsi="Arial"/>
          <w:sz w:val="14"/>
          <w:szCs w:val="14"/>
          <w:color w:val="6D8CC3"/>
        </w:rPr>
        <w:t xml:space="preserve">   | </w:t>
      </w:r>
      <w:r>
        <w:rPr>
          <w:rFonts w:ascii="Arial" w:cs="Arial" w:eastAsia="Arial" w:hAnsi="Arial"/>
          <w:sz w:val="14"/>
          <w:szCs w:val="14"/>
          <w:b w:val="1"/>
          <w:bCs w:val="1"/>
          <w:color w:val="292F72"/>
        </w:rPr>
        <w:t xml:space="preserve">  </w:t>
      </w:r>
      <w:r>
        <w:rPr>
          <w:rFonts w:ascii="Arial" w:cs="Arial" w:eastAsia="Arial" w:hAnsi="Arial"/>
          <w:sz w:val="14"/>
          <w:szCs w:val="14"/>
          <w:color w:val="292F72"/>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178435</wp:posOffset>
            </wp:positionV>
            <wp:extent cx="6795135" cy="1651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795135" cy="16510"/>
                    </a:xfrm>
                    <a:prstGeom prst="rect">
                      <a:avLst/>
                    </a:prstGeom>
                    <a:noFill/>
                  </pic:spPr>
                </pic:pic>
              </a:graphicData>
            </a:graphic>
          </wp:anchor>
        </w:drawing>
      </w:r>
    </w:p>
    <w:p>
      <w:pPr>
        <w:sectPr>
          <w:pgSz w:w="11900" w:h="16838" w:orient="portrait"/>
          <w:cols w:equalWidth="0" w:num="1">
            <w:col w:w="9040"/>
          </w:cols>
          <w:pgMar w:left="1420" w:top="116" w:right="1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2" w:lineRule="exact"/>
        <w:rPr>
          <w:sz w:val="20"/>
          <w:szCs w:val="20"/>
          <w:color w:val="auto"/>
        </w:rPr>
      </w:pPr>
    </w:p>
    <w:p>
      <w:pPr>
        <w:ind w:left="6840"/>
        <w:spacing w:after="0"/>
        <w:rPr>
          <w:sz w:val="20"/>
          <w:szCs w:val="20"/>
          <w:color w:val="auto"/>
        </w:rPr>
      </w:pPr>
      <w:r>
        <w:rPr>
          <w:rFonts w:ascii="Arial" w:cs="Arial" w:eastAsia="Arial" w:hAnsi="Arial"/>
          <w:sz w:val="15"/>
          <w:szCs w:val="15"/>
          <w:color w:val="292F72"/>
        </w:rPr>
        <w:t>Compensation-Related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48260</wp:posOffset>
            </wp:positionV>
            <wp:extent cx="1407160" cy="3302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407160" cy="33020"/>
                    </a:xfrm>
                    <a:prstGeom prst="rect">
                      <a:avLst/>
                    </a:prstGeom>
                    <a:noFill/>
                  </pic:spPr>
                </pic:pic>
              </a:graphicData>
            </a:graphic>
          </wp:anchor>
        </w:drawing>
      </w:r>
    </w:p>
    <w:p>
      <w:pPr>
        <w:spacing w:after="0" w:line="201"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auto"/>
        </w:rPr>
        <w:t>awards are solely subject to continued service) as follows: (A) if less than one-third of the Restricted Period (as defined in the award agreement) has elapsed as of the date of the Change in Control, the payout percentage shall be fixed at the time of the Change in Control based on target performance and (B) if more than one-third of the Restricted Period has elapsed as of the date of the Change in Control, the payout percentage shall be fixed at the time of the Change in Control based on maximum performance unless the HCC Committee determines prior to the Change in Control, in its discretion, that actual projected performance can be reasonably predicted, in which case the Committee may provide the payout percentage shall be based on such predicted performance as determined by the Committee prior to the Change in Control.</w:t>
      </w:r>
    </w:p>
    <w:p>
      <w:pPr>
        <w:spacing w:after="0" w:line="305" w:lineRule="exact"/>
        <w:rPr>
          <w:sz w:val="20"/>
          <w:szCs w:val="20"/>
          <w:color w:val="auto"/>
        </w:rPr>
      </w:pPr>
    </w:p>
    <w:p>
      <w:pPr>
        <w:spacing w:after="0"/>
        <w:rPr>
          <w:sz w:val="20"/>
          <w:szCs w:val="20"/>
          <w:color w:val="auto"/>
        </w:rPr>
      </w:pPr>
      <w:r>
        <w:rPr>
          <w:rFonts w:ascii="Arial" w:cs="Arial" w:eastAsia="Arial" w:hAnsi="Arial"/>
          <w:sz w:val="19"/>
          <w:szCs w:val="19"/>
          <w:b w:val="1"/>
          <w:bCs w:val="1"/>
          <w:color w:val="6D8CC3"/>
        </w:rPr>
        <w:t>NO TAX GROSS-UP</w:t>
      </w:r>
    </w:p>
    <w:p>
      <w:pPr>
        <w:spacing w:after="0" w:line="55"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In the event of a Change in Control, none of our NEOs are entitled to reimbursement or gross-up for any excise taxes that may be imposed under Section 280G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113030</wp:posOffset>
            </wp:positionV>
            <wp:extent cx="573722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737225" cy="8255"/>
                    </a:xfrm>
                    <a:prstGeom prst="rect">
                      <a:avLst/>
                    </a:prstGeom>
                    <a:noFill/>
                  </pic:spPr>
                </pic:pic>
              </a:graphicData>
            </a:graphic>
          </wp:anchor>
        </w:drawing>
      </w:r>
    </w:p>
    <w:p>
      <w:pPr>
        <w:spacing w:after="0" w:line="254" w:lineRule="exact"/>
        <w:rPr>
          <w:sz w:val="20"/>
          <w:szCs w:val="20"/>
          <w:color w:val="auto"/>
        </w:rPr>
      </w:pPr>
    </w:p>
    <w:p>
      <w:pPr>
        <w:jc w:val="right"/>
        <w:spacing w:after="0"/>
        <w:rPr>
          <w:sz w:val="20"/>
          <w:szCs w:val="20"/>
          <w:color w:val="auto"/>
        </w:rPr>
      </w:pPr>
      <w:r>
        <w:rPr>
          <w:rFonts w:ascii="Arial" w:cs="Arial" w:eastAsia="Arial" w:hAnsi="Arial"/>
          <w:sz w:val="14"/>
          <w:szCs w:val="14"/>
          <w:color w:val="292F72"/>
        </w:rPr>
        <w:t>Bath &amp; Body Works, Inc.</w:t>
      </w:r>
      <w:r>
        <w:rPr>
          <w:rFonts w:ascii="Arial" w:cs="Arial" w:eastAsia="Arial" w:hAnsi="Arial"/>
          <w:sz w:val="14"/>
          <w:szCs w:val="14"/>
          <w:color w:val="6D8CC3"/>
        </w:rPr>
        <w:t xml:space="preserve">   | </w:t>
      </w:r>
      <w:r>
        <w:rPr>
          <w:rFonts w:ascii="Arial" w:cs="Arial" w:eastAsia="Arial" w:hAnsi="Arial"/>
          <w:sz w:val="14"/>
          <w:szCs w:val="14"/>
          <w:color w:val="292F72"/>
        </w:rPr>
        <w:t xml:space="preserve">  2026 Proxy Statement     </w:t>
      </w:r>
      <w:r>
        <w:rPr>
          <w:rFonts w:ascii="Arial" w:cs="Arial" w:eastAsia="Arial" w:hAnsi="Arial"/>
          <w:sz w:val="14"/>
          <w:szCs w:val="14"/>
          <w:b w:val="1"/>
          <w:bCs w:val="1"/>
          <w:color w:val="292F72"/>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153670</wp:posOffset>
            </wp:positionV>
            <wp:extent cx="6795135" cy="1651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795135" cy="16510"/>
                    </a:xfrm>
                    <a:prstGeom prst="rect">
                      <a:avLst/>
                    </a:prstGeom>
                    <a:noFill/>
                  </pic:spPr>
                </pic:pic>
              </a:graphicData>
            </a:graphic>
          </wp:anchor>
        </w:drawing>
      </w:r>
    </w:p>
    <w:p>
      <w:pPr>
        <w:sectPr>
          <w:pgSz w:w="11900" w:h="16838" w:orient="portrait"/>
          <w:cols w:equalWidth="0" w:num="1">
            <w:col w:w="9040"/>
          </w:cols>
          <w:pgMar w:left="1420" w:top="116" w:right="14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6"/>
          <w:szCs w:val="16"/>
          <w:color w:val="292F72"/>
        </w:rPr>
        <w:t>Compensation-Related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40640</wp:posOffset>
            </wp:positionV>
            <wp:extent cx="1407160" cy="3302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407160" cy="3302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23"/>
          <w:szCs w:val="23"/>
          <w:b w:val="1"/>
          <w:bCs w:val="1"/>
          <w:color w:val="292F72"/>
        </w:rPr>
        <w:t>2025 Pay Ratio Disclosure</w:t>
      </w:r>
    </w:p>
    <w:p>
      <w:pPr>
        <w:spacing w:after="0" w:line="254" w:lineRule="exact"/>
        <w:rPr>
          <w:sz w:val="20"/>
          <w:szCs w:val="20"/>
          <w:color w:val="auto"/>
        </w:rPr>
      </w:pPr>
    </w:p>
    <w:p>
      <w:pPr>
        <w:spacing w:after="0"/>
        <w:rPr>
          <w:sz w:val="20"/>
          <w:szCs w:val="20"/>
          <w:color w:val="auto"/>
        </w:rPr>
      </w:pPr>
      <w:r>
        <w:rPr>
          <w:rFonts w:ascii="Arial" w:cs="Arial" w:eastAsia="Arial" w:hAnsi="Arial"/>
          <w:sz w:val="19"/>
          <w:szCs w:val="19"/>
          <w:b w:val="1"/>
          <w:bCs w:val="1"/>
          <w:color w:val="6D8CC3"/>
        </w:rPr>
        <w:t>PAY RATIO</w:t>
      </w:r>
    </w:p>
    <w:p>
      <w:pPr>
        <w:spacing w:after="0" w:line="55" w:lineRule="exact"/>
        <w:rPr>
          <w:sz w:val="20"/>
          <w:szCs w:val="20"/>
          <w:color w:val="auto"/>
        </w:rPr>
      </w:pPr>
    </w:p>
    <w:p>
      <w:pPr>
        <w:ind w:right="499"/>
        <w:spacing w:after="0" w:line="268" w:lineRule="auto"/>
        <w:rPr>
          <w:sz w:val="20"/>
          <w:szCs w:val="20"/>
          <w:color w:val="auto"/>
        </w:rPr>
      </w:pPr>
      <w:r>
        <w:rPr>
          <w:rFonts w:ascii="Arial" w:cs="Arial" w:eastAsia="Arial" w:hAnsi="Arial"/>
          <w:sz w:val="16"/>
          <w:szCs w:val="16"/>
          <w:color w:val="auto"/>
        </w:rPr>
        <w:t>In accordance with the requirements of Section 953(b) of the Dodd-Frank Act and Item 402(u) of Regulation S-K (which we collectively refer to as the “Pay Ratio Rule”), we are providing the following estimated information for fiscal 2025:</w:t>
      </w:r>
    </w:p>
    <w:p>
      <w:pPr>
        <w:spacing w:after="0" w:line="61" w:lineRule="exact"/>
        <w:rPr>
          <w:sz w:val="20"/>
          <w:szCs w:val="20"/>
          <w:color w:val="auto"/>
        </w:rPr>
      </w:pPr>
    </w:p>
    <w:p>
      <w:pPr>
        <w:ind w:left="180" w:hanging="176"/>
        <w:spacing w:after="0"/>
        <w:tabs>
          <w:tab w:leader="none" w:pos="180" w:val="left"/>
        </w:tabs>
        <w:numPr>
          <w:ilvl w:val="0"/>
          <w:numId w:val="79"/>
        </w:numPr>
        <w:rPr>
          <w:rFonts w:ascii="Arial" w:cs="Arial" w:eastAsia="Arial" w:hAnsi="Arial"/>
          <w:sz w:val="16"/>
          <w:szCs w:val="16"/>
          <w:color w:val="6D8CC3"/>
        </w:rPr>
      </w:pPr>
      <w:r>
        <w:rPr>
          <w:rFonts w:ascii="Arial" w:cs="Arial" w:eastAsia="Arial" w:hAnsi="Arial"/>
          <w:sz w:val="16"/>
          <w:szCs w:val="16"/>
          <w:color w:val="auto"/>
        </w:rPr>
        <w:t>the median of the annual total compensation of all our associates (except our Chief Executive Officers) was $9,602.99;</w:t>
      </w:r>
    </w:p>
    <w:p>
      <w:pPr>
        <w:spacing w:after="0" w:line="104" w:lineRule="exact"/>
        <w:rPr>
          <w:rFonts w:ascii="Arial" w:cs="Arial" w:eastAsia="Arial" w:hAnsi="Arial"/>
          <w:sz w:val="16"/>
          <w:szCs w:val="16"/>
          <w:color w:val="6D8CC3"/>
        </w:rPr>
      </w:pPr>
    </w:p>
    <w:p>
      <w:pPr>
        <w:ind w:left="180" w:hanging="176"/>
        <w:spacing w:after="0"/>
        <w:tabs>
          <w:tab w:leader="none" w:pos="180" w:val="left"/>
        </w:tabs>
        <w:numPr>
          <w:ilvl w:val="0"/>
          <w:numId w:val="79"/>
        </w:numPr>
        <w:rPr>
          <w:rFonts w:ascii="Arial" w:cs="Arial" w:eastAsia="Arial" w:hAnsi="Arial"/>
          <w:sz w:val="16"/>
          <w:szCs w:val="16"/>
          <w:color w:val="6D8CC3"/>
        </w:rPr>
      </w:pPr>
      <w:r>
        <w:rPr>
          <w:rFonts w:ascii="Arial" w:cs="Arial" w:eastAsia="Arial" w:hAnsi="Arial"/>
          <w:sz w:val="16"/>
          <w:szCs w:val="16"/>
          <w:color w:val="auto"/>
        </w:rPr>
        <w:t>the total compensation of our Chief Executive Officer (Daniel Heaf) in the Summary Compensation Table was $6,587,902;</w:t>
      </w:r>
    </w:p>
    <w:p>
      <w:pPr>
        <w:spacing w:after="0" w:line="104" w:lineRule="exact"/>
        <w:rPr>
          <w:rFonts w:ascii="Arial" w:cs="Arial" w:eastAsia="Arial" w:hAnsi="Arial"/>
          <w:sz w:val="16"/>
          <w:szCs w:val="16"/>
          <w:color w:val="6D8CC3"/>
        </w:rPr>
      </w:pPr>
    </w:p>
    <w:p>
      <w:pPr>
        <w:ind w:left="180" w:hanging="176"/>
        <w:spacing w:after="0"/>
        <w:tabs>
          <w:tab w:leader="none" w:pos="180" w:val="left"/>
        </w:tabs>
        <w:numPr>
          <w:ilvl w:val="0"/>
          <w:numId w:val="79"/>
        </w:numPr>
        <w:rPr>
          <w:rFonts w:ascii="Arial" w:cs="Arial" w:eastAsia="Arial" w:hAnsi="Arial"/>
          <w:sz w:val="16"/>
          <w:szCs w:val="16"/>
          <w:color w:val="6D8CC3"/>
        </w:rPr>
      </w:pPr>
      <w:r>
        <w:rPr>
          <w:rFonts w:ascii="Arial" w:cs="Arial" w:eastAsia="Arial" w:hAnsi="Arial"/>
          <w:sz w:val="16"/>
          <w:szCs w:val="16"/>
          <w:color w:val="auto"/>
        </w:rPr>
        <w:t>the annual total compensation of our Chief Executive Officer (Daniel Heaf) was $7,492,204; and</w:t>
      </w:r>
    </w:p>
    <w:p>
      <w:pPr>
        <w:spacing w:after="0" w:line="104" w:lineRule="exact"/>
        <w:rPr>
          <w:rFonts w:ascii="Arial" w:cs="Arial" w:eastAsia="Arial" w:hAnsi="Arial"/>
          <w:sz w:val="16"/>
          <w:szCs w:val="16"/>
          <w:color w:val="6D8CC3"/>
        </w:rPr>
      </w:pPr>
    </w:p>
    <w:p>
      <w:pPr>
        <w:ind w:left="180" w:hanging="176"/>
        <w:spacing w:after="0"/>
        <w:tabs>
          <w:tab w:leader="none" w:pos="180" w:val="left"/>
        </w:tabs>
        <w:numPr>
          <w:ilvl w:val="0"/>
          <w:numId w:val="79"/>
        </w:numPr>
        <w:rPr>
          <w:rFonts w:ascii="Arial" w:cs="Arial" w:eastAsia="Arial" w:hAnsi="Arial"/>
          <w:sz w:val="16"/>
          <w:szCs w:val="16"/>
          <w:color w:val="6D8CC3"/>
        </w:rPr>
      </w:pPr>
      <w:r>
        <w:rPr>
          <w:rFonts w:ascii="Arial" w:cs="Arial" w:eastAsia="Arial" w:hAnsi="Arial"/>
          <w:sz w:val="16"/>
          <w:szCs w:val="16"/>
          <w:color w:val="auto"/>
        </w:rPr>
        <w:t>the ratio of the annual total compensation of our Chief Executive Officer (Daniel Heaf) to our median associate is 780 to 1.</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We believe that this ratio is calculated in a manner consistent with the requirements of the Pay Ratio Rule.</w:t>
      </w:r>
    </w:p>
    <w:p>
      <w:pPr>
        <w:spacing w:after="0" w:line="342" w:lineRule="exact"/>
        <w:rPr>
          <w:sz w:val="20"/>
          <w:szCs w:val="20"/>
          <w:color w:val="auto"/>
        </w:rPr>
      </w:pPr>
    </w:p>
    <w:p>
      <w:pPr>
        <w:spacing w:after="0"/>
        <w:rPr>
          <w:sz w:val="20"/>
          <w:szCs w:val="20"/>
          <w:color w:val="auto"/>
        </w:rPr>
      </w:pPr>
      <w:r>
        <w:rPr>
          <w:rFonts w:ascii="Arial" w:cs="Arial" w:eastAsia="Arial" w:hAnsi="Arial"/>
          <w:sz w:val="19"/>
          <w:szCs w:val="19"/>
          <w:b w:val="1"/>
          <w:bCs w:val="1"/>
          <w:color w:val="6D8CC3"/>
        </w:rPr>
        <w:t>METHODOLOGY FOR IDENTIFYING OUR “MEDIAN ASSOCIATE”</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292F72"/>
        </w:rPr>
        <w:t>Identifying and Adjusting Our Associate Population</w:t>
      </w:r>
    </w:p>
    <w:p>
      <w:pPr>
        <w:spacing w:after="0" w:line="54" w:lineRule="exact"/>
        <w:rPr>
          <w:sz w:val="20"/>
          <w:szCs w:val="20"/>
          <w:color w:val="auto"/>
        </w:rPr>
      </w:pPr>
    </w:p>
    <w:p>
      <w:pPr>
        <w:ind w:right="59"/>
        <w:spacing w:after="0" w:line="254" w:lineRule="auto"/>
        <w:rPr>
          <w:sz w:val="20"/>
          <w:szCs w:val="20"/>
          <w:color w:val="auto"/>
        </w:rPr>
      </w:pPr>
      <w:r>
        <w:rPr>
          <w:rFonts w:ascii="Arial" w:cs="Arial" w:eastAsia="Arial" w:hAnsi="Arial"/>
          <w:sz w:val="16"/>
          <w:szCs w:val="16"/>
          <w:color w:val="auto"/>
        </w:rPr>
        <w:t>To identify the median of the annual total compensation of all of our associates (other than our Chief Executive Officers), we identified our total associate population as of January 31, 2026, the last day of our fiscal year. Our associate population consisted of full-time, part-time, seasonal and temporary associates globally.</w:t>
      </w: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b w:val="1"/>
          <w:bCs w:val="1"/>
          <w:color w:val="292F72"/>
        </w:rPr>
        <w:t>Determining Our Median Associate</w:t>
      </w:r>
    </w:p>
    <w:p>
      <w:pPr>
        <w:spacing w:after="0" w:line="54" w:lineRule="exact"/>
        <w:rPr>
          <w:sz w:val="20"/>
          <w:szCs w:val="20"/>
          <w:color w:val="auto"/>
        </w:rPr>
      </w:pPr>
    </w:p>
    <w:p>
      <w:pPr>
        <w:ind w:right="239"/>
        <w:spacing w:after="0" w:line="246" w:lineRule="auto"/>
        <w:rPr>
          <w:sz w:val="20"/>
          <w:szCs w:val="20"/>
          <w:color w:val="auto"/>
        </w:rPr>
      </w:pPr>
      <w:r>
        <w:rPr>
          <w:rFonts w:ascii="Arial" w:cs="Arial" w:eastAsia="Arial" w:hAnsi="Arial"/>
          <w:sz w:val="16"/>
          <w:szCs w:val="16"/>
          <w:color w:val="auto"/>
        </w:rPr>
        <w:t>To identify our median associate, we calculated the cash compensation paid during the fiscal year for the associate population, annualizing the cash compensation of any permanent associate who joined the Company during the fiscal year, if applicable. We identified the median compensation amount using this compensation measure which was consistently applied to all our associates in the calculation. We then selected a reasonably representative associate with total compensation equal to the median compensation amount as our “median associate.”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Using the methodologies described above, we determined that our median associate was a part-time, hourly associate.</w:t>
      </w:r>
    </w:p>
    <w:p>
      <w:pPr>
        <w:spacing w:after="0" w:line="303" w:lineRule="exact"/>
        <w:rPr>
          <w:sz w:val="20"/>
          <w:szCs w:val="20"/>
          <w:color w:val="auto"/>
        </w:rPr>
      </w:pPr>
    </w:p>
    <w:p>
      <w:pPr>
        <w:ind w:right="259"/>
        <w:spacing w:after="0" w:line="265" w:lineRule="auto"/>
        <w:rPr>
          <w:sz w:val="20"/>
          <w:szCs w:val="20"/>
          <w:color w:val="auto"/>
        </w:rPr>
      </w:pPr>
      <w:r>
        <w:rPr>
          <w:rFonts w:ascii="Arial" w:cs="Arial" w:eastAsia="Arial" w:hAnsi="Arial"/>
          <w:sz w:val="19"/>
          <w:szCs w:val="19"/>
          <w:b w:val="1"/>
          <w:bCs w:val="1"/>
          <w:color w:val="6D8CC3"/>
        </w:rPr>
        <w:t>DETERMINATION OF ANNUAL TOTAL COMPENSATION OF OUR MEDIAN ASSOCIATE AND OUR CHIEF EXECUTIVE OFFICER</w:t>
      </w:r>
    </w:p>
    <w:p>
      <w:pPr>
        <w:spacing w:after="0" w:line="1" w:lineRule="exact"/>
        <w:rPr>
          <w:sz w:val="20"/>
          <w:szCs w:val="20"/>
          <w:color w:val="auto"/>
        </w:rPr>
      </w:pPr>
    </w:p>
    <w:p>
      <w:pPr>
        <w:ind w:right="19"/>
        <w:spacing w:after="0" w:line="254" w:lineRule="auto"/>
        <w:rPr>
          <w:sz w:val="20"/>
          <w:szCs w:val="20"/>
          <w:color w:val="auto"/>
        </w:rPr>
      </w:pPr>
      <w:r>
        <w:rPr>
          <w:rFonts w:ascii="Arial" w:cs="Arial" w:eastAsia="Arial" w:hAnsi="Arial"/>
          <w:sz w:val="16"/>
          <w:szCs w:val="16"/>
          <w:color w:val="auto"/>
        </w:rPr>
        <w:t>Once we identified our median associate, we then calculated such associate’s annual total compensation for fiscal 2025 using the same methodology we used for purposes of determining the annual compensation of our NEOs for fiscal 2025. The total compensation of the median associate was $9,602.99.</w:t>
      </w:r>
    </w:p>
    <w:p>
      <w:pPr>
        <w:spacing w:after="0" w:line="137" w:lineRule="exact"/>
        <w:rPr>
          <w:sz w:val="20"/>
          <w:szCs w:val="20"/>
          <w:color w:val="auto"/>
        </w:rPr>
      </w:pPr>
    </w:p>
    <w:p>
      <w:pPr>
        <w:ind w:right="79"/>
        <w:spacing w:after="0" w:line="254" w:lineRule="auto"/>
        <w:rPr>
          <w:sz w:val="20"/>
          <w:szCs w:val="20"/>
          <w:color w:val="auto"/>
        </w:rPr>
      </w:pPr>
      <w:r>
        <w:rPr>
          <w:rFonts w:ascii="Arial" w:cs="Arial" w:eastAsia="Arial" w:hAnsi="Arial"/>
          <w:sz w:val="16"/>
          <w:szCs w:val="16"/>
          <w:color w:val="auto"/>
        </w:rPr>
        <w:t>Our Chief Executive Officer’s employment began on May 16, 2025. For purposes of the Pay Ratio, the “Total” column in the 2025 Summary Compensation Table was annualized to give a more accurate representation on the Chief Executive Officer’s total compensation.</w:t>
      </w:r>
    </w:p>
    <w:p>
      <w:pPr>
        <w:spacing w:after="0" w:line="150" w:lineRule="exact"/>
        <w:rPr>
          <w:sz w:val="20"/>
          <w:szCs w:val="20"/>
          <w:color w:val="auto"/>
        </w:rPr>
      </w:pPr>
    </w:p>
    <w:p>
      <w:pPr>
        <w:ind w:right="39"/>
        <w:spacing w:after="0" w:line="246" w:lineRule="auto"/>
        <w:rPr>
          <w:sz w:val="20"/>
          <w:szCs w:val="20"/>
          <w:color w:val="auto"/>
        </w:rPr>
      </w:pPr>
      <w:r>
        <w:rPr>
          <w:rFonts w:ascii="Arial" w:cs="Arial" w:eastAsia="Arial" w:hAnsi="Arial"/>
          <w:sz w:val="16"/>
          <w:szCs w:val="16"/>
          <w:color w:val="auto"/>
        </w:rPr>
        <w:t>The Commission’s rules for identifying the median associate and calculating the pay ratio allow companies to apply various methodologies and assumptions and, as a result, the pay ratio reported by us may not be comparable to the pay ratio reported by other companies. Our median associate worked approximately 10.73 hours per week during fiscal 2025. If the total compensation per hour earned by the median associate was extrapolated to full-time employment, the median associate’s annual total compensation would be approximately $35,800 and the ratio would be 209 to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125095</wp:posOffset>
            </wp:positionV>
            <wp:extent cx="573722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737225" cy="825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b w:val="1"/>
          <w:bCs w:val="1"/>
          <w:color w:val="292F72"/>
        </w:rPr>
        <w:t>54</w:t>
      </w:r>
      <w:r>
        <w:rPr>
          <w:rFonts w:ascii="Arial" w:cs="Arial" w:eastAsia="Arial" w:hAnsi="Arial"/>
          <w:sz w:val="14"/>
          <w:szCs w:val="14"/>
          <w:color w:val="292F72"/>
        </w:rPr>
        <w:t xml:space="preserve">     Bath &amp; Body Works, Inc.</w:t>
      </w:r>
      <w:r>
        <w:rPr>
          <w:rFonts w:ascii="Arial" w:cs="Arial" w:eastAsia="Arial" w:hAnsi="Arial"/>
          <w:sz w:val="14"/>
          <w:szCs w:val="14"/>
          <w:color w:val="6D8CC3"/>
        </w:rPr>
        <w:t xml:space="preserve">   | </w:t>
      </w:r>
      <w:r>
        <w:rPr>
          <w:rFonts w:ascii="Arial" w:cs="Arial" w:eastAsia="Arial" w:hAnsi="Arial"/>
          <w:sz w:val="14"/>
          <w:szCs w:val="14"/>
          <w:b w:val="1"/>
          <w:bCs w:val="1"/>
          <w:color w:val="292F72"/>
        </w:rPr>
        <w:t xml:space="preserve">  </w:t>
      </w:r>
      <w:r>
        <w:rPr>
          <w:rFonts w:ascii="Arial" w:cs="Arial" w:eastAsia="Arial" w:hAnsi="Arial"/>
          <w:sz w:val="14"/>
          <w:szCs w:val="14"/>
          <w:color w:val="292F72"/>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170180</wp:posOffset>
            </wp:positionV>
            <wp:extent cx="6795135" cy="1651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795135" cy="16510"/>
                    </a:xfrm>
                    <a:prstGeom prst="rect">
                      <a:avLst/>
                    </a:prstGeom>
                    <a:noFill/>
                  </pic:spPr>
                </pic:pic>
              </a:graphicData>
            </a:graphic>
          </wp:anchor>
        </w:drawing>
      </w:r>
    </w:p>
    <w:p>
      <w:pPr>
        <w:sectPr>
          <w:pgSz w:w="11900" w:h="16838" w:orient="portrait"/>
          <w:cols w:equalWidth="0" w:num="1">
            <w:col w:w="9039"/>
          </w:cols>
          <w:pgMar w:left="1420" w:top="115" w:right="1440"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2" w:lineRule="exact"/>
        <w:rPr>
          <w:sz w:val="20"/>
          <w:szCs w:val="20"/>
          <w:color w:val="auto"/>
        </w:rPr>
      </w:pPr>
    </w:p>
    <w:p>
      <w:pPr>
        <w:ind w:left="6840"/>
        <w:spacing w:after="0"/>
        <w:rPr>
          <w:sz w:val="20"/>
          <w:szCs w:val="20"/>
          <w:color w:val="auto"/>
        </w:rPr>
      </w:pPr>
      <w:r>
        <w:rPr>
          <w:rFonts w:ascii="Arial" w:cs="Arial" w:eastAsia="Arial" w:hAnsi="Arial"/>
          <w:sz w:val="15"/>
          <w:szCs w:val="15"/>
          <w:color w:val="292F72"/>
        </w:rPr>
        <w:t>Compensation-Related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48260</wp:posOffset>
            </wp:positionV>
            <wp:extent cx="1407160" cy="3302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407160" cy="33020"/>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Arial" w:cs="Arial" w:eastAsia="Arial" w:hAnsi="Arial"/>
          <w:sz w:val="23"/>
          <w:szCs w:val="23"/>
          <w:b w:val="1"/>
          <w:bCs w:val="1"/>
          <w:color w:val="292F72"/>
        </w:rPr>
        <w:t>2025 Pay Versus Performance Disclosure</w:t>
      </w:r>
    </w:p>
    <w:p>
      <w:pPr>
        <w:spacing w:after="0" w:line="148"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The following table sets forth the compensation for our Principal Executive Officers (“PEO”) and the average compensation for our other non-PEO NEOs, both as reported in the 2024 Summary Compensation Table and with certain adjustments to reflect the “compensation actually paid” (as defined under Commission rules) to such individuals for each of fiscal 2025, 2024, 2023, 2022 and 2021. The table also provides information on our cumulative TSR, the cumulative TSR of our peer group, our net income and our adjusted operating income over such years in accordance with Commission rules.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tcBorders>
              <w:bottom w:val="single" w:sz="8" w:color="292F72"/>
            </w:tcBorders>
            <w:gridSpan w:val="2"/>
          </w:tcPr>
          <w:p>
            <w:pPr>
              <w:ind w:left="820"/>
              <w:spacing w:after="0"/>
              <w:rPr>
                <w:sz w:val="20"/>
                <w:szCs w:val="20"/>
                <w:color w:val="auto"/>
              </w:rPr>
            </w:pPr>
            <w:r>
              <w:rPr>
                <w:rFonts w:ascii="Arial" w:cs="Arial" w:eastAsia="Arial" w:hAnsi="Arial"/>
                <w:sz w:val="12"/>
                <w:szCs w:val="12"/>
                <w:b w:val="1"/>
                <w:bCs w:val="1"/>
                <w:color w:val="292F72"/>
                <w:w w:val="85"/>
              </w:rPr>
              <w:t>HEAF</w:t>
            </w:r>
            <w:r>
              <w:rPr>
                <w:rFonts w:ascii="Arial" w:cs="Arial" w:eastAsia="Arial" w:hAnsi="Arial"/>
                <w:sz w:val="20"/>
                <w:szCs w:val="20"/>
                <w:b w:val="1"/>
                <w:bCs w:val="1"/>
                <w:color w:val="292F72"/>
                <w:w w:val="85"/>
                <w:vertAlign w:val="superscript"/>
              </w:rPr>
              <w:t>(1)</w:t>
            </w:r>
          </w:p>
        </w:tc>
        <w:tc>
          <w:tcPr>
            <w:tcW w:w="820" w:type="dxa"/>
            <w:vAlign w:val="bottom"/>
            <w:tcBorders>
              <w:bottom w:val="single" w:sz="8" w:color="292F72"/>
            </w:tcBorders>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Borders>
              <w:bottom w:val="single" w:sz="8" w:color="292F72"/>
            </w:tcBorders>
          </w:tcPr>
          <w:p>
            <w:pPr>
              <w:spacing w:after="0"/>
              <w:rPr>
                <w:sz w:val="22"/>
                <w:szCs w:val="22"/>
                <w:color w:val="auto"/>
              </w:rPr>
            </w:pPr>
          </w:p>
        </w:tc>
        <w:tc>
          <w:tcPr>
            <w:tcW w:w="40" w:type="dxa"/>
            <w:vAlign w:val="bottom"/>
            <w:tcBorders>
              <w:bottom w:val="single" w:sz="8" w:color="292F72"/>
            </w:tcBorders>
          </w:tcPr>
          <w:p>
            <w:pPr>
              <w:spacing w:after="0"/>
              <w:rPr>
                <w:sz w:val="22"/>
                <w:szCs w:val="22"/>
                <w:color w:val="auto"/>
              </w:rPr>
            </w:pPr>
          </w:p>
        </w:tc>
        <w:tc>
          <w:tcPr>
            <w:tcW w:w="1420" w:type="dxa"/>
            <w:vAlign w:val="bottom"/>
            <w:tcBorders>
              <w:bottom w:val="single" w:sz="8" w:color="292F72"/>
            </w:tcBorders>
            <w:gridSpan w:val="2"/>
          </w:tcPr>
          <w:p>
            <w:pPr>
              <w:ind w:left="20"/>
              <w:spacing w:after="0"/>
              <w:rPr>
                <w:sz w:val="20"/>
                <w:szCs w:val="20"/>
                <w:color w:val="auto"/>
              </w:rPr>
            </w:pPr>
            <w:r>
              <w:rPr>
                <w:rFonts w:ascii="Arial" w:cs="Arial" w:eastAsia="Arial" w:hAnsi="Arial"/>
                <w:sz w:val="12"/>
                <w:szCs w:val="12"/>
                <w:b w:val="1"/>
                <w:bCs w:val="1"/>
                <w:color w:val="292F72"/>
              </w:rPr>
              <w:t>BOSWELL</w:t>
            </w:r>
            <w:r>
              <w:rPr>
                <w:rFonts w:ascii="Arial" w:cs="Arial" w:eastAsia="Arial" w:hAnsi="Arial"/>
                <w:sz w:val="20"/>
                <w:szCs w:val="20"/>
                <w:b w:val="1"/>
                <w:bCs w:val="1"/>
                <w:color w:val="292F72"/>
                <w:vertAlign w:val="superscript"/>
              </w:rPr>
              <w:t>(1)</w:t>
            </w:r>
          </w:p>
        </w:tc>
        <w:tc>
          <w:tcPr>
            <w:tcW w:w="80" w:type="dxa"/>
            <w:vAlign w:val="bottom"/>
          </w:tcPr>
          <w:p>
            <w:pPr>
              <w:spacing w:after="0"/>
              <w:rPr>
                <w:sz w:val="22"/>
                <w:szCs w:val="22"/>
                <w:color w:val="auto"/>
              </w:rPr>
            </w:pPr>
          </w:p>
        </w:tc>
        <w:tc>
          <w:tcPr>
            <w:tcW w:w="2080" w:type="dxa"/>
            <w:vAlign w:val="bottom"/>
            <w:tcBorders>
              <w:bottom w:val="single" w:sz="8" w:color="292F72"/>
            </w:tcBorders>
            <w:gridSpan w:val="3"/>
          </w:tcPr>
          <w:p>
            <w:pPr>
              <w:ind w:left="800"/>
              <w:spacing w:after="0"/>
              <w:rPr>
                <w:sz w:val="20"/>
                <w:szCs w:val="20"/>
                <w:color w:val="auto"/>
              </w:rPr>
            </w:pPr>
            <w:r>
              <w:rPr>
                <w:rFonts w:ascii="Arial" w:cs="Arial" w:eastAsia="Arial" w:hAnsi="Arial"/>
                <w:sz w:val="12"/>
                <w:szCs w:val="12"/>
                <w:b w:val="1"/>
                <w:bCs w:val="1"/>
                <w:color w:val="292F72"/>
              </w:rPr>
              <w:t>NASH</w:t>
            </w:r>
            <w:r>
              <w:rPr>
                <w:rFonts w:ascii="Arial" w:cs="Arial" w:eastAsia="Arial" w:hAnsi="Arial"/>
                <w:sz w:val="20"/>
                <w:szCs w:val="20"/>
                <w:b w:val="1"/>
                <w:bCs w:val="1"/>
                <w:color w:val="292F72"/>
                <w:vertAlign w:val="superscript"/>
              </w:rPr>
              <w:t>(1)</w:t>
            </w:r>
          </w:p>
        </w:tc>
        <w:tc>
          <w:tcPr>
            <w:tcW w:w="60" w:type="dxa"/>
            <w:vAlign w:val="bottom"/>
          </w:tcPr>
          <w:p>
            <w:pPr>
              <w:spacing w:after="0"/>
              <w:rPr>
                <w:sz w:val="22"/>
                <w:szCs w:val="22"/>
                <w:color w:val="auto"/>
              </w:rPr>
            </w:pPr>
          </w:p>
        </w:tc>
        <w:tc>
          <w:tcPr>
            <w:tcW w:w="120" w:type="dxa"/>
            <w:vAlign w:val="bottom"/>
            <w:tcBorders>
              <w:bottom w:val="single" w:sz="8" w:color="292F72"/>
            </w:tcBorders>
          </w:tcPr>
          <w:p>
            <w:pPr>
              <w:spacing w:after="0"/>
              <w:rPr>
                <w:sz w:val="22"/>
                <w:szCs w:val="22"/>
                <w:color w:val="auto"/>
              </w:rPr>
            </w:pPr>
          </w:p>
        </w:tc>
        <w:tc>
          <w:tcPr>
            <w:tcW w:w="1960" w:type="dxa"/>
            <w:vAlign w:val="bottom"/>
            <w:tcBorders>
              <w:bottom w:val="single" w:sz="8" w:color="292F72"/>
            </w:tcBorders>
            <w:gridSpan w:val="2"/>
          </w:tcPr>
          <w:p>
            <w:pPr>
              <w:jc w:val="right"/>
              <w:ind w:right="633"/>
              <w:spacing w:after="0"/>
              <w:rPr>
                <w:sz w:val="20"/>
                <w:szCs w:val="20"/>
                <w:color w:val="auto"/>
              </w:rPr>
            </w:pPr>
            <w:r>
              <w:rPr>
                <w:rFonts w:ascii="Arial" w:cs="Arial" w:eastAsia="Arial" w:hAnsi="Arial"/>
                <w:sz w:val="12"/>
                <w:szCs w:val="12"/>
                <w:b w:val="1"/>
                <w:bCs w:val="1"/>
                <w:color w:val="292F72"/>
              </w:rPr>
              <w:t>MESLOW</w:t>
            </w:r>
            <w:r>
              <w:rPr>
                <w:rFonts w:ascii="Arial" w:cs="Arial" w:eastAsia="Arial" w:hAnsi="Arial"/>
                <w:sz w:val="20"/>
                <w:szCs w:val="20"/>
                <w:b w:val="1"/>
                <w:bCs w:val="1"/>
                <w:color w:val="292F72"/>
                <w:vertAlign w:val="superscript"/>
              </w:rPr>
              <w:t>(1)</w:t>
            </w:r>
          </w:p>
        </w:tc>
        <w:tc>
          <w:tcPr>
            <w:tcW w:w="0" w:type="dxa"/>
            <w:vAlign w:val="bottom"/>
          </w:tcPr>
          <w:p>
            <w:pPr>
              <w:spacing w:after="0"/>
              <w:rPr>
                <w:sz w:val="1"/>
                <w:szCs w:val="1"/>
                <w:color w:val="auto"/>
              </w:rPr>
            </w:pPr>
          </w:p>
        </w:tc>
      </w:tr>
      <w:tr>
        <w:trPr>
          <w:trHeight w:val="172"/>
        </w:trPr>
        <w:tc>
          <w:tcPr>
            <w:tcW w:w="44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292F72"/>
              </w:rPr>
              <w:t>SUMMARY</w:t>
            </w:r>
          </w:p>
        </w:tc>
        <w:tc>
          <w:tcPr>
            <w:tcW w:w="1040" w:type="dxa"/>
            <w:vAlign w:val="bottom"/>
            <w:gridSpan w:val="2"/>
            <w:vMerge w:val="restart"/>
          </w:tcPr>
          <w:p>
            <w:pPr>
              <w:jc w:val="center"/>
              <w:ind w:left="2"/>
              <w:spacing w:after="0"/>
              <w:rPr>
                <w:sz w:val="20"/>
                <w:szCs w:val="20"/>
                <w:color w:val="auto"/>
              </w:rPr>
            </w:pPr>
            <w:r>
              <w:rPr>
                <w:rFonts w:ascii="Arial" w:cs="Arial" w:eastAsia="Arial" w:hAnsi="Arial"/>
                <w:sz w:val="12"/>
                <w:szCs w:val="12"/>
                <w:b w:val="1"/>
                <w:bCs w:val="1"/>
                <w:color w:val="292F72"/>
                <w:w w:val="99"/>
              </w:rPr>
              <w:t>COMPENSATION</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292F72"/>
              </w:rPr>
              <w:t>SUMMARY</w:t>
            </w:r>
          </w:p>
        </w:tc>
        <w:tc>
          <w:tcPr>
            <w:tcW w:w="380" w:type="dxa"/>
            <w:vAlign w:val="bottom"/>
          </w:tcPr>
          <w:p>
            <w:pPr>
              <w:spacing w:after="0"/>
              <w:rPr>
                <w:sz w:val="14"/>
                <w:szCs w:val="14"/>
                <w:color w:val="auto"/>
              </w:rPr>
            </w:pPr>
          </w:p>
        </w:tc>
        <w:tc>
          <w:tcPr>
            <w:tcW w:w="1040" w:type="dxa"/>
            <w:vAlign w:val="bottom"/>
            <w:vMerge w:val="restart"/>
          </w:tcPr>
          <w:p>
            <w:pPr>
              <w:ind w:left="40"/>
              <w:spacing w:after="0"/>
              <w:rPr>
                <w:sz w:val="20"/>
                <w:szCs w:val="20"/>
                <w:color w:val="auto"/>
              </w:rPr>
            </w:pPr>
            <w:r>
              <w:rPr>
                <w:rFonts w:ascii="Arial" w:cs="Arial" w:eastAsia="Arial" w:hAnsi="Arial"/>
                <w:sz w:val="12"/>
                <w:szCs w:val="12"/>
                <w:b w:val="1"/>
                <w:bCs w:val="1"/>
                <w:color w:val="292F72"/>
                <w:w w:val="99"/>
              </w:rPr>
              <w:t>COMPENSATION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292F72"/>
              </w:rPr>
              <w:t>SUMMARY</w:t>
            </w:r>
          </w:p>
        </w:tc>
        <w:tc>
          <w:tcPr>
            <w:tcW w:w="110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292F72"/>
              </w:rPr>
              <w:t>COMPENSATION</w:t>
            </w:r>
          </w:p>
        </w:tc>
        <w:tc>
          <w:tcPr>
            <w:tcW w:w="1080" w:type="dxa"/>
            <w:vAlign w:val="bottom"/>
            <w:gridSpan w:val="2"/>
          </w:tcPr>
          <w:p>
            <w:pPr>
              <w:spacing w:after="0"/>
              <w:rPr>
                <w:sz w:val="20"/>
                <w:szCs w:val="20"/>
                <w:color w:val="auto"/>
              </w:rPr>
            </w:pPr>
            <w:r>
              <w:rPr>
                <w:rFonts w:ascii="Arial" w:cs="Arial" w:eastAsia="Arial" w:hAnsi="Arial"/>
                <w:sz w:val="12"/>
                <w:szCs w:val="12"/>
                <w:b w:val="1"/>
                <w:bCs w:val="1"/>
                <w:color w:val="292F72"/>
              </w:rPr>
              <w:t>SUMMARY</w:t>
            </w:r>
          </w:p>
        </w:tc>
        <w:tc>
          <w:tcPr>
            <w:tcW w:w="1000" w:type="dxa"/>
            <w:vAlign w:val="bottom"/>
            <w:vMerge w:val="restart"/>
          </w:tcPr>
          <w:p>
            <w:pPr>
              <w:spacing w:after="0"/>
              <w:rPr>
                <w:sz w:val="20"/>
                <w:szCs w:val="20"/>
                <w:color w:val="auto"/>
              </w:rPr>
            </w:pPr>
            <w:r>
              <w:rPr>
                <w:rFonts w:ascii="Arial" w:cs="Arial" w:eastAsia="Arial" w:hAnsi="Arial"/>
                <w:sz w:val="12"/>
                <w:szCs w:val="12"/>
                <w:b w:val="1"/>
                <w:bCs w:val="1"/>
                <w:color w:val="292F72"/>
                <w:w w:val="99"/>
              </w:rPr>
              <w:t>COMPENSATION</w:t>
            </w:r>
          </w:p>
        </w:tc>
        <w:tc>
          <w:tcPr>
            <w:tcW w:w="0" w:type="dxa"/>
            <w:vAlign w:val="bottom"/>
          </w:tcPr>
          <w:p>
            <w:pPr>
              <w:spacing w:after="0"/>
              <w:rPr>
                <w:sz w:val="1"/>
                <w:szCs w:val="1"/>
                <w:color w:val="auto"/>
              </w:rPr>
            </w:pPr>
          </w:p>
        </w:tc>
      </w:tr>
      <w:tr>
        <w:trPr>
          <w:trHeight w:val="123"/>
        </w:trPr>
        <w:tc>
          <w:tcPr>
            <w:tcW w:w="440" w:type="dxa"/>
            <w:vAlign w:val="bottom"/>
          </w:tcPr>
          <w:p>
            <w:pPr>
              <w:spacing w:after="0"/>
              <w:rPr>
                <w:sz w:val="10"/>
                <w:szCs w:val="10"/>
                <w:color w:val="auto"/>
              </w:rPr>
            </w:pPr>
          </w:p>
        </w:tc>
        <w:tc>
          <w:tcPr>
            <w:tcW w:w="110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292F72"/>
              </w:rPr>
              <w:t>COMPENSATION</w:t>
            </w:r>
          </w:p>
        </w:tc>
        <w:tc>
          <w:tcPr>
            <w:tcW w:w="1040" w:type="dxa"/>
            <w:vAlign w:val="bottom"/>
            <w:gridSpan w:val="2"/>
            <w:vMerge w:val="continue"/>
          </w:tcPr>
          <w:p>
            <w:pPr>
              <w:spacing w:after="0"/>
              <w:rPr>
                <w:sz w:val="10"/>
                <w:szCs w:val="10"/>
                <w:color w:val="auto"/>
              </w:rPr>
            </w:pPr>
          </w:p>
        </w:tc>
        <w:tc>
          <w:tcPr>
            <w:tcW w:w="1120" w:type="dxa"/>
            <w:vAlign w:val="bottom"/>
            <w:gridSpan w:val="4"/>
          </w:tcPr>
          <w:p>
            <w:pPr>
              <w:ind w:left="80"/>
              <w:spacing w:after="0" w:line="123" w:lineRule="exact"/>
              <w:rPr>
                <w:sz w:val="20"/>
                <w:szCs w:val="20"/>
                <w:color w:val="auto"/>
              </w:rPr>
            </w:pPr>
            <w:r>
              <w:rPr>
                <w:rFonts w:ascii="Arial" w:cs="Arial" w:eastAsia="Arial" w:hAnsi="Arial"/>
                <w:sz w:val="12"/>
                <w:szCs w:val="12"/>
                <w:b w:val="1"/>
                <w:bCs w:val="1"/>
                <w:color w:val="292F72"/>
              </w:rPr>
              <w:t>COMPENSATION</w:t>
            </w:r>
          </w:p>
        </w:tc>
        <w:tc>
          <w:tcPr>
            <w:tcW w:w="1040" w:type="dxa"/>
            <w:vAlign w:val="bottom"/>
            <w:vMerge w:val="continue"/>
          </w:tcPr>
          <w:p>
            <w:pPr>
              <w:spacing w:after="0"/>
              <w:rPr>
                <w:sz w:val="10"/>
                <w:szCs w:val="10"/>
                <w:color w:val="auto"/>
              </w:rPr>
            </w:pPr>
          </w:p>
        </w:tc>
        <w:tc>
          <w:tcPr>
            <w:tcW w:w="1120" w:type="dxa"/>
            <w:vAlign w:val="bottom"/>
            <w:gridSpan w:val="2"/>
          </w:tcPr>
          <w:p>
            <w:pPr>
              <w:ind w:left="80"/>
              <w:spacing w:after="0" w:line="123" w:lineRule="exact"/>
              <w:rPr>
                <w:sz w:val="20"/>
                <w:szCs w:val="20"/>
                <w:color w:val="auto"/>
              </w:rPr>
            </w:pPr>
            <w:r>
              <w:rPr>
                <w:rFonts w:ascii="Arial" w:cs="Arial" w:eastAsia="Arial" w:hAnsi="Arial"/>
                <w:sz w:val="12"/>
                <w:szCs w:val="12"/>
                <w:b w:val="1"/>
                <w:bCs w:val="1"/>
                <w:color w:val="292F72"/>
              </w:rPr>
              <w:t>COMPENSATION</w:t>
            </w:r>
          </w:p>
        </w:tc>
        <w:tc>
          <w:tcPr>
            <w:tcW w:w="1100" w:type="dxa"/>
            <w:vAlign w:val="bottom"/>
            <w:gridSpan w:val="3"/>
            <w:vMerge w:val="continue"/>
          </w:tcPr>
          <w:p>
            <w:pPr>
              <w:spacing w:after="0"/>
              <w:rPr>
                <w:sz w:val="10"/>
                <w:szCs w:val="10"/>
                <w:color w:val="auto"/>
              </w:rPr>
            </w:pPr>
          </w:p>
        </w:tc>
        <w:tc>
          <w:tcPr>
            <w:tcW w:w="1080" w:type="dxa"/>
            <w:vAlign w:val="bottom"/>
            <w:gridSpan w:val="2"/>
          </w:tcPr>
          <w:p>
            <w:pPr>
              <w:spacing w:after="0" w:line="123" w:lineRule="exact"/>
              <w:rPr>
                <w:sz w:val="20"/>
                <w:szCs w:val="20"/>
                <w:color w:val="auto"/>
              </w:rPr>
            </w:pPr>
            <w:r>
              <w:rPr>
                <w:rFonts w:ascii="Arial" w:cs="Arial" w:eastAsia="Arial" w:hAnsi="Arial"/>
                <w:sz w:val="12"/>
                <w:szCs w:val="12"/>
                <w:b w:val="1"/>
                <w:bCs w:val="1"/>
                <w:color w:val="292F72"/>
              </w:rPr>
              <w:t>COMPENSATION</w:t>
            </w: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40" w:type="dxa"/>
            <w:vAlign w:val="bottom"/>
          </w:tcPr>
          <w:p>
            <w:pPr>
              <w:spacing w:after="0"/>
              <w:rPr>
                <w:sz w:val="11"/>
                <w:szCs w:val="11"/>
                <w:color w:val="auto"/>
              </w:rPr>
            </w:pPr>
          </w:p>
        </w:tc>
        <w:tc>
          <w:tcPr>
            <w:tcW w:w="11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292F72"/>
              </w:rPr>
              <w:t>TABLE "SCT"</w:t>
            </w:r>
          </w:p>
        </w:tc>
        <w:tc>
          <w:tcPr>
            <w:tcW w:w="1040" w:type="dxa"/>
            <w:vAlign w:val="bottom"/>
            <w:gridSpan w:val="2"/>
          </w:tcPr>
          <w:p>
            <w:pPr>
              <w:jc w:val="center"/>
              <w:spacing w:after="0" w:line="132" w:lineRule="exact"/>
              <w:rPr>
                <w:sz w:val="20"/>
                <w:szCs w:val="20"/>
                <w:color w:val="auto"/>
              </w:rPr>
            </w:pPr>
            <w:r>
              <w:rPr>
                <w:rFonts w:ascii="Arial" w:cs="Arial" w:eastAsia="Arial" w:hAnsi="Arial"/>
                <w:sz w:val="12"/>
                <w:szCs w:val="12"/>
                <w:b w:val="1"/>
                <w:bCs w:val="1"/>
                <w:color w:val="292F72"/>
                <w:w w:val="99"/>
              </w:rPr>
              <w:t>ACTUALLY PAID</w:t>
            </w:r>
          </w:p>
        </w:tc>
        <w:tc>
          <w:tcPr>
            <w:tcW w:w="11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292F72"/>
              </w:rPr>
              <w:t>TABLE TOTAL</w:t>
            </w:r>
          </w:p>
        </w:tc>
        <w:tc>
          <w:tcPr>
            <w:tcW w:w="1040" w:type="dxa"/>
            <w:vAlign w:val="bottom"/>
          </w:tcPr>
          <w:p>
            <w:pPr>
              <w:ind w:left="40"/>
              <w:spacing w:after="0" w:line="132" w:lineRule="exact"/>
              <w:rPr>
                <w:sz w:val="20"/>
                <w:szCs w:val="20"/>
                <w:color w:val="auto"/>
              </w:rPr>
            </w:pPr>
            <w:r>
              <w:rPr>
                <w:rFonts w:ascii="Arial" w:cs="Arial" w:eastAsia="Arial" w:hAnsi="Arial"/>
                <w:sz w:val="12"/>
                <w:szCs w:val="12"/>
                <w:b w:val="1"/>
                <w:bCs w:val="1"/>
                <w:color w:val="292F72"/>
              </w:rPr>
              <w:t>ACTUALLY PAID</w:t>
            </w:r>
          </w:p>
        </w:tc>
        <w:tc>
          <w:tcPr>
            <w:tcW w:w="11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292F72"/>
              </w:rPr>
              <w:t>TABLE TOTAL</w:t>
            </w:r>
          </w:p>
        </w:tc>
        <w:tc>
          <w:tcPr>
            <w:tcW w:w="110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292F72"/>
              </w:rPr>
              <w:t>ACTUALLY PAID</w:t>
            </w:r>
          </w:p>
        </w:tc>
        <w:tc>
          <w:tcPr>
            <w:tcW w:w="1080" w:type="dxa"/>
            <w:vAlign w:val="bottom"/>
            <w:gridSpan w:val="2"/>
          </w:tcPr>
          <w:p>
            <w:pPr>
              <w:spacing w:after="0" w:line="132" w:lineRule="exact"/>
              <w:rPr>
                <w:sz w:val="20"/>
                <w:szCs w:val="20"/>
                <w:color w:val="auto"/>
              </w:rPr>
            </w:pPr>
            <w:r>
              <w:rPr>
                <w:rFonts w:ascii="Arial" w:cs="Arial" w:eastAsia="Arial" w:hAnsi="Arial"/>
                <w:sz w:val="12"/>
                <w:szCs w:val="12"/>
                <w:b w:val="1"/>
                <w:bCs w:val="1"/>
                <w:color w:val="292F72"/>
              </w:rPr>
              <w:t>TABLE TOTAL</w:t>
            </w:r>
          </w:p>
        </w:tc>
        <w:tc>
          <w:tcPr>
            <w:tcW w:w="1000" w:type="dxa"/>
            <w:vAlign w:val="bottom"/>
          </w:tcPr>
          <w:p>
            <w:pPr>
              <w:spacing w:after="0" w:line="132" w:lineRule="exact"/>
              <w:rPr>
                <w:sz w:val="20"/>
                <w:szCs w:val="20"/>
                <w:color w:val="auto"/>
              </w:rPr>
            </w:pPr>
            <w:r>
              <w:rPr>
                <w:rFonts w:ascii="Arial" w:cs="Arial" w:eastAsia="Arial" w:hAnsi="Arial"/>
                <w:sz w:val="12"/>
                <w:szCs w:val="12"/>
                <w:b w:val="1"/>
                <w:bCs w:val="1"/>
                <w:color w:val="292F72"/>
              </w:rPr>
              <w:t>ACTUALLY PAID</w:t>
            </w:r>
          </w:p>
        </w:tc>
        <w:tc>
          <w:tcPr>
            <w:tcW w:w="0" w:type="dxa"/>
            <w:vAlign w:val="bottom"/>
          </w:tcPr>
          <w:p>
            <w:pPr>
              <w:spacing w:after="0"/>
              <w:rPr>
                <w:sz w:val="1"/>
                <w:szCs w:val="1"/>
                <w:color w:val="auto"/>
              </w:rPr>
            </w:pPr>
          </w:p>
        </w:tc>
      </w:tr>
      <w:tr>
        <w:trPr>
          <w:trHeight w:val="140"/>
        </w:trPr>
        <w:tc>
          <w:tcPr>
            <w:tcW w:w="440" w:type="dxa"/>
            <w:vAlign w:val="bottom"/>
            <w:vMerge w:val="restart"/>
          </w:tcPr>
          <w:p>
            <w:pPr>
              <w:spacing w:after="0"/>
              <w:rPr>
                <w:sz w:val="20"/>
                <w:szCs w:val="20"/>
                <w:color w:val="auto"/>
              </w:rPr>
            </w:pPr>
            <w:r>
              <w:rPr>
                <w:rFonts w:ascii="Arial" w:cs="Arial" w:eastAsia="Arial" w:hAnsi="Arial"/>
                <w:sz w:val="12"/>
                <w:szCs w:val="12"/>
                <w:b w:val="1"/>
                <w:bCs w:val="1"/>
                <w:color w:val="292F72"/>
              </w:rPr>
              <w:t>YEAR</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292F72"/>
              </w:rPr>
              <w:t>TOTAL FOR PEO</w:t>
            </w:r>
          </w:p>
        </w:tc>
        <w:tc>
          <w:tcPr>
            <w:tcW w:w="1040" w:type="dxa"/>
            <w:vAlign w:val="bottom"/>
            <w:gridSpan w:val="2"/>
          </w:tcPr>
          <w:p>
            <w:pPr>
              <w:ind w:left="60"/>
              <w:spacing w:after="0" w:line="140" w:lineRule="exact"/>
              <w:rPr>
                <w:sz w:val="20"/>
                <w:szCs w:val="20"/>
                <w:color w:val="auto"/>
              </w:rPr>
            </w:pPr>
            <w:r>
              <w:rPr>
                <w:rFonts w:ascii="Arial" w:cs="Arial" w:eastAsia="Arial" w:hAnsi="Arial"/>
                <w:sz w:val="10"/>
                <w:szCs w:val="10"/>
                <w:b w:val="1"/>
                <w:bCs w:val="1"/>
                <w:color w:val="292F72"/>
              </w:rPr>
              <w:t>TO PEO</w:t>
            </w:r>
            <w:r>
              <w:rPr>
                <w:rFonts w:ascii="Arial" w:cs="Arial" w:eastAsia="Arial" w:hAnsi="Arial"/>
                <w:sz w:val="16"/>
                <w:szCs w:val="16"/>
                <w:b w:val="1"/>
                <w:bCs w:val="1"/>
                <w:color w:val="292F72"/>
                <w:vertAlign w:val="superscript"/>
              </w:rPr>
              <w:t>(2)</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292F72"/>
              </w:rPr>
              <w:t>FOR PEO</w:t>
            </w:r>
          </w:p>
        </w:tc>
        <w:tc>
          <w:tcPr>
            <w:tcW w:w="380" w:type="dxa"/>
            <w:vAlign w:val="bottom"/>
          </w:tcPr>
          <w:p>
            <w:pPr>
              <w:spacing w:after="0"/>
              <w:rPr>
                <w:sz w:val="12"/>
                <w:szCs w:val="12"/>
                <w:color w:val="auto"/>
              </w:rPr>
            </w:pPr>
          </w:p>
        </w:tc>
        <w:tc>
          <w:tcPr>
            <w:tcW w:w="1040" w:type="dxa"/>
            <w:vAlign w:val="bottom"/>
          </w:tcPr>
          <w:p>
            <w:pPr>
              <w:ind w:left="40"/>
              <w:spacing w:after="0" w:line="140" w:lineRule="exact"/>
              <w:rPr>
                <w:sz w:val="20"/>
                <w:szCs w:val="20"/>
                <w:color w:val="auto"/>
              </w:rPr>
            </w:pPr>
            <w:r>
              <w:rPr>
                <w:rFonts w:ascii="Arial" w:cs="Arial" w:eastAsia="Arial" w:hAnsi="Arial"/>
                <w:sz w:val="10"/>
                <w:szCs w:val="10"/>
                <w:b w:val="1"/>
                <w:bCs w:val="1"/>
                <w:color w:val="292F72"/>
              </w:rPr>
              <w:t>TO PEO</w:t>
            </w:r>
            <w:r>
              <w:rPr>
                <w:rFonts w:ascii="Arial" w:cs="Arial" w:eastAsia="Arial" w:hAnsi="Arial"/>
                <w:sz w:val="16"/>
                <w:szCs w:val="16"/>
                <w:b w:val="1"/>
                <w:bCs w:val="1"/>
                <w:color w:val="292F72"/>
                <w:vertAlign w:val="superscript"/>
              </w:rPr>
              <w:t>(2)</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292F72"/>
              </w:rPr>
              <w:t>FOR PEO</w:t>
            </w:r>
          </w:p>
        </w:tc>
        <w:tc>
          <w:tcPr>
            <w:tcW w:w="1100" w:type="dxa"/>
            <w:vAlign w:val="bottom"/>
            <w:gridSpan w:val="3"/>
          </w:tcPr>
          <w:p>
            <w:pPr>
              <w:ind w:left="40"/>
              <w:spacing w:after="0" w:line="140" w:lineRule="exact"/>
              <w:rPr>
                <w:sz w:val="20"/>
                <w:szCs w:val="20"/>
                <w:color w:val="auto"/>
              </w:rPr>
            </w:pPr>
            <w:r>
              <w:rPr>
                <w:rFonts w:ascii="Arial" w:cs="Arial" w:eastAsia="Arial" w:hAnsi="Arial"/>
                <w:sz w:val="10"/>
                <w:szCs w:val="10"/>
                <w:b w:val="1"/>
                <w:bCs w:val="1"/>
                <w:color w:val="292F72"/>
              </w:rPr>
              <w:t>TO PEO</w:t>
            </w:r>
            <w:r>
              <w:rPr>
                <w:rFonts w:ascii="Arial" w:cs="Arial" w:eastAsia="Arial" w:hAnsi="Arial"/>
                <w:sz w:val="16"/>
                <w:szCs w:val="16"/>
                <w:b w:val="1"/>
                <w:bCs w:val="1"/>
                <w:color w:val="292F72"/>
                <w:vertAlign w:val="superscript"/>
              </w:rPr>
              <w:t>(2)</w:t>
            </w:r>
          </w:p>
        </w:tc>
        <w:tc>
          <w:tcPr>
            <w:tcW w:w="1080" w:type="dxa"/>
            <w:vAlign w:val="bottom"/>
            <w:gridSpan w:val="2"/>
          </w:tcPr>
          <w:p>
            <w:pPr>
              <w:spacing w:after="0"/>
              <w:rPr>
                <w:sz w:val="20"/>
                <w:szCs w:val="20"/>
                <w:color w:val="auto"/>
              </w:rPr>
            </w:pPr>
            <w:r>
              <w:rPr>
                <w:rFonts w:ascii="Arial" w:cs="Arial" w:eastAsia="Arial" w:hAnsi="Arial"/>
                <w:sz w:val="12"/>
                <w:szCs w:val="12"/>
                <w:b w:val="1"/>
                <w:bCs w:val="1"/>
                <w:color w:val="292F72"/>
              </w:rPr>
              <w:t>FOR PEO</w:t>
            </w:r>
          </w:p>
        </w:tc>
        <w:tc>
          <w:tcPr>
            <w:tcW w:w="1000" w:type="dxa"/>
            <w:vAlign w:val="bottom"/>
          </w:tcPr>
          <w:p>
            <w:pPr>
              <w:spacing w:after="0" w:line="140" w:lineRule="exact"/>
              <w:rPr>
                <w:sz w:val="20"/>
                <w:szCs w:val="20"/>
                <w:color w:val="auto"/>
              </w:rPr>
            </w:pPr>
            <w:r>
              <w:rPr>
                <w:rFonts w:ascii="Arial" w:cs="Arial" w:eastAsia="Arial" w:hAnsi="Arial"/>
                <w:sz w:val="10"/>
                <w:szCs w:val="10"/>
                <w:b w:val="1"/>
                <w:bCs w:val="1"/>
                <w:color w:val="292F72"/>
              </w:rPr>
              <w:t>TO PEO</w:t>
            </w:r>
            <w:r>
              <w:rPr>
                <w:rFonts w:ascii="Arial" w:cs="Arial" w:eastAsia="Arial" w:hAnsi="Arial"/>
                <w:sz w:val="16"/>
                <w:szCs w:val="16"/>
                <w:b w:val="1"/>
                <w:bCs w:val="1"/>
                <w:color w:val="292F72"/>
                <w:vertAlign w:val="superscript"/>
              </w:rPr>
              <w:t>(2)</w:t>
            </w:r>
          </w:p>
        </w:tc>
        <w:tc>
          <w:tcPr>
            <w:tcW w:w="0" w:type="dxa"/>
            <w:vAlign w:val="bottom"/>
          </w:tcPr>
          <w:p>
            <w:pPr>
              <w:spacing w:after="0"/>
              <w:rPr>
                <w:sz w:val="1"/>
                <w:szCs w:val="1"/>
                <w:color w:val="auto"/>
              </w:rPr>
            </w:pPr>
          </w:p>
        </w:tc>
      </w:tr>
      <w:tr>
        <w:trPr>
          <w:trHeight w:val="167"/>
        </w:trPr>
        <w:tc>
          <w:tcPr>
            <w:tcW w:w="440" w:type="dxa"/>
            <w:vAlign w:val="bottom"/>
            <w:vMerge w:val="continue"/>
          </w:tcPr>
          <w:p>
            <w:pPr>
              <w:spacing w:after="0"/>
              <w:rPr>
                <w:sz w:val="14"/>
                <w:szCs w:val="14"/>
                <w:color w:val="auto"/>
              </w:rPr>
            </w:pPr>
          </w:p>
        </w:tc>
        <w:tc>
          <w:tcPr>
            <w:tcW w:w="1100" w:type="dxa"/>
            <w:vAlign w:val="bottom"/>
            <w:gridSpan w:val="2"/>
          </w:tcPr>
          <w:p>
            <w:pPr>
              <w:ind w:left="480"/>
              <w:spacing w:after="0"/>
              <w:rPr>
                <w:sz w:val="20"/>
                <w:szCs w:val="20"/>
                <w:color w:val="auto"/>
              </w:rPr>
            </w:pPr>
            <w:r>
              <w:rPr>
                <w:rFonts w:ascii="Arial" w:cs="Arial" w:eastAsia="Arial" w:hAnsi="Arial"/>
                <w:sz w:val="12"/>
                <w:szCs w:val="12"/>
                <w:b w:val="1"/>
                <w:bCs w:val="1"/>
                <w:color w:val="292F72"/>
              </w:rPr>
              <w:t>($)</w:t>
            </w:r>
          </w:p>
        </w:tc>
        <w:tc>
          <w:tcPr>
            <w:tcW w:w="220" w:type="dxa"/>
            <w:vAlign w:val="bottom"/>
          </w:tcPr>
          <w:p>
            <w:pPr>
              <w:spacing w:after="0"/>
              <w:rPr>
                <w:sz w:val="14"/>
                <w:szCs w:val="14"/>
                <w:color w:val="auto"/>
              </w:rPr>
            </w:pPr>
          </w:p>
        </w:tc>
        <w:tc>
          <w:tcPr>
            <w:tcW w:w="820" w:type="dxa"/>
            <w:vAlign w:val="bottom"/>
          </w:tcPr>
          <w:p>
            <w:pPr>
              <w:jc w:val="center"/>
              <w:ind w:right="92"/>
              <w:spacing w:after="0"/>
              <w:rPr>
                <w:sz w:val="20"/>
                <w:szCs w:val="20"/>
                <w:color w:val="auto"/>
              </w:rPr>
            </w:pPr>
            <w:r>
              <w:rPr>
                <w:rFonts w:ascii="Arial" w:cs="Arial" w:eastAsia="Arial" w:hAnsi="Arial"/>
                <w:sz w:val="12"/>
                <w:szCs w:val="12"/>
                <w:b w:val="1"/>
                <w:bCs w:val="1"/>
                <w:color w:val="292F72"/>
                <w:w w:val="95"/>
              </w:rPr>
              <w:t>($)</w:t>
            </w:r>
          </w:p>
        </w:tc>
        <w:tc>
          <w:tcPr>
            <w:tcW w:w="700" w:type="dxa"/>
            <w:vAlign w:val="bottom"/>
            <w:gridSpan w:val="2"/>
          </w:tcPr>
          <w:p>
            <w:pPr>
              <w:jc w:val="right"/>
              <w:ind w:right="40"/>
              <w:spacing w:after="0"/>
              <w:rPr>
                <w:sz w:val="20"/>
                <w:szCs w:val="20"/>
                <w:color w:val="auto"/>
              </w:rPr>
            </w:pPr>
            <w:r>
              <w:rPr>
                <w:rFonts w:ascii="Arial" w:cs="Arial" w:eastAsia="Arial" w:hAnsi="Arial"/>
                <w:sz w:val="12"/>
                <w:szCs w:val="12"/>
                <w:b w:val="1"/>
                <w:bCs w:val="1"/>
                <w:color w:val="292F72"/>
              </w:rPr>
              <w:t>($)</w:t>
            </w: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jc w:val="right"/>
              <w:ind w:right="353"/>
              <w:spacing w:after="0"/>
              <w:rPr>
                <w:sz w:val="20"/>
                <w:szCs w:val="20"/>
                <w:color w:val="auto"/>
              </w:rPr>
            </w:pPr>
            <w:r>
              <w:rPr>
                <w:rFonts w:ascii="Arial" w:cs="Arial" w:eastAsia="Arial" w:hAnsi="Arial"/>
                <w:sz w:val="12"/>
                <w:szCs w:val="12"/>
                <w:b w:val="1"/>
                <w:bCs w:val="1"/>
                <w:color w:val="292F72"/>
              </w:rPr>
              <w:t>($)</w:t>
            </w:r>
          </w:p>
        </w:tc>
        <w:tc>
          <w:tcPr>
            <w:tcW w:w="1120" w:type="dxa"/>
            <w:vAlign w:val="bottom"/>
            <w:gridSpan w:val="2"/>
          </w:tcPr>
          <w:p>
            <w:pPr>
              <w:ind w:left="500"/>
              <w:spacing w:after="0"/>
              <w:rPr>
                <w:sz w:val="20"/>
                <w:szCs w:val="20"/>
                <w:color w:val="auto"/>
              </w:rPr>
            </w:pPr>
            <w:r>
              <w:rPr>
                <w:rFonts w:ascii="Arial" w:cs="Arial" w:eastAsia="Arial" w:hAnsi="Arial"/>
                <w:sz w:val="12"/>
                <w:szCs w:val="12"/>
                <w:b w:val="1"/>
                <w:bCs w:val="1"/>
                <w:color w:val="292F72"/>
              </w:rPr>
              <w:t>($)</w:t>
            </w:r>
          </w:p>
        </w:tc>
        <w:tc>
          <w:tcPr>
            <w:tcW w:w="160" w:type="dxa"/>
            <w:vAlign w:val="bottom"/>
          </w:tcPr>
          <w:p>
            <w:pPr>
              <w:spacing w:after="0"/>
              <w:rPr>
                <w:sz w:val="14"/>
                <w:szCs w:val="14"/>
                <w:color w:val="auto"/>
              </w:rPr>
            </w:pPr>
          </w:p>
        </w:tc>
        <w:tc>
          <w:tcPr>
            <w:tcW w:w="880" w:type="dxa"/>
            <w:vAlign w:val="bottom"/>
          </w:tcPr>
          <w:p>
            <w:pPr>
              <w:ind w:left="300"/>
              <w:spacing w:after="0"/>
              <w:rPr>
                <w:sz w:val="20"/>
                <w:szCs w:val="20"/>
                <w:color w:val="auto"/>
              </w:rPr>
            </w:pPr>
            <w:r>
              <w:rPr>
                <w:rFonts w:ascii="Arial" w:cs="Arial" w:eastAsia="Arial" w:hAnsi="Arial"/>
                <w:sz w:val="12"/>
                <w:szCs w:val="12"/>
                <w:b w:val="1"/>
                <w:bCs w:val="1"/>
                <w:color w:val="292F72"/>
              </w:rPr>
              <w:t>($)</w:t>
            </w:r>
          </w:p>
        </w:tc>
        <w:tc>
          <w:tcPr>
            <w:tcW w:w="60" w:type="dxa"/>
            <w:vAlign w:val="bottom"/>
          </w:tcPr>
          <w:p>
            <w:pPr>
              <w:spacing w:after="0"/>
              <w:rPr>
                <w:sz w:val="14"/>
                <w:szCs w:val="14"/>
                <w:color w:val="auto"/>
              </w:rPr>
            </w:pPr>
          </w:p>
        </w:tc>
        <w:tc>
          <w:tcPr>
            <w:tcW w:w="1080" w:type="dxa"/>
            <w:vAlign w:val="bottom"/>
            <w:gridSpan w:val="2"/>
          </w:tcPr>
          <w:p>
            <w:pPr>
              <w:jc w:val="right"/>
              <w:ind w:right="432"/>
              <w:spacing w:after="0"/>
              <w:rPr>
                <w:sz w:val="20"/>
                <w:szCs w:val="20"/>
                <w:color w:val="auto"/>
              </w:rPr>
            </w:pPr>
            <w:r>
              <w:rPr>
                <w:rFonts w:ascii="Arial" w:cs="Arial" w:eastAsia="Arial" w:hAnsi="Arial"/>
                <w:sz w:val="12"/>
                <w:szCs w:val="12"/>
                <w:b w:val="1"/>
                <w:bCs w:val="1"/>
                <w:color w:val="292F72"/>
              </w:rPr>
              <w:t>($)</w:t>
            </w:r>
          </w:p>
        </w:tc>
        <w:tc>
          <w:tcPr>
            <w:tcW w:w="1000" w:type="dxa"/>
            <w:vAlign w:val="bottom"/>
          </w:tcPr>
          <w:p>
            <w:pPr>
              <w:jc w:val="right"/>
              <w:ind w:right="373"/>
              <w:spacing w:after="0"/>
              <w:rPr>
                <w:sz w:val="20"/>
                <w:szCs w:val="20"/>
                <w:color w:val="auto"/>
              </w:rPr>
            </w:pPr>
            <w:r>
              <w:rPr>
                <w:rFonts w:ascii="Arial" w:cs="Arial" w:eastAsia="Arial" w:hAnsi="Arial"/>
                <w:sz w:val="12"/>
                <w:szCs w:val="12"/>
                <w:b w:val="1"/>
                <w:bCs w:val="1"/>
                <w:color w:val="292F72"/>
              </w:rPr>
              <w:t>($)</w:t>
            </w:r>
          </w:p>
        </w:tc>
        <w:tc>
          <w:tcPr>
            <w:tcW w:w="0" w:type="dxa"/>
            <w:vAlign w:val="bottom"/>
          </w:tcPr>
          <w:p>
            <w:pPr>
              <w:spacing w:after="0"/>
              <w:rPr>
                <w:sz w:val="1"/>
                <w:szCs w:val="1"/>
                <w:color w:val="auto"/>
              </w:rPr>
            </w:pPr>
          </w:p>
        </w:tc>
      </w:tr>
      <w:tr>
        <w:trPr>
          <w:trHeight w:val="61"/>
        </w:trPr>
        <w:tc>
          <w:tcPr>
            <w:tcW w:w="440" w:type="dxa"/>
            <w:vAlign w:val="bottom"/>
            <w:tcBorders>
              <w:bottom w:val="single" w:sz="8" w:color="292F72"/>
            </w:tcBorders>
          </w:tcPr>
          <w:p>
            <w:pPr>
              <w:spacing w:after="0"/>
              <w:rPr>
                <w:sz w:val="5"/>
                <w:szCs w:val="5"/>
                <w:color w:val="auto"/>
              </w:rPr>
            </w:pPr>
          </w:p>
        </w:tc>
        <w:tc>
          <w:tcPr>
            <w:tcW w:w="1100" w:type="dxa"/>
            <w:vAlign w:val="bottom"/>
            <w:tcBorders>
              <w:bottom w:val="single" w:sz="8" w:color="292F72"/>
            </w:tcBorders>
            <w:gridSpan w:val="2"/>
          </w:tcPr>
          <w:p>
            <w:pPr>
              <w:spacing w:after="0"/>
              <w:rPr>
                <w:sz w:val="5"/>
                <w:szCs w:val="5"/>
                <w:color w:val="auto"/>
              </w:rPr>
            </w:pPr>
          </w:p>
        </w:tc>
        <w:tc>
          <w:tcPr>
            <w:tcW w:w="220" w:type="dxa"/>
            <w:vAlign w:val="bottom"/>
            <w:tcBorders>
              <w:bottom w:val="single" w:sz="8" w:color="292F72"/>
            </w:tcBorders>
          </w:tcPr>
          <w:p>
            <w:pPr>
              <w:spacing w:after="0"/>
              <w:rPr>
                <w:sz w:val="5"/>
                <w:szCs w:val="5"/>
                <w:color w:val="auto"/>
              </w:rPr>
            </w:pPr>
          </w:p>
        </w:tc>
        <w:tc>
          <w:tcPr>
            <w:tcW w:w="820" w:type="dxa"/>
            <w:vAlign w:val="bottom"/>
            <w:tcBorders>
              <w:bottom w:val="single" w:sz="8" w:color="292F72"/>
            </w:tcBorders>
          </w:tcPr>
          <w:p>
            <w:pPr>
              <w:spacing w:after="0"/>
              <w:rPr>
                <w:sz w:val="5"/>
                <w:szCs w:val="5"/>
                <w:color w:val="auto"/>
              </w:rPr>
            </w:pPr>
          </w:p>
        </w:tc>
        <w:tc>
          <w:tcPr>
            <w:tcW w:w="700" w:type="dxa"/>
            <w:vAlign w:val="bottom"/>
            <w:tcBorders>
              <w:bottom w:val="single" w:sz="8" w:color="292F72"/>
            </w:tcBorders>
            <w:gridSpan w:val="2"/>
          </w:tcPr>
          <w:p>
            <w:pPr>
              <w:spacing w:after="0"/>
              <w:rPr>
                <w:sz w:val="5"/>
                <w:szCs w:val="5"/>
                <w:color w:val="auto"/>
              </w:rPr>
            </w:pPr>
          </w:p>
        </w:tc>
        <w:tc>
          <w:tcPr>
            <w:tcW w:w="420" w:type="dxa"/>
            <w:vAlign w:val="bottom"/>
            <w:tcBorders>
              <w:bottom w:val="single" w:sz="8" w:color="292F72"/>
            </w:tcBorders>
            <w:gridSpan w:val="2"/>
          </w:tcPr>
          <w:p>
            <w:pPr>
              <w:spacing w:after="0"/>
              <w:rPr>
                <w:sz w:val="5"/>
                <w:szCs w:val="5"/>
                <w:color w:val="auto"/>
              </w:rPr>
            </w:pPr>
          </w:p>
        </w:tc>
        <w:tc>
          <w:tcPr>
            <w:tcW w:w="1040" w:type="dxa"/>
            <w:vAlign w:val="bottom"/>
            <w:tcBorders>
              <w:bottom w:val="single" w:sz="8" w:color="292F72"/>
            </w:tcBorders>
          </w:tcPr>
          <w:p>
            <w:pPr>
              <w:spacing w:after="0"/>
              <w:rPr>
                <w:sz w:val="5"/>
                <w:szCs w:val="5"/>
                <w:color w:val="auto"/>
              </w:rPr>
            </w:pPr>
          </w:p>
        </w:tc>
        <w:tc>
          <w:tcPr>
            <w:tcW w:w="80" w:type="dxa"/>
            <w:vAlign w:val="bottom"/>
            <w:tcBorders>
              <w:bottom w:val="single" w:sz="8" w:color="292F72"/>
            </w:tcBorders>
          </w:tcPr>
          <w:p>
            <w:pPr>
              <w:spacing w:after="0"/>
              <w:rPr>
                <w:sz w:val="5"/>
                <w:szCs w:val="5"/>
                <w:color w:val="auto"/>
              </w:rPr>
            </w:pPr>
          </w:p>
        </w:tc>
        <w:tc>
          <w:tcPr>
            <w:tcW w:w="1040" w:type="dxa"/>
            <w:vAlign w:val="bottom"/>
            <w:tcBorders>
              <w:bottom w:val="single" w:sz="8" w:color="292F72"/>
            </w:tcBorders>
          </w:tcPr>
          <w:p>
            <w:pPr>
              <w:spacing w:after="0"/>
              <w:rPr>
                <w:sz w:val="5"/>
                <w:szCs w:val="5"/>
                <w:color w:val="auto"/>
              </w:rPr>
            </w:pPr>
          </w:p>
        </w:tc>
        <w:tc>
          <w:tcPr>
            <w:tcW w:w="160" w:type="dxa"/>
            <w:vAlign w:val="bottom"/>
            <w:tcBorders>
              <w:bottom w:val="single" w:sz="8" w:color="292F72"/>
            </w:tcBorders>
          </w:tcPr>
          <w:p>
            <w:pPr>
              <w:spacing w:after="0"/>
              <w:rPr>
                <w:sz w:val="5"/>
                <w:szCs w:val="5"/>
                <w:color w:val="auto"/>
              </w:rPr>
            </w:pPr>
          </w:p>
        </w:tc>
        <w:tc>
          <w:tcPr>
            <w:tcW w:w="940" w:type="dxa"/>
            <w:vAlign w:val="bottom"/>
            <w:tcBorders>
              <w:bottom w:val="single" w:sz="8" w:color="292F72"/>
            </w:tcBorders>
            <w:gridSpan w:val="2"/>
          </w:tcPr>
          <w:p>
            <w:pPr>
              <w:spacing w:after="0"/>
              <w:rPr>
                <w:sz w:val="5"/>
                <w:szCs w:val="5"/>
                <w:color w:val="auto"/>
              </w:rPr>
            </w:pPr>
          </w:p>
        </w:tc>
        <w:tc>
          <w:tcPr>
            <w:tcW w:w="120" w:type="dxa"/>
            <w:vAlign w:val="bottom"/>
            <w:tcBorders>
              <w:bottom w:val="single" w:sz="8" w:color="292F72"/>
            </w:tcBorders>
          </w:tcPr>
          <w:p>
            <w:pPr>
              <w:spacing w:after="0"/>
              <w:rPr>
                <w:sz w:val="5"/>
                <w:szCs w:val="5"/>
                <w:color w:val="auto"/>
              </w:rPr>
            </w:pPr>
          </w:p>
        </w:tc>
        <w:tc>
          <w:tcPr>
            <w:tcW w:w="960" w:type="dxa"/>
            <w:vAlign w:val="bottom"/>
            <w:tcBorders>
              <w:bottom w:val="single" w:sz="8" w:color="292F72"/>
            </w:tcBorders>
          </w:tcPr>
          <w:p>
            <w:pPr>
              <w:spacing w:after="0"/>
              <w:rPr>
                <w:sz w:val="5"/>
                <w:szCs w:val="5"/>
                <w:color w:val="auto"/>
              </w:rPr>
            </w:pPr>
          </w:p>
        </w:tc>
        <w:tc>
          <w:tcPr>
            <w:tcW w:w="1000" w:type="dxa"/>
            <w:vAlign w:val="bottom"/>
            <w:tcBorders>
              <w:bottom w:val="single" w:sz="8" w:color="292F72"/>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440" w:type="dxa"/>
            <w:vAlign w:val="bottom"/>
          </w:tcPr>
          <w:p>
            <w:pPr>
              <w:spacing w:after="0"/>
              <w:rPr>
                <w:sz w:val="20"/>
                <w:szCs w:val="20"/>
                <w:color w:val="auto"/>
              </w:rPr>
            </w:pPr>
            <w:r>
              <w:rPr>
                <w:rFonts w:ascii="Arial" w:cs="Arial" w:eastAsia="Arial" w:hAnsi="Arial"/>
                <w:sz w:val="14"/>
                <w:szCs w:val="14"/>
                <w:b w:val="1"/>
                <w:bCs w:val="1"/>
                <w:color w:val="auto"/>
              </w:rPr>
              <w:t>2025</w:t>
            </w:r>
          </w:p>
        </w:tc>
        <w:tc>
          <w:tcPr>
            <w:tcW w:w="1100" w:type="dxa"/>
            <w:vAlign w:val="bottom"/>
            <w:gridSpan w:val="2"/>
          </w:tcPr>
          <w:p>
            <w:pPr>
              <w:ind w:left="220"/>
              <w:spacing w:after="0"/>
              <w:rPr>
                <w:sz w:val="20"/>
                <w:szCs w:val="20"/>
                <w:color w:val="auto"/>
              </w:rPr>
            </w:pPr>
            <w:r>
              <w:rPr>
                <w:rFonts w:ascii="Arial" w:cs="Arial" w:eastAsia="Arial" w:hAnsi="Arial"/>
                <w:sz w:val="14"/>
                <w:szCs w:val="14"/>
                <w:color w:val="auto"/>
              </w:rPr>
              <w:t>6,587,902</w:t>
            </w:r>
          </w:p>
        </w:tc>
        <w:tc>
          <w:tcPr>
            <w:tcW w:w="220" w:type="dxa"/>
            <w:vAlign w:val="bottom"/>
          </w:tcPr>
          <w:p>
            <w:pPr>
              <w:spacing w:after="0"/>
              <w:rPr>
                <w:sz w:val="21"/>
                <w:szCs w:val="21"/>
                <w:color w:val="auto"/>
              </w:rPr>
            </w:pPr>
          </w:p>
        </w:tc>
        <w:tc>
          <w:tcPr>
            <w:tcW w:w="820" w:type="dxa"/>
            <w:vAlign w:val="bottom"/>
          </w:tcPr>
          <w:p>
            <w:pPr>
              <w:jc w:val="center"/>
              <w:ind w:right="112"/>
              <w:spacing w:after="0"/>
              <w:rPr>
                <w:sz w:val="20"/>
                <w:szCs w:val="20"/>
                <w:color w:val="auto"/>
              </w:rPr>
            </w:pPr>
            <w:r>
              <w:rPr>
                <w:rFonts w:ascii="Arial" w:cs="Arial" w:eastAsia="Arial" w:hAnsi="Arial"/>
                <w:sz w:val="14"/>
                <w:szCs w:val="14"/>
                <w:color w:val="auto"/>
              </w:rPr>
              <w:t>4,286,615​</w:t>
            </w:r>
          </w:p>
        </w:tc>
        <w:tc>
          <w:tcPr>
            <w:tcW w:w="1120" w:type="dxa"/>
            <w:vAlign w:val="bottom"/>
            <w:gridSpan w:val="4"/>
          </w:tcPr>
          <w:p>
            <w:pPr>
              <w:jc w:val="right"/>
              <w:ind w:right="134"/>
              <w:spacing w:after="0"/>
              <w:rPr>
                <w:sz w:val="20"/>
                <w:szCs w:val="20"/>
                <w:color w:val="auto"/>
              </w:rPr>
            </w:pPr>
            <w:r>
              <w:rPr>
                <w:rFonts w:ascii="Arial" w:cs="Arial" w:eastAsia="Arial" w:hAnsi="Arial"/>
                <w:sz w:val="14"/>
                <w:szCs w:val="14"/>
                <w:color w:val="auto"/>
              </w:rPr>
              <w:t>12,567,136</w:t>
            </w:r>
          </w:p>
        </w:tc>
        <w:tc>
          <w:tcPr>
            <w:tcW w:w="1040" w:type="dxa"/>
            <w:vAlign w:val="bottom"/>
          </w:tcPr>
          <w:p>
            <w:pPr>
              <w:jc w:val="right"/>
              <w:ind w:right="33"/>
              <w:spacing w:after="0"/>
              <w:rPr>
                <w:sz w:val="20"/>
                <w:szCs w:val="20"/>
                <w:color w:val="auto"/>
              </w:rPr>
            </w:pPr>
            <w:r>
              <w:rPr>
                <w:rFonts w:ascii="Arial" w:cs="Arial" w:eastAsia="Arial" w:hAnsi="Arial"/>
                <w:sz w:val="14"/>
                <w:szCs w:val="14"/>
                <w:color w:val="auto"/>
              </w:rPr>
              <w:t>(4,768,809)</w:t>
            </w:r>
          </w:p>
        </w:tc>
        <w:tc>
          <w:tcPr>
            <w:tcW w:w="80" w:type="dxa"/>
            <w:vAlign w:val="bottom"/>
          </w:tcPr>
          <w:p>
            <w:pPr>
              <w:spacing w:after="0"/>
              <w:rPr>
                <w:sz w:val="21"/>
                <w:szCs w:val="21"/>
                <w:color w:val="auto"/>
              </w:rPr>
            </w:pPr>
          </w:p>
        </w:tc>
        <w:tc>
          <w:tcPr>
            <w:tcW w:w="1040" w:type="dxa"/>
            <w:vAlign w:val="bottom"/>
          </w:tcPr>
          <w:p>
            <w:pPr>
              <w:ind w:left="6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9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960" w:type="dxa"/>
            <w:vAlign w:val="bottom"/>
          </w:tcPr>
          <w:p>
            <w:pPr>
              <w:jc w:val="right"/>
              <w:ind w:right="172"/>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3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0"/>
        </w:trPr>
        <w:tc>
          <w:tcPr>
            <w:tcW w:w="440" w:type="dxa"/>
            <w:vAlign w:val="bottom"/>
            <w:tcBorders>
              <w:bottom w:val="single" w:sz="8" w:color="6D8CC3"/>
            </w:tcBorders>
          </w:tcPr>
          <w:p>
            <w:pPr>
              <w:spacing w:after="0"/>
              <w:rPr>
                <w:sz w:val="3"/>
                <w:szCs w:val="3"/>
                <w:color w:val="auto"/>
              </w:rPr>
            </w:pPr>
          </w:p>
        </w:tc>
        <w:tc>
          <w:tcPr>
            <w:tcW w:w="60" w:type="dxa"/>
            <w:vAlign w:val="bottom"/>
            <w:tcBorders>
              <w:bottom w:val="single" w:sz="8" w:color="6D8CC3"/>
            </w:tcBorders>
          </w:tcPr>
          <w:p>
            <w:pPr>
              <w:spacing w:after="0"/>
              <w:rPr>
                <w:sz w:val="3"/>
                <w:szCs w:val="3"/>
                <w:color w:val="auto"/>
              </w:rPr>
            </w:pPr>
          </w:p>
        </w:tc>
        <w:tc>
          <w:tcPr>
            <w:tcW w:w="1040" w:type="dxa"/>
            <w:vAlign w:val="bottom"/>
            <w:tcBorders>
              <w:bottom w:val="single" w:sz="8" w:color="6D8CC3"/>
            </w:tcBorders>
          </w:tcPr>
          <w:p>
            <w:pPr>
              <w:spacing w:after="0"/>
              <w:rPr>
                <w:sz w:val="3"/>
                <w:szCs w:val="3"/>
                <w:color w:val="auto"/>
              </w:rPr>
            </w:pPr>
          </w:p>
        </w:tc>
        <w:tc>
          <w:tcPr>
            <w:tcW w:w="220" w:type="dxa"/>
            <w:vAlign w:val="bottom"/>
            <w:tcBorders>
              <w:bottom w:val="single" w:sz="8" w:color="6D8CC3"/>
            </w:tcBorders>
          </w:tcPr>
          <w:p>
            <w:pPr>
              <w:spacing w:after="0"/>
              <w:rPr>
                <w:sz w:val="3"/>
                <w:szCs w:val="3"/>
                <w:color w:val="auto"/>
              </w:rPr>
            </w:pPr>
          </w:p>
        </w:tc>
        <w:tc>
          <w:tcPr>
            <w:tcW w:w="820" w:type="dxa"/>
            <w:vAlign w:val="bottom"/>
            <w:tcBorders>
              <w:bottom w:val="single" w:sz="8" w:color="6D8CC3"/>
            </w:tcBorders>
          </w:tcPr>
          <w:p>
            <w:pPr>
              <w:spacing w:after="0"/>
              <w:rPr>
                <w:sz w:val="3"/>
                <w:szCs w:val="3"/>
                <w:color w:val="auto"/>
              </w:rPr>
            </w:pPr>
          </w:p>
        </w:tc>
        <w:tc>
          <w:tcPr>
            <w:tcW w:w="700" w:type="dxa"/>
            <w:vAlign w:val="bottom"/>
            <w:tcBorders>
              <w:bottom w:val="single" w:sz="8" w:color="6D8CC3"/>
            </w:tcBorders>
            <w:gridSpan w:val="2"/>
          </w:tcPr>
          <w:p>
            <w:pPr>
              <w:spacing w:after="0"/>
              <w:rPr>
                <w:sz w:val="3"/>
                <w:szCs w:val="3"/>
                <w:color w:val="auto"/>
              </w:rPr>
            </w:pPr>
          </w:p>
        </w:tc>
        <w:tc>
          <w:tcPr>
            <w:tcW w:w="420" w:type="dxa"/>
            <w:vAlign w:val="bottom"/>
            <w:tcBorders>
              <w:bottom w:val="single" w:sz="8" w:color="6D8CC3"/>
            </w:tcBorders>
            <w:gridSpan w:val="2"/>
          </w:tcPr>
          <w:p>
            <w:pPr>
              <w:spacing w:after="0"/>
              <w:rPr>
                <w:sz w:val="3"/>
                <w:szCs w:val="3"/>
                <w:color w:val="auto"/>
              </w:rPr>
            </w:pPr>
          </w:p>
        </w:tc>
        <w:tc>
          <w:tcPr>
            <w:tcW w:w="1040" w:type="dxa"/>
            <w:vAlign w:val="bottom"/>
            <w:tcBorders>
              <w:bottom w:val="single" w:sz="8" w:color="6D8CC3"/>
            </w:tcBorders>
          </w:tcPr>
          <w:p>
            <w:pPr>
              <w:spacing w:after="0"/>
              <w:rPr>
                <w:sz w:val="3"/>
                <w:szCs w:val="3"/>
                <w:color w:val="auto"/>
              </w:rPr>
            </w:pPr>
          </w:p>
        </w:tc>
        <w:tc>
          <w:tcPr>
            <w:tcW w:w="80" w:type="dxa"/>
            <w:vAlign w:val="bottom"/>
            <w:tcBorders>
              <w:bottom w:val="single" w:sz="8" w:color="6D8CC3"/>
            </w:tcBorders>
          </w:tcPr>
          <w:p>
            <w:pPr>
              <w:spacing w:after="0"/>
              <w:rPr>
                <w:sz w:val="3"/>
                <w:szCs w:val="3"/>
                <w:color w:val="auto"/>
              </w:rPr>
            </w:pPr>
          </w:p>
        </w:tc>
        <w:tc>
          <w:tcPr>
            <w:tcW w:w="1040" w:type="dxa"/>
            <w:vAlign w:val="bottom"/>
            <w:tcBorders>
              <w:bottom w:val="single" w:sz="8" w:color="6D8CC3"/>
            </w:tcBorders>
          </w:tcPr>
          <w:p>
            <w:pPr>
              <w:spacing w:after="0"/>
              <w:rPr>
                <w:sz w:val="3"/>
                <w:szCs w:val="3"/>
                <w:color w:val="auto"/>
              </w:rPr>
            </w:pPr>
          </w:p>
        </w:tc>
        <w:tc>
          <w:tcPr>
            <w:tcW w:w="160" w:type="dxa"/>
            <w:vAlign w:val="bottom"/>
            <w:tcBorders>
              <w:bottom w:val="single" w:sz="8" w:color="6D8CC3"/>
            </w:tcBorders>
          </w:tcPr>
          <w:p>
            <w:pPr>
              <w:spacing w:after="0"/>
              <w:rPr>
                <w:sz w:val="3"/>
                <w:szCs w:val="3"/>
                <w:color w:val="auto"/>
              </w:rPr>
            </w:pPr>
          </w:p>
        </w:tc>
        <w:tc>
          <w:tcPr>
            <w:tcW w:w="940" w:type="dxa"/>
            <w:vAlign w:val="bottom"/>
            <w:tcBorders>
              <w:bottom w:val="single" w:sz="8" w:color="6D8CC3"/>
            </w:tcBorders>
            <w:gridSpan w:val="2"/>
          </w:tcPr>
          <w:p>
            <w:pPr>
              <w:spacing w:after="0"/>
              <w:rPr>
                <w:sz w:val="3"/>
                <w:szCs w:val="3"/>
                <w:color w:val="auto"/>
              </w:rPr>
            </w:pPr>
          </w:p>
        </w:tc>
        <w:tc>
          <w:tcPr>
            <w:tcW w:w="120" w:type="dxa"/>
            <w:vAlign w:val="bottom"/>
            <w:tcBorders>
              <w:bottom w:val="single" w:sz="8" w:color="6D8CC3"/>
            </w:tcBorders>
          </w:tcPr>
          <w:p>
            <w:pPr>
              <w:spacing w:after="0"/>
              <w:rPr>
                <w:sz w:val="3"/>
                <w:szCs w:val="3"/>
                <w:color w:val="auto"/>
              </w:rPr>
            </w:pPr>
          </w:p>
        </w:tc>
        <w:tc>
          <w:tcPr>
            <w:tcW w:w="960" w:type="dxa"/>
            <w:vAlign w:val="bottom"/>
            <w:tcBorders>
              <w:bottom w:val="single" w:sz="8" w:color="6D8CC3"/>
            </w:tcBorders>
          </w:tcPr>
          <w:p>
            <w:pPr>
              <w:spacing w:after="0"/>
              <w:rPr>
                <w:sz w:val="3"/>
                <w:szCs w:val="3"/>
                <w:color w:val="auto"/>
              </w:rPr>
            </w:pPr>
          </w:p>
        </w:tc>
        <w:tc>
          <w:tcPr>
            <w:tcW w:w="1000" w:type="dxa"/>
            <w:vAlign w:val="bottom"/>
            <w:tcBorders>
              <w:bottom w:val="single" w:sz="8" w:color="6D8CC3"/>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440" w:type="dxa"/>
            <w:vAlign w:val="bottom"/>
          </w:tcPr>
          <w:p>
            <w:pPr>
              <w:spacing w:after="0"/>
              <w:rPr>
                <w:sz w:val="20"/>
                <w:szCs w:val="20"/>
                <w:color w:val="auto"/>
              </w:rPr>
            </w:pPr>
            <w:r>
              <w:rPr>
                <w:rFonts w:ascii="Arial" w:cs="Arial" w:eastAsia="Arial" w:hAnsi="Arial"/>
                <w:sz w:val="14"/>
                <w:szCs w:val="14"/>
                <w:b w:val="1"/>
                <w:bCs w:val="1"/>
                <w:color w:val="auto"/>
              </w:rPr>
              <w:t>2024</w:t>
            </w:r>
          </w:p>
        </w:tc>
        <w:tc>
          <w:tcPr>
            <w:tcW w:w="60" w:type="dxa"/>
            <w:vAlign w:val="bottom"/>
          </w:tcPr>
          <w:p>
            <w:pPr>
              <w:spacing w:after="0"/>
              <w:rPr>
                <w:sz w:val="21"/>
                <w:szCs w:val="21"/>
                <w:color w:val="auto"/>
              </w:rPr>
            </w:pPr>
          </w:p>
        </w:tc>
        <w:tc>
          <w:tcPr>
            <w:tcW w:w="1040" w:type="dxa"/>
            <w:vAlign w:val="bottom"/>
          </w:tcPr>
          <w:p>
            <w:pPr>
              <w:ind w:left="6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820" w:type="dxa"/>
            <w:vAlign w:val="bottom"/>
          </w:tcPr>
          <w:p>
            <w:pPr>
              <w:ind w:left="480"/>
              <w:spacing w:after="0"/>
              <w:rPr>
                <w:sz w:val="20"/>
                <w:szCs w:val="20"/>
                <w:color w:val="auto"/>
              </w:rPr>
            </w:pPr>
            <w:r>
              <w:rPr>
                <w:rFonts w:ascii="Arial" w:cs="Arial" w:eastAsia="Arial" w:hAnsi="Arial"/>
                <w:sz w:val="14"/>
                <w:szCs w:val="14"/>
                <w:color w:val="auto"/>
              </w:rPr>
              <w:t>—</w:t>
            </w:r>
          </w:p>
        </w:tc>
        <w:tc>
          <w:tcPr>
            <w:tcW w:w="1120" w:type="dxa"/>
            <w:vAlign w:val="bottom"/>
            <w:gridSpan w:val="4"/>
          </w:tcPr>
          <w:p>
            <w:pPr>
              <w:jc w:val="right"/>
              <w:ind w:right="134"/>
              <w:spacing w:after="0"/>
              <w:rPr>
                <w:sz w:val="20"/>
                <w:szCs w:val="20"/>
                <w:color w:val="auto"/>
              </w:rPr>
            </w:pPr>
            <w:r>
              <w:rPr>
                <w:rFonts w:ascii="Arial" w:cs="Arial" w:eastAsia="Arial" w:hAnsi="Arial"/>
                <w:sz w:val="14"/>
                <w:szCs w:val="14"/>
                <w:color w:val="auto"/>
              </w:rPr>
              <w:t>12,570,293</w:t>
            </w:r>
          </w:p>
        </w:tc>
        <w:tc>
          <w:tcPr>
            <w:tcW w:w="1040" w:type="dxa"/>
            <w:vAlign w:val="bottom"/>
          </w:tcPr>
          <w:p>
            <w:pPr>
              <w:jc w:val="right"/>
              <w:ind w:right="113"/>
              <w:spacing w:after="0"/>
              <w:rPr>
                <w:sz w:val="20"/>
                <w:szCs w:val="20"/>
                <w:color w:val="auto"/>
              </w:rPr>
            </w:pPr>
            <w:r>
              <w:rPr>
                <w:rFonts w:ascii="Arial" w:cs="Arial" w:eastAsia="Arial" w:hAnsi="Arial"/>
                <w:sz w:val="14"/>
                <w:szCs w:val="14"/>
                <w:color w:val="auto"/>
              </w:rPr>
              <w:t>8,575,701</w:t>
            </w:r>
          </w:p>
        </w:tc>
        <w:tc>
          <w:tcPr>
            <w:tcW w:w="80" w:type="dxa"/>
            <w:vAlign w:val="bottom"/>
          </w:tcPr>
          <w:p>
            <w:pPr>
              <w:spacing w:after="0"/>
              <w:rPr>
                <w:sz w:val="21"/>
                <w:szCs w:val="21"/>
                <w:color w:val="auto"/>
              </w:rPr>
            </w:pPr>
          </w:p>
        </w:tc>
        <w:tc>
          <w:tcPr>
            <w:tcW w:w="1040" w:type="dxa"/>
            <w:vAlign w:val="bottom"/>
          </w:tcPr>
          <w:p>
            <w:pPr>
              <w:ind w:left="6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9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960" w:type="dxa"/>
            <w:vAlign w:val="bottom"/>
          </w:tcPr>
          <w:p>
            <w:pPr>
              <w:jc w:val="right"/>
              <w:ind w:right="172"/>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3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0"/>
        </w:trPr>
        <w:tc>
          <w:tcPr>
            <w:tcW w:w="440" w:type="dxa"/>
            <w:vAlign w:val="bottom"/>
            <w:tcBorders>
              <w:bottom w:val="single" w:sz="8" w:color="6D8CC3"/>
            </w:tcBorders>
          </w:tcPr>
          <w:p>
            <w:pPr>
              <w:spacing w:after="0"/>
              <w:rPr>
                <w:sz w:val="3"/>
                <w:szCs w:val="3"/>
                <w:color w:val="auto"/>
              </w:rPr>
            </w:pPr>
          </w:p>
        </w:tc>
        <w:tc>
          <w:tcPr>
            <w:tcW w:w="60" w:type="dxa"/>
            <w:vAlign w:val="bottom"/>
            <w:tcBorders>
              <w:bottom w:val="single" w:sz="8" w:color="6D8CC3"/>
            </w:tcBorders>
          </w:tcPr>
          <w:p>
            <w:pPr>
              <w:spacing w:after="0"/>
              <w:rPr>
                <w:sz w:val="3"/>
                <w:szCs w:val="3"/>
                <w:color w:val="auto"/>
              </w:rPr>
            </w:pPr>
          </w:p>
        </w:tc>
        <w:tc>
          <w:tcPr>
            <w:tcW w:w="1040" w:type="dxa"/>
            <w:vAlign w:val="bottom"/>
            <w:tcBorders>
              <w:bottom w:val="single" w:sz="8" w:color="6D8CC3"/>
            </w:tcBorders>
          </w:tcPr>
          <w:p>
            <w:pPr>
              <w:spacing w:after="0"/>
              <w:rPr>
                <w:sz w:val="3"/>
                <w:szCs w:val="3"/>
                <w:color w:val="auto"/>
              </w:rPr>
            </w:pPr>
          </w:p>
        </w:tc>
        <w:tc>
          <w:tcPr>
            <w:tcW w:w="220" w:type="dxa"/>
            <w:vAlign w:val="bottom"/>
            <w:tcBorders>
              <w:bottom w:val="single" w:sz="8" w:color="6D8CC3"/>
            </w:tcBorders>
          </w:tcPr>
          <w:p>
            <w:pPr>
              <w:spacing w:after="0"/>
              <w:rPr>
                <w:sz w:val="3"/>
                <w:szCs w:val="3"/>
                <w:color w:val="auto"/>
              </w:rPr>
            </w:pPr>
          </w:p>
        </w:tc>
        <w:tc>
          <w:tcPr>
            <w:tcW w:w="820" w:type="dxa"/>
            <w:vAlign w:val="bottom"/>
            <w:tcBorders>
              <w:bottom w:val="single" w:sz="8" w:color="6D8CC3"/>
            </w:tcBorders>
          </w:tcPr>
          <w:p>
            <w:pPr>
              <w:spacing w:after="0"/>
              <w:rPr>
                <w:sz w:val="3"/>
                <w:szCs w:val="3"/>
                <w:color w:val="auto"/>
              </w:rPr>
            </w:pPr>
          </w:p>
        </w:tc>
        <w:tc>
          <w:tcPr>
            <w:tcW w:w="700" w:type="dxa"/>
            <w:vAlign w:val="bottom"/>
            <w:tcBorders>
              <w:bottom w:val="single" w:sz="8" w:color="6D8CC3"/>
            </w:tcBorders>
            <w:gridSpan w:val="2"/>
          </w:tcPr>
          <w:p>
            <w:pPr>
              <w:spacing w:after="0"/>
              <w:rPr>
                <w:sz w:val="3"/>
                <w:szCs w:val="3"/>
                <w:color w:val="auto"/>
              </w:rPr>
            </w:pPr>
          </w:p>
        </w:tc>
        <w:tc>
          <w:tcPr>
            <w:tcW w:w="420" w:type="dxa"/>
            <w:vAlign w:val="bottom"/>
            <w:tcBorders>
              <w:bottom w:val="single" w:sz="8" w:color="6D8CC3"/>
            </w:tcBorders>
            <w:gridSpan w:val="2"/>
          </w:tcPr>
          <w:p>
            <w:pPr>
              <w:spacing w:after="0"/>
              <w:rPr>
                <w:sz w:val="3"/>
                <w:szCs w:val="3"/>
                <w:color w:val="auto"/>
              </w:rPr>
            </w:pPr>
          </w:p>
        </w:tc>
        <w:tc>
          <w:tcPr>
            <w:tcW w:w="1040" w:type="dxa"/>
            <w:vAlign w:val="bottom"/>
            <w:tcBorders>
              <w:bottom w:val="single" w:sz="8" w:color="6D8CC3"/>
            </w:tcBorders>
          </w:tcPr>
          <w:p>
            <w:pPr>
              <w:spacing w:after="0"/>
              <w:rPr>
                <w:sz w:val="3"/>
                <w:szCs w:val="3"/>
                <w:color w:val="auto"/>
              </w:rPr>
            </w:pPr>
          </w:p>
        </w:tc>
        <w:tc>
          <w:tcPr>
            <w:tcW w:w="80" w:type="dxa"/>
            <w:vAlign w:val="bottom"/>
            <w:tcBorders>
              <w:bottom w:val="single" w:sz="8" w:color="6D8CC3"/>
            </w:tcBorders>
          </w:tcPr>
          <w:p>
            <w:pPr>
              <w:spacing w:after="0"/>
              <w:rPr>
                <w:sz w:val="3"/>
                <w:szCs w:val="3"/>
                <w:color w:val="auto"/>
              </w:rPr>
            </w:pPr>
          </w:p>
        </w:tc>
        <w:tc>
          <w:tcPr>
            <w:tcW w:w="1040" w:type="dxa"/>
            <w:vAlign w:val="bottom"/>
            <w:tcBorders>
              <w:bottom w:val="single" w:sz="8" w:color="6D8CC3"/>
            </w:tcBorders>
          </w:tcPr>
          <w:p>
            <w:pPr>
              <w:spacing w:after="0"/>
              <w:rPr>
                <w:sz w:val="3"/>
                <w:szCs w:val="3"/>
                <w:color w:val="auto"/>
              </w:rPr>
            </w:pPr>
          </w:p>
        </w:tc>
        <w:tc>
          <w:tcPr>
            <w:tcW w:w="160" w:type="dxa"/>
            <w:vAlign w:val="bottom"/>
            <w:tcBorders>
              <w:bottom w:val="single" w:sz="8" w:color="6D8CC3"/>
            </w:tcBorders>
          </w:tcPr>
          <w:p>
            <w:pPr>
              <w:spacing w:after="0"/>
              <w:rPr>
                <w:sz w:val="3"/>
                <w:szCs w:val="3"/>
                <w:color w:val="auto"/>
              </w:rPr>
            </w:pPr>
          </w:p>
        </w:tc>
        <w:tc>
          <w:tcPr>
            <w:tcW w:w="940" w:type="dxa"/>
            <w:vAlign w:val="bottom"/>
            <w:tcBorders>
              <w:bottom w:val="single" w:sz="8" w:color="6D8CC3"/>
            </w:tcBorders>
            <w:gridSpan w:val="2"/>
          </w:tcPr>
          <w:p>
            <w:pPr>
              <w:spacing w:after="0"/>
              <w:rPr>
                <w:sz w:val="3"/>
                <w:szCs w:val="3"/>
                <w:color w:val="auto"/>
              </w:rPr>
            </w:pPr>
          </w:p>
        </w:tc>
        <w:tc>
          <w:tcPr>
            <w:tcW w:w="120" w:type="dxa"/>
            <w:vAlign w:val="bottom"/>
            <w:tcBorders>
              <w:bottom w:val="single" w:sz="8" w:color="6D8CC3"/>
            </w:tcBorders>
          </w:tcPr>
          <w:p>
            <w:pPr>
              <w:spacing w:after="0"/>
              <w:rPr>
                <w:sz w:val="3"/>
                <w:szCs w:val="3"/>
                <w:color w:val="auto"/>
              </w:rPr>
            </w:pPr>
          </w:p>
        </w:tc>
        <w:tc>
          <w:tcPr>
            <w:tcW w:w="960" w:type="dxa"/>
            <w:vAlign w:val="bottom"/>
            <w:tcBorders>
              <w:bottom w:val="single" w:sz="8" w:color="6D8CC3"/>
            </w:tcBorders>
          </w:tcPr>
          <w:p>
            <w:pPr>
              <w:spacing w:after="0"/>
              <w:rPr>
                <w:sz w:val="3"/>
                <w:szCs w:val="3"/>
                <w:color w:val="auto"/>
              </w:rPr>
            </w:pPr>
          </w:p>
        </w:tc>
        <w:tc>
          <w:tcPr>
            <w:tcW w:w="1000" w:type="dxa"/>
            <w:vAlign w:val="bottom"/>
            <w:tcBorders>
              <w:bottom w:val="single" w:sz="8" w:color="6D8CC3"/>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440" w:type="dxa"/>
            <w:vAlign w:val="bottom"/>
          </w:tcPr>
          <w:p>
            <w:pPr>
              <w:spacing w:after="0"/>
              <w:rPr>
                <w:sz w:val="20"/>
                <w:szCs w:val="20"/>
                <w:color w:val="auto"/>
              </w:rPr>
            </w:pPr>
            <w:r>
              <w:rPr>
                <w:rFonts w:ascii="Arial" w:cs="Arial" w:eastAsia="Arial" w:hAnsi="Arial"/>
                <w:sz w:val="14"/>
                <w:szCs w:val="14"/>
                <w:b w:val="1"/>
                <w:bCs w:val="1"/>
                <w:color w:val="auto"/>
              </w:rPr>
              <w:t>2023</w:t>
            </w:r>
          </w:p>
        </w:tc>
        <w:tc>
          <w:tcPr>
            <w:tcW w:w="60" w:type="dxa"/>
            <w:vAlign w:val="bottom"/>
          </w:tcPr>
          <w:p>
            <w:pPr>
              <w:spacing w:after="0"/>
              <w:rPr>
                <w:sz w:val="21"/>
                <w:szCs w:val="21"/>
                <w:color w:val="auto"/>
              </w:rPr>
            </w:pPr>
          </w:p>
        </w:tc>
        <w:tc>
          <w:tcPr>
            <w:tcW w:w="1040" w:type="dxa"/>
            <w:vAlign w:val="bottom"/>
          </w:tcPr>
          <w:p>
            <w:pPr>
              <w:ind w:left="6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820" w:type="dxa"/>
            <w:vAlign w:val="bottom"/>
          </w:tcPr>
          <w:p>
            <w:pPr>
              <w:ind w:left="480"/>
              <w:spacing w:after="0"/>
              <w:rPr>
                <w:sz w:val="20"/>
                <w:szCs w:val="20"/>
                <w:color w:val="auto"/>
              </w:rPr>
            </w:pPr>
            <w:r>
              <w:rPr>
                <w:rFonts w:ascii="Arial" w:cs="Arial" w:eastAsia="Arial" w:hAnsi="Arial"/>
                <w:sz w:val="14"/>
                <w:szCs w:val="14"/>
                <w:color w:val="auto"/>
              </w:rPr>
              <w:t>—</w:t>
            </w:r>
          </w:p>
        </w:tc>
        <w:tc>
          <w:tcPr>
            <w:tcW w:w="1120" w:type="dxa"/>
            <w:vAlign w:val="bottom"/>
            <w:gridSpan w:val="4"/>
          </w:tcPr>
          <w:p>
            <w:pPr>
              <w:jc w:val="right"/>
              <w:ind w:right="134"/>
              <w:spacing w:after="0"/>
              <w:rPr>
                <w:sz w:val="20"/>
                <w:szCs w:val="20"/>
                <w:color w:val="auto"/>
              </w:rPr>
            </w:pPr>
            <w:r>
              <w:rPr>
                <w:rFonts w:ascii="Arial" w:cs="Arial" w:eastAsia="Arial" w:hAnsi="Arial"/>
                <w:sz w:val="14"/>
                <w:szCs w:val="14"/>
                <w:color w:val="auto"/>
              </w:rPr>
              <w:t>11,694,513</w:t>
            </w:r>
          </w:p>
        </w:tc>
        <w:tc>
          <w:tcPr>
            <w:tcW w:w="1040" w:type="dxa"/>
            <w:vAlign w:val="bottom"/>
          </w:tcPr>
          <w:p>
            <w:pPr>
              <w:jc w:val="right"/>
              <w:ind w:right="93"/>
              <w:spacing w:after="0"/>
              <w:rPr>
                <w:sz w:val="20"/>
                <w:szCs w:val="20"/>
                <w:color w:val="auto"/>
              </w:rPr>
            </w:pPr>
            <w:r>
              <w:rPr>
                <w:rFonts w:ascii="Arial" w:cs="Arial" w:eastAsia="Arial" w:hAnsi="Arial"/>
                <w:sz w:val="14"/>
                <w:szCs w:val="14"/>
                <w:color w:val="auto"/>
              </w:rPr>
              <w:t>12,796,859</w:t>
            </w:r>
          </w:p>
        </w:tc>
        <w:tc>
          <w:tcPr>
            <w:tcW w:w="80" w:type="dxa"/>
            <w:vAlign w:val="bottom"/>
          </w:tcPr>
          <w:p>
            <w:pPr>
              <w:spacing w:after="0"/>
              <w:rPr>
                <w:sz w:val="21"/>
                <w:szCs w:val="21"/>
                <w:color w:val="auto"/>
              </w:rPr>
            </w:pPr>
          </w:p>
        </w:tc>
        <w:tc>
          <w:tcPr>
            <w:tcW w:w="1040" w:type="dxa"/>
            <w:vAlign w:val="bottom"/>
          </w:tcPr>
          <w:p>
            <w:pPr>
              <w:ind w:left="6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9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960" w:type="dxa"/>
            <w:vAlign w:val="bottom"/>
          </w:tcPr>
          <w:p>
            <w:pPr>
              <w:jc w:val="right"/>
              <w:ind w:right="172"/>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3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0"/>
        </w:trPr>
        <w:tc>
          <w:tcPr>
            <w:tcW w:w="440" w:type="dxa"/>
            <w:vAlign w:val="bottom"/>
            <w:tcBorders>
              <w:bottom w:val="single" w:sz="8" w:color="6D8CC3"/>
            </w:tcBorders>
          </w:tcPr>
          <w:p>
            <w:pPr>
              <w:spacing w:after="0"/>
              <w:rPr>
                <w:sz w:val="3"/>
                <w:szCs w:val="3"/>
                <w:color w:val="auto"/>
              </w:rPr>
            </w:pPr>
          </w:p>
        </w:tc>
        <w:tc>
          <w:tcPr>
            <w:tcW w:w="60" w:type="dxa"/>
            <w:vAlign w:val="bottom"/>
            <w:tcBorders>
              <w:bottom w:val="single" w:sz="8" w:color="6D8CC3"/>
            </w:tcBorders>
          </w:tcPr>
          <w:p>
            <w:pPr>
              <w:spacing w:after="0"/>
              <w:rPr>
                <w:sz w:val="3"/>
                <w:szCs w:val="3"/>
                <w:color w:val="auto"/>
              </w:rPr>
            </w:pPr>
          </w:p>
        </w:tc>
        <w:tc>
          <w:tcPr>
            <w:tcW w:w="1040" w:type="dxa"/>
            <w:vAlign w:val="bottom"/>
            <w:tcBorders>
              <w:bottom w:val="single" w:sz="8" w:color="6D8CC3"/>
            </w:tcBorders>
          </w:tcPr>
          <w:p>
            <w:pPr>
              <w:spacing w:after="0"/>
              <w:rPr>
                <w:sz w:val="3"/>
                <w:szCs w:val="3"/>
                <w:color w:val="auto"/>
              </w:rPr>
            </w:pPr>
          </w:p>
        </w:tc>
        <w:tc>
          <w:tcPr>
            <w:tcW w:w="220" w:type="dxa"/>
            <w:vAlign w:val="bottom"/>
            <w:tcBorders>
              <w:bottom w:val="single" w:sz="8" w:color="6D8CC3"/>
            </w:tcBorders>
          </w:tcPr>
          <w:p>
            <w:pPr>
              <w:spacing w:after="0"/>
              <w:rPr>
                <w:sz w:val="3"/>
                <w:szCs w:val="3"/>
                <w:color w:val="auto"/>
              </w:rPr>
            </w:pPr>
          </w:p>
        </w:tc>
        <w:tc>
          <w:tcPr>
            <w:tcW w:w="820" w:type="dxa"/>
            <w:vAlign w:val="bottom"/>
            <w:tcBorders>
              <w:bottom w:val="single" w:sz="8" w:color="6D8CC3"/>
            </w:tcBorders>
          </w:tcPr>
          <w:p>
            <w:pPr>
              <w:spacing w:after="0"/>
              <w:rPr>
                <w:sz w:val="3"/>
                <w:szCs w:val="3"/>
                <w:color w:val="auto"/>
              </w:rPr>
            </w:pPr>
          </w:p>
        </w:tc>
        <w:tc>
          <w:tcPr>
            <w:tcW w:w="700" w:type="dxa"/>
            <w:vAlign w:val="bottom"/>
            <w:tcBorders>
              <w:bottom w:val="single" w:sz="8" w:color="6D8CC3"/>
            </w:tcBorders>
            <w:gridSpan w:val="2"/>
          </w:tcPr>
          <w:p>
            <w:pPr>
              <w:spacing w:after="0"/>
              <w:rPr>
                <w:sz w:val="3"/>
                <w:szCs w:val="3"/>
                <w:color w:val="auto"/>
              </w:rPr>
            </w:pPr>
          </w:p>
        </w:tc>
        <w:tc>
          <w:tcPr>
            <w:tcW w:w="420" w:type="dxa"/>
            <w:vAlign w:val="bottom"/>
            <w:tcBorders>
              <w:bottom w:val="single" w:sz="8" w:color="6D8CC3"/>
            </w:tcBorders>
            <w:gridSpan w:val="2"/>
          </w:tcPr>
          <w:p>
            <w:pPr>
              <w:spacing w:after="0"/>
              <w:rPr>
                <w:sz w:val="3"/>
                <w:szCs w:val="3"/>
                <w:color w:val="auto"/>
              </w:rPr>
            </w:pPr>
          </w:p>
        </w:tc>
        <w:tc>
          <w:tcPr>
            <w:tcW w:w="1040" w:type="dxa"/>
            <w:vAlign w:val="bottom"/>
            <w:tcBorders>
              <w:bottom w:val="single" w:sz="8" w:color="6D8CC3"/>
            </w:tcBorders>
          </w:tcPr>
          <w:p>
            <w:pPr>
              <w:spacing w:after="0"/>
              <w:rPr>
                <w:sz w:val="3"/>
                <w:szCs w:val="3"/>
                <w:color w:val="auto"/>
              </w:rPr>
            </w:pPr>
          </w:p>
        </w:tc>
        <w:tc>
          <w:tcPr>
            <w:tcW w:w="1120" w:type="dxa"/>
            <w:vAlign w:val="bottom"/>
            <w:tcBorders>
              <w:bottom w:val="single" w:sz="8" w:color="6D8CC3"/>
            </w:tcBorders>
            <w:gridSpan w:val="2"/>
          </w:tcPr>
          <w:p>
            <w:pPr>
              <w:spacing w:after="0"/>
              <w:rPr>
                <w:sz w:val="3"/>
                <w:szCs w:val="3"/>
                <w:color w:val="auto"/>
              </w:rPr>
            </w:pPr>
          </w:p>
        </w:tc>
        <w:tc>
          <w:tcPr>
            <w:tcW w:w="160" w:type="dxa"/>
            <w:vAlign w:val="bottom"/>
            <w:tcBorders>
              <w:bottom w:val="single" w:sz="8" w:color="6D8CC3"/>
            </w:tcBorders>
          </w:tcPr>
          <w:p>
            <w:pPr>
              <w:spacing w:after="0"/>
              <w:rPr>
                <w:sz w:val="3"/>
                <w:szCs w:val="3"/>
                <w:color w:val="auto"/>
              </w:rPr>
            </w:pPr>
          </w:p>
        </w:tc>
        <w:tc>
          <w:tcPr>
            <w:tcW w:w="880" w:type="dxa"/>
            <w:vAlign w:val="bottom"/>
            <w:tcBorders>
              <w:bottom w:val="single" w:sz="8" w:color="6D8CC3"/>
            </w:tcBorders>
          </w:tcPr>
          <w:p>
            <w:pPr>
              <w:spacing w:after="0"/>
              <w:rPr>
                <w:sz w:val="3"/>
                <w:szCs w:val="3"/>
                <w:color w:val="auto"/>
              </w:rPr>
            </w:pPr>
          </w:p>
        </w:tc>
        <w:tc>
          <w:tcPr>
            <w:tcW w:w="60" w:type="dxa"/>
            <w:vAlign w:val="bottom"/>
            <w:tcBorders>
              <w:bottom w:val="single" w:sz="8" w:color="6D8CC3"/>
            </w:tcBorders>
          </w:tcPr>
          <w:p>
            <w:pPr>
              <w:spacing w:after="0"/>
              <w:rPr>
                <w:sz w:val="3"/>
                <w:szCs w:val="3"/>
                <w:color w:val="auto"/>
              </w:rPr>
            </w:pPr>
          </w:p>
        </w:tc>
        <w:tc>
          <w:tcPr>
            <w:tcW w:w="120" w:type="dxa"/>
            <w:vAlign w:val="bottom"/>
            <w:tcBorders>
              <w:bottom w:val="single" w:sz="8" w:color="6D8CC3"/>
            </w:tcBorders>
          </w:tcPr>
          <w:p>
            <w:pPr>
              <w:spacing w:after="0"/>
              <w:rPr>
                <w:sz w:val="3"/>
                <w:szCs w:val="3"/>
                <w:color w:val="auto"/>
              </w:rPr>
            </w:pPr>
          </w:p>
        </w:tc>
        <w:tc>
          <w:tcPr>
            <w:tcW w:w="960" w:type="dxa"/>
            <w:vAlign w:val="bottom"/>
            <w:tcBorders>
              <w:bottom w:val="single" w:sz="8" w:color="6D8CC3"/>
            </w:tcBorders>
          </w:tcPr>
          <w:p>
            <w:pPr>
              <w:spacing w:after="0"/>
              <w:rPr>
                <w:sz w:val="3"/>
                <w:szCs w:val="3"/>
                <w:color w:val="auto"/>
              </w:rPr>
            </w:pPr>
          </w:p>
        </w:tc>
        <w:tc>
          <w:tcPr>
            <w:tcW w:w="1000" w:type="dxa"/>
            <w:vAlign w:val="bottom"/>
            <w:tcBorders>
              <w:bottom w:val="single" w:sz="8" w:color="6D8CC3"/>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440" w:type="dxa"/>
            <w:vAlign w:val="bottom"/>
          </w:tcPr>
          <w:p>
            <w:pPr>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21"/>
                <w:szCs w:val="21"/>
                <w:color w:val="auto"/>
              </w:rPr>
            </w:pPr>
          </w:p>
        </w:tc>
        <w:tc>
          <w:tcPr>
            <w:tcW w:w="1040" w:type="dxa"/>
            <w:vAlign w:val="bottom"/>
          </w:tcPr>
          <w:p>
            <w:pPr>
              <w:ind w:left="6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820" w:type="dxa"/>
            <w:vAlign w:val="bottom"/>
          </w:tcPr>
          <w:p>
            <w:pPr>
              <w:ind w:left="480"/>
              <w:spacing w:after="0"/>
              <w:rPr>
                <w:sz w:val="20"/>
                <w:szCs w:val="20"/>
                <w:color w:val="auto"/>
              </w:rPr>
            </w:pPr>
            <w:r>
              <w:rPr>
                <w:rFonts w:ascii="Arial" w:cs="Arial" w:eastAsia="Arial" w:hAnsi="Arial"/>
                <w:sz w:val="14"/>
                <w:szCs w:val="14"/>
                <w:color w:val="auto"/>
              </w:rPr>
              <w:t>—</w:t>
            </w:r>
          </w:p>
        </w:tc>
        <w:tc>
          <w:tcPr>
            <w:tcW w:w="1120" w:type="dxa"/>
            <w:vAlign w:val="bottom"/>
            <w:gridSpan w:val="4"/>
          </w:tcPr>
          <w:p>
            <w:pPr>
              <w:jc w:val="right"/>
              <w:ind w:right="134"/>
              <w:spacing w:after="0"/>
              <w:rPr>
                <w:sz w:val="20"/>
                <w:szCs w:val="20"/>
                <w:color w:val="auto"/>
              </w:rPr>
            </w:pPr>
            <w:r>
              <w:rPr>
                <w:rFonts w:ascii="Arial" w:cs="Arial" w:eastAsia="Arial" w:hAnsi="Arial"/>
                <w:sz w:val="14"/>
                <w:szCs w:val="14"/>
                <w:color w:val="auto"/>
              </w:rPr>
              <w:t>6,908,991</w:t>
            </w:r>
          </w:p>
        </w:tc>
        <w:tc>
          <w:tcPr>
            <w:tcW w:w="1040" w:type="dxa"/>
            <w:vAlign w:val="bottom"/>
          </w:tcPr>
          <w:p>
            <w:pPr>
              <w:jc w:val="right"/>
              <w:ind w:right="113"/>
              <w:spacing w:after="0"/>
              <w:rPr>
                <w:sz w:val="20"/>
                <w:szCs w:val="20"/>
                <w:color w:val="auto"/>
              </w:rPr>
            </w:pPr>
            <w:r>
              <w:rPr>
                <w:rFonts w:ascii="Arial" w:cs="Arial" w:eastAsia="Arial" w:hAnsi="Arial"/>
                <w:sz w:val="14"/>
                <w:szCs w:val="14"/>
                <w:color w:val="auto"/>
              </w:rPr>
              <w:t>7,029,815</w:t>
            </w:r>
          </w:p>
        </w:tc>
        <w:tc>
          <w:tcPr>
            <w:tcW w:w="1120" w:type="dxa"/>
            <w:vAlign w:val="bottom"/>
            <w:gridSpan w:val="2"/>
          </w:tcPr>
          <w:p>
            <w:pPr>
              <w:ind w:left="220"/>
              <w:spacing w:after="0"/>
              <w:rPr>
                <w:sz w:val="20"/>
                <w:szCs w:val="20"/>
                <w:color w:val="auto"/>
              </w:rPr>
            </w:pPr>
            <w:r>
              <w:rPr>
                <w:rFonts w:ascii="Arial" w:cs="Arial" w:eastAsia="Arial" w:hAnsi="Arial"/>
                <w:sz w:val="14"/>
                <w:szCs w:val="14"/>
                <w:color w:val="auto"/>
              </w:rPr>
              <w:t>22,795,013</w:t>
            </w:r>
          </w:p>
        </w:tc>
        <w:tc>
          <w:tcPr>
            <w:tcW w:w="160" w:type="dxa"/>
            <w:vAlign w:val="bottom"/>
          </w:tcPr>
          <w:p>
            <w:pPr>
              <w:spacing w:after="0"/>
              <w:rPr>
                <w:sz w:val="21"/>
                <w:szCs w:val="21"/>
                <w:color w:val="auto"/>
              </w:rPr>
            </w:pPr>
          </w:p>
        </w:tc>
        <w:tc>
          <w:tcPr>
            <w:tcW w:w="880" w:type="dxa"/>
            <w:vAlign w:val="bottom"/>
          </w:tcPr>
          <w:p>
            <w:pPr>
              <w:ind w:left="20"/>
              <w:spacing w:after="0"/>
              <w:rPr>
                <w:sz w:val="20"/>
                <w:szCs w:val="20"/>
                <w:color w:val="auto"/>
              </w:rPr>
            </w:pPr>
            <w:r>
              <w:rPr>
                <w:rFonts w:ascii="Arial" w:cs="Arial" w:eastAsia="Arial" w:hAnsi="Arial"/>
                <w:sz w:val="14"/>
                <w:szCs w:val="14"/>
                <w:color w:val="auto"/>
              </w:rPr>
              <w:t>21,646,899</w:t>
            </w:r>
          </w:p>
        </w:tc>
        <w:tc>
          <w:tcPr>
            <w:tcW w:w="60" w:type="dxa"/>
            <w:vAlign w:val="bottom"/>
          </w:tcPr>
          <w:p>
            <w:pPr>
              <w:spacing w:after="0"/>
              <w:rPr>
                <w:sz w:val="21"/>
                <w:szCs w:val="21"/>
                <w:color w:val="auto"/>
              </w:rPr>
            </w:pPr>
          </w:p>
        </w:tc>
        <w:tc>
          <w:tcPr>
            <w:tcW w:w="1080" w:type="dxa"/>
            <w:vAlign w:val="bottom"/>
            <w:gridSpan w:val="2"/>
          </w:tcPr>
          <w:p>
            <w:pPr>
              <w:jc w:val="right"/>
              <w:ind w:right="172"/>
              <w:spacing w:after="0"/>
              <w:rPr>
                <w:sz w:val="20"/>
                <w:szCs w:val="20"/>
                <w:color w:val="auto"/>
              </w:rPr>
            </w:pPr>
            <w:r>
              <w:rPr>
                <w:rFonts w:ascii="Arial" w:cs="Arial" w:eastAsia="Arial" w:hAnsi="Arial"/>
                <w:sz w:val="14"/>
                <w:szCs w:val="14"/>
                <w:color w:val="auto"/>
              </w:rPr>
              <w:t>9,467,439</w:t>
            </w:r>
          </w:p>
        </w:tc>
        <w:tc>
          <w:tcPr>
            <w:tcW w:w="1000" w:type="dxa"/>
            <w:vAlign w:val="bottom"/>
          </w:tcPr>
          <w:p>
            <w:pPr>
              <w:jc w:val="right"/>
              <w:spacing w:after="0"/>
              <w:rPr>
                <w:sz w:val="20"/>
                <w:szCs w:val="20"/>
                <w:color w:val="auto"/>
              </w:rPr>
            </w:pPr>
            <w:r>
              <w:rPr>
                <w:rFonts w:ascii="Arial" w:cs="Arial" w:eastAsia="Arial" w:hAnsi="Arial"/>
                <w:sz w:val="14"/>
                <w:szCs w:val="14"/>
                <w:color w:val="auto"/>
              </w:rPr>
              <w:t>(115,380,126)</w:t>
            </w:r>
          </w:p>
        </w:tc>
        <w:tc>
          <w:tcPr>
            <w:tcW w:w="0" w:type="dxa"/>
            <w:vAlign w:val="bottom"/>
          </w:tcPr>
          <w:p>
            <w:pPr>
              <w:spacing w:after="0"/>
              <w:rPr>
                <w:sz w:val="1"/>
                <w:szCs w:val="1"/>
                <w:color w:val="auto"/>
              </w:rPr>
            </w:pPr>
          </w:p>
        </w:tc>
      </w:tr>
      <w:tr>
        <w:trPr>
          <w:trHeight w:val="40"/>
        </w:trPr>
        <w:tc>
          <w:tcPr>
            <w:tcW w:w="440" w:type="dxa"/>
            <w:vAlign w:val="bottom"/>
            <w:tcBorders>
              <w:bottom w:val="single" w:sz="8" w:color="6D8CC3"/>
            </w:tcBorders>
          </w:tcPr>
          <w:p>
            <w:pPr>
              <w:spacing w:after="0"/>
              <w:rPr>
                <w:sz w:val="3"/>
                <w:szCs w:val="3"/>
                <w:color w:val="auto"/>
              </w:rPr>
            </w:pPr>
          </w:p>
        </w:tc>
        <w:tc>
          <w:tcPr>
            <w:tcW w:w="60" w:type="dxa"/>
            <w:vAlign w:val="bottom"/>
            <w:tcBorders>
              <w:bottom w:val="single" w:sz="8" w:color="6D8CC3"/>
            </w:tcBorders>
          </w:tcPr>
          <w:p>
            <w:pPr>
              <w:spacing w:after="0"/>
              <w:rPr>
                <w:sz w:val="3"/>
                <w:szCs w:val="3"/>
                <w:color w:val="auto"/>
              </w:rPr>
            </w:pPr>
          </w:p>
        </w:tc>
        <w:tc>
          <w:tcPr>
            <w:tcW w:w="1040" w:type="dxa"/>
            <w:vAlign w:val="bottom"/>
            <w:tcBorders>
              <w:bottom w:val="single" w:sz="8" w:color="6D8CC3"/>
            </w:tcBorders>
          </w:tcPr>
          <w:p>
            <w:pPr>
              <w:spacing w:after="0"/>
              <w:rPr>
                <w:sz w:val="3"/>
                <w:szCs w:val="3"/>
                <w:color w:val="auto"/>
              </w:rPr>
            </w:pPr>
          </w:p>
        </w:tc>
        <w:tc>
          <w:tcPr>
            <w:tcW w:w="220" w:type="dxa"/>
            <w:vAlign w:val="bottom"/>
            <w:tcBorders>
              <w:bottom w:val="single" w:sz="8" w:color="6D8CC3"/>
            </w:tcBorders>
          </w:tcPr>
          <w:p>
            <w:pPr>
              <w:spacing w:after="0"/>
              <w:rPr>
                <w:sz w:val="3"/>
                <w:szCs w:val="3"/>
                <w:color w:val="auto"/>
              </w:rPr>
            </w:pPr>
          </w:p>
        </w:tc>
        <w:tc>
          <w:tcPr>
            <w:tcW w:w="820" w:type="dxa"/>
            <w:vAlign w:val="bottom"/>
            <w:tcBorders>
              <w:bottom w:val="single" w:sz="8" w:color="6D8CC3"/>
            </w:tcBorders>
          </w:tcPr>
          <w:p>
            <w:pPr>
              <w:spacing w:after="0"/>
              <w:rPr>
                <w:sz w:val="3"/>
                <w:szCs w:val="3"/>
                <w:color w:val="auto"/>
              </w:rPr>
            </w:pPr>
          </w:p>
        </w:tc>
        <w:tc>
          <w:tcPr>
            <w:tcW w:w="80" w:type="dxa"/>
            <w:vAlign w:val="bottom"/>
            <w:tcBorders>
              <w:bottom w:val="single" w:sz="8" w:color="6D8CC3"/>
            </w:tcBorders>
          </w:tcPr>
          <w:p>
            <w:pPr>
              <w:spacing w:after="0"/>
              <w:rPr>
                <w:sz w:val="3"/>
                <w:szCs w:val="3"/>
                <w:color w:val="auto"/>
              </w:rPr>
            </w:pPr>
          </w:p>
        </w:tc>
        <w:tc>
          <w:tcPr>
            <w:tcW w:w="620" w:type="dxa"/>
            <w:vAlign w:val="bottom"/>
            <w:tcBorders>
              <w:bottom w:val="single" w:sz="8" w:color="6D8CC3"/>
            </w:tcBorders>
          </w:tcPr>
          <w:p>
            <w:pPr>
              <w:spacing w:after="0"/>
              <w:rPr>
                <w:sz w:val="3"/>
                <w:szCs w:val="3"/>
                <w:color w:val="auto"/>
              </w:rPr>
            </w:pPr>
          </w:p>
        </w:tc>
        <w:tc>
          <w:tcPr>
            <w:tcW w:w="40" w:type="dxa"/>
            <w:vAlign w:val="bottom"/>
            <w:tcBorders>
              <w:bottom w:val="single" w:sz="8" w:color="6D8CC3"/>
            </w:tcBorders>
          </w:tcPr>
          <w:p>
            <w:pPr>
              <w:spacing w:after="0"/>
              <w:rPr>
                <w:sz w:val="3"/>
                <w:szCs w:val="3"/>
                <w:color w:val="auto"/>
              </w:rPr>
            </w:pPr>
          </w:p>
        </w:tc>
        <w:tc>
          <w:tcPr>
            <w:tcW w:w="380" w:type="dxa"/>
            <w:vAlign w:val="bottom"/>
            <w:tcBorders>
              <w:bottom w:val="single" w:sz="8" w:color="6D8CC3"/>
            </w:tcBorders>
          </w:tcPr>
          <w:p>
            <w:pPr>
              <w:spacing w:after="0"/>
              <w:rPr>
                <w:sz w:val="3"/>
                <w:szCs w:val="3"/>
                <w:color w:val="auto"/>
              </w:rPr>
            </w:pPr>
          </w:p>
        </w:tc>
        <w:tc>
          <w:tcPr>
            <w:tcW w:w="1040" w:type="dxa"/>
            <w:vAlign w:val="bottom"/>
            <w:tcBorders>
              <w:bottom w:val="single" w:sz="8" w:color="6D8CC3"/>
            </w:tcBorders>
          </w:tcPr>
          <w:p>
            <w:pPr>
              <w:spacing w:after="0"/>
              <w:rPr>
                <w:sz w:val="3"/>
                <w:szCs w:val="3"/>
                <w:color w:val="auto"/>
              </w:rPr>
            </w:pPr>
          </w:p>
        </w:tc>
        <w:tc>
          <w:tcPr>
            <w:tcW w:w="80" w:type="dxa"/>
            <w:vAlign w:val="bottom"/>
            <w:tcBorders>
              <w:bottom w:val="single" w:sz="8" w:color="6D8CC3"/>
            </w:tcBorders>
          </w:tcPr>
          <w:p>
            <w:pPr>
              <w:spacing w:after="0"/>
              <w:rPr>
                <w:sz w:val="3"/>
                <w:szCs w:val="3"/>
                <w:color w:val="auto"/>
              </w:rPr>
            </w:pPr>
          </w:p>
        </w:tc>
        <w:tc>
          <w:tcPr>
            <w:tcW w:w="1040" w:type="dxa"/>
            <w:vAlign w:val="bottom"/>
            <w:tcBorders>
              <w:bottom w:val="single" w:sz="8" w:color="6D8CC3"/>
            </w:tcBorders>
          </w:tcPr>
          <w:p>
            <w:pPr>
              <w:spacing w:after="0"/>
              <w:rPr>
                <w:sz w:val="3"/>
                <w:szCs w:val="3"/>
                <w:color w:val="auto"/>
              </w:rPr>
            </w:pPr>
          </w:p>
        </w:tc>
        <w:tc>
          <w:tcPr>
            <w:tcW w:w="160" w:type="dxa"/>
            <w:vAlign w:val="bottom"/>
            <w:tcBorders>
              <w:bottom w:val="single" w:sz="8" w:color="6D8CC3"/>
            </w:tcBorders>
          </w:tcPr>
          <w:p>
            <w:pPr>
              <w:spacing w:after="0"/>
              <w:rPr>
                <w:sz w:val="3"/>
                <w:szCs w:val="3"/>
                <w:color w:val="auto"/>
              </w:rPr>
            </w:pPr>
          </w:p>
        </w:tc>
        <w:tc>
          <w:tcPr>
            <w:tcW w:w="940" w:type="dxa"/>
            <w:vAlign w:val="bottom"/>
            <w:tcBorders>
              <w:bottom w:val="single" w:sz="8" w:color="6D8CC3"/>
            </w:tcBorders>
            <w:gridSpan w:val="2"/>
          </w:tcPr>
          <w:p>
            <w:pPr>
              <w:spacing w:after="0"/>
              <w:rPr>
                <w:sz w:val="3"/>
                <w:szCs w:val="3"/>
                <w:color w:val="auto"/>
              </w:rPr>
            </w:pPr>
          </w:p>
        </w:tc>
        <w:tc>
          <w:tcPr>
            <w:tcW w:w="120" w:type="dxa"/>
            <w:vAlign w:val="bottom"/>
            <w:tcBorders>
              <w:bottom w:val="single" w:sz="8" w:color="6D8CC3"/>
            </w:tcBorders>
          </w:tcPr>
          <w:p>
            <w:pPr>
              <w:spacing w:after="0"/>
              <w:rPr>
                <w:sz w:val="3"/>
                <w:szCs w:val="3"/>
                <w:color w:val="auto"/>
              </w:rPr>
            </w:pPr>
          </w:p>
        </w:tc>
        <w:tc>
          <w:tcPr>
            <w:tcW w:w="960" w:type="dxa"/>
            <w:vAlign w:val="bottom"/>
            <w:tcBorders>
              <w:bottom w:val="single" w:sz="8" w:color="6D8CC3"/>
            </w:tcBorders>
          </w:tcPr>
          <w:p>
            <w:pPr>
              <w:spacing w:after="0"/>
              <w:rPr>
                <w:sz w:val="3"/>
                <w:szCs w:val="3"/>
                <w:color w:val="auto"/>
              </w:rPr>
            </w:pPr>
          </w:p>
        </w:tc>
        <w:tc>
          <w:tcPr>
            <w:tcW w:w="1000" w:type="dxa"/>
            <w:vAlign w:val="bottom"/>
            <w:tcBorders>
              <w:bottom w:val="single" w:sz="8" w:color="6D8CC3"/>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440" w:type="dxa"/>
            <w:vAlign w:val="bottom"/>
          </w:tcPr>
          <w:p>
            <w:pPr>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21"/>
                <w:szCs w:val="21"/>
                <w:color w:val="auto"/>
              </w:rPr>
            </w:pPr>
          </w:p>
        </w:tc>
        <w:tc>
          <w:tcPr>
            <w:tcW w:w="1040" w:type="dxa"/>
            <w:vAlign w:val="bottom"/>
          </w:tcPr>
          <w:p>
            <w:pPr>
              <w:ind w:left="6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820" w:type="dxa"/>
            <w:vAlign w:val="bottom"/>
          </w:tcPr>
          <w:p>
            <w:pPr>
              <w:ind w:left="4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jc w:val="right"/>
              <w:ind w:right="134"/>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93"/>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1040" w:type="dxa"/>
            <w:vAlign w:val="bottom"/>
          </w:tcPr>
          <w:p>
            <w:pPr>
              <w:ind w:left="6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9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72"/>
              <w:spacing w:after="0"/>
              <w:rPr>
                <w:sz w:val="20"/>
                <w:szCs w:val="20"/>
                <w:color w:val="auto"/>
              </w:rPr>
            </w:pPr>
            <w:r>
              <w:rPr>
                <w:rFonts w:ascii="Arial" w:cs="Arial" w:eastAsia="Arial" w:hAnsi="Arial"/>
                <w:sz w:val="14"/>
                <w:szCs w:val="14"/>
                <w:color w:val="auto"/>
              </w:rPr>
              <w:t>17,668,627</w:t>
            </w:r>
          </w:p>
        </w:tc>
        <w:tc>
          <w:tcPr>
            <w:tcW w:w="1000" w:type="dxa"/>
            <w:vAlign w:val="bottom"/>
          </w:tcPr>
          <w:p>
            <w:pPr>
              <w:jc w:val="right"/>
              <w:ind w:right="53"/>
              <w:spacing w:after="0"/>
              <w:rPr>
                <w:sz w:val="20"/>
                <w:szCs w:val="20"/>
                <w:color w:val="auto"/>
              </w:rPr>
            </w:pPr>
            <w:r>
              <w:rPr>
                <w:rFonts w:ascii="Arial" w:cs="Arial" w:eastAsia="Arial" w:hAnsi="Arial"/>
                <w:sz w:val="14"/>
                <w:szCs w:val="14"/>
                <w:color w:val="auto"/>
              </w:rPr>
              <w:t>90,562,269</w:t>
            </w:r>
          </w:p>
        </w:tc>
        <w:tc>
          <w:tcPr>
            <w:tcW w:w="0" w:type="dxa"/>
            <w:vAlign w:val="bottom"/>
          </w:tcPr>
          <w:p>
            <w:pPr>
              <w:spacing w:after="0"/>
              <w:rPr>
                <w:sz w:val="1"/>
                <w:szCs w:val="1"/>
                <w:color w:val="auto"/>
              </w:rPr>
            </w:pPr>
          </w:p>
        </w:tc>
      </w:tr>
      <w:tr>
        <w:trPr>
          <w:trHeight w:val="27"/>
        </w:trPr>
        <w:tc>
          <w:tcPr>
            <w:tcW w:w="440" w:type="dxa"/>
            <w:vAlign w:val="bottom"/>
            <w:tcBorders>
              <w:bottom w:val="single" w:sz="8" w:color="6D8CC3"/>
            </w:tcBorders>
          </w:tcPr>
          <w:p>
            <w:pPr>
              <w:spacing w:after="0"/>
              <w:rPr>
                <w:sz w:val="2"/>
                <w:szCs w:val="2"/>
                <w:color w:val="auto"/>
              </w:rPr>
            </w:pPr>
          </w:p>
        </w:tc>
        <w:tc>
          <w:tcPr>
            <w:tcW w:w="60" w:type="dxa"/>
            <w:vAlign w:val="bottom"/>
            <w:tcBorders>
              <w:bottom w:val="single" w:sz="8" w:color="6D8CC3"/>
            </w:tcBorders>
          </w:tcPr>
          <w:p>
            <w:pPr>
              <w:spacing w:after="0"/>
              <w:rPr>
                <w:sz w:val="2"/>
                <w:szCs w:val="2"/>
                <w:color w:val="auto"/>
              </w:rPr>
            </w:pPr>
          </w:p>
        </w:tc>
        <w:tc>
          <w:tcPr>
            <w:tcW w:w="1040" w:type="dxa"/>
            <w:vAlign w:val="bottom"/>
            <w:tcBorders>
              <w:bottom w:val="single" w:sz="8" w:color="6D8CC3"/>
            </w:tcBorders>
          </w:tcPr>
          <w:p>
            <w:pPr>
              <w:spacing w:after="0"/>
              <w:rPr>
                <w:sz w:val="2"/>
                <w:szCs w:val="2"/>
                <w:color w:val="auto"/>
              </w:rPr>
            </w:pPr>
          </w:p>
        </w:tc>
        <w:tc>
          <w:tcPr>
            <w:tcW w:w="220" w:type="dxa"/>
            <w:vAlign w:val="bottom"/>
            <w:tcBorders>
              <w:bottom w:val="single" w:sz="8" w:color="6D8CC3"/>
            </w:tcBorders>
          </w:tcPr>
          <w:p>
            <w:pPr>
              <w:spacing w:after="0"/>
              <w:rPr>
                <w:sz w:val="2"/>
                <w:szCs w:val="2"/>
                <w:color w:val="auto"/>
              </w:rPr>
            </w:pPr>
          </w:p>
        </w:tc>
        <w:tc>
          <w:tcPr>
            <w:tcW w:w="820" w:type="dxa"/>
            <w:vAlign w:val="bottom"/>
            <w:tcBorders>
              <w:bottom w:val="single" w:sz="8" w:color="6D8CC3"/>
            </w:tcBorders>
          </w:tcPr>
          <w:p>
            <w:pPr>
              <w:spacing w:after="0"/>
              <w:rPr>
                <w:sz w:val="2"/>
                <w:szCs w:val="2"/>
                <w:color w:val="auto"/>
              </w:rPr>
            </w:pPr>
          </w:p>
        </w:tc>
        <w:tc>
          <w:tcPr>
            <w:tcW w:w="80" w:type="dxa"/>
            <w:vAlign w:val="bottom"/>
            <w:tcBorders>
              <w:bottom w:val="single" w:sz="8" w:color="6D8CC3"/>
            </w:tcBorders>
          </w:tcPr>
          <w:p>
            <w:pPr>
              <w:spacing w:after="0"/>
              <w:rPr>
                <w:sz w:val="2"/>
                <w:szCs w:val="2"/>
                <w:color w:val="auto"/>
              </w:rPr>
            </w:pPr>
          </w:p>
        </w:tc>
        <w:tc>
          <w:tcPr>
            <w:tcW w:w="620" w:type="dxa"/>
            <w:vAlign w:val="bottom"/>
            <w:tcBorders>
              <w:bottom w:val="single" w:sz="8" w:color="6D8CC3"/>
            </w:tcBorders>
          </w:tcPr>
          <w:p>
            <w:pPr>
              <w:spacing w:after="0"/>
              <w:rPr>
                <w:sz w:val="2"/>
                <w:szCs w:val="2"/>
                <w:color w:val="auto"/>
              </w:rPr>
            </w:pPr>
          </w:p>
        </w:tc>
        <w:tc>
          <w:tcPr>
            <w:tcW w:w="40" w:type="dxa"/>
            <w:vAlign w:val="bottom"/>
            <w:tcBorders>
              <w:bottom w:val="single" w:sz="8" w:color="6D8CC3"/>
            </w:tcBorders>
          </w:tcPr>
          <w:p>
            <w:pPr>
              <w:spacing w:after="0"/>
              <w:rPr>
                <w:sz w:val="2"/>
                <w:szCs w:val="2"/>
                <w:color w:val="auto"/>
              </w:rPr>
            </w:pPr>
          </w:p>
        </w:tc>
        <w:tc>
          <w:tcPr>
            <w:tcW w:w="380" w:type="dxa"/>
            <w:vAlign w:val="bottom"/>
            <w:tcBorders>
              <w:bottom w:val="single" w:sz="8" w:color="6D8CC3"/>
            </w:tcBorders>
          </w:tcPr>
          <w:p>
            <w:pPr>
              <w:spacing w:after="0"/>
              <w:rPr>
                <w:sz w:val="2"/>
                <w:szCs w:val="2"/>
                <w:color w:val="auto"/>
              </w:rPr>
            </w:pPr>
          </w:p>
        </w:tc>
        <w:tc>
          <w:tcPr>
            <w:tcW w:w="1120" w:type="dxa"/>
            <w:vAlign w:val="bottom"/>
            <w:tcBorders>
              <w:bottom w:val="single" w:sz="8" w:color="6D8CC3"/>
            </w:tcBorders>
            <w:gridSpan w:val="2"/>
          </w:tcPr>
          <w:p>
            <w:pPr>
              <w:spacing w:after="0"/>
              <w:rPr>
                <w:sz w:val="2"/>
                <w:szCs w:val="2"/>
                <w:color w:val="auto"/>
              </w:rPr>
            </w:pPr>
          </w:p>
        </w:tc>
        <w:tc>
          <w:tcPr>
            <w:tcW w:w="2080" w:type="dxa"/>
            <w:vAlign w:val="bottom"/>
            <w:tcBorders>
              <w:bottom w:val="single" w:sz="8" w:color="6D8CC3"/>
            </w:tcBorders>
            <w:gridSpan w:val="3"/>
          </w:tcPr>
          <w:p>
            <w:pPr>
              <w:spacing w:after="0"/>
              <w:rPr>
                <w:sz w:val="2"/>
                <w:szCs w:val="2"/>
                <w:color w:val="auto"/>
              </w:rPr>
            </w:pPr>
          </w:p>
        </w:tc>
        <w:tc>
          <w:tcPr>
            <w:tcW w:w="60" w:type="dxa"/>
            <w:vAlign w:val="bottom"/>
            <w:tcBorders>
              <w:bottom w:val="single" w:sz="8" w:color="6D8CC3"/>
            </w:tcBorders>
          </w:tcPr>
          <w:p>
            <w:pPr>
              <w:spacing w:after="0"/>
              <w:rPr>
                <w:sz w:val="2"/>
                <w:szCs w:val="2"/>
                <w:color w:val="auto"/>
              </w:rPr>
            </w:pPr>
          </w:p>
        </w:tc>
        <w:tc>
          <w:tcPr>
            <w:tcW w:w="120" w:type="dxa"/>
            <w:vAlign w:val="bottom"/>
            <w:tcBorders>
              <w:bottom w:val="single" w:sz="8" w:color="6D8CC3"/>
            </w:tcBorders>
          </w:tcPr>
          <w:p>
            <w:pPr>
              <w:spacing w:after="0"/>
              <w:rPr>
                <w:sz w:val="2"/>
                <w:szCs w:val="2"/>
                <w:color w:val="auto"/>
              </w:rPr>
            </w:pPr>
          </w:p>
        </w:tc>
        <w:tc>
          <w:tcPr>
            <w:tcW w:w="960" w:type="dxa"/>
            <w:vAlign w:val="bottom"/>
            <w:tcBorders>
              <w:bottom w:val="single" w:sz="8" w:color="6D8CC3"/>
            </w:tcBorders>
          </w:tcPr>
          <w:p>
            <w:pPr>
              <w:spacing w:after="0"/>
              <w:rPr>
                <w:sz w:val="2"/>
                <w:szCs w:val="2"/>
                <w:color w:val="auto"/>
              </w:rPr>
            </w:pPr>
          </w:p>
        </w:tc>
        <w:tc>
          <w:tcPr>
            <w:tcW w:w="1000" w:type="dxa"/>
            <w:vAlign w:val="bottom"/>
            <w:tcBorders>
              <w:bottom w:val="single" w:sz="8" w:color="6D8CC3"/>
            </w:tcBorders>
          </w:tcPr>
          <w:p>
            <w:pPr>
              <w:spacing w:after="0"/>
              <w:rPr>
                <w:sz w:val="2"/>
                <w:szCs w:val="2"/>
                <w:color w:val="auto"/>
              </w:rPr>
            </w:pPr>
          </w:p>
        </w:tc>
        <w:tc>
          <w:tcPr>
            <w:tcW w:w="0" w:type="dxa"/>
            <w:vAlign w:val="bottom"/>
          </w:tcPr>
          <w:p>
            <w:pPr>
              <w:spacing w:after="0"/>
              <w:rPr>
                <w:sz w:val="1"/>
                <w:szCs w:val="1"/>
                <w:color w:val="auto"/>
              </w:rPr>
            </w:pPr>
          </w:p>
        </w:tc>
      </w:tr>
      <w:tr>
        <w:trPr>
          <w:trHeight w:val="465"/>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ind w:left="260"/>
              <w:spacing w:after="0"/>
              <w:rPr>
                <w:sz w:val="20"/>
                <w:szCs w:val="20"/>
                <w:color w:val="auto"/>
              </w:rPr>
            </w:pPr>
            <w:r>
              <w:rPr>
                <w:rFonts w:ascii="Arial" w:cs="Arial" w:eastAsia="Arial" w:hAnsi="Arial"/>
                <w:sz w:val="14"/>
                <w:szCs w:val="14"/>
                <w:b w:val="1"/>
                <w:bCs w:val="1"/>
                <w:color w:val="292F72"/>
              </w:rPr>
              <w:t>AVERAGE</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6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292F72"/>
              </w:rPr>
              <w:t>VALUE OF INITIAL FIXED $100</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ind w:left="260"/>
              <w:spacing w:after="0" w:line="157" w:lineRule="exact"/>
              <w:rPr>
                <w:sz w:val="20"/>
                <w:szCs w:val="20"/>
                <w:color w:val="auto"/>
              </w:rPr>
            </w:pPr>
            <w:r>
              <w:rPr>
                <w:rFonts w:ascii="Arial" w:cs="Arial" w:eastAsia="Arial" w:hAnsi="Arial"/>
                <w:sz w:val="14"/>
                <w:szCs w:val="14"/>
                <w:b w:val="1"/>
                <w:bCs w:val="1"/>
                <w:color w:val="292F72"/>
              </w:rPr>
              <w:t>SUMMARY</w:t>
            </w:r>
          </w:p>
        </w:tc>
        <w:tc>
          <w:tcPr>
            <w:tcW w:w="220" w:type="dxa"/>
            <w:vAlign w:val="bottom"/>
          </w:tcPr>
          <w:p>
            <w:pPr>
              <w:spacing w:after="0"/>
              <w:rPr>
                <w:sz w:val="13"/>
                <w:szCs w:val="13"/>
                <w:color w:val="auto"/>
              </w:rPr>
            </w:pPr>
          </w:p>
        </w:tc>
        <w:tc>
          <w:tcPr>
            <w:tcW w:w="1560" w:type="dxa"/>
            <w:vAlign w:val="bottom"/>
            <w:gridSpan w:val="4"/>
          </w:tcPr>
          <w:p>
            <w:pPr>
              <w:ind w:left="300"/>
              <w:spacing w:after="0" w:line="157" w:lineRule="exact"/>
              <w:rPr>
                <w:sz w:val="20"/>
                <w:szCs w:val="20"/>
                <w:color w:val="auto"/>
              </w:rPr>
            </w:pPr>
            <w:r>
              <w:rPr>
                <w:rFonts w:ascii="Arial" w:cs="Arial" w:eastAsia="Arial" w:hAnsi="Arial"/>
                <w:sz w:val="14"/>
                <w:szCs w:val="14"/>
                <w:b w:val="1"/>
                <w:bCs w:val="1"/>
                <w:color w:val="292F72"/>
              </w:rPr>
              <w:t>AVERAGE</w:t>
            </w:r>
          </w:p>
        </w:tc>
        <w:tc>
          <w:tcPr>
            <w:tcW w:w="380" w:type="dxa"/>
            <w:vAlign w:val="bottom"/>
          </w:tcPr>
          <w:p>
            <w:pPr>
              <w:spacing w:after="0"/>
              <w:rPr>
                <w:sz w:val="13"/>
                <w:szCs w:val="13"/>
                <w:color w:val="auto"/>
              </w:rPr>
            </w:pPr>
          </w:p>
        </w:tc>
        <w:tc>
          <w:tcPr>
            <w:tcW w:w="3260" w:type="dxa"/>
            <w:vAlign w:val="bottom"/>
            <w:gridSpan w:val="6"/>
          </w:tcPr>
          <w:p>
            <w:pPr>
              <w:jc w:val="center"/>
              <w:ind w:right="300"/>
              <w:spacing w:after="0" w:line="157" w:lineRule="exact"/>
              <w:rPr>
                <w:sz w:val="20"/>
                <w:szCs w:val="20"/>
                <w:color w:val="auto"/>
              </w:rPr>
            </w:pPr>
            <w:r>
              <w:rPr>
                <w:rFonts w:ascii="Arial" w:cs="Arial" w:eastAsia="Arial" w:hAnsi="Arial"/>
                <w:sz w:val="14"/>
                <w:szCs w:val="14"/>
                <w:b w:val="1"/>
                <w:bCs w:val="1"/>
                <w:color w:val="292F72"/>
                <w:w w:val="99"/>
              </w:rPr>
              <w:t>INVESTMENT BASED ON:</w:t>
            </w: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2780" w:type="dxa"/>
            <w:vAlign w:val="bottom"/>
            <w:gridSpan w:val="5"/>
            <w:vMerge w:val="restart"/>
          </w:tcPr>
          <w:p>
            <w:pPr>
              <w:ind w:left="260"/>
              <w:spacing w:after="0" w:line="148" w:lineRule="exact"/>
              <w:rPr>
                <w:sz w:val="20"/>
                <w:szCs w:val="20"/>
                <w:color w:val="auto"/>
              </w:rPr>
            </w:pPr>
            <w:r>
              <w:rPr>
                <w:rFonts w:ascii="Arial" w:cs="Arial" w:eastAsia="Arial" w:hAnsi="Arial"/>
                <w:sz w:val="14"/>
                <w:szCs w:val="14"/>
                <w:b w:val="1"/>
                <w:bCs w:val="1"/>
                <w:color w:val="292F72"/>
              </w:rPr>
              <w:t>COMPENSATION  COMPENSATION</w:t>
            </w:r>
          </w:p>
        </w:tc>
        <w:tc>
          <w:tcPr>
            <w:tcW w:w="40" w:type="dxa"/>
            <w:vAlign w:val="bottom"/>
            <w:tcBorders>
              <w:bottom w:val="single" w:sz="8" w:color="292F72"/>
            </w:tcBorders>
          </w:tcPr>
          <w:p>
            <w:pPr>
              <w:spacing w:after="0"/>
              <w:rPr>
                <w:sz w:val="3"/>
                <w:szCs w:val="3"/>
                <w:color w:val="auto"/>
              </w:rPr>
            </w:pPr>
          </w:p>
        </w:tc>
        <w:tc>
          <w:tcPr>
            <w:tcW w:w="380" w:type="dxa"/>
            <w:vAlign w:val="bottom"/>
            <w:tcBorders>
              <w:bottom w:val="single" w:sz="8" w:color="292F72"/>
            </w:tcBorders>
          </w:tcPr>
          <w:p>
            <w:pPr>
              <w:spacing w:after="0"/>
              <w:rPr>
                <w:sz w:val="3"/>
                <w:szCs w:val="3"/>
                <w:color w:val="auto"/>
              </w:rPr>
            </w:pPr>
          </w:p>
        </w:tc>
        <w:tc>
          <w:tcPr>
            <w:tcW w:w="1040" w:type="dxa"/>
            <w:vAlign w:val="bottom"/>
            <w:tcBorders>
              <w:bottom w:val="single" w:sz="8" w:color="292F72"/>
            </w:tcBorders>
          </w:tcPr>
          <w:p>
            <w:pPr>
              <w:spacing w:after="0"/>
              <w:rPr>
                <w:sz w:val="3"/>
                <w:szCs w:val="3"/>
                <w:color w:val="auto"/>
              </w:rPr>
            </w:pPr>
          </w:p>
        </w:tc>
        <w:tc>
          <w:tcPr>
            <w:tcW w:w="80" w:type="dxa"/>
            <w:vAlign w:val="bottom"/>
            <w:tcBorders>
              <w:bottom w:val="single" w:sz="8" w:color="292F72"/>
            </w:tcBorders>
          </w:tcPr>
          <w:p>
            <w:pPr>
              <w:spacing w:after="0"/>
              <w:rPr>
                <w:sz w:val="3"/>
                <w:szCs w:val="3"/>
                <w:color w:val="auto"/>
              </w:rPr>
            </w:pPr>
          </w:p>
        </w:tc>
        <w:tc>
          <w:tcPr>
            <w:tcW w:w="1040" w:type="dxa"/>
            <w:vAlign w:val="bottom"/>
            <w:tcBorders>
              <w:bottom w:val="single" w:sz="8" w:color="292F72"/>
            </w:tcBorders>
          </w:tcPr>
          <w:p>
            <w:pPr>
              <w:spacing w:after="0"/>
              <w:rPr>
                <w:sz w:val="3"/>
                <w:szCs w:val="3"/>
                <w:color w:val="auto"/>
              </w:rPr>
            </w:pPr>
          </w:p>
        </w:tc>
        <w:tc>
          <w:tcPr>
            <w:tcW w:w="160" w:type="dxa"/>
            <w:vAlign w:val="bottom"/>
            <w:tcBorders>
              <w:bottom w:val="single" w:sz="8" w:color="292F72"/>
            </w:tcBorders>
          </w:tcPr>
          <w:p>
            <w:pPr>
              <w:spacing w:after="0"/>
              <w:rPr>
                <w:sz w:val="3"/>
                <w:szCs w:val="3"/>
                <w:color w:val="auto"/>
              </w:rPr>
            </w:pPr>
          </w:p>
        </w:tc>
        <w:tc>
          <w:tcPr>
            <w:tcW w:w="880" w:type="dxa"/>
            <w:vAlign w:val="bottom"/>
            <w:tcBorders>
              <w:bottom w:val="single" w:sz="8" w:color="292F72"/>
            </w:tcBorders>
          </w:tcPr>
          <w:p>
            <w:pPr>
              <w:spacing w:after="0"/>
              <w:rPr>
                <w:sz w:val="3"/>
                <w:szCs w:val="3"/>
                <w:color w:val="auto"/>
              </w:rPr>
            </w:pPr>
          </w:p>
        </w:tc>
        <w:tc>
          <w:tcPr>
            <w:tcW w:w="60" w:type="dxa"/>
            <w:vAlign w:val="bottom"/>
            <w:tcBorders>
              <w:bottom w:val="single" w:sz="8" w:color="292F72"/>
            </w:tcBorders>
          </w:tcPr>
          <w:p>
            <w:pPr>
              <w:spacing w:after="0"/>
              <w:rPr>
                <w:sz w:val="3"/>
                <w:szCs w:val="3"/>
                <w:color w:val="auto"/>
              </w:rPr>
            </w:pPr>
          </w:p>
        </w:tc>
        <w:tc>
          <w:tcPr>
            <w:tcW w:w="120" w:type="dxa"/>
            <w:vAlign w:val="bottom"/>
            <w:tcBorders>
              <w:bottom w:val="single" w:sz="8" w:color="292F72"/>
            </w:tcBorders>
          </w:tcPr>
          <w:p>
            <w:pPr>
              <w:spacing w:after="0"/>
              <w:rPr>
                <w:sz w:val="3"/>
                <w:szCs w:val="3"/>
                <w:color w:val="auto"/>
              </w:rPr>
            </w:pPr>
          </w:p>
        </w:tc>
        <w:tc>
          <w:tcPr>
            <w:tcW w:w="9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780" w:type="dxa"/>
            <w:vAlign w:val="bottom"/>
            <w:gridSpan w:val="5"/>
            <w:vMerge w:val="continue"/>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gridSpan w:val="2"/>
          </w:tcPr>
          <w:p>
            <w:pPr>
              <w:ind w:left="260"/>
              <w:spacing w:after="0" w:line="157" w:lineRule="exact"/>
              <w:rPr>
                <w:sz w:val="20"/>
                <w:szCs w:val="20"/>
                <w:color w:val="auto"/>
              </w:rPr>
            </w:pPr>
            <w:r>
              <w:rPr>
                <w:rFonts w:ascii="Arial" w:cs="Arial" w:eastAsia="Arial" w:hAnsi="Arial"/>
                <w:sz w:val="14"/>
                <w:szCs w:val="14"/>
                <w:b w:val="1"/>
                <w:bCs w:val="1"/>
                <w:color w:val="292F72"/>
              </w:rPr>
              <w:t>TABLE TOTAL</w:t>
            </w:r>
          </w:p>
        </w:tc>
        <w:tc>
          <w:tcPr>
            <w:tcW w:w="1560" w:type="dxa"/>
            <w:vAlign w:val="bottom"/>
            <w:gridSpan w:val="4"/>
          </w:tcPr>
          <w:p>
            <w:pPr>
              <w:ind w:left="300"/>
              <w:spacing w:after="0" w:line="157" w:lineRule="exact"/>
              <w:rPr>
                <w:sz w:val="20"/>
                <w:szCs w:val="20"/>
                <w:color w:val="auto"/>
              </w:rPr>
            </w:pPr>
            <w:r>
              <w:rPr>
                <w:rFonts w:ascii="Arial" w:cs="Arial" w:eastAsia="Arial" w:hAnsi="Arial"/>
                <w:sz w:val="14"/>
                <w:szCs w:val="14"/>
                <w:b w:val="1"/>
                <w:bCs w:val="1"/>
                <w:color w:val="292F72"/>
              </w:rPr>
              <w:t>ACTUALLY PAID</w:t>
            </w: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0" w:type="dxa"/>
            <w:vAlign w:val="bottom"/>
          </w:tcPr>
          <w:p>
            <w:pPr>
              <w:jc w:val="center"/>
              <w:ind w:left="33"/>
              <w:spacing w:after="0" w:line="157" w:lineRule="exact"/>
              <w:rPr>
                <w:sz w:val="20"/>
                <w:szCs w:val="20"/>
                <w:color w:val="auto"/>
              </w:rPr>
            </w:pPr>
            <w:r>
              <w:rPr>
                <w:rFonts w:ascii="Arial" w:cs="Arial" w:eastAsia="Arial" w:hAnsi="Arial"/>
                <w:sz w:val="14"/>
                <w:szCs w:val="14"/>
                <w:b w:val="1"/>
                <w:bCs w:val="1"/>
                <w:color w:val="292F72"/>
                <w:w w:val="98"/>
              </w:rPr>
              <w:t>ADJUSTED</w:t>
            </w:r>
          </w:p>
        </w:tc>
        <w:tc>
          <w:tcPr>
            <w:tcW w:w="0" w:type="dxa"/>
            <w:vAlign w:val="bottom"/>
          </w:tcPr>
          <w:p>
            <w:pPr>
              <w:spacing w:after="0"/>
              <w:rPr>
                <w:sz w:val="1"/>
                <w:szCs w:val="1"/>
                <w:color w:val="auto"/>
              </w:rPr>
            </w:pPr>
          </w:p>
        </w:tc>
      </w:tr>
      <w:tr>
        <w:trPr>
          <w:trHeight w:val="154"/>
        </w:trPr>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gridSpan w:val="2"/>
          </w:tcPr>
          <w:p>
            <w:pPr>
              <w:ind w:left="260"/>
              <w:spacing w:after="0" w:line="154" w:lineRule="exact"/>
              <w:rPr>
                <w:sz w:val="20"/>
                <w:szCs w:val="20"/>
                <w:color w:val="auto"/>
              </w:rPr>
            </w:pPr>
            <w:r>
              <w:rPr>
                <w:rFonts w:ascii="Arial" w:cs="Arial" w:eastAsia="Arial" w:hAnsi="Arial"/>
                <w:sz w:val="14"/>
                <w:szCs w:val="14"/>
                <w:b w:val="1"/>
                <w:bCs w:val="1"/>
                <w:color w:val="292F72"/>
                <w:w w:val="99"/>
              </w:rPr>
              <w:t>FOR NON-PEO</w:t>
            </w:r>
          </w:p>
        </w:tc>
        <w:tc>
          <w:tcPr>
            <w:tcW w:w="1560" w:type="dxa"/>
            <w:vAlign w:val="bottom"/>
            <w:gridSpan w:val="4"/>
          </w:tcPr>
          <w:p>
            <w:pPr>
              <w:ind w:left="300"/>
              <w:spacing w:after="0" w:line="154" w:lineRule="exact"/>
              <w:rPr>
                <w:sz w:val="20"/>
                <w:szCs w:val="20"/>
                <w:color w:val="auto"/>
              </w:rPr>
            </w:pPr>
            <w:r>
              <w:rPr>
                <w:rFonts w:ascii="Arial" w:cs="Arial" w:eastAsia="Arial" w:hAnsi="Arial"/>
                <w:sz w:val="14"/>
                <w:szCs w:val="14"/>
                <w:b w:val="1"/>
                <w:bCs w:val="1"/>
                <w:color w:val="292F72"/>
              </w:rPr>
              <w:t>TO NON-PEO</w:t>
            </w:r>
          </w:p>
        </w:tc>
        <w:tc>
          <w:tcPr>
            <w:tcW w:w="3640" w:type="dxa"/>
            <w:vAlign w:val="bottom"/>
            <w:gridSpan w:val="7"/>
          </w:tcPr>
          <w:p>
            <w:pPr>
              <w:ind w:left="40"/>
              <w:spacing w:after="0" w:line="154" w:lineRule="exact"/>
              <w:rPr>
                <w:sz w:val="20"/>
                <w:szCs w:val="20"/>
                <w:color w:val="auto"/>
              </w:rPr>
            </w:pPr>
            <w:r>
              <w:rPr>
                <w:rFonts w:ascii="Arial" w:cs="Arial" w:eastAsia="Arial" w:hAnsi="Arial"/>
                <w:sz w:val="14"/>
                <w:szCs w:val="14"/>
                <w:b w:val="1"/>
                <w:bCs w:val="1"/>
                <w:color w:val="292F72"/>
              </w:rPr>
              <w:t>TOTAL SHAREHOLDER   PEER GROUP TOTAL</w:t>
            </w: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0" w:type="dxa"/>
            <w:vAlign w:val="bottom"/>
          </w:tcPr>
          <w:p>
            <w:pPr>
              <w:ind w:left="180"/>
              <w:spacing w:after="0" w:line="154" w:lineRule="exact"/>
              <w:rPr>
                <w:sz w:val="20"/>
                <w:szCs w:val="20"/>
                <w:color w:val="auto"/>
              </w:rPr>
            </w:pPr>
            <w:r>
              <w:rPr>
                <w:rFonts w:ascii="Arial" w:cs="Arial" w:eastAsia="Arial" w:hAnsi="Arial"/>
                <w:sz w:val="14"/>
                <w:szCs w:val="14"/>
                <w:b w:val="1"/>
                <w:bCs w:val="1"/>
                <w:color w:val="292F72"/>
                <w:w w:val="96"/>
              </w:rPr>
              <w:t>OPERATING</w:t>
            </w:r>
          </w:p>
        </w:tc>
        <w:tc>
          <w:tcPr>
            <w:tcW w:w="0" w:type="dxa"/>
            <w:vAlign w:val="bottom"/>
          </w:tcPr>
          <w:p>
            <w:pPr>
              <w:spacing w:after="0"/>
              <w:rPr>
                <w:sz w:val="1"/>
                <w:szCs w:val="1"/>
                <w:color w:val="auto"/>
              </w:rPr>
            </w:pPr>
          </w:p>
        </w:tc>
      </w:tr>
      <w:tr>
        <w:trPr>
          <w:trHeight w:val="187"/>
        </w:trPr>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ind w:left="260"/>
              <w:spacing w:after="0" w:line="187" w:lineRule="exact"/>
              <w:rPr>
                <w:sz w:val="20"/>
                <w:szCs w:val="20"/>
                <w:color w:val="auto"/>
              </w:rPr>
            </w:pPr>
            <w:r>
              <w:rPr>
                <w:rFonts w:ascii="Arial" w:cs="Arial" w:eastAsia="Arial" w:hAnsi="Arial"/>
                <w:sz w:val="21"/>
                <w:szCs w:val="21"/>
                <w:b w:val="1"/>
                <w:bCs w:val="1"/>
                <w:color w:val="292F72"/>
                <w:vertAlign w:val="subscript"/>
              </w:rPr>
              <w:t>NEOS</w:t>
            </w:r>
            <w:r>
              <w:rPr>
                <w:rFonts w:ascii="Arial" w:cs="Arial" w:eastAsia="Arial" w:hAnsi="Arial"/>
                <w:sz w:val="10"/>
                <w:szCs w:val="10"/>
                <w:b w:val="1"/>
                <w:bCs w:val="1"/>
                <w:color w:val="292F72"/>
              </w:rPr>
              <w:t>(2)(3)</w:t>
            </w:r>
          </w:p>
        </w:tc>
        <w:tc>
          <w:tcPr>
            <w:tcW w:w="220" w:type="dxa"/>
            <w:vAlign w:val="bottom"/>
          </w:tcPr>
          <w:p>
            <w:pPr>
              <w:spacing w:after="0"/>
              <w:rPr>
                <w:sz w:val="16"/>
                <w:szCs w:val="16"/>
                <w:color w:val="auto"/>
              </w:rPr>
            </w:pPr>
          </w:p>
        </w:tc>
        <w:tc>
          <w:tcPr>
            <w:tcW w:w="1560" w:type="dxa"/>
            <w:vAlign w:val="bottom"/>
            <w:gridSpan w:val="4"/>
          </w:tcPr>
          <w:p>
            <w:pPr>
              <w:ind w:left="300"/>
              <w:spacing w:after="0" w:line="187" w:lineRule="exact"/>
              <w:rPr>
                <w:sz w:val="20"/>
                <w:szCs w:val="20"/>
                <w:color w:val="auto"/>
              </w:rPr>
            </w:pPr>
            <w:r>
              <w:rPr>
                <w:rFonts w:ascii="Arial" w:cs="Arial" w:eastAsia="Arial" w:hAnsi="Arial"/>
                <w:sz w:val="21"/>
                <w:szCs w:val="21"/>
                <w:b w:val="1"/>
                <w:bCs w:val="1"/>
                <w:color w:val="292F72"/>
                <w:vertAlign w:val="subscript"/>
              </w:rPr>
              <w:t>NEOS</w:t>
            </w:r>
            <w:r>
              <w:rPr>
                <w:rFonts w:ascii="Arial" w:cs="Arial" w:eastAsia="Arial" w:hAnsi="Arial"/>
                <w:sz w:val="10"/>
                <w:szCs w:val="10"/>
                <w:b w:val="1"/>
                <w:bCs w:val="1"/>
                <w:color w:val="292F72"/>
              </w:rPr>
              <w:t>(2)(3)</w:t>
            </w:r>
          </w:p>
        </w:tc>
        <w:tc>
          <w:tcPr>
            <w:tcW w:w="1420" w:type="dxa"/>
            <w:vAlign w:val="bottom"/>
            <w:gridSpan w:val="2"/>
          </w:tcPr>
          <w:p>
            <w:pPr>
              <w:ind w:left="40"/>
              <w:spacing w:after="0" w:line="187" w:lineRule="exact"/>
              <w:rPr>
                <w:sz w:val="20"/>
                <w:szCs w:val="20"/>
                <w:color w:val="auto"/>
              </w:rPr>
            </w:pPr>
            <w:r>
              <w:rPr>
                <w:rFonts w:ascii="Arial" w:cs="Arial" w:eastAsia="Arial" w:hAnsi="Arial"/>
                <w:sz w:val="13"/>
                <w:szCs w:val="13"/>
                <w:b w:val="1"/>
                <w:bCs w:val="1"/>
                <w:color w:val="292F72"/>
              </w:rPr>
              <w:t>RETURN</w:t>
            </w:r>
            <w:r>
              <w:rPr>
                <w:rFonts w:ascii="Arial" w:cs="Arial" w:eastAsia="Arial" w:hAnsi="Arial"/>
                <w:sz w:val="21"/>
                <w:szCs w:val="21"/>
                <w:b w:val="1"/>
                <w:bCs w:val="1"/>
                <w:color w:val="292F72"/>
                <w:vertAlign w:val="superscript"/>
              </w:rPr>
              <w:t>(4)</w:t>
            </w:r>
          </w:p>
        </w:tc>
        <w:tc>
          <w:tcPr>
            <w:tcW w:w="80" w:type="dxa"/>
            <w:vAlign w:val="bottom"/>
          </w:tcPr>
          <w:p>
            <w:pPr>
              <w:spacing w:after="0"/>
              <w:rPr>
                <w:sz w:val="16"/>
                <w:szCs w:val="16"/>
                <w:color w:val="auto"/>
              </w:rPr>
            </w:pPr>
          </w:p>
        </w:tc>
        <w:tc>
          <w:tcPr>
            <w:tcW w:w="2140" w:type="dxa"/>
            <w:vAlign w:val="bottom"/>
            <w:gridSpan w:val="4"/>
          </w:tcPr>
          <w:p>
            <w:pPr>
              <w:jc w:val="center"/>
              <w:ind w:left="231"/>
              <w:spacing w:after="0" w:line="187" w:lineRule="exact"/>
              <w:rPr>
                <w:sz w:val="20"/>
                <w:szCs w:val="20"/>
                <w:color w:val="auto"/>
              </w:rPr>
            </w:pPr>
            <w:r>
              <w:rPr>
                <w:rFonts w:ascii="Arial" w:cs="Arial" w:eastAsia="Arial" w:hAnsi="Arial"/>
                <w:sz w:val="13"/>
                <w:szCs w:val="13"/>
                <w:b w:val="1"/>
                <w:bCs w:val="1"/>
                <w:color w:val="292F72"/>
              </w:rPr>
              <w:t>SHAREHOLDER RETURN</w:t>
            </w:r>
            <w:r>
              <w:rPr>
                <w:rFonts w:ascii="Arial" w:cs="Arial" w:eastAsia="Arial" w:hAnsi="Arial"/>
                <w:sz w:val="21"/>
                <w:szCs w:val="21"/>
                <w:b w:val="1"/>
                <w:bCs w:val="1"/>
                <w:color w:val="292F72"/>
                <w:vertAlign w:val="superscript"/>
              </w:rPr>
              <w:t>(4)</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292F72"/>
              </w:rPr>
              <w:t>NET INCOME</w:t>
            </w:r>
          </w:p>
        </w:tc>
        <w:tc>
          <w:tcPr>
            <w:tcW w:w="1000" w:type="dxa"/>
            <w:vAlign w:val="bottom"/>
          </w:tcPr>
          <w:p>
            <w:pPr>
              <w:ind w:left="180"/>
              <w:spacing w:after="0" w:line="187" w:lineRule="exact"/>
              <w:rPr>
                <w:sz w:val="20"/>
                <w:szCs w:val="20"/>
                <w:color w:val="auto"/>
              </w:rPr>
            </w:pPr>
            <w:r>
              <w:rPr>
                <w:rFonts w:ascii="Arial" w:cs="Arial" w:eastAsia="Arial" w:hAnsi="Arial"/>
                <w:sz w:val="13"/>
                <w:szCs w:val="13"/>
                <w:b w:val="1"/>
                <w:bCs w:val="1"/>
                <w:color w:val="292F72"/>
              </w:rPr>
              <w:t>INCOME</w:t>
            </w:r>
            <w:r>
              <w:rPr>
                <w:rFonts w:ascii="Arial" w:cs="Arial" w:eastAsia="Arial" w:hAnsi="Arial"/>
                <w:sz w:val="21"/>
                <w:szCs w:val="21"/>
                <w:b w:val="1"/>
                <w:bCs w:val="1"/>
                <w:color w:val="292F72"/>
                <w:vertAlign w:val="superscript"/>
              </w:rPr>
              <w:t>(5)</w:t>
            </w:r>
          </w:p>
        </w:tc>
        <w:tc>
          <w:tcPr>
            <w:tcW w:w="0" w:type="dxa"/>
            <w:vAlign w:val="bottom"/>
          </w:tcPr>
          <w:p>
            <w:pPr>
              <w:spacing w:after="0"/>
              <w:rPr>
                <w:sz w:val="1"/>
                <w:szCs w:val="1"/>
                <w:color w:val="auto"/>
              </w:rPr>
            </w:pPr>
          </w:p>
        </w:tc>
      </w:tr>
      <w:tr>
        <w:trPr>
          <w:trHeight w:val="193"/>
        </w:trPr>
        <w:tc>
          <w:tcPr>
            <w:tcW w:w="440" w:type="dxa"/>
            <w:vAlign w:val="bottom"/>
          </w:tcPr>
          <w:p>
            <w:pPr>
              <w:spacing w:after="0"/>
              <w:rPr>
                <w:sz w:val="20"/>
                <w:szCs w:val="20"/>
                <w:color w:val="auto"/>
              </w:rPr>
            </w:pPr>
            <w:r>
              <w:rPr>
                <w:rFonts w:ascii="Arial" w:cs="Arial" w:eastAsia="Arial" w:hAnsi="Arial"/>
                <w:sz w:val="14"/>
                <w:szCs w:val="14"/>
                <w:b w:val="1"/>
                <w:bCs w:val="1"/>
                <w:color w:val="292F72"/>
              </w:rPr>
              <w:t>YEAR</w:t>
            </w:r>
          </w:p>
        </w:tc>
        <w:tc>
          <w:tcPr>
            <w:tcW w:w="1100" w:type="dxa"/>
            <w:vAlign w:val="bottom"/>
            <w:gridSpan w:val="2"/>
          </w:tcPr>
          <w:p>
            <w:pPr>
              <w:ind w:left="800"/>
              <w:spacing w:after="0"/>
              <w:rPr>
                <w:sz w:val="20"/>
                <w:szCs w:val="20"/>
                <w:color w:val="auto"/>
              </w:rPr>
            </w:pPr>
            <w:r>
              <w:rPr>
                <w:rFonts w:ascii="Arial" w:cs="Arial" w:eastAsia="Arial" w:hAnsi="Arial"/>
                <w:sz w:val="14"/>
                <w:szCs w:val="14"/>
                <w:b w:val="1"/>
                <w:bCs w:val="1"/>
                <w:color w:val="292F72"/>
              </w:rPr>
              <w:t>($)</w:t>
            </w:r>
          </w:p>
        </w:tc>
        <w:tc>
          <w:tcPr>
            <w:tcW w:w="220" w:type="dxa"/>
            <w:vAlign w:val="bottom"/>
          </w:tcPr>
          <w:p>
            <w:pPr>
              <w:spacing w:after="0"/>
              <w:rPr>
                <w:sz w:val="16"/>
                <w:szCs w:val="16"/>
                <w:color w:val="auto"/>
              </w:rPr>
            </w:pPr>
          </w:p>
        </w:tc>
        <w:tc>
          <w:tcPr>
            <w:tcW w:w="1520" w:type="dxa"/>
            <w:vAlign w:val="bottom"/>
            <w:gridSpan w:val="3"/>
          </w:tcPr>
          <w:p>
            <w:pPr>
              <w:ind w:left="780"/>
              <w:spacing w:after="0"/>
              <w:rPr>
                <w:sz w:val="20"/>
                <w:szCs w:val="20"/>
                <w:color w:val="auto"/>
              </w:rPr>
            </w:pPr>
            <w:r>
              <w:rPr>
                <w:rFonts w:ascii="Arial" w:cs="Arial" w:eastAsia="Arial" w:hAnsi="Arial"/>
                <w:sz w:val="14"/>
                <w:szCs w:val="14"/>
                <w:b w:val="1"/>
                <w:bCs w:val="1"/>
                <w:color w:val="292F72"/>
              </w:rPr>
              <w:t>($)</w:t>
            </w: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jc w:val="right"/>
              <w:ind w:right="433"/>
              <w:spacing w:after="0"/>
              <w:rPr>
                <w:sz w:val="20"/>
                <w:szCs w:val="20"/>
                <w:color w:val="auto"/>
              </w:rPr>
            </w:pPr>
            <w:r>
              <w:rPr>
                <w:rFonts w:ascii="Arial" w:cs="Arial" w:eastAsia="Arial" w:hAnsi="Arial"/>
                <w:sz w:val="14"/>
                <w:szCs w:val="14"/>
                <w:b w:val="1"/>
                <w:bCs w:val="1"/>
                <w:color w:val="292F72"/>
              </w:rPr>
              <w:t>($)</w:t>
            </w: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40" w:type="dxa"/>
            <w:vAlign w:val="bottom"/>
            <w:gridSpan w:val="2"/>
          </w:tcPr>
          <w:p>
            <w:pPr>
              <w:jc w:val="right"/>
              <w:ind w:right="691"/>
              <w:spacing w:after="0"/>
              <w:rPr>
                <w:sz w:val="20"/>
                <w:szCs w:val="20"/>
                <w:color w:val="auto"/>
              </w:rPr>
            </w:pPr>
            <w:r>
              <w:rPr>
                <w:rFonts w:ascii="Arial" w:cs="Arial" w:eastAsia="Arial" w:hAnsi="Arial"/>
                <w:sz w:val="14"/>
                <w:szCs w:val="14"/>
                <w:b w:val="1"/>
                <w:bCs w:val="1"/>
                <w:color w:val="292F72"/>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ind w:right="232"/>
              <w:spacing w:after="0"/>
              <w:rPr>
                <w:sz w:val="20"/>
                <w:szCs w:val="20"/>
                <w:color w:val="auto"/>
              </w:rPr>
            </w:pPr>
            <w:r>
              <w:rPr>
                <w:rFonts w:ascii="Arial" w:cs="Arial" w:eastAsia="Arial" w:hAnsi="Arial"/>
                <w:sz w:val="14"/>
                <w:szCs w:val="14"/>
                <w:b w:val="1"/>
                <w:bCs w:val="1"/>
                <w:color w:val="292F72"/>
              </w:rPr>
              <w:t>($M)</w:t>
            </w:r>
          </w:p>
        </w:tc>
        <w:tc>
          <w:tcPr>
            <w:tcW w:w="1000" w:type="dxa"/>
            <w:vAlign w:val="bottom"/>
          </w:tcPr>
          <w:p>
            <w:pPr>
              <w:jc w:val="center"/>
              <w:ind w:left="73"/>
              <w:spacing w:after="0"/>
              <w:rPr>
                <w:sz w:val="20"/>
                <w:szCs w:val="20"/>
                <w:color w:val="auto"/>
              </w:rPr>
            </w:pPr>
            <w:r>
              <w:rPr>
                <w:rFonts w:ascii="Arial" w:cs="Arial" w:eastAsia="Arial" w:hAnsi="Arial"/>
                <w:sz w:val="14"/>
                <w:szCs w:val="14"/>
                <w:b w:val="1"/>
                <w:bCs w:val="1"/>
                <w:color w:val="292F72"/>
              </w:rPr>
              <w:t>($M)</w:t>
            </w:r>
          </w:p>
        </w:tc>
        <w:tc>
          <w:tcPr>
            <w:tcW w:w="0" w:type="dxa"/>
            <w:vAlign w:val="bottom"/>
          </w:tcPr>
          <w:p>
            <w:pPr>
              <w:spacing w:after="0"/>
              <w:rPr>
                <w:sz w:val="1"/>
                <w:szCs w:val="1"/>
                <w:color w:val="auto"/>
              </w:rPr>
            </w:pPr>
          </w:p>
        </w:tc>
      </w:tr>
      <w:tr>
        <w:trPr>
          <w:trHeight w:val="40"/>
        </w:trPr>
        <w:tc>
          <w:tcPr>
            <w:tcW w:w="440" w:type="dxa"/>
            <w:vAlign w:val="bottom"/>
            <w:tcBorders>
              <w:bottom w:val="single" w:sz="8" w:color="292F72"/>
            </w:tcBorders>
          </w:tcPr>
          <w:p>
            <w:pPr>
              <w:spacing w:after="0"/>
              <w:rPr>
                <w:sz w:val="3"/>
                <w:szCs w:val="3"/>
                <w:color w:val="auto"/>
              </w:rPr>
            </w:pPr>
          </w:p>
        </w:tc>
        <w:tc>
          <w:tcPr>
            <w:tcW w:w="1320" w:type="dxa"/>
            <w:vAlign w:val="bottom"/>
            <w:tcBorders>
              <w:bottom w:val="single" w:sz="8" w:color="292F72"/>
            </w:tcBorders>
            <w:gridSpan w:val="3"/>
          </w:tcPr>
          <w:p>
            <w:pPr>
              <w:spacing w:after="0"/>
              <w:rPr>
                <w:sz w:val="3"/>
                <w:szCs w:val="3"/>
                <w:color w:val="auto"/>
              </w:rPr>
            </w:pPr>
          </w:p>
        </w:tc>
        <w:tc>
          <w:tcPr>
            <w:tcW w:w="1560" w:type="dxa"/>
            <w:vAlign w:val="bottom"/>
            <w:tcBorders>
              <w:bottom w:val="single" w:sz="8" w:color="292F72"/>
            </w:tcBorders>
            <w:gridSpan w:val="4"/>
          </w:tcPr>
          <w:p>
            <w:pPr>
              <w:spacing w:after="0"/>
              <w:rPr>
                <w:sz w:val="3"/>
                <w:szCs w:val="3"/>
                <w:color w:val="auto"/>
              </w:rPr>
            </w:pPr>
          </w:p>
        </w:tc>
        <w:tc>
          <w:tcPr>
            <w:tcW w:w="380" w:type="dxa"/>
            <w:vAlign w:val="bottom"/>
            <w:tcBorders>
              <w:bottom w:val="single" w:sz="8" w:color="292F72"/>
            </w:tcBorders>
          </w:tcPr>
          <w:p>
            <w:pPr>
              <w:spacing w:after="0"/>
              <w:rPr>
                <w:sz w:val="3"/>
                <w:szCs w:val="3"/>
                <w:color w:val="auto"/>
              </w:rPr>
            </w:pPr>
          </w:p>
        </w:tc>
        <w:tc>
          <w:tcPr>
            <w:tcW w:w="1040" w:type="dxa"/>
            <w:vAlign w:val="bottom"/>
            <w:tcBorders>
              <w:bottom w:val="single" w:sz="8" w:color="292F72"/>
            </w:tcBorders>
          </w:tcPr>
          <w:p>
            <w:pPr>
              <w:spacing w:after="0"/>
              <w:rPr>
                <w:sz w:val="3"/>
                <w:szCs w:val="3"/>
                <w:color w:val="auto"/>
              </w:rPr>
            </w:pPr>
          </w:p>
        </w:tc>
        <w:tc>
          <w:tcPr>
            <w:tcW w:w="80" w:type="dxa"/>
            <w:vAlign w:val="bottom"/>
            <w:tcBorders>
              <w:bottom w:val="single" w:sz="8" w:color="292F72"/>
            </w:tcBorders>
          </w:tcPr>
          <w:p>
            <w:pPr>
              <w:spacing w:after="0"/>
              <w:rPr>
                <w:sz w:val="3"/>
                <w:szCs w:val="3"/>
                <w:color w:val="auto"/>
              </w:rPr>
            </w:pPr>
          </w:p>
        </w:tc>
        <w:tc>
          <w:tcPr>
            <w:tcW w:w="1200" w:type="dxa"/>
            <w:vAlign w:val="bottom"/>
            <w:tcBorders>
              <w:bottom w:val="single" w:sz="8" w:color="292F72"/>
            </w:tcBorders>
            <w:gridSpan w:val="2"/>
          </w:tcPr>
          <w:p>
            <w:pPr>
              <w:spacing w:after="0"/>
              <w:rPr>
                <w:sz w:val="3"/>
                <w:szCs w:val="3"/>
                <w:color w:val="auto"/>
              </w:rPr>
            </w:pPr>
          </w:p>
        </w:tc>
        <w:tc>
          <w:tcPr>
            <w:tcW w:w="880" w:type="dxa"/>
            <w:vAlign w:val="bottom"/>
            <w:tcBorders>
              <w:bottom w:val="single" w:sz="8" w:color="292F72"/>
            </w:tcBorders>
          </w:tcPr>
          <w:p>
            <w:pPr>
              <w:spacing w:after="0"/>
              <w:rPr>
                <w:sz w:val="3"/>
                <w:szCs w:val="3"/>
                <w:color w:val="auto"/>
              </w:rPr>
            </w:pPr>
          </w:p>
        </w:tc>
        <w:tc>
          <w:tcPr>
            <w:tcW w:w="60" w:type="dxa"/>
            <w:vAlign w:val="bottom"/>
            <w:tcBorders>
              <w:bottom w:val="single" w:sz="8" w:color="292F72"/>
            </w:tcBorders>
          </w:tcPr>
          <w:p>
            <w:pPr>
              <w:spacing w:after="0"/>
              <w:rPr>
                <w:sz w:val="3"/>
                <w:szCs w:val="3"/>
                <w:color w:val="auto"/>
              </w:rPr>
            </w:pPr>
          </w:p>
        </w:tc>
        <w:tc>
          <w:tcPr>
            <w:tcW w:w="1080" w:type="dxa"/>
            <w:vAlign w:val="bottom"/>
            <w:tcBorders>
              <w:bottom w:val="single" w:sz="8" w:color="292F72"/>
            </w:tcBorders>
            <w:gridSpan w:val="2"/>
          </w:tcPr>
          <w:p>
            <w:pPr>
              <w:spacing w:after="0"/>
              <w:rPr>
                <w:sz w:val="3"/>
                <w:szCs w:val="3"/>
                <w:color w:val="auto"/>
              </w:rPr>
            </w:pPr>
          </w:p>
        </w:tc>
        <w:tc>
          <w:tcPr>
            <w:tcW w:w="1000" w:type="dxa"/>
            <w:vAlign w:val="bottom"/>
            <w:tcBorders>
              <w:bottom w:val="single" w:sz="8" w:color="292F72"/>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440" w:type="dxa"/>
            <w:vAlign w:val="bottom"/>
          </w:tcPr>
          <w:p>
            <w:pPr>
              <w:spacing w:after="0"/>
              <w:rPr>
                <w:sz w:val="20"/>
                <w:szCs w:val="20"/>
                <w:color w:val="auto"/>
              </w:rPr>
            </w:pPr>
            <w:r>
              <w:rPr>
                <w:rFonts w:ascii="Arial" w:cs="Arial" w:eastAsia="Arial" w:hAnsi="Arial"/>
                <w:sz w:val="14"/>
                <w:szCs w:val="14"/>
                <w:b w:val="1"/>
                <w:bCs w:val="1"/>
                <w:color w:val="auto"/>
              </w:rPr>
              <w:t>2025</w:t>
            </w:r>
          </w:p>
        </w:tc>
        <w:tc>
          <w:tcPr>
            <w:tcW w:w="1320" w:type="dxa"/>
            <w:vAlign w:val="bottom"/>
            <w:gridSpan w:val="3"/>
          </w:tcPr>
          <w:p>
            <w:pPr>
              <w:ind w:left="560"/>
              <w:spacing w:after="0"/>
              <w:rPr>
                <w:sz w:val="20"/>
                <w:szCs w:val="20"/>
                <w:color w:val="auto"/>
              </w:rPr>
            </w:pPr>
            <w:r>
              <w:rPr>
                <w:rFonts w:ascii="Arial" w:cs="Arial" w:eastAsia="Arial" w:hAnsi="Arial"/>
                <w:sz w:val="14"/>
                <w:szCs w:val="14"/>
                <w:color w:val="auto"/>
              </w:rPr>
              <w:t>3,192,016</w:t>
            </w:r>
          </w:p>
        </w:tc>
        <w:tc>
          <w:tcPr>
            <w:tcW w:w="1560" w:type="dxa"/>
            <w:vAlign w:val="bottom"/>
            <w:gridSpan w:val="4"/>
          </w:tcPr>
          <w:p>
            <w:pPr>
              <w:ind w:left="540"/>
              <w:spacing w:after="0"/>
              <w:rPr>
                <w:sz w:val="20"/>
                <w:szCs w:val="20"/>
                <w:color w:val="auto"/>
              </w:rPr>
            </w:pPr>
            <w:r>
              <w:rPr>
                <w:rFonts w:ascii="Arial" w:cs="Arial" w:eastAsia="Arial" w:hAnsi="Arial"/>
                <w:sz w:val="14"/>
                <w:szCs w:val="14"/>
                <w:color w:val="auto"/>
              </w:rPr>
              <w:t>​ 862,665</w:t>
            </w:r>
          </w:p>
        </w:tc>
        <w:tc>
          <w:tcPr>
            <w:tcW w:w="380" w:type="dxa"/>
            <w:vAlign w:val="bottom"/>
          </w:tcPr>
          <w:p>
            <w:pPr>
              <w:spacing w:after="0"/>
              <w:rPr>
                <w:sz w:val="21"/>
                <w:szCs w:val="21"/>
                <w:color w:val="auto"/>
              </w:rPr>
            </w:pPr>
          </w:p>
        </w:tc>
        <w:tc>
          <w:tcPr>
            <w:tcW w:w="1040" w:type="dxa"/>
            <w:vAlign w:val="bottom"/>
          </w:tcPr>
          <w:p>
            <w:pPr>
              <w:jc w:val="right"/>
              <w:ind w:right="353"/>
              <w:spacing w:after="0"/>
              <w:rPr>
                <w:sz w:val="20"/>
                <w:szCs w:val="20"/>
                <w:color w:val="auto"/>
              </w:rPr>
            </w:pPr>
            <w:r>
              <w:rPr>
                <w:rFonts w:ascii="Arial" w:cs="Arial" w:eastAsia="Arial" w:hAnsi="Arial"/>
                <w:sz w:val="14"/>
                <w:szCs w:val="14"/>
                <w:color w:val="auto"/>
              </w:rPr>
              <w:t>73.27</w:t>
            </w:r>
          </w:p>
        </w:tc>
        <w:tc>
          <w:tcPr>
            <w:tcW w:w="80" w:type="dxa"/>
            <w:vAlign w:val="bottom"/>
          </w:tcPr>
          <w:p>
            <w:pPr>
              <w:spacing w:after="0"/>
              <w:rPr>
                <w:sz w:val="21"/>
                <w:szCs w:val="21"/>
                <w:color w:val="auto"/>
              </w:rPr>
            </w:pPr>
          </w:p>
        </w:tc>
        <w:tc>
          <w:tcPr>
            <w:tcW w:w="1200" w:type="dxa"/>
            <w:vAlign w:val="bottom"/>
            <w:gridSpan w:val="2"/>
          </w:tcPr>
          <w:p>
            <w:pPr>
              <w:ind w:left="980"/>
              <w:spacing w:after="0"/>
              <w:rPr>
                <w:sz w:val="20"/>
                <w:szCs w:val="20"/>
                <w:color w:val="auto"/>
              </w:rPr>
            </w:pPr>
            <w:r>
              <w:rPr>
                <w:rFonts w:ascii="Arial" w:cs="Arial" w:eastAsia="Arial" w:hAnsi="Arial"/>
                <w:sz w:val="14"/>
                <w:szCs w:val="14"/>
                <w:color w:val="auto"/>
                <w:w w:val="85"/>
              </w:rPr>
              <w:t>122​</w:t>
            </w:r>
          </w:p>
        </w:tc>
        <w:tc>
          <w:tcPr>
            <w:tcW w:w="880" w:type="dxa"/>
            <w:vAlign w:val="bottom"/>
          </w:tcPr>
          <w:p>
            <w:pPr>
              <w:spacing w:after="0"/>
              <w:rPr>
                <w:sz w:val="20"/>
                <w:szCs w:val="20"/>
                <w:color w:val="auto"/>
              </w:rPr>
            </w:pPr>
            <w:r>
              <w:rPr>
                <w:rFonts w:ascii="Arial" w:cs="Arial" w:eastAsia="Arial" w:hAnsi="Arial"/>
                <w:sz w:val="14"/>
                <w:szCs w:val="14"/>
                <w:color w:val="auto"/>
              </w:rPr>
              <w:t>.45</w:t>
            </w:r>
          </w:p>
        </w:tc>
        <w:tc>
          <w:tcPr>
            <w:tcW w:w="60" w:type="dxa"/>
            <w:vAlign w:val="bottom"/>
          </w:tcPr>
          <w:p>
            <w:pPr>
              <w:spacing w:after="0"/>
              <w:rPr>
                <w:sz w:val="21"/>
                <w:szCs w:val="21"/>
                <w:color w:val="auto"/>
              </w:rPr>
            </w:pPr>
          </w:p>
        </w:tc>
        <w:tc>
          <w:tcPr>
            <w:tcW w:w="1080" w:type="dxa"/>
            <w:vAlign w:val="bottom"/>
            <w:gridSpan w:val="2"/>
          </w:tcPr>
          <w:p>
            <w:pPr>
              <w:jc w:val="right"/>
              <w:ind w:right="212"/>
              <w:spacing w:after="0"/>
              <w:rPr>
                <w:sz w:val="20"/>
                <w:szCs w:val="20"/>
                <w:color w:val="auto"/>
              </w:rPr>
            </w:pPr>
            <w:r>
              <w:rPr>
                <w:rFonts w:ascii="Arial" w:cs="Arial" w:eastAsia="Arial" w:hAnsi="Arial"/>
                <w:sz w:val="14"/>
                <w:szCs w:val="14"/>
                <w:color w:val="auto"/>
              </w:rPr>
              <w:t>649</w:t>
            </w:r>
          </w:p>
        </w:tc>
        <w:tc>
          <w:tcPr>
            <w:tcW w:w="1000" w:type="dxa"/>
            <w:vAlign w:val="bottom"/>
          </w:tcPr>
          <w:p>
            <w:pPr>
              <w:jc w:val="center"/>
              <w:ind w:left="73"/>
              <w:spacing w:after="0"/>
              <w:rPr>
                <w:sz w:val="20"/>
                <w:szCs w:val="20"/>
                <w:color w:val="auto"/>
              </w:rPr>
            </w:pPr>
            <w:r>
              <w:rPr>
                <w:rFonts w:ascii="Arial" w:cs="Arial" w:eastAsia="Arial" w:hAnsi="Arial"/>
                <w:sz w:val="14"/>
                <w:szCs w:val="14"/>
                <w:color w:val="auto"/>
                <w:w w:val="96"/>
              </w:rPr>
              <w:t>1,156</w:t>
            </w:r>
          </w:p>
        </w:tc>
        <w:tc>
          <w:tcPr>
            <w:tcW w:w="0" w:type="dxa"/>
            <w:vAlign w:val="bottom"/>
          </w:tcPr>
          <w:p>
            <w:pPr>
              <w:spacing w:after="0"/>
              <w:rPr>
                <w:sz w:val="1"/>
                <w:szCs w:val="1"/>
                <w:color w:val="auto"/>
              </w:rPr>
            </w:pPr>
          </w:p>
        </w:tc>
      </w:tr>
      <w:tr>
        <w:trPr>
          <w:trHeight w:val="40"/>
        </w:trPr>
        <w:tc>
          <w:tcPr>
            <w:tcW w:w="440" w:type="dxa"/>
            <w:vAlign w:val="bottom"/>
            <w:tcBorders>
              <w:bottom w:val="single" w:sz="8" w:color="6D8CC3"/>
            </w:tcBorders>
          </w:tcPr>
          <w:p>
            <w:pPr>
              <w:spacing w:after="0"/>
              <w:rPr>
                <w:sz w:val="3"/>
                <w:szCs w:val="3"/>
                <w:color w:val="auto"/>
              </w:rPr>
            </w:pPr>
          </w:p>
        </w:tc>
        <w:tc>
          <w:tcPr>
            <w:tcW w:w="1320" w:type="dxa"/>
            <w:vAlign w:val="bottom"/>
            <w:tcBorders>
              <w:bottom w:val="single" w:sz="8" w:color="6D8CC3"/>
            </w:tcBorders>
            <w:gridSpan w:val="3"/>
          </w:tcPr>
          <w:p>
            <w:pPr>
              <w:spacing w:after="0"/>
              <w:rPr>
                <w:sz w:val="3"/>
                <w:szCs w:val="3"/>
                <w:color w:val="auto"/>
              </w:rPr>
            </w:pPr>
          </w:p>
        </w:tc>
        <w:tc>
          <w:tcPr>
            <w:tcW w:w="1520" w:type="dxa"/>
            <w:vAlign w:val="bottom"/>
            <w:tcBorders>
              <w:bottom w:val="single" w:sz="8" w:color="6D8CC3"/>
            </w:tcBorders>
            <w:gridSpan w:val="3"/>
          </w:tcPr>
          <w:p>
            <w:pPr>
              <w:spacing w:after="0"/>
              <w:rPr>
                <w:sz w:val="3"/>
                <w:szCs w:val="3"/>
                <w:color w:val="auto"/>
              </w:rPr>
            </w:pPr>
          </w:p>
        </w:tc>
        <w:tc>
          <w:tcPr>
            <w:tcW w:w="40" w:type="dxa"/>
            <w:vAlign w:val="bottom"/>
            <w:tcBorders>
              <w:bottom w:val="single" w:sz="8" w:color="6D8CC3"/>
            </w:tcBorders>
          </w:tcPr>
          <w:p>
            <w:pPr>
              <w:spacing w:after="0"/>
              <w:rPr>
                <w:sz w:val="3"/>
                <w:szCs w:val="3"/>
                <w:color w:val="auto"/>
              </w:rPr>
            </w:pPr>
          </w:p>
        </w:tc>
        <w:tc>
          <w:tcPr>
            <w:tcW w:w="380" w:type="dxa"/>
            <w:vAlign w:val="bottom"/>
            <w:tcBorders>
              <w:bottom w:val="single" w:sz="8" w:color="6D8CC3"/>
            </w:tcBorders>
          </w:tcPr>
          <w:p>
            <w:pPr>
              <w:spacing w:after="0"/>
              <w:rPr>
                <w:sz w:val="3"/>
                <w:szCs w:val="3"/>
                <w:color w:val="auto"/>
              </w:rPr>
            </w:pPr>
          </w:p>
        </w:tc>
        <w:tc>
          <w:tcPr>
            <w:tcW w:w="1040" w:type="dxa"/>
            <w:vAlign w:val="bottom"/>
            <w:tcBorders>
              <w:bottom w:val="single" w:sz="8" w:color="6D8CC3"/>
            </w:tcBorders>
          </w:tcPr>
          <w:p>
            <w:pPr>
              <w:spacing w:after="0"/>
              <w:rPr>
                <w:sz w:val="3"/>
                <w:szCs w:val="3"/>
                <w:color w:val="auto"/>
              </w:rPr>
            </w:pPr>
          </w:p>
        </w:tc>
        <w:tc>
          <w:tcPr>
            <w:tcW w:w="80" w:type="dxa"/>
            <w:vAlign w:val="bottom"/>
            <w:tcBorders>
              <w:bottom w:val="single" w:sz="8" w:color="6D8CC3"/>
            </w:tcBorders>
          </w:tcPr>
          <w:p>
            <w:pPr>
              <w:spacing w:after="0"/>
              <w:rPr>
                <w:sz w:val="3"/>
                <w:szCs w:val="3"/>
                <w:color w:val="auto"/>
              </w:rPr>
            </w:pPr>
          </w:p>
        </w:tc>
        <w:tc>
          <w:tcPr>
            <w:tcW w:w="1200" w:type="dxa"/>
            <w:vAlign w:val="bottom"/>
            <w:tcBorders>
              <w:bottom w:val="single" w:sz="8" w:color="6D8CC3"/>
            </w:tcBorders>
            <w:gridSpan w:val="2"/>
          </w:tcPr>
          <w:p>
            <w:pPr>
              <w:spacing w:after="0"/>
              <w:rPr>
                <w:sz w:val="3"/>
                <w:szCs w:val="3"/>
                <w:color w:val="auto"/>
              </w:rPr>
            </w:pPr>
          </w:p>
        </w:tc>
        <w:tc>
          <w:tcPr>
            <w:tcW w:w="880" w:type="dxa"/>
            <w:vAlign w:val="bottom"/>
            <w:tcBorders>
              <w:bottom w:val="single" w:sz="8" w:color="6D8CC3"/>
            </w:tcBorders>
          </w:tcPr>
          <w:p>
            <w:pPr>
              <w:spacing w:after="0"/>
              <w:rPr>
                <w:sz w:val="3"/>
                <w:szCs w:val="3"/>
                <w:color w:val="auto"/>
              </w:rPr>
            </w:pPr>
          </w:p>
        </w:tc>
        <w:tc>
          <w:tcPr>
            <w:tcW w:w="60" w:type="dxa"/>
            <w:vAlign w:val="bottom"/>
            <w:tcBorders>
              <w:bottom w:val="single" w:sz="8" w:color="6D8CC3"/>
            </w:tcBorders>
          </w:tcPr>
          <w:p>
            <w:pPr>
              <w:spacing w:after="0"/>
              <w:rPr>
                <w:sz w:val="3"/>
                <w:szCs w:val="3"/>
                <w:color w:val="auto"/>
              </w:rPr>
            </w:pPr>
          </w:p>
        </w:tc>
        <w:tc>
          <w:tcPr>
            <w:tcW w:w="1080" w:type="dxa"/>
            <w:vAlign w:val="bottom"/>
            <w:tcBorders>
              <w:bottom w:val="single" w:sz="8" w:color="6D8CC3"/>
            </w:tcBorders>
            <w:gridSpan w:val="2"/>
          </w:tcPr>
          <w:p>
            <w:pPr>
              <w:spacing w:after="0"/>
              <w:rPr>
                <w:sz w:val="3"/>
                <w:szCs w:val="3"/>
                <w:color w:val="auto"/>
              </w:rPr>
            </w:pPr>
          </w:p>
        </w:tc>
        <w:tc>
          <w:tcPr>
            <w:tcW w:w="1000" w:type="dxa"/>
            <w:vAlign w:val="bottom"/>
            <w:tcBorders>
              <w:bottom w:val="single" w:sz="8" w:color="6D8CC3"/>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440" w:type="dxa"/>
            <w:vAlign w:val="bottom"/>
          </w:tcPr>
          <w:p>
            <w:pPr>
              <w:spacing w:after="0"/>
              <w:rPr>
                <w:sz w:val="20"/>
                <w:szCs w:val="20"/>
                <w:color w:val="auto"/>
              </w:rPr>
            </w:pPr>
            <w:r>
              <w:rPr>
                <w:rFonts w:ascii="Arial" w:cs="Arial" w:eastAsia="Arial" w:hAnsi="Arial"/>
                <w:sz w:val="14"/>
                <w:szCs w:val="14"/>
                <w:b w:val="1"/>
                <w:bCs w:val="1"/>
                <w:color w:val="auto"/>
              </w:rPr>
              <w:t>2024</w:t>
            </w:r>
          </w:p>
        </w:tc>
        <w:tc>
          <w:tcPr>
            <w:tcW w:w="1320" w:type="dxa"/>
            <w:vAlign w:val="bottom"/>
            <w:gridSpan w:val="3"/>
          </w:tcPr>
          <w:p>
            <w:pPr>
              <w:ind w:left="560"/>
              <w:spacing w:after="0"/>
              <w:rPr>
                <w:sz w:val="20"/>
                <w:szCs w:val="20"/>
                <w:color w:val="auto"/>
              </w:rPr>
            </w:pPr>
            <w:r>
              <w:rPr>
                <w:rFonts w:ascii="Arial" w:cs="Arial" w:eastAsia="Arial" w:hAnsi="Arial"/>
                <w:sz w:val="14"/>
                <w:szCs w:val="14"/>
                <w:color w:val="auto"/>
              </w:rPr>
              <w:t>4,138,178</w:t>
            </w:r>
          </w:p>
        </w:tc>
        <w:tc>
          <w:tcPr>
            <w:tcW w:w="1520" w:type="dxa"/>
            <w:vAlign w:val="bottom"/>
            <w:gridSpan w:val="3"/>
          </w:tcPr>
          <w:p>
            <w:pPr>
              <w:ind w:left="540"/>
              <w:spacing w:after="0"/>
              <w:rPr>
                <w:sz w:val="20"/>
                <w:szCs w:val="20"/>
                <w:color w:val="auto"/>
              </w:rPr>
            </w:pPr>
            <w:r>
              <w:rPr>
                <w:rFonts w:ascii="Arial" w:cs="Arial" w:eastAsia="Arial" w:hAnsi="Arial"/>
                <w:sz w:val="14"/>
                <w:szCs w:val="14"/>
                <w:color w:val="auto"/>
              </w:rPr>
              <w:t>2,506,748</w:t>
            </w: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jc w:val="right"/>
              <w:ind w:right="353"/>
              <w:spacing w:after="0"/>
              <w:rPr>
                <w:sz w:val="20"/>
                <w:szCs w:val="20"/>
                <w:color w:val="auto"/>
              </w:rPr>
            </w:pPr>
            <w:r>
              <w:rPr>
                <w:rFonts w:ascii="Arial" w:cs="Arial" w:eastAsia="Arial" w:hAnsi="Arial"/>
                <w:sz w:val="14"/>
                <w:szCs w:val="14"/>
                <w:color w:val="auto"/>
              </w:rPr>
              <w:t>122.41</w:t>
            </w:r>
          </w:p>
        </w:tc>
        <w:tc>
          <w:tcPr>
            <w:tcW w:w="80" w:type="dxa"/>
            <w:vAlign w:val="bottom"/>
          </w:tcPr>
          <w:p>
            <w:pPr>
              <w:spacing w:after="0"/>
              <w:rPr>
                <w:sz w:val="21"/>
                <w:szCs w:val="21"/>
                <w:color w:val="auto"/>
              </w:rPr>
            </w:pPr>
          </w:p>
        </w:tc>
        <w:tc>
          <w:tcPr>
            <w:tcW w:w="1200" w:type="dxa"/>
            <w:vAlign w:val="bottom"/>
            <w:gridSpan w:val="2"/>
          </w:tcPr>
          <w:p>
            <w:pPr>
              <w:ind w:left="980"/>
              <w:spacing w:after="0"/>
              <w:rPr>
                <w:sz w:val="20"/>
                <w:szCs w:val="20"/>
                <w:color w:val="auto"/>
              </w:rPr>
            </w:pPr>
            <w:r>
              <w:rPr>
                <w:rFonts w:ascii="Arial" w:cs="Arial" w:eastAsia="Arial" w:hAnsi="Arial"/>
                <w:sz w:val="14"/>
                <w:szCs w:val="14"/>
                <w:color w:val="auto"/>
                <w:w w:val="85"/>
              </w:rPr>
              <w:t>134​</w:t>
            </w:r>
          </w:p>
        </w:tc>
        <w:tc>
          <w:tcPr>
            <w:tcW w:w="880" w:type="dxa"/>
            <w:vAlign w:val="bottom"/>
          </w:tcPr>
          <w:p>
            <w:pPr>
              <w:spacing w:after="0"/>
              <w:rPr>
                <w:sz w:val="20"/>
                <w:szCs w:val="20"/>
                <w:color w:val="auto"/>
              </w:rPr>
            </w:pPr>
            <w:r>
              <w:rPr>
                <w:rFonts w:ascii="Arial" w:cs="Arial" w:eastAsia="Arial" w:hAnsi="Arial"/>
                <w:sz w:val="14"/>
                <w:szCs w:val="14"/>
                <w:color w:val="auto"/>
              </w:rPr>
              <w:t>.96</w:t>
            </w:r>
          </w:p>
        </w:tc>
        <w:tc>
          <w:tcPr>
            <w:tcW w:w="60" w:type="dxa"/>
            <w:vAlign w:val="bottom"/>
          </w:tcPr>
          <w:p>
            <w:pPr>
              <w:spacing w:after="0"/>
              <w:rPr>
                <w:sz w:val="21"/>
                <w:szCs w:val="21"/>
                <w:color w:val="auto"/>
              </w:rPr>
            </w:pPr>
          </w:p>
        </w:tc>
        <w:tc>
          <w:tcPr>
            <w:tcW w:w="1080" w:type="dxa"/>
            <w:vAlign w:val="bottom"/>
            <w:gridSpan w:val="2"/>
          </w:tcPr>
          <w:p>
            <w:pPr>
              <w:jc w:val="right"/>
              <w:ind w:right="212"/>
              <w:spacing w:after="0"/>
              <w:rPr>
                <w:sz w:val="20"/>
                <w:szCs w:val="20"/>
                <w:color w:val="auto"/>
              </w:rPr>
            </w:pPr>
            <w:r>
              <w:rPr>
                <w:rFonts w:ascii="Arial" w:cs="Arial" w:eastAsia="Arial" w:hAnsi="Arial"/>
                <w:sz w:val="14"/>
                <w:szCs w:val="14"/>
                <w:color w:val="auto"/>
              </w:rPr>
              <w:t>798</w:t>
            </w:r>
          </w:p>
        </w:tc>
        <w:tc>
          <w:tcPr>
            <w:tcW w:w="1000" w:type="dxa"/>
            <w:vAlign w:val="bottom"/>
          </w:tcPr>
          <w:p>
            <w:pPr>
              <w:jc w:val="center"/>
              <w:ind w:left="73"/>
              <w:spacing w:after="0"/>
              <w:rPr>
                <w:sz w:val="20"/>
                <w:szCs w:val="20"/>
                <w:color w:val="auto"/>
              </w:rPr>
            </w:pPr>
            <w:r>
              <w:rPr>
                <w:rFonts w:ascii="Arial" w:cs="Arial" w:eastAsia="Arial" w:hAnsi="Arial"/>
                <w:sz w:val="14"/>
                <w:szCs w:val="14"/>
                <w:color w:val="auto"/>
                <w:w w:val="96"/>
              </w:rPr>
              <w:t>1,266</w:t>
            </w:r>
          </w:p>
        </w:tc>
        <w:tc>
          <w:tcPr>
            <w:tcW w:w="0" w:type="dxa"/>
            <w:vAlign w:val="bottom"/>
          </w:tcPr>
          <w:p>
            <w:pPr>
              <w:spacing w:after="0"/>
              <w:rPr>
                <w:sz w:val="1"/>
                <w:szCs w:val="1"/>
                <w:color w:val="auto"/>
              </w:rPr>
            </w:pPr>
          </w:p>
        </w:tc>
      </w:tr>
      <w:tr>
        <w:trPr>
          <w:trHeight w:val="40"/>
        </w:trPr>
        <w:tc>
          <w:tcPr>
            <w:tcW w:w="440" w:type="dxa"/>
            <w:vAlign w:val="bottom"/>
            <w:tcBorders>
              <w:bottom w:val="single" w:sz="8" w:color="6D8CC3"/>
            </w:tcBorders>
          </w:tcPr>
          <w:p>
            <w:pPr>
              <w:spacing w:after="0"/>
              <w:rPr>
                <w:sz w:val="3"/>
                <w:szCs w:val="3"/>
                <w:color w:val="auto"/>
              </w:rPr>
            </w:pPr>
          </w:p>
        </w:tc>
        <w:tc>
          <w:tcPr>
            <w:tcW w:w="1320" w:type="dxa"/>
            <w:vAlign w:val="bottom"/>
            <w:tcBorders>
              <w:bottom w:val="single" w:sz="8" w:color="6D8CC3"/>
            </w:tcBorders>
            <w:gridSpan w:val="3"/>
          </w:tcPr>
          <w:p>
            <w:pPr>
              <w:spacing w:after="0"/>
              <w:rPr>
                <w:sz w:val="3"/>
                <w:szCs w:val="3"/>
                <w:color w:val="auto"/>
              </w:rPr>
            </w:pPr>
          </w:p>
        </w:tc>
        <w:tc>
          <w:tcPr>
            <w:tcW w:w="1520" w:type="dxa"/>
            <w:vAlign w:val="bottom"/>
            <w:tcBorders>
              <w:bottom w:val="single" w:sz="8" w:color="6D8CC3"/>
            </w:tcBorders>
            <w:gridSpan w:val="3"/>
          </w:tcPr>
          <w:p>
            <w:pPr>
              <w:spacing w:after="0"/>
              <w:rPr>
                <w:sz w:val="3"/>
                <w:szCs w:val="3"/>
                <w:color w:val="auto"/>
              </w:rPr>
            </w:pPr>
          </w:p>
        </w:tc>
        <w:tc>
          <w:tcPr>
            <w:tcW w:w="40" w:type="dxa"/>
            <w:vAlign w:val="bottom"/>
            <w:tcBorders>
              <w:bottom w:val="single" w:sz="8" w:color="6D8CC3"/>
            </w:tcBorders>
          </w:tcPr>
          <w:p>
            <w:pPr>
              <w:spacing w:after="0"/>
              <w:rPr>
                <w:sz w:val="3"/>
                <w:szCs w:val="3"/>
                <w:color w:val="auto"/>
              </w:rPr>
            </w:pPr>
          </w:p>
        </w:tc>
        <w:tc>
          <w:tcPr>
            <w:tcW w:w="380" w:type="dxa"/>
            <w:vAlign w:val="bottom"/>
            <w:tcBorders>
              <w:bottom w:val="single" w:sz="8" w:color="6D8CC3"/>
            </w:tcBorders>
          </w:tcPr>
          <w:p>
            <w:pPr>
              <w:spacing w:after="0"/>
              <w:rPr>
                <w:sz w:val="3"/>
                <w:szCs w:val="3"/>
                <w:color w:val="auto"/>
              </w:rPr>
            </w:pPr>
          </w:p>
        </w:tc>
        <w:tc>
          <w:tcPr>
            <w:tcW w:w="1040" w:type="dxa"/>
            <w:vAlign w:val="bottom"/>
            <w:tcBorders>
              <w:bottom w:val="single" w:sz="8" w:color="6D8CC3"/>
            </w:tcBorders>
          </w:tcPr>
          <w:p>
            <w:pPr>
              <w:spacing w:after="0"/>
              <w:rPr>
                <w:sz w:val="3"/>
                <w:szCs w:val="3"/>
                <w:color w:val="auto"/>
              </w:rPr>
            </w:pPr>
          </w:p>
        </w:tc>
        <w:tc>
          <w:tcPr>
            <w:tcW w:w="80" w:type="dxa"/>
            <w:vAlign w:val="bottom"/>
            <w:tcBorders>
              <w:bottom w:val="single" w:sz="8" w:color="6D8CC3"/>
            </w:tcBorders>
          </w:tcPr>
          <w:p>
            <w:pPr>
              <w:spacing w:after="0"/>
              <w:rPr>
                <w:sz w:val="3"/>
                <w:szCs w:val="3"/>
                <w:color w:val="auto"/>
              </w:rPr>
            </w:pPr>
          </w:p>
        </w:tc>
        <w:tc>
          <w:tcPr>
            <w:tcW w:w="1200" w:type="dxa"/>
            <w:vAlign w:val="bottom"/>
            <w:tcBorders>
              <w:bottom w:val="single" w:sz="8" w:color="6D8CC3"/>
            </w:tcBorders>
            <w:gridSpan w:val="2"/>
          </w:tcPr>
          <w:p>
            <w:pPr>
              <w:spacing w:after="0"/>
              <w:rPr>
                <w:sz w:val="3"/>
                <w:szCs w:val="3"/>
                <w:color w:val="auto"/>
              </w:rPr>
            </w:pPr>
          </w:p>
        </w:tc>
        <w:tc>
          <w:tcPr>
            <w:tcW w:w="880" w:type="dxa"/>
            <w:vAlign w:val="bottom"/>
            <w:tcBorders>
              <w:bottom w:val="single" w:sz="8" w:color="6D8CC3"/>
            </w:tcBorders>
          </w:tcPr>
          <w:p>
            <w:pPr>
              <w:spacing w:after="0"/>
              <w:rPr>
                <w:sz w:val="3"/>
                <w:szCs w:val="3"/>
                <w:color w:val="auto"/>
              </w:rPr>
            </w:pPr>
          </w:p>
        </w:tc>
        <w:tc>
          <w:tcPr>
            <w:tcW w:w="60" w:type="dxa"/>
            <w:vAlign w:val="bottom"/>
            <w:tcBorders>
              <w:bottom w:val="single" w:sz="8" w:color="6D8CC3"/>
            </w:tcBorders>
          </w:tcPr>
          <w:p>
            <w:pPr>
              <w:spacing w:after="0"/>
              <w:rPr>
                <w:sz w:val="3"/>
                <w:szCs w:val="3"/>
                <w:color w:val="auto"/>
              </w:rPr>
            </w:pPr>
          </w:p>
        </w:tc>
        <w:tc>
          <w:tcPr>
            <w:tcW w:w="1080" w:type="dxa"/>
            <w:vAlign w:val="bottom"/>
            <w:tcBorders>
              <w:bottom w:val="single" w:sz="8" w:color="6D8CC3"/>
            </w:tcBorders>
            <w:gridSpan w:val="2"/>
          </w:tcPr>
          <w:p>
            <w:pPr>
              <w:spacing w:after="0"/>
              <w:rPr>
                <w:sz w:val="3"/>
                <w:szCs w:val="3"/>
                <w:color w:val="auto"/>
              </w:rPr>
            </w:pPr>
          </w:p>
        </w:tc>
        <w:tc>
          <w:tcPr>
            <w:tcW w:w="1000" w:type="dxa"/>
            <w:vAlign w:val="bottom"/>
            <w:tcBorders>
              <w:bottom w:val="single" w:sz="8" w:color="6D8CC3"/>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440" w:type="dxa"/>
            <w:vAlign w:val="bottom"/>
          </w:tcPr>
          <w:p>
            <w:pPr>
              <w:spacing w:after="0"/>
              <w:rPr>
                <w:sz w:val="20"/>
                <w:szCs w:val="20"/>
                <w:color w:val="auto"/>
              </w:rPr>
            </w:pPr>
            <w:r>
              <w:rPr>
                <w:rFonts w:ascii="Arial" w:cs="Arial" w:eastAsia="Arial" w:hAnsi="Arial"/>
                <w:sz w:val="14"/>
                <w:szCs w:val="14"/>
                <w:b w:val="1"/>
                <w:bCs w:val="1"/>
                <w:color w:val="auto"/>
              </w:rPr>
              <w:t>2023</w:t>
            </w:r>
          </w:p>
        </w:tc>
        <w:tc>
          <w:tcPr>
            <w:tcW w:w="1320" w:type="dxa"/>
            <w:vAlign w:val="bottom"/>
            <w:gridSpan w:val="3"/>
          </w:tcPr>
          <w:p>
            <w:pPr>
              <w:ind w:left="560"/>
              <w:spacing w:after="0"/>
              <w:rPr>
                <w:sz w:val="20"/>
                <w:szCs w:val="20"/>
                <w:color w:val="auto"/>
              </w:rPr>
            </w:pPr>
            <w:r>
              <w:rPr>
                <w:rFonts w:ascii="Arial" w:cs="Arial" w:eastAsia="Arial" w:hAnsi="Arial"/>
                <w:sz w:val="14"/>
                <w:szCs w:val="14"/>
                <w:color w:val="auto"/>
              </w:rPr>
              <w:t>3,749,110</w:t>
            </w:r>
          </w:p>
        </w:tc>
        <w:tc>
          <w:tcPr>
            <w:tcW w:w="1520" w:type="dxa"/>
            <w:vAlign w:val="bottom"/>
            <w:gridSpan w:val="3"/>
          </w:tcPr>
          <w:p>
            <w:pPr>
              <w:ind w:left="540"/>
              <w:spacing w:after="0"/>
              <w:rPr>
                <w:sz w:val="20"/>
                <w:szCs w:val="20"/>
                <w:color w:val="auto"/>
              </w:rPr>
            </w:pPr>
            <w:r>
              <w:rPr>
                <w:rFonts w:ascii="Arial" w:cs="Arial" w:eastAsia="Arial" w:hAnsi="Arial"/>
                <w:sz w:val="14"/>
                <w:szCs w:val="14"/>
                <w:color w:val="auto"/>
              </w:rPr>
              <w:t>2,984,218</w:t>
            </w: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jc w:val="right"/>
              <w:ind w:right="353"/>
              <w:spacing w:after="0"/>
              <w:rPr>
                <w:sz w:val="20"/>
                <w:szCs w:val="20"/>
                <w:color w:val="auto"/>
              </w:rPr>
            </w:pPr>
            <w:r>
              <w:rPr>
                <w:rFonts w:ascii="Arial" w:cs="Arial" w:eastAsia="Arial" w:hAnsi="Arial"/>
                <w:sz w:val="14"/>
                <w:szCs w:val="14"/>
                <w:color w:val="auto"/>
              </w:rPr>
              <w:t>138.47</w:t>
            </w:r>
          </w:p>
        </w:tc>
        <w:tc>
          <w:tcPr>
            <w:tcW w:w="80" w:type="dxa"/>
            <w:vAlign w:val="bottom"/>
          </w:tcPr>
          <w:p>
            <w:pPr>
              <w:spacing w:after="0"/>
              <w:rPr>
                <w:sz w:val="21"/>
                <w:szCs w:val="21"/>
                <w:color w:val="auto"/>
              </w:rPr>
            </w:pPr>
          </w:p>
        </w:tc>
        <w:tc>
          <w:tcPr>
            <w:tcW w:w="1200" w:type="dxa"/>
            <w:vAlign w:val="bottom"/>
            <w:gridSpan w:val="2"/>
          </w:tcPr>
          <w:p>
            <w:pPr>
              <w:ind w:left="980"/>
              <w:spacing w:after="0"/>
              <w:rPr>
                <w:sz w:val="20"/>
                <w:szCs w:val="20"/>
                <w:color w:val="auto"/>
              </w:rPr>
            </w:pPr>
            <w:r>
              <w:rPr>
                <w:rFonts w:ascii="Arial" w:cs="Arial" w:eastAsia="Arial" w:hAnsi="Arial"/>
                <w:sz w:val="14"/>
                <w:szCs w:val="14"/>
                <w:color w:val="auto"/>
                <w:w w:val="85"/>
              </w:rPr>
              <w:t>102​</w:t>
            </w:r>
          </w:p>
        </w:tc>
        <w:tc>
          <w:tcPr>
            <w:tcW w:w="880" w:type="dxa"/>
            <w:vAlign w:val="bottom"/>
          </w:tcPr>
          <w:p>
            <w:pPr>
              <w:spacing w:after="0"/>
              <w:rPr>
                <w:sz w:val="20"/>
                <w:szCs w:val="20"/>
                <w:color w:val="auto"/>
              </w:rPr>
            </w:pPr>
            <w:r>
              <w:rPr>
                <w:rFonts w:ascii="Arial" w:cs="Arial" w:eastAsia="Arial" w:hAnsi="Arial"/>
                <w:sz w:val="14"/>
                <w:szCs w:val="14"/>
                <w:color w:val="auto"/>
              </w:rPr>
              <w:t>.42</w:t>
            </w:r>
          </w:p>
        </w:tc>
        <w:tc>
          <w:tcPr>
            <w:tcW w:w="60" w:type="dxa"/>
            <w:vAlign w:val="bottom"/>
          </w:tcPr>
          <w:p>
            <w:pPr>
              <w:spacing w:after="0"/>
              <w:rPr>
                <w:sz w:val="21"/>
                <w:szCs w:val="21"/>
                <w:color w:val="auto"/>
              </w:rPr>
            </w:pPr>
          </w:p>
        </w:tc>
        <w:tc>
          <w:tcPr>
            <w:tcW w:w="1080" w:type="dxa"/>
            <w:vAlign w:val="bottom"/>
            <w:gridSpan w:val="2"/>
          </w:tcPr>
          <w:p>
            <w:pPr>
              <w:jc w:val="right"/>
              <w:ind w:right="212"/>
              <w:spacing w:after="0"/>
              <w:rPr>
                <w:sz w:val="20"/>
                <w:szCs w:val="20"/>
                <w:color w:val="auto"/>
              </w:rPr>
            </w:pPr>
            <w:r>
              <w:rPr>
                <w:rFonts w:ascii="Arial" w:cs="Arial" w:eastAsia="Arial" w:hAnsi="Arial"/>
                <w:sz w:val="14"/>
                <w:szCs w:val="14"/>
                <w:color w:val="auto"/>
              </w:rPr>
              <w:t>878</w:t>
            </w:r>
          </w:p>
        </w:tc>
        <w:tc>
          <w:tcPr>
            <w:tcW w:w="1000" w:type="dxa"/>
            <w:vAlign w:val="bottom"/>
          </w:tcPr>
          <w:p>
            <w:pPr>
              <w:jc w:val="center"/>
              <w:ind w:left="73"/>
              <w:spacing w:after="0"/>
              <w:rPr>
                <w:sz w:val="20"/>
                <w:szCs w:val="20"/>
                <w:color w:val="auto"/>
              </w:rPr>
            </w:pPr>
            <w:r>
              <w:rPr>
                <w:rFonts w:ascii="Arial" w:cs="Arial" w:eastAsia="Arial" w:hAnsi="Arial"/>
                <w:sz w:val="14"/>
                <w:szCs w:val="14"/>
                <w:color w:val="auto"/>
                <w:w w:val="96"/>
              </w:rPr>
              <w:t>1,285</w:t>
            </w:r>
          </w:p>
        </w:tc>
        <w:tc>
          <w:tcPr>
            <w:tcW w:w="0" w:type="dxa"/>
            <w:vAlign w:val="bottom"/>
          </w:tcPr>
          <w:p>
            <w:pPr>
              <w:spacing w:after="0"/>
              <w:rPr>
                <w:sz w:val="1"/>
                <w:szCs w:val="1"/>
                <w:color w:val="auto"/>
              </w:rPr>
            </w:pPr>
          </w:p>
        </w:tc>
      </w:tr>
      <w:tr>
        <w:trPr>
          <w:trHeight w:val="40"/>
        </w:trPr>
        <w:tc>
          <w:tcPr>
            <w:tcW w:w="440" w:type="dxa"/>
            <w:vAlign w:val="bottom"/>
            <w:tcBorders>
              <w:bottom w:val="single" w:sz="8" w:color="6D8CC3"/>
            </w:tcBorders>
          </w:tcPr>
          <w:p>
            <w:pPr>
              <w:spacing w:after="0"/>
              <w:rPr>
                <w:sz w:val="3"/>
                <w:szCs w:val="3"/>
                <w:color w:val="auto"/>
              </w:rPr>
            </w:pPr>
          </w:p>
        </w:tc>
        <w:tc>
          <w:tcPr>
            <w:tcW w:w="1320" w:type="dxa"/>
            <w:vAlign w:val="bottom"/>
            <w:tcBorders>
              <w:bottom w:val="single" w:sz="8" w:color="6D8CC3"/>
            </w:tcBorders>
            <w:gridSpan w:val="3"/>
          </w:tcPr>
          <w:p>
            <w:pPr>
              <w:spacing w:after="0"/>
              <w:rPr>
                <w:sz w:val="3"/>
                <w:szCs w:val="3"/>
                <w:color w:val="auto"/>
              </w:rPr>
            </w:pPr>
          </w:p>
        </w:tc>
        <w:tc>
          <w:tcPr>
            <w:tcW w:w="1520" w:type="dxa"/>
            <w:vAlign w:val="bottom"/>
            <w:tcBorders>
              <w:bottom w:val="single" w:sz="8" w:color="6D8CC3"/>
            </w:tcBorders>
            <w:gridSpan w:val="3"/>
          </w:tcPr>
          <w:p>
            <w:pPr>
              <w:spacing w:after="0"/>
              <w:rPr>
                <w:sz w:val="3"/>
                <w:szCs w:val="3"/>
                <w:color w:val="auto"/>
              </w:rPr>
            </w:pPr>
          </w:p>
        </w:tc>
        <w:tc>
          <w:tcPr>
            <w:tcW w:w="40" w:type="dxa"/>
            <w:vAlign w:val="bottom"/>
            <w:tcBorders>
              <w:bottom w:val="single" w:sz="8" w:color="6D8CC3"/>
            </w:tcBorders>
          </w:tcPr>
          <w:p>
            <w:pPr>
              <w:spacing w:after="0"/>
              <w:rPr>
                <w:sz w:val="3"/>
                <w:szCs w:val="3"/>
                <w:color w:val="auto"/>
              </w:rPr>
            </w:pPr>
          </w:p>
        </w:tc>
        <w:tc>
          <w:tcPr>
            <w:tcW w:w="380" w:type="dxa"/>
            <w:vAlign w:val="bottom"/>
            <w:tcBorders>
              <w:bottom w:val="single" w:sz="8" w:color="6D8CC3"/>
            </w:tcBorders>
          </w:tcPr>
          <w:p>
            <w:pPr>
              <w:spacing w:after="0"/>
              <w:rPr>
                <w:sz w:val="3"/>
                <w:szCs w:val="3"/>
                <w:color w:val="auto"/>
              </w:rPr>
            </w:pPr>
          </w:p>
        </w:tc>
        <w:tc>
          <w:tcPr>
            <w:tcW w:w="1040" w:type="dxa"/>
            <w:vAlign w:val="bottom"/>
            <w:tcBorders>
              <w:bottom w:val="single" w:sz="8" w:color="6D8CC3"/>
            </w:tcBorders>
          </w:tcPr>
          <w:p>
            <w:pPr>
              <w:spacing w:after="0"/>
              <w:rPr>
                <w:sz w:val="3"/>
                <w:szCs w:val="3"/>
                <w:color w:val="auto"/>
              </w:rPr>
            </w:pPr>
          </w:p>
        </w:tc>
        <w:tc>
          <w:tcPr>
            <w:tcW w:w="80" w:type="dxa"/>
            <w:vAlign w:val="bottom"/>
            <w:tcBorders>
              <w:bottom w:val="single" w:sz="8" w:color="6D8CC3"/>
            </w:tcBorders>
          </w:tcPr>
          <w:p>
            <w:pPr>
              <w:spacing w:after="0"/>
              <w:rPr>
                <w:sz w:val="3"/>
                <w:szCs w:val="3"/>
                <w:color w:val="auto"/>
              </w:rPr>
            </w:pPr>
          </w:p>
        </w:tc>
        <w:tc>
          <w:tcPr>
            <w:tcW w:w="2140" w:type="dxa"/>
            <w:vAlign w:val="bottom"/>
            <w:tcBorders>
              <w:bottom w:val="single" w:sz="8" w:color="6D8CC3"/>
            </w:tcBorders>
            <w:gridSpan w:val="4"/>
          </w:tcPr>
          <w:p>
            <w:pPr>
              <w:spacing w:after="0"/>
              <w:rPr>
                <w:sz w:val="3"/>
                <w:szCs w:val="3"/>
                <w:color w:val="auto"/>
              </w:rPr>
            </w:pPr>
          </w:p>
        </w:tc>
        <w:tc>
          <w:tcPr>
            <w:tcW w:w="1080" w:type="dxa"/>
            <w:vAlign w:val="bottom"/>
            <w:tcBorders>
              <w:bottom w:val="single" w:sz="8" w:color="6D8CC3"/>
            </w:tcBorders>
            <w:gridSpan w:val="2"/>
          </w:tcPr>
          <w:p>
            <w:pPr>
              <w:spacing w:after="0"/>
              <w:rPr>
                <w:sz w:val="3"/>
                <w:szCs w:val="3"/>
                <w:color w:val="auto"/>
              </w:rPr>
            </w:pPr>
          </w:p>
        </w:tc>
        <w:tc>
          <w:tcPr>
            <w:tcW w:w="1000" w:type="dxa"/>
            <w:vAlign w:val="bottom"/>
            <w:tcBorders>
              <w:bottom w:val="single" w:sz="8" w:color="6D8CC3"/>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440" w:type="dxa"/>
            <w:vAlign w:val="bottom"/>
          </w:tcPr>
          <w:p>
            <w:pPr>
              <w:spacing w:after="0"/>
              <w:rPr>
                <w:sz w:val="20"/>
                <w:szCs w:val="20"/>
                <w:color w:val="auto"/>
              </w:rPr>
            </w:pPr>
            <w:r>
              <w:rPr>
                <w:rFonts w:ascii="Arial" w:cs="Arial" w:eastAsia="Arial" w:hAnsi="Arial"/>
                <w:sz w:val="14"/>
                <w:szCs w:val="14"/>
                <w:b w:val="1"/>
                <w:bCs w:val="1"/>
                <w:color w:val="auto"/>
              </w:rPr>
              <w:t>2022</w:t>
            </w:r>
          </w:p>
        </w:tc>
        <w:tc>
          <w:tcPr>
            <w:tcW w:w="1320" w:type="dxa"/>
            <w:vAlign w:val="bottom"/>
            <w:gridSpan w:val="3"/>
          </w:tcPr>
          <w:p>
            <w:pPr>
              <w:ind w:left="560"/>
              <w:spacing w:after="0"/>
              <w:rPr>
                <w:sz w:val="20"/>
                <w:szCs w:val="20"/>
                <w:color w:val="auto"/>
              </w:rPr>
            </w:pPr>
            <w:r>
              <w:rPr>
                <w:rFonts w:ascii="Arial" w:cs="Arial" w:eastAsia="Arial" w:hAnsi="Arial"/>
                <w:sz w:val="14"/>
                <w:szCs w:val="14"/>
                <w:color w:val="auto"/>
              </w:rPr>
              <w:t>6,048,032</w:t>
            </w:r>
          </w:p>
        </w:tc>
        <w:tc>
          <w:tcPr>
            <w:tcW w:w="1520" w:type="dxa"/>
            <w:vAlign w:val="bottom"/>
            <w:gridSpan w:val="3"/>
          </w:tcPr>
          <w:p>
            <w:pPr>
              <w:ind w:left="540"/>
              <w:spacing w:after="0"/>
              <w:rPr>
                <w:sz w:val="20"/>
                <w:szCs w:val="20"/>
                <w:color w:val="auto"/>
              </w:rPr>
            </w:pPr>
            <w:r>
              <w:rPr>
                <w:rFonts w:ascii="Arial" w:cs="Arial" w:eastAsia="Arial" w:hAnsi="Arial"/>
                <w:sz w:val="14"/>
                <w:szCs w:val="14"/>
                <w:color w:val="auto"/>
              </w:rPr>
              <w:t>5,371,173</w:t>
            </w: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jc w:val="right"/>
              <w:ind w:right="353"/>
              <w:spacing w:after="0"/>
              <w:rPr>
                <w:sz w:val="20"/>
                <w:szCs w:val="20"/>
                <w:color w:val="auto"/>
              </w:rPr>
            </w:pPr>
            <w:r>
              <w:rPr>
                <w:rFonts w:ascii="Arial" w:cs="Arial" w:eastAsia="Arial" w:hAnsi="Arial"/>
                <w:sz w:val="14"/>
                <w:szCs w:val="14"/>
                <w:color w:val="auto"/>
              </w:rPr>
              <w:t>139.22</w:t>
            </w:r>
          </w:p>
        </w:tc>
        <w:tc>
          <w:tcPr>
            <w:tcW w:w="80" w:type="dxa"/>
            <w:vAlign w:val="bottom"/>
          </w:tcPr>
          <w:p>
            <w:pPr>
              <w:spacing w:after="0"/>
              <w:rPr>
                <w:sz w:val="21"/>
                <w:szCs w:val="21"/>
                <w:color w:val="auto"/>
              </w:rPr>
            </w:pPr>
          </w:p>
        </w:tc>
        <w:tc>
          <w:tcPr>
            <w:tcW w:w="2140" w:type="dxa"/>
            <w:vAlign w:val="bottom"/>
            <w:gridSpan w:val="4"/>
          </w:tcPr>
          <w:p>
            <w:pPr>
              <w:ind w:left="980"/>
              <w:spacing w:after="0"/>
              <w:rPr>
                <w:sz w:val="20"/>
                <w:szCs w:val="20"/>
                <w:color w:val="auto"/>
              </w:rPr>
            </w:pPr>
            <w:r>
              <w:rPr>
                <w:rFonts w:ascii="Arial" w:cs="Arial" w:eastAsia="Arial" w:hAnsi="Arial"/>
                <w:sz w:val="14"/>
                <w:szCs w:val="14"/>
                <w:color w:val="auto"/>
              </w:rPr>
              <w:t>​ 93.72</w:t>
            </w:r>
          </w:p>
        </w:tc>
        <w:tc>
          <w:tcPr>
            <w:tcW w:w="1080" w:type="dxa"/>
            <w:vAlign w:val="bottom"/>
            <w:gridSpan w:val="2"/>
          </w:tcPr>
          <w:p>
            <w:pPr>
              <w:jc w:val="right"/>
              <w:ind w:right="212"/>
              <w:spacing w:after="0"/>
              <w:rPr>
                <w:sz w:val="20"/>
                <w:szCs w:val="20"/>
                <w:color w:val="auto"/>
              </w:rPr>
            </w:pPr>
            <w:r>
              <w:rPr>
                <w:rFonts w:ascii="Arial" w:cs="Arial" w:eastAsia="Arial" w:hAnsi="Arial"/>
                <w:sz w:val="14"/>
                <w:szCs w:val="14"/>
                <w:color w:val="auto"/>
              </w:rPr>
              <w:t>800</w:t>
            </w:r>
          </w:p>
        </w:tc>
        <w:tc>
          <w:tcPr>
            <w:tcW w:w="1000" w:type="dxa"/>
            <w:vAlign w:val="bottom"/>
          </w:tcPr>
          <w:p>
            <w:pPr>
              <w:jc w:val="center"/>
              <w:ind w:left="73"/>
              <w:spacing w:after="0"/>
              <w:rPr>
                <w:sz w:val="20"/>
                <w:szCs w:val="20"/>
                <w:color w:val="auto"/>
              </w:rPr>
            </w:pPr>
            <w:r>
              <w:rPr>
                <w:rFonts w:ascii="Arial" w:cs="Arial" w:eastAsia="Arial" w:hAnsi="Arial"/>
                <w:sz w:val="14"/>
                <w:szCs w:val="14"/>
                <w:color w:val="auto"/>
                <w:w w:val="96"/>
              </w:rPr>
              <w:t>1,376</w:t>
            </w:r>
          </w:p>
        </w:tc>
        <w:tc>
          <w:tcPr>
            <w:tcW w:w="0" w:type="dxa"/>
            <w:vAlign w:val="bottom"/>
          </w:tcPr>
          <w:p>
            <w:pPr>
              <w:spacing w:after="0"/>
              <w:rPr>
                <w:sz w:val="1"/>
                <w:szCs w:val="1"/>
                <w:color w:val="auto"/>
              </w:rPr>
            </w:pPr>
          </w:p>
        </w:tc>
      </w:tr>
      <w:tr>
        <w:trPr>
          <w:trHeight w:val="40"/>
        </w:trPr>
        <w:tc>
          <w:tcPr>
            <w:tcW w:w="440" w:type="dxa"/>
            <w:vAlign w:val="bottom"/>
            <w:tcBorders>
              <w:bottom w:val="single" w:sz="8" w:color="6D8CC3"/>
            </w:tcBorders>
          </w:tcPr>
          <w:p>
            <w:pPr>
              <w:spacing w:after="0"/>
              <w:rPr>
                <w:sz w:val="3"/>
                <w:szCs w:val="3"/>
                <w:color w:val="auto"/>
              </w:rPr>
            </w:pPr>
          </w:p>
        </w:tc>
        <w:tc>
          <w:tcPr>
            <w:tcW w:w="1320" w:type="dxa"/>
            <w:vAlign w:val="bottom"/>
            <w:tcBorders>
              <w:bottom w:val="single" w:sz="8" w:color="6D8CC3"/>
            </w:tcBorders>
            <w:gridSpan w:val="3"/>
          </w:tcPr>
          <w:p>
            <w:pPr>
              <w:spacing w:after="0"/>
              <w:rPr>
                <w:sz w:val="3"/>
                <w:szCs w:val="3"/>
                <w:color w:val="auto"/>
              </w:rPr>
            </w:pPr>
          </w:p>
        </w:tc>
        <w:tc>
          <w:tcPr>
            <w:tcW w:w="1520" w:type="dxa"/>
            <w:vAlign w:val="bottom"/>
            <w:tcBorders>
              <w:bottom w:val="single" w:sz="8" w:color="6D8CC3"/>
            </w:tcBorders>
            <w:gridSpan w:val="3"/>
          </w:tcPr>
          <w:p>
            <w:pPr>
              <w:spacing w:after="0"/>
              <w:rPr>
                <w:sz w:val="3"/>
                <w:szCs w:val="3"/>
                <w:color w:val="auto"/>
              </w:rPr>
            </w:pPr>
          </w:p>
        </w:tc>
        <w:tc>
          <w:tcPr>
            <w:tcW w:w="40" w:type="dxa"/>
            <w:vAlign w:val="bottom"/>
            <w:tcBorders>
              <w:bottom w:val="single" w:sz="8" w:color="6D8CC3"/>
            </w:tcBorders>
          </w:tcPr>
          <w:p>
            <w:pPr>
              <w:spacing w:after="0"/>
              <w:rPr>
                <w:sz w:val="3"/>
                <w:szCs w:val="3"/>
                <w:color w:val="auto"/>
              </w:rPr>
            </w:pPr>
          </w:p>
        </w:tc>
        <w:tc>
          <w:tcPr>
            <w:tcW w:w="380" w:type="dxa"/>
            <w:vAlign w:val="bottom"/>
            <w:tcBorders>
              <w:bottom w:val="single" w:sz="8" w:color="6D8CC3"/>
            </w:tcBorders>
          </w:tcPr>
          <w:p>
            <w:pPr>
              <w:spacing w:after="0"/>
              <w:rPr>
                <w:sz w:val="3"/>
                <w:szCs w:val="3"/>
                <w:color w:val="auto"/>
              </w:rPr>
            </w:pPr>
          </w:p>
        </w:tc>
        <w:tc>
          <w:tcPr>
            <w:tcW w:w="1040" w:type="dxa"/>
            <w:vAlign w:val="bottom"/>
            <w:tcBorders>
              <w:bottom w:val="single" w:sz="8" w:color="6D8CC3"/>
            </w:tcBorders>
          </w:tcPr>
          <w:p>
            <w:pPr>
              <w:spacing w:after="0"/>
              <w:rPr>
                <w:sz w:val="3"/>
                <w:szCs w:val="3"/>
                <w:color w:val="auto"/>
              </w:rPr>
            </w:pPr>
          </w:p>
        </w:tc>
        <w:tc>
          <w:tcPr>
            <w:tcW w:w="80" w:type="dxa"/>
            <w:vAlign w:val="bottom"/>
            <w:tcBorders>
              <w:bottom w:val="single" w:sz="8" w:color="6D8CC3"/>
            </w:tcBorders>
          </w:tcPr>
          <w:p>
            <w:pPr>
              <w:spacing w:after="0"/>
              <w:rPr>
                <w:sz w:val="3"/>
                <w:szCs w:val="3"/>
                <w:color w:val="auto"/>
              </w:rPr>
            </w:pPr>
          </w:p>
        </w:tc>
        <w:tc>
          <w:tcPr>
            <w:tcW w:w="1200" w:type="dxa"/>
            <w:vAlign w:val="bottom"/>
            <w:tcBorders>
              <w:bottom w:val="single" w:sz="8" w:color="6D8CC3"/>
            </w:tcBorders>
            <w:gridSpan w:val="2"/>
          </w:tcPr>
          <w:p>
            <w:pPr>
              <w:spacing w:after="0"/>
              <w:rPr>
                <w:sz w:val="3"/>
                <w:szCs w:val="3"/>
                <w:color w:val="auto"/>
              </w:rPr>
            </w:pPr>
          </w:p>
        </w:tc>
        <w:tc>
          <w:tcPr>
            <w:tcW w:w="880" w:type="dxa"/>
            <w:vAlign w:val="bottom"/>
            <w:tcBorders>
              <w:bottom w:val="single" w:sz="8" w:color="6D8CC3"/>
            </w:tcBorders>
          </w:tcPr>
          <w:p>
            <w:pPr>
              <w:spacing w:after="0"/>
              <w:rPr>
                <w:sz w:val="3"/>
                <w:szCs w:val="3"/>
                <w:color w:val="auto"/>
              </w:rPr>
            </w:pPr>
          </w:p>
        </w:tc>
        <w:tc>
          <w:tcPr>
            <w:tcW w:w="60" w:type="dxa"/>
            <w:vAlign w:val="bottom"/>
            <w:tcBorders>
              <w:bottom w:val="single" w:sz="8" w:color="6D8CC3"/>
            </w:tcBorders>
          </w:tcPr>
          <w:p>
            <w:pPr>
              <w:spacing w:after="0"/>
              <w:rPr>
                <w:sz w:val="3"/>
                <w:szCs w:val="3"/>
                <w:color w:val="auto"/>
              </w:rPr>
            </w:pPr>
          </w:p>
        </w:tc>
        <w:tc>
          <w:tcPr>
            <w:tcW w:w="1080" w:type="dxa"/>
            <w:vAlign w:val="bottom"/>
            <w:tcBorders>
              <w:bottom w:val="single" w:sz="8" w:color="6D8CC3"/>
            </w:tcBorders>
            <w:gridSpan w:val="2"/>
          </w:tcPr>
          <w:p>
            <w:pPr>
              <w:spacing w:after="0"/>
              <w:rPr>
                <w:sz w:val="3"/>
                <w:szCs w:val="3"/>
                <w:color w:val="auto"/>
              </w:rPr>
            </w:pPr>
          </w:p>
        </w:tc>
        <w:tc>
          <w:tcPr>
            <w:tcW w:w="1000" w:type="dxa"/>
            <w:vAlign w:val="bottom"/>
            <w:tcBorders>
              <w:bottom w:val="single" w:sz="8" w:color="6D8CC3"/>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440" w:type="dxa"/>
            <w:vAlign w:val="bottom"/>
          </w:tcPr>
          <w:p>
            <w:pPr>
              <w:spacing w:after="0"/>
              <w:rPr>
                <w:sz w:val="20"/>
                <w:szCs w:val="20"/>
                <w:color w:val="auto"/>
              </w:rPr>
            </w:pPr>
            <w:r>
              <w:rPr>
                <w:rFonts w:ascii="Arial" w:cs="Arial" w:eastAsia="Arial" w:hAnsi="Arial"/>
                <w:sz w:val="14"/>
                <w:szCs w:val="14"/>
                <w:b w:val="1"/>
                <w:bCs w:val="1"/>
                <w:color w:val="auto"/>
              </w:rPr>
              <w:t>2021</w:t>
            </w:r>
          </w:p>
        </w:tc>
        <w:tc>
          <w:tcPr>
            <w:tcW w:w="1320" w:type="dxa"/>
            <w:vAlign w:val="bottom"/>
            <w:gridSpan w:val="3"/>
          </w:tcPr>
          <w:p>
            <w:pPr>
              <w:ind w:left="560"/>
              <w:spacing w:after="0"/>
              <w:rPr>
                <w:sz w:val="20"/>
                <w:szCs w:val="20"/>
                <w:color w:val="auto"/>
              </w:rPr>
            </w:pPr>
            <w:r>
              <w:rPr>
                <w:rFonts w:ascii="Arial" w:cs="Arial" w:eastAsia="Arial" w:hAnsi="Arial"/>
                <w:sz w:val="14"/>
                <w:szCs w:val="14"/>
                <w:color w:val="auto"/>
              </w:rPr>
              <w:t>5,340,605</w:t>
            </w:r>
          </w:p>
        </w:tc>
        <w:tc>
          <w:tcPr>
            <w:tcW w:w="1520" w:type="dxa"/>
            <w:vAlign w:val="bottom"/>
            <w:gridSpan w:val="3"/>
          </w:tcPr>
          <w:p>
            <w:pPr>
              <w:ind w:left="540"/>
              <w:spacing w:after="0"/>
              <w:rPr>
                <w:sz w:val="20"/>
                <w:szCs w:val="20"/>
                <w:color w:val="auto"/>
              </w:rPr>
            </w:pPr>
            <w:r>
              <w:rPr>
                <w:rFonts w:ascii="Arial" w:cs="Arial" w:eastAsia="Arial" w:hAnsi="Arial"/>
                <w:sz w:val="14"/>
                <w:szCs w:val="14"/>
                <w:color w:val="auto"/>
              </w:rPr>
              <w:t>6,947,481</w:t>
            </w: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jc w:val="right"/>
              <w:ind w:right="353"/>
              <w:spacing w:after="0"/>
              <w:rPr>
                <w:sz w:val="20"/>
                <w:szCs w:val="20"/>
                <w:color w:val="auto"/>
              </w:rPr>
            </w:pPr>
            <w:r>
              <w:rPr>
                <w:rFonts w:ascii="Arial" w:cs="Arial" w:eastAsia="Arial" w:hAnsi="Arial"/>
                <w:sz w:val="14"/>
                <w:szCs w:val="14"/>
                <w:color w:val="auto"/>
              </w:rPr>
              <w:t>167.02</w:t>
            </w:r>
          </w:p>
        </w:tc>
        <w:tc>
          <w:tcPr>
            <w:tcW w:w="80" w:type="dxa"/>
            <w:vAlign w:val="bottom"/>
          </w:tcPr>
          <w:p>
            <w:pPr>
              <w:spacing w:after="0"/>
              <w:rPr>
                <w:sz w:val="21"/>
                <w:szCs w:val="21"/>
                <w:color w:val="auto"/>
              </w:rPr>
            </w:pPr>
          </w:p>
        </w:tc>
        <w:tc>
          <w:tcPr>
            <w:tcW w:w="1200" w:type="dxa"/>
            <w:vAlign w:val="bottom"/>
            <w:gridSpan w:val="2"/>
          </w:tcPr>
          <w:p>
            <w:pPr>
              <w:ind w:left="980"/>
              <w:spacing w:after="0"/>
              <w:rPr>
                <w:sz w:val="20"/>
                <w:szCs w:val="20"/>
                <w:color w:val="auto"/>
              </w:rPr>
            </w:pPr>
            <w:r>
              <w:rPr>
                <w:rFonts w:ascii="Arial" w:cs="Arial" w:eastAsia="Arial" w:hAnsi="Arial"/>
                <w:sz w:val="14"/>
                <w:szCs w:val="14"/>
                <w:color w:val="auto"/>
                <w:w w:val="85"/>
              </w:rPr>
              <w:t>101​</w:t>
            </w:r>
          </w:p>
        </w:tc>
        <w:tc>
          <w:tcPr>
            <w:tcW w:w="880" w:type="dxa"/>
            <w:vAlign w:val="bottom"/>
          </w:tcPr>
          <w:p>
            <w:pPr>
              <w:spacing w:after="0"/>
              <w:rPr>
                <w:sz w:val="20"/>
                <w:szCs w:val="20"/>
                <w:color w:val="auto"/>
              </w:rPr>
            </w:pPr>
            <w:r>
              <w:rPr>
                <w:rFonts w:ascii="Arial" w:cs="Arial" w:eastAsia="Arial" w:hAnsi="Arial"/>
                <w:sz w:val="14"/>
                <w:szCs w:val="14"/>
                <w:color w:val="auto"/>
              </w:rPr>
              <w:t>.29</w:t>
            </w:r>
          </w:p>
        </w:tc>
        <w:tc>
          <w:tcPr>
            <w:tcW w:w="60" w:type="dxa"/>
            <w:vAlign w:val="bottom"/>
          </w:tcPr>
          <w:p>
            <w:pPr>
              <w:spacing w:after="0"/>
              <w:rPr>
                <w:sz w:val="21"/>
                <w:szCs w:val="21"/>
                <w:color w:val="auto"/>
              </w:rPr>
            </w:pPr>
          </w:p>
        </w:tc>
        <w:tc>
          <w:tcPr>
            <w:tcW w:w="1080" w:type="dxa"/>
            <w:vAlign w:val="bottom"/>
            <w:gridSpan w:val="2"/>
          </w:tcPr>
          <w:p>
            <w:pPr>
              <w:jc w:val="right"/>
              <w:ind w:right="192"/>
              <w:spacing w:after="0"/>
              <w:rPr>
                <w:sz w:val="20"/>
                <w:szCs w:val="20"/>
                <w:color w:val="auto"/>
              </w:rPr>
            </w:pPr>
            <w:r>
              <w:rPr>
                <w:rFonts w:ascii="Arial" w:cs="Arial" w:eastAsia="Arial" w:hAnsi="Arial"/>
                <w:sz w:val="14"/>
                <w:szCs w:val="14"/>
                <w:color w:val="auto"/>
              </w:rPr>
              <w:t>1,333</w:t>
            </w:r>
          </w:p>
        </w:tc>
        <w:tc>
          <w:tcPr>
            <w:tcW w:w="1000" w:type="dxa"/>
            <w:vAlign w:val="bottom"/>
          </w:tcPr>
          <w:p>
            <w:pPr>
              <w:jc w:val="center"/>
              <w:ind w:left="73"/>
              <w:spacing w:after="0"/>
              <w:rPr>
                <w:sz w:val="20"/>
                <w:szCs w:val="20"/>
                <w:color w:val="auto"/>
              </w:rPr>
            </w:pPr>
            <w:r>
              <w:rPr>
                <w:rFonts w:ascii="Arial" w:cs="Arial" w:eastAsia="Arial" w:hAnsi="Arial"/>
                <w:sz w:val="14"/>
                <w:szCs w:val="14"/>
                <w:color w:val="auto"/>
                <w:w w:val="96"/>
              </w:rPr>
              <w:t>2,019</w:t>
            </w:r>
          </w:p>
        </w:tc>
        <w:tc>
          <w:tcPr>
            <w:tcW w:w="0" w:type="dxa"/>
            <w:vAlign w:val="bottom"/>
          </w:tcPr>
          <w:p>
            <w:pPr>
              <w:spacing w:after="0"/>
              <w:rPr>
                <w:sz w:val="1"/>
                <w:szCs w:val="1"/>
                <w:color w:val="auto"/>
              </w:rPr>
            </w:pPr>
          </w:p>
        </w:tc>
      </w:tr>
      <w:tr>
        <w:trPr>
          <w:trHeight w:val="27"/>
        </w:trPr>
        <w:tc>
          <w:tcPr>
            <w:tcW w:w="440" w:type="dxa"/>
            <w:vAlign w:val="bottom"/>
            <w:tcBorders>
              <w:bottom w:val="single" w:sz="8" w:color="6D8CC3"/>
            </w:tcBorders>
          </w:tcPr>
          <w:p>
            <w:pPr>
              <w:spacing w:after="0"/>
              <w:rPr>
                <w:sz w:val="2"/>
                <w:szCs w:val="2"/>
                <w:color w:val="auto"/>
              </w:rPr>
            </w:pPr>
          </w:p>
        </w:tc>
        <w:tc>
          <w:tcPr>
            <w:tcW w:w="60" w:type="dxa"/>
            <w:vAlign w:val="bottom"/>
            <w:tcBorders>
              <w:bottom w:val="single" w:sz="8" w:color="6D8CC3"/>
            </w:tcBorders>
          </w:tcPr>
          <w:p>
            <w:pPr>
              <w:spacing w:after="0"/>
              <w:rPr>
                <w:sz w:val="2"/>
                <w:szCs w:val="2"/>
                <w:color w:val="auto"/>
              </w:rPr>
            </w:pPr>
          </w:p>
        </w:tc>
        <w:tc>
          <w:tcPr>
            <w:tcW w:w="1040" w:type="dxa"/>
            <w:vAlign w:val="bottom"/>
            <w:tcBorders>
              <w:bottom w:val="single" w:sz="8" w:color="6D8CC3"/>
            </w:tcBorders>
          </w:tcPr>
          <w:p>
            <w:pPr>
              <w:spacing w:after="0"/>
              <w:rPr>
                <w:sz w:val="2"/>
                <w:szCs w:val="2"/>
                <w:color w:val="auto"/>
              </w:rPr>
            </w:pPr>
          </w:p>
        </w:tc>
        <w:tc>
          <w:tcPr>
            <w:tcW w:w="220" w:type="dxa"/>
            <w:vAlign w:val="bottom"/>
            <w:tcBorders>
              <w:bottom w:val="single" w:sz="8" w:color="6D8CC3"/>
            </w:tcBorders>
          </w:tcPr>
          <w:p>
            <w:pPr>
              <w:spacing w:after="0"/>
              <w:rPr>
                <w:sz w:val="2"/>
                <w:szCs w:val="2"/>
                <w:color w:val="auto"/>
              </w:rPr>
            </w:pPr>
          </w:p>
        </w:tc>
        <w:tc>
          <w:tcPr>
            <w:tcW w:w="820" w:type="dxa"/>
            <w:vAlign w:val="bottom"/>
            <w:tcBorders>
              <w:bottom w:val="single" w:sz="8" w:color="6D8CC3"/>
            </w:tcBorders>
          </w:tcPr>
          <w:p>
            <w:pPr>
              <w:spacing w:after="0"/>
              <w:rPr>
                <w:sz w:val="2"/>
                <w:szCs w:val="2"/>
                <w:color w:val="auto"/>
              </w:rPr>
            </w:pPr>
          </w:p>
        </w:tc>
        <w:tc>
          <w:tcPr>
            <w:tcW w:w="80" w:type="dxa"/>
            <w:vAlign w:val="bottom"/>
            <w:tcBorders>
              <w:bottom w:val="single" w:sz="8" w:color="6D8CC3"/>
            </w:tcBorders>
          </w:tcPr>
          <w:p>
            <w:pPr>
              <w:spacing w:after="0"/>
              <w:rPr>
                <w:sz w:val="2"/>
                <w:szCs w:val="2"/>
                <w:color w:val="auto"/>
              </w:rPr>
            </w:pPr>
          </w:p>
        </w:tc>
        <w:tc>
          <w:tcPr>
            <w:tcW w:w="620" w:type="dxa"/>
            <w:vAlign w:val="bottom"/>
            <w:tcBorders>
              <w:bottom w:val="single" w:sz="8" w:color="6D8CC3"/>
            </w:tcBorders>
          </w:tcPr>
          <w:p>
            <w:pPr>
              <w:spacing w:after="0"/>
              <w:rPr>
                <w:sz w:val="2"/>
                <w:szCs w:val="2"/>
                <w:color w:val="auto"/>
              </w:rPr>
            </w:pPr>
          </w:p>
        </w:tc>
        <w:tc>
          <w:tcPr>
            <w:tcW w:w="40" w:type="dxa"/>
            <w:vAlign w:val="bottom"/>
            <w:tcBorders>
              <w:bottom w:val="single" w:sz="8" w:color="6D8CC3"/>
            </w:tcBorders>
          </w:tcPr>
          <w:p>
            <w:pPr>
              <w:spacing w:after="0"/>
              <w:rPr>
                <w:sz w:val="2"/>
                <w:szCs w:val="2"/>
                <w:color w:val="auto"/>
              </w:rPr>
            </w:pPr>
          </w:p>
        </w:tc>
        <w:tc>
          <w:tcPr>
            <w:tcW w:w="380" w:type="dxa"/>
            <w:vAlign w:val="bottom"/>
            <w:tcBorders>
              <w:bottom w:val="single" w:sz="8" w:color="6D8CC3"/>
            </w:tcBorders>
          </w:tcPr>
          <w:p>
            <w:pPr>
              <w:spacing w:after="0"/>
              <w:rPr>
                <w:sz w:val="2"/>
                <w:szCs w:val="2"/>
                <w:color w:val="auto"/>
              </w:rPr>
            </w:pPr>
          </w:p>
        </w:tc>
        <w:tc>
          <w:tcPr>
            <w:tcW w:w="1040" w:type="dxa"/>
            <w:vAlign w:val="bottom"/>
            <w:tcBorders>
              <w:bottom w:val="single" w:sz="8" w:color="6D8CC3"/>
            </w:tcBorders>
          </w:tcPr>
          <w:p>
            <w:pPr>
              <w:spacing w:after="0"/>
              <w:rPr>
                <w:sz w:val="2"/>
                <w:szCs w:val="2"/>
                <w:color w:val="auto"/>
              </w:rPr>
            </w:pPr>
          </w:p>
        </w:tc>
        <w:tc>
          <w:tcPr>
            <w:tcW w:w="80" w:type="dxa"/>
            <w:vAlign w:val="bottom"/>
            <w:tcBorders>
              <w:bottom w:val="single" w:sz="8" w:color="6D8CC3"/>
            </w:tcBorders>
          </w:tcPr>
          <w:p>
            <w:pPr>
              <w:spacing w:after="0"/>
              <w:rPr>
                <w:sz w:val="2"/>
                <w:szCs w:val="2"/>
                <w:color w:val="auto"/>
              </w:rPr>
            </w:pPr>
          </w:p>
        </w:tc>
        <w:tc>
          <w:tcPr>
            <w:tcW w:w="1040" w:type="dxa"/>
            <w:vAlign w:val="bottom"/>
            <w:tcBorders>
              <w:bottom w:val="single" w:sz="8" w:color="6D8CC3"/>
            </w:tcBorders>
          </w:tcPr>
          <w:p>
            <w:pPr>
              <w:spacing w:after="0"/>
              <w:rPr>
                <w:sz w:val="2"/>
                <w:szCs w:val="2"/>
                <w:color w:val="auto"/>
              </w:rPr>
            </w:pPr>
          </w:p>
        </w:tc>
        <w:tc>
          <w:tcPr>
            <w:tcW w:w="160" w:type="dxa"/>
            <w:vAlign w:val="bottom"/>
            <w:tcBorders>
              <w:bottom w:val="single" w:sz="8" w:color="6D8CC3"/>
            </w:tcBorders>
          </w:tcPr>
          <w:p>
            <w:pPr>
              <w:spacing w:after="0"/>
              <w:rPr>
                <w:sz w:val="2"/>
                <w:szCs w:val="2"/>
                <w:color w:val="auto"/>
              </w:rPr>
            </w:pPr>
          </w:p>
        </w:tc>
        <w:tc>
          <w:tcPr>
            <w:tcW w:w="880" w:type="dxa"/>
            <w:vAlign w:val="bottom"/>
            <w:tcBorders>
              <w:bottom w:val="single" w:sz="8" w:color="6D8CC3"/>
            </w:tcBorders>
          </w:tcPr>
          <w:p>
            <w:pPr>
              <w:spacing w:after="0"/>
              <w:rPr>
                <w:sz w:val="2"/>
                <w:szCs w:val="2"/>
                <w:color w:val="auto"/>
              </w:rPr>
            </w:pPr>
          </w:p>
        </w:tc>
        <w:tc>
          <w:tcPr>
            <w:tcW w:w="60" w:type="dxa"/>
            <w:vAlign w:val="bottom"/>
            <w:tcBorders>
              <w:bottom w:val="single" w:sz="8" w:color="6D8CC3"/>
            </w:tcBorders>
          </w:tcPr>
          <w:p>
            <w:pPr>
              <w:spacing w:after="0"/>
              <w:rPr>
                <w:sz w:val="2"/>
                <w:szCs w:val="2"/>
                <w:color w:val="auto"/>
              </w:rPr>
            </w:pPr>
          </w:p>
        </w:tc>
        <w:tc>
          <w:tcPr>
            <w:tcW w:w="120" w:type="dxa"/>
            <w:vAlign w:val="bottom"/>
            <w:tcBorders>
              <w:bottom w:val="single" w:sz="8" w:color="6D8CC3"/>
            </w:tcBorders>
          </w:tcPr>
          <w:p>
            <w:pPr>
              <w:spacing w:after="0"/>
              <w:rPr>
                <w:sz w:val="2"/>
                <w:szCs w:val="2"/>
                <w:color w:val="auto"/>
              </w:rPr>
            </w:pPr>
          </w:p>
        </w:tc>
        <w:tc>
          <w:tcPr>
            <w:tcW w:w="960" w:type="dxa"/>
            <w:vAlign w:val="bottom"/>
            <w:tcBorders>
              <w:bottom w:val="single" w:sz="8" w:color="6D8CC3"/>
            </w:tcBorders>
          </w:tcPr>
          <w:p>
            <w:pPr>
              <w:spacing w:after="0"/>
              <w:rPr>
                <w:sz w:val="2"/>
                <w:szCs w:val="2"/>
                <w:color w:val="auto"/>
              </w:rPr>
            </w:pPr>
          </w:p>
        </w:tc>
        <w:tc>
          <w:tcPr>
            <w:tcW w:w="1000" w:type="dxa"/>
            <w:vAlign w:val="bottom"/>
            <w:tcBorders>
              <w:bottom w:val="single" w:sz="8" w:color="6D8CC3"/>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260" w:right="360" w:hanging="256"/>
        <w:spacing w:after="0" w:line="269" w:lineRule="auto"/>
        <w:tabs>
          <w:tab w:leader="none" w:pos="260"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The Company’s PEOs include the following: (i) for fiscal 2025, Daniel Heaf and Gina Boswell; (ii) for fiscal 2023 and 2024, Gina Boswell; (iii) for fiscal 2022, Gina Boswell, Sarah Nash and Andrew Meslow; and (iv) for fiscal 2021, Andrew Meslow.</w:t>
      </w:r>
    </w:p>
    <w:p>
      <w:pPr>
        <w:spacing w:after="0" w:line="19" w:lineRule="exact"/>
        <w:rPr>
          <w:rFonts w:ascii="Arial" w:cs="Arial" w:eastAsia="Arial" w:hAnsi="Arial"/>
          <w:sz w:val="14"/>
          <w:szCs w:val="14"/>
          <w:color w:val="auto"/>
        </w:rPr>
      </w:pPr>
    </w:p>
    <w:p>
      <w:pPr>
        <w:ind w:left="260" w:right="80" w:hanging="256"/>
        <w:spacing w:after="0"/>
        <w:tabs>
          <w:tab w:leader="none" w:pos="260" w:val="left"/>
        </w:tabs>
        <w:numPr>
          <w:ilvl w:val="0"/>
          <w:numId w:val="80"/>
        </w:numPr>
        <w:rPr>
          <w:rFonts w:ascii="Arial" w:cs="Arial" w:eastAsia="Arial" w:hAnsi="Arial"/>
          <w:sz w:val="14"/>
          <w:szCs w:val="14"/>
          <w:color w:val="auto"/>
        </w:rPr>
      </w:pPr>
      <w:r>
        <w:rPr>
          <w:rFonts w:ascii="Arial" w:cs="Arial" w:eastAsia="Arial" w:hAnsi="Arial"/>
          <w:sz w:val="14"/>
          <w:szCs w:val="14"/>
          <w:color w:val="auto"/>
        </w:rPr>
        <w:t xml:space="preserve">The “compensation actually paid” (“CAP”) for the PEOs and average CAP for the Company’s non-PEO NEOs in each of fiscal 2025, 2024, 2023, 2022 and 2021 reflect such individuals’ “Total Compensation” for the applicable year (as reported in the Summary Compensation Table for such year), adjusted as set forth in the following table in accordance with Commission rules. The dollar amounts of CAP reflected in the table on the previous page of this proxy statement do not reflect the actual amount of compensation earned by or paid to the PEOs or our other NEOs during the applicable fiscal year, but rather reflect each NEO’s CAP for such year determined pursuant to Commission rules. For information regarding the compensation decisions made by the HCC Committee in regard to the Company’s PEO and other NEOs for fiscal 2025, see “—Compensation Discussion and Analysis” beginning on page </w:t>
      </w:r>
      <w:r>
        <w:rPr>
          <w:rFonts w:ascii="Arial" w:cs="Arial" w:eastAsia="Arial" w:hAnsi="Arial"/>
          <w:sz w:val="14"/>
          <w:szCs w:val="14"/>
          <w:u w:val="single" w:color="auto"/>
          <w:color w:val="0000EE"/>
        </w:rPr>
        <w:t>29</w:t>
      </w:r>
      <w:r>
        <w:rPr>
          <w:rFonts w:ascii="Arial" w:cs="Arial" w:eastAsia="Arial" w:hAnsi="Arial"/>
          <w:sz w:val="14"/>
          <w:szCs w:val="14"/>
          <w:color w:val="auto"/>
        </w:rPr>
        <w:t xml:space="preserve">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123190</wp:posOffset>
            </wp:positionV>
            <wp:extent cx="573722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737225" cy="8255"/>
                    </a:xfrm>
                    <a:prstGeom prst="rect">
                      <a:avLst/>
                    </a:prstGeom>
                    <a:noFill/>
                  </pic:spPr>
                </pic:pic>
              </a:graphicData>
            </a:graphic>
          </wp:anchor>
        </w:drawing>
      </w:r>
    </w:p>
    <w:p>
      <w:pPr>
        <w:spacing w:after="0" w:line="269" w:lineRule="exact"/>
        <w:rPr>
          <w:sz w:val="20"/>
          <w:szCs w:val="20"/>
          <w:color w:val="auto"/>
        </w:rPr>
      </w:pPr>
    </w:p>
    <w:p>
      <w:pPr>
        <w:ind w:left="5460"/>
        <w:spacing w:after="0"/>
        <w:rPr>
          <w:sz w:val="20"/>
          <w:szCs w:val="20"/>
          <w:color w:val="auto"/>
        </w:rPr>
      </w:pPr>
      <w:r>
        <w:rPr>
          <w:rFonts w:ascii="Arial" w:cs="Arial" w:eastAsia="Arial" w:hAnsi="Arial"/>
          <w:sz w:val="13"/>
          <w:szCs w:val="13"/>
          <w:color w:val="292F72"/>
        </w:rPr>
        <w:t>Bath &amp; Body Works, Inc.</w:t>
      </w:r>
      <w:r>
        <w:rPr>
          <w:rFonts w:ascii="Arial" w:cs="Arial" w:eastAsia="Arial" w:hAnsi="Arial"/>
          <w:sz w:val="13"/>
          <w:szCs w:val="13"/>
          <w:color w:val="6D8CC3"/>
        </w:rPr>
        <w:t xml:space="preserve">   | </w:t>
      </w:r>
      <w:r>
        <w:rPr>
          <w:rFonts w:ascii="Arial" w:cs="Arial" w:eastAsia="Arial" w:hAnsi="Arial"/>
          <w:sz w:val="13"/>
          <w:szCs w:val="13"/>
          <w:color w:val="292F72"/>
        </w:rPr>
        <w:t xml:space="preserve">  2026 Proxy Statement     </w:t>
      </w:r>
      <w:r>
        <w:rPr>
          <w:rFonts w:ascii="Arial" w:cs="Arial" w:eastAsia="Arial" w:hAnsi="Arial"/>
          <w:sz w:val="13"/>
          <w:szCs w:val="13"/>
          <w:b w:val="1"/>
          <w:bCs w:val="1"/>
          <w:color w:val="292F72"/>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152400</wp:posOffset>
            </wp:positionV>
            <wp:extent cx="6795135" cy="1651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795135" cy="16510"/>
                    </a:xfrm>
                    <a:prstGeom prst="rect">
                      <a:avLst/>
                    </a:prstGeom>
                    <a:noFill/>
                  </pic:spPr>
                </pic:pic>
              </a:graphicData>
            </a:graphic>
          </wp:anchor>
        </w:drawing>
      </w:r>
    </w:p>
    <w:p>
      <w:pPr>
        <w:sectPr>
          <w:pgSz w:w="11900" w:h="16838" w:orient="portrait"/>
          <w:cols w:equalWidth="0" w:num="1">
            <w:col w:w="9040"/>
          </w:cols>
          <w:pgMar w:left="1420" w:top="116" w:right="14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6"/>
          <w:szCs w:val="16"/>
          <w:color w:val="292F72"/>
        </w:rPr>
        <w:t>Compensation-Related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40640</wp:posOffset>
            </wp:positionV>
            <wp:extent cx="1407160" cy="3302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407160" cy="33020"/>
                    </a:xfrm>
                    <a:prstGeom prst="rect">
                      <a:avLst/>
                    </a:prstGeom>
                    <a:noFill/>
                  </pic:spPr>
                </pic:pic>
              </a:graphicData>
            </a:graphic>
          </wp:anchor>
        </w:drawing>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9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00" w:type="dxa"/>
            <w:vAlign w:val="bottom"/>
            <w:gridSpan w:val="2"/>
          </w:tcPr>
          <w:p>
            <w:pPr>
              <w:ind w:left="60"/>
              <w:spacing w:after="0"/>
              <w:rPr>
                <w:sz w:val="20"/>
                <w:szCs w:val="20"/>
                <w:color w:val="auto"/>
              </w:rPr>
            </w:pPr>
            <w:r>
              <w:rPr>
                <w:rFonts w:ascii="Arial" w:cs="Arial" w:eastAsia="Arial" w:hAnsi="Arial"/>
                <w:sz w:val="10"/>
                <w:szCs w:val="10"/>
                <w:b w:val="1"/>
                <w:bCs w:val="1"/>
                <w:color w:val="292F72"/>
              </w:rPr>
              <w:t>CHANGE IN FV OF</w:t>
            </w: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18"/>
        </w:trPr>
        <w:tc>
          <w:tcPr>
            <w:tcW w:w="9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tcPr>
          <w:p>
            <w:pPr>
              <w:ind w:left="60"/>
              <w:spacing w:after="0"/>
              <w:rPr>
                <w:sz w:val="20"/>
                <w:szCs w:val="20"/>
                <w:color w:val="auto"/>
              </w:rPr>
            </w:pPr>
            <w:r>
              <w:rPr>
                <w:rFonts w:ascii="Arial" w:cs="Arial" w:eastAsia="Arial" w:hAnsi="Arial"/>
                <w:sz w:val="10"/>
                <w:szCs w:val="10"/>
                <w:b w:val="1"/>
                <w:bCs w:val="1"/>
                <w:color w:val="292F72"/>
              </w:rPr>
              <w:t>ADD FV OF</w:t>
            </w:r>
          </w:p>
        </w:tc>
        <w:tc>
          <w:tcPr>
            <w:tcW w:w="10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00" w:type="dxa"/>
            <w:vAlign w:val="bottom"/>
            <w:gridSpan w:val="2"/>
          </w:tcPr>
          <w:p>
            <w:pPr>
              <w:ind w:left="60"/>
              <w:spacing w:after="0"/>
              <w:rPr>
                <w:sz w:val="20"/>
                <w:szCs w:val="20"/>
                <w:color w:val="auto"/>
              </w:rPr>
            </w:pPr>
            <w:r>
              <w:rPr>
                <w:rFonts w:ascii="Arial" w:cs="Arial" w:eastAsia="Arial" w:hAnsi="Arial"/>
                <w:sz w:val="10"/>
                <w:szCs w:val="10"/>
                <w:b w:val="1"/>
                <w:bCs w:val="1"/>
                <w:color w:val="292F72"/>
              </w:rPr>
              <w:t>EQUITY AWARDS</w:t>
            </w: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18"/>
        </w:trPr>
        <w:tc>
          <w:tcPr>
            <w:tcW w:w="9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tcPr>
          <w:p>
            <w:pPr>
              <w:ind w:left="60"/>
              <w:spacing w:after="0"/>
              <w:rPr>
                <w:sz w:val="20"/>
                <w:szCs w:val="20"/>
                <w:color w:val="auto"/>
              </w:rPr>
            </w:pPr>
            <w:r>
              <w:rPr>
                <w:rFonts w:ascii="Arial" w:cs="Arial" w:eastAsia="Arial" w:hAnsi="Arial"/>
                <w:sz w:val="10"/>
                <w:szCs w:val="10"/>
                <w:b w:val="1"/>
                <w:bCs w:val="1"/>
                <w:color w:val="292F72"/>
              </w:rPr>
              <w:t>EQUITY AWARDS</w:t>
            </w:r>
          </w:p>
        </w:tc>
        <w:tc>
          <w:tcPr>
            <w:tcW w:w="10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00" w:type="dxa"/>
            <w:vAlign w:val="bottom"/>
            <w:gridSpan w:val="2"/>
          </w:tcPr>
          <w:p>
            <w:pPr>
              <w:ind w:left="60"/>
              <w:spacing w:after="0"/>
              <w:rPr>
                <w:sz w:val="20"/>
                <w:szCs w:val="20"/>
                <w:color w:val="auto"/>
              </w:rPr>
            </w:pPr>
            <w:r>
              <w:rPr>
                <w:rFonts w:ascii="Arial" w:cs="Arial" w:eastAsia="Arial" w:hAnsi="Arial"/>
                <w:sz w:val="10"/>
                <w:szCs w:val="10"/>
                <w:b w:val="1"/>
                <w:bCs w:val="1"/>
                <w:color w:val="292F72"/>
              </w:rPr>
              <w:t>GRANTED DURING</w:t>
            </w: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18"/>
        </w:trPr>
        <w:tc>
          <w:tcPr>
            <w:tcW w:w="9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tcPr>
          <w:p>
            <w:pPr>
              <w:ind w:left="60"/>
              <w:spacing w:after="0"/>
              <w:rPr>
                <w:sz w:val="20"/>
                <w:szCs w:val="20"/>
                <w:color w:val="auto"/>
              </w:rPr>
            </w:pPr>
            <w:r>
              <w:rPr>
                <w:rFonts w:ascii="Arial" w:cs="Arial" w:eastAsia="Arial" w:hAnsi="Arial"/>
                <w:sz w:val="10"/>
                <w:szCs w:val="10"/>
                <w:b w:val="1"/>
                <w:bCs w:val="1"/>
                <w:color w:val="292F72"/>
              </w:rPr>
              <w:t>GRANTED DURING</w:t>
            </w:r>
          </w:p>
        </w:tc>
        <w:tc>
          <w:tcPr>
            <w:tcW w:w="1000" w:type="dxa"/>
            <w:vAlign w:val="bottom"/>
          </w:tcPr>
          <w:p>
            <w:pPr>
              <w:ind w:left="60"/>
              <w:spacing w:after="0"/>
              <w:rPr>
                <w:sz w:val="20"/>
                <w:szCs w:val="20"/>
                <w:color w:val="auto"/>
              </w:rPr>
            </w:pPr>
            <w:r>
              <w:rPr>
                <w:rFonts w:ascii="Arial" w:cs="Arial" w:eastAsia="Arial" w:hAnsi="Arial"/>
                <w:sz w:val="10"/>
                <w:szCs w:val="10"/>
                <w:b w:val="1"/>
                <w:bCs w:val="1"/>
                <w:color w:val="292F72"/>
              </w:rPr>
              <w:t>ADD FV OF</w:t>
            </w:r>
          </w:p>
        </w:tc>
        <w:tc>
          <w:tcPr>
            <w:tcW w:w="1140" w:type="dxa"/>
            <w:vAlign w:val="bottom"/>
          </w:tcPr>
          <w:p>
            <w:pPr>
              <w:spacing w:after="0"/>
              <w:rPr>
                <w:sz w:val="10"/>
                <w:szCs w:val="10"/>
                <w:color w:val="auto"/>
              </w:rPr>
            </w:pPr>
          </w:p>
        </w:tc>
        <w:tc>
          <w:tcPr>
            <w:tcW w:w="1100" w:type="dxa"/>
            <w:vAlign w:val="bottom"/>
            <w:gridSpan w:val="2"/>
          </w:tcPr>
          <w:p>
            <w:pPr>
              <w:ind w:left="60"/>
              <w:spacing w:after="0"/>
              <w:rPr>
                <w:sz w:val="20"/>
                <w:szCs w:val="20"/>
                <w:color w:val="auto"/>
              </w:rPr>
            </w:pPr>
            <w:r>
              <w:rPr>
                <w:rFonts w:ascii="Arial" w:cs="Arial" w:eastAsia="Arial" w:hAnsi="Arial"/>
                <w:sz w:val="10"/>
                <w:szCs w:val="10"/>
                <w:b w:val="1"/>
                <w:bCs w:val="1"/>
                <w:color w:val="292F72"/>
              </w:rPr>
              <w:t>ANY PRIOR FISCAL</w:t>
            </w:r>
          </w:p>
        </w:tc>
        <w:tc>
          <w:tcPr>
            <w:tcW w:w="1040" w:type="dxa"/>
            <w:vAlign w:val="bottom"/>
          </w:tcPr>
          <w:p>
            <w:pPr>
              <w:ind w:left="60"/>
              <w:spacing w:after="0"/>
              <w:rPr>
                <w:sz w:val="20"/>
                <w:szCs w:val="20"/>
                <w:color w:val="auto"/>
              </w:rPr>
            </w:pPr>
            <w:r>
              <w:rPr>
                <w:rFonts w:ascii="Arial" w:cs="Arial" w:eastAsia="Arial" w:hAnsi="Arial"/>
                <w:sz w:val="10"/>
                <w:szCs w:val="10"/>
                <w:b w:val="1"/>
                <w:bCs w:val="1"/>
                <w:color w:val="292F72"/>
              </w:rPr>
              <w:t>GRANTED</w:t>
            </w: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18"/>
        </w:trPr>
        <w:tc>
          <w:tcPr>
            <w:tcW w:w="9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tcPr>
          <w:p>
            <w:pPr>
              <w:ind w:left="60"/>
              <w:spacing w:after="0"/>
              <w:rPr>
                <w:sz w:val="20"/>
                <w:szCs w:val="20"/>
                <w:color w:val="auto"/>
              </w:rPr>
            </w:pPr>
            <w:r>
              <w:rPr>
                <w:rFonts w:ascii="Arial" w:cs="Arial" w:eastAsia="Arial" w:hAnsi="Arial"/>
                <w:sz w:val="10"/>
                <w:szCs w:val="10"/>
                <w:b w:val="1"/>
                <w:bCs w:val="1"/>
                <w:color w:val="292F72"/>
              </w:rPr>
              <w:t>THE COVERED</w:t>
            </w:r>
          </w:p>
        </w:tc>
        <w:tc>
          <w:tcPr>
            <w:tcW w:w="1000" w:type="dxa"/>
            <w:vAlign w:val="bottom"/>
          </w:tcPr>
          <w:p>
            <w:pPr>
              <w:ind w:left="60"/>
              <w:spacing w:after="0"/>
              <w:rPr>
                <w:sz w:val="20"/>
                <w:szCs w:val="20"/>
                <w:color w:val="auto"/>
              </w:rPr>
            </w:pPr>
            <w:r>
              <w:rPr>
                <w:rFonts w:ascii="Arial" w:cs="Arial" w:eastAsia="Arial" w:hAnsi="Arial"/>
                <w:sz w:val="10"/>
                <w:szCs w:val="10"/>
                <w:b w:val="1"/>
                <w:bCs w:val="1"/>
                <w:color w:val="292F72"/>
              </w:rPr>
              <w:t>EQUITY AWARDS</w:t>
            </w:r>
          </w:p>
        </w:tc>
        <w:tc>
          <w:tcPr>
            <w:tcW w:w="1140" w:type="dxa"/>
            <w:vAlign w:val="bottom"/>
          </w:tcPr>
          <w:p>
            <w:pPr>
              <w:ind w:left="60"/>
              <w:spacing w:after="0"/>
              <w:rPr>
                <w:sz w:val="20"/>
                <w:szCs w:val="20"/>
                <w:color w:val="auto"/>
              </w:rPr>
            </w:pPr>
            <w:r>
              <w:rPr>
                <w:rFonts w:ascii="Arial" w:cs="Arial" w:eastAsia="Arial" w:hAnsi="Arial"/>
                <w:sz w:val="10"/>
                <w:szCs w:val="10"/>
                <w:b w:val="1"/>
                <w:bCs w:val="1"/>
                <w:color w:val="292F72"/>
              </w:rPr>
              <w:t>CHANGE IN FV OF</w:t>
            </w:r>
          </w:p>
        </w:tc>
        <w:tc>
          <w:tcPr>
            <w:tcW w:w="1100" w:type="dxa"/>
            <w:vAlign w:val="bottom"/>
            <w:gridSpan w:val="2"/>
          </w:tcPr>
          <w:p>
            <w:pPr>
              <w:ind w:left="60"/>
              <w:spacing w:after="0"/>
              <w:rPr>
                <w:sz w:val="20"/>
                <w:szCs w:val="20"/>
                <w:color w:val="auto"/>
              </w:rPr>
            </w:pPr>
            <w:r>
              <w:rPr>
                <w:rFonts w:ascii="Arial" w:cs="Arial" w:eastAsia="Arial" w:hAnsi="Arial"/>
                <w:sz w:val="10"/>
                <w:szCs w:val="10"/>
                <w:b w:val="1"/>
                <w:bCs w:val="1"/>
                <w:color w:val="292F72"/>
              </w:rPr>
              <w:t>YEAR THAT FAIL</w:t>
            </w:r>
          </w:p>
        </w:tc>
        <w:tc>
          <w:tcPr>
            <w:tcW w:w="1040" w:type="dxa"/>
            <w:vAlign w:val="bottom"/>
          </w:tcPr>
          <w:p>
            <w:pPr>
              <w:ind w:left="60"/>
              <w:spacing w:after="0"/>
              <w:rPr>
                <w:sz w:val="20"/>
                <w:szCs w:val="20"/>
                <w:color w:val="auto"/>
              </w:rPr>
            </w:pPr>
            <w:r>
              <w:rPr>
                <w:rFonts w:ascii="Arial" w:cs="Arial" w:eastAsia="Arial" w:hAnsi="Arial"/>
                <w:sz w:val="10"/>
                <w:szCs w:val="10"/>
                <w:b w:val="1"/>
                <w:bCs w:val="1"/>
                <w:color w:val="292F72"/>
              </w:rPr>
              <w:t>DURING ANY</w:t>
            </w: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18"/>
        </w:trPr>
        <w:tc>
          <w:tcPr>
            <w:tcW w:w="9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tcPr>
          <w:p>
            <w:pPr>
              <w:ind w:left="60"/>
              <w:spacing w:after="0"/>
              <w:rPr>
                <w:sz w:val="20"/>
                <w:szCs w:val="20"/>
                <w:color w:val="auto"/>
              </w:rPr>
            </w:pPr>
            <w:r>
              <w:rPr>
                <w:rFonts w:ascii="Arial" w:cs="Arial" w:eastAsia="Arial" w:hAnsi="Arial"/>
                <w:sz w:val="10"/>
                <w:szCs w:val="10"/>
                <w:b w:val="1"/>
                <w:bCs w:val="1"/>
                <w:color w:val="292F72"/>
              </w:rPr>
              <w:t>FISCAL YEAR</w:t>
            </w:r>
          </w:p>
        </w:tc>
        <w:tc>
          <w:tcPr>
            <w:tcW w:w="1000" w:type="dxa"/>
            <w:vAlign w:val="bottom"/>
          </w:tcPr>
          <w:p>
            <w:pPr>
              <w:ind w:left="60"/>
              <w:spacing w:after="0"/>
              <w:rPr>
                <w:sz w:val="20"/>
                <w:szCs w:val="20"/>
                <w:color w:val="auto"/>
              </w:rPr>
            </w:pPr>
            <w:r>
              <w:rPr>
                <w:rFonts w:ascii="Arial" w:cs="Arial" w:eastAsia="Arial" w:hAnsi="Arial"/>
                <w:sz w:val="10"/>
                <w:szCs w:val="10"/>
                <w:b w:val="1"/>
                <w:bCs w:val="1"/>
                <w:color w:val="292F72"/>
              </w:rPr>
              <w:t>GRANTED</w:t>
            </w:r>
          </w:p>
        </w:tc>
        <w:tc>
          <w:tcPr>
            <w:tcW w:w="1140" w:type="dxa"/>
            <w:vAlign w:val="bottom"/>
          </w:tcPr>
          <w:p>
            <w:pPr>
              <w:ind w:left="60"/>
              <w:spacing w:after="0"/>
              <w:rPr>
                <w:sz w:val="20"/>
                <w:szCs w:val="20"/>
                <w:color w:val="auto"/>
              </w:rPr>
            </w:pPr>
            <w:r>
              <w:rPr>
                <w:rFonts w:ascii="Arial" w:cs="Arial" w:eastAsia="Arial" w:hAnsi="Arial"/>
                <w:sz w:val="10"/>
                <w:szCs w:val="10"/>
                <w:b w:val="1"/>
                <w:bCs w:val="1"/>
                <w:color w:val="292F72"/>
              </w:rPr>
              <w:t>ALL THE EQUITY</w:t>
            </w:r>
          </w:p>
        </w:tc>
        <w:tc>
          <w:tcPr>
            <w:tcW w:w="760" w:type="dxa"/>
            <w:vAlign w:val="bottom"/>
          </w:tcPr>
          <w:p>
            <w:pPr>
              <w:ind w:left="60"/>
              <w:spacing w:after="0"/>
              <w:rPr>
                <w:sz w:val="20"/>
                <w:szCs w:val="20"/>
                <w:color w:val="auto"/>
              </w:rPr>
            </w:pPr>
            <w:r>
              <w:rPr>
                <w:rFonts w:ascii="Arial" w:cs="Arial" w:eastAsia="Arial" w:hAnsi="Arial"/>
                <w:sz w:val="10"/>
                <w:szCs w:val="10"/>
                <w:b w:val="1"/>
                <w:bCs w:val="1"/>
                <w:color w:val="292F72"/>
              </w:rPr>
              <w:t>TO MEET THE</w:t>
            </w:r>
          </w:p>
        </w:tc>
        <w:tc>
          <w:tcPr>
            <w:tcW w:w="340" w:type="dxa"/>
            <w:vAlign w:val="bottom"/>
          </w:tcPr>
          <w:p>
            <w:pPr>
              <w:spacing w:after="0"/>
              <w:rPr>
                <w:sz w:val="10"/>
                <w:szCs w:val="10"/>
                <w:color w:val="auto"/>
              </w:rPr>
            </w:pPr>
          </w:p>
        </w:tc>
        <w:tc>
          <w:tcPr>
            <w:tcW w:w="1040" w:type="dxa"/>
            <w:vAlign w:val="bottom"/>
          </w:tcPr>
          <w:p>
            <w:pPr>
              <w:ind w:left="60"/>
              <w:spacing w:after="0"/>
              <w:rPr>
                <w:sz w:val="20"/>
                <w:szCs w:val="20"/>
                <w:color w:val="auto"/>
              </w:rPr>
            </w:pPr>
            <w:r>
              <w:rPr>
                <w:rFonts w:ascii="Arial" w:cs="Arial" w:eastAsia="Arial" w:hAnsi="Arial"/>
                <w:sz w:val="10"/>
                <w:szCs w:val="10"/>
                <w:b w:val="1"/>
                <w:bCs w:val="1"/>
                <w:color w:val="292F72"/>
              </w:rPr>
              <w:t>PRIOR FISCAL</w:t>
            </w: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18"/>
        </w:trPr>
        <w:tc>
          <w:tcPr>
            <w:tcW w:w="9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tcPr>
          <w:p>
            <w:pPr>
              <w:ind w:left="60"/>
              <w:spacing w:after="0"/>
              <w:rPr>
                <w:sz w:val="20"/>
                <w:szCs w:val="20"/>
                <w:color w:val="auto"/>
              </w:rPr>
            </w:pPr>
            <w:r>
              <w:rPr>
                <w:rFonts w:ascii="Arial" w:cs="Arial" w:eastAsia="Arial" w:hAnsi="Arial"/>
                <w:sz w:val="10"/>
                <w:szCs w:val="10"/>
                <w:b w:val="1"/>
                <w:bCs w:val="1"/>
                <w:color w:val="292F72"/>
              </w:rPr>
              <w:t>REMAINS</w:t>
            </w:r>
          </w:p>
        </w:tc>
        <w:tc>
          <w:tcPr>
            <w:tcW w:w="1000" w:type="dxa"/>
            <w:vAlign w:val="bottom"/>
          </w:tcPr>
          <w:p>
            <w:pPr>
              <w:ind w:left="60"/>
              <w:spacing w:after="0"/>
              <w:rPr>
                <w:sz w:val="20"/>
                <w:szCs w:val="20"/>
                <w:color w:val="auto"/>
              </w:rPr>
            </w:pPr>
            <w:r>
              <w:rPr>
                <w:rFonts w:ascii="Arial" w:cs="Arial" w:eastAsia="Arial" w:hAnsi="Arial"/>
                <w:sz w:val="10"/>
                <w:szCs w:val="10"/>
                <w:b w:val="1"/>
                <w:bCs w:val="1"/>
                <w:color w:val="292F72"/>
              </w:rPr>
              <w:t>DURING THE</w:t>
            </w:r>
          </w:p>
        </w:tc>
        <w:tc>
          <w:tcPr>
            <w:tcW w:w="1140" w:type="dxa"/>
            <w:vAlign w:val="bottom"/>
          </w:tcPr>
          <w:p>
            <w:pPr>
              <w:ind w:left="60"/>
              <w:spacing w:after="0"/>
              <w:rPr>
                <w:sz w:val="20"/>
                <w:szCs w:val="20"/>
                <w:color w:val="auto"/>
              </w:rPr>
            </w:pPr>
            <w:r>
              <w:rPr>
                <w:rFonts w:ascii="Arial" w:cs="Arial" w:eastAsia="Arial" w:hAnsi="Arial"/>
                <w:sz w:val="10"/>
                <w:szCs w:val="10"/>
                <w:b w:val="1"/>
                <w:bCs w:val="1"/>
                <w:color w:val="292F72"/>
              </w:rPr>
              <w:t>AWARDS GRANTED</w:t>
            </w:r>
          </w:p>
        </w:tc>
        <w:tc>
          <w:tcPr>
            <w:tcW w:w="760" w:type="dxa"/>
            <w:vAlign w:val="bottom"/>
          </w:tcPr>
          <w:p>
            <w:pPr>
              <w:ind w:left="60"/>
              <w:spacing w:after="0"/>
              <w:rPr>
                <w:sz w:val="20"/>
                <w:szCs w:val="20"/>
                <w:color w:val="auto"/>
              </w:rPr>
            </w:pPr>
            <w:r>
              <w:rPr>
                <w:rFonts w:ascii="Arial" w:cs="Arial" w:eastAsia="Arial" w:hAnsi="Arial"/>
                <w:sz w:val="10"/>
                <w:szCs w:val="10"/>
                <w:b w:val="1"/>
                <w:bCs w:val="1"/>
                <w:color w:val="292F72"/>
              </w:rPr>
              <w:t>APPLICABLE</w:t>
            </w:r>
          </w:p>
        </w:tc>
        <w:tc>
          <w:tcPr>
            <w:tcW w:w="340" w:type="dxa"/>
            <w:vAlign w:val="bottom"/>
          </w:tcPr>
          <w:p>
            <w:pPr>
              <w:spacing w:after="0"/>
              <w:rPr>
                <w:sz w:val="10"/>
                <w:szCs w:val="10"/>
                <w:color w:val="auto"/>
              </w:rPr>
            </w:pPr>
          </w:p>
        </w:tc>
        <w:tc>
          <w:tcPr>
            <w:tcW w:w="1040" w:type="dxa"/>
            <w:vAlign w:val="bottom"/>
          </w:tcPr>
          <w:p>
            <w:pPr>
              <w:ind w:left="60"/>
              <w:spacing w:after="0"/>
              <w:rPr>
                <w:sz w:val="20"/>
                <w:szCs w:val="20"/>
                <w:color w:val="auto"/>
              </w:rPr>
            </w:pPr>
            <w:r>
              <w:rPr>
                <w:rFonts w:ascii="Arial" w:cs="Arial" w:eastAsia="Arial" w:hAnsi="Arial"/>
                <w:sz w:val="10"/>
                <w:szCs w:val="10"/>
                <w:b w:val="1"/>
                <w:bCs w:val="1"/>
                <w:color w:val="292F72"/>
              </w:rPr>
              <w:t>YEAR REMAINS</w:t>
            </w: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18"/>
        </w:trPr>
        <w:tc>
          <w:tcPr>
            <w:tcW w:w="9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80" w:type="dxa"/>
            <w:vAlign w:val="bottom"/>
          </w:tcPr>
          <w:p>
            <w:pPr>
              <w:ind w:left="80"/>
              <w:spacing w:after="0"/>
              <w:rPr>
                <w:sz w:val="20"/>
                <w:szCs w:val="20"/>
                <w:color w:val="auto"/>
              </w:rPr>
            </w:pPr>
            <w:r>
              <w:rPr>
                <w:rFonts w:ascii="Arial" w:cs="Arial" w:eastAsia="Arial" w:hAnsi="Arial"/>
                <w:sz w:val="10"/>
                <w:szCs w:val="10"/>
                <w:b w:val="1"/>
                <w:bCs w:val="1"/>
                <w:color w:val="292F72"/>
              </w:rPr>
              <w:t>SUBTRACT FV</w:t>
            </w:r>
          </w:p>
        </w:tc>
        <w:tc>
          <w:tcPr>
            <w:tcW w:w="1080" w:type="dxa"/>
            <w:vAlign w:val="bottom"/>
          </w:tcPr>
          <w:p>
            <w:pPr>
              <w:ind w:left="60"/>
              <w:spacing w:after="0"/>
              <w:rPr>
                <w:sz w:val="20"/>
                <w:szCs w:val="20"/>
                <w:color w:val="auto"/>
              </w:rPr>
            </w:pPr>
            <w:r>
              <w:rPr>
                <w:rFonts w:ascii="Arial" w:cs="Arial" w:eastAsia="Arial" w:hAnsi="Arial"/>
                <w:sz w:val="10"/>
                <w:szCs w:val="10"/>
                <w:b w:val="1"/>
                <w:bCs w:val="1"/>
                <w:color w:val="292F72"/>
              </w:rPr>
              <w:t>OUTSTANDING</w:t>
            </w:r>
          </w:p>
        </w:tc>
        <w:tc>
          <w:tcPr>
            <w:tcW w:w="1000" w:type="dxa"/>
            <w:vAlign w:val="bottom"/>
          </w:tcPr>
          <w:p>
            <w:pPr>
              <w:ind w:left="60"/>
              <w:spacing w:after="0"/>
              <w:rPr>
                <w:sz w:val="20"/>
                <w:szCs w:val="20"/>
                <w:color w:val="auto"/>
              </w:rPr>
            </w:pPr>
            <w:r>
              <w:rPr>
                <w:rFonts w:ascii="Arial" w:cs="Arial" w:eastAsia="Arial" w:hAnsi="Arial"/>
                <w:sz w:val="10"/>
                <w:szCs w:val="10"/>
                <w:b w:val="1"/>
                <w:bCs w:val="1"/>
                <w:color w:val="292F72"/>
              </w:rPr>
              <w:t>COVERED</w:t>
            </w:r>
          </w:p>
        </w:tc>
        <w:tc>
          <w:tcPr>
            <w:tcW w:w="1140" w:type="dxa"/>
            <w:vAlign w:val="bottom"/>
          </w:tcPr>
          <w:p>
            <w:pPr>
              <w:ind w:left="60"/>
              <w:spacing w:after="0"/>
              <w:rPr>
                <w:sz w:val="20"/>
                <w:szCs w:val="20"/>
                <w:color w:val="auto"/>
              </w:rPr>
            </w:pPr>
            <w:r>
              <w:rPr>
                <w:rFonts w:ascii="Arial" w:cs="Arial" w:eastAsia="Arial" w:hAnsi="Arial"/>
                <w:sz w:val="10"/>
                <w:szCs w:val="10"/>
                <w:b w:val="1"/>
                <w:bCs w:val="1"/>
                <w:color w:val="292F72"/>
              </w:rPr>
              <w:t>DURING ANY PRIOR</w:t>
            </w:r>
          </w:p>
        </w:tc>
        <w:tc>
          <w:tcPr>
            <w:tcW w:w="760" w:type="dxa"/>
            <w:vAlign w:val="bottom"/>
          </w:tcPr>
          <w:p>
            <w:pPr>
              <w:ind w:left="60"/>
              <w:spacing w:after="0"/>
              <w:rPr>
                <w:sz w:val="20"/>
                <w:szCs w:val="20"/>
                <w:color w:val="auto"/>
              </w:rPr>
            </w:pPr>
            <w:r>
              <w:rPr>
                <w:rFonts w:ascii="Arial" w:cs="Arial" w:eastAsia="Arial" w:hAnsi="Arial"/>
                <w:sz w:val="10"/>
                <w:szCs w:val="10"/>
                <w:b w:val="1"/>
                <w:bCs w:val="1"/>
                <w:color w:val="292F72"/>
              </w:rPr>
              <w:t>VESTING</w:t>
            </w:r>
          </w:p>
        </w:tc>
        <w:tc>
          <w:tcPr>
            <w:tcW w:w="340" w:type="dxa"/>
            <w:vAlign w:val="bottom"/>
          </w:tcPr>
          <w:p>
            <w:pPr>
              <w:spacing w:after="0"/>
              <w:rPr>
                <w:sz w:val="10"/>
                <w:szCs w:val="10"/>
                <w:color w:val="auto"/>
              </w:rPr>
            </w:pPr>
          </w:p>
        </w:tc>
        <w:tc>
          <w:tcPr>
            <w:tcW w:w="1040" w:type="dxa"/>
            <w:vAlign w:val="bottom"/>
          </w:tcPr>
          <w:p>
            <w:pPr>
              <w:ind w:left="60"/>
              <w:spacing w:after="0"/>
              <w:rPr>
                <w:sz w:val="20"/>
                <w:szCs w:val="20"/>
                <w:color w:val="auto"/>
              </w:rPr>
            </w:pPr>
            <w:r>
              <w:rPr>
                <w:rFonts w:ascii="Arial" w:cs="Arial" w:eastAsia="Arial" w:hAnsi="Arial"/>
                <w:sz w:val="10"/>
                <w:szCs w:val="10"/>
                <w:b w:val="1"/>
                <w:bCs w:val="1"/>
                <w:color w:val="292F72"/>
              </w:rPr>
              <w:t>OUTSTANDING</w:t>
            </w: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18"/>
        </w:trPr>
        <w:tc>
          <w:tcPr>
            <w:tcW w:w="920" w:type="dxa"/>
            <w:vAlign w:val="bottom"/>
          </w:tcPr>
          <w:p>
            <w:pPr>
              <w:spacing w:after="0"/>
              <w:rPr>
                <w:sz w:val="10"/>
                <w:szCs w:val="10"/>
                <w:color w:val="auto"/>
              </w:rPr>
            </w:pPr>
          </w:p>
        </w:tc>
        <w:tc>
          <w:tcPr>
            <w:tcW w:w="940" w:type="dxa"/>
            <w:vAlign w:val="bottom"/>
          </w:tcPr>
          <w:p>
            <w:pPr>
              <w:ind w:left="100"/>
              <w:spacing w:after="0"/>
              <w:rPr>
                <w:sz w:val="20"/>
                <w:szCs w:val="20"/>
                <w:color w:val="auto"/>
              </w:rPr>
            </w:pPr>
            <w:r>
              <w:rPr>
                <w:rFonts w:ascii="Arial" w:cs="Arial" w:eastAsia="Arial" w:hAnsi="Arial"/>
                <w:sz w:val="10"/>
                <w:szCs w:val="10"/>
                <w:b w:val="1"/>
                <w:bCs w:val="1"/>
                <w:color w:val="292F72"/>
              </w:rPr>
              <w:t>TOTAL FROM</w:t>
            </w:r>
          </w:p>
        </w:tc>
        <w:tc>
          <w:tcPr>
            <w:tcW w:w="880" w:type="dxa"/>
            <w:vAlign w:val="bottom"/>
          </w:tcPr>
          <w:p>
            <w:pPr>
              <w:ind w:left="80"/>
              <w:spacing w:after="0"/>
              <w:rPr>
                <w:sz w:val="20"/>
                <w:szCs w:val="20"/>
                <w:color w:val="auto"/>
              </w:rPr>
            </w:pPr>
            <w:r>
              <w:rPr>
                <w:rFonts w:ascii="Arial" w:cs="Arial" w:eastAsia="Arial" w:hAnsi="Arial"/>
                <w:sz w:val="10"/>
                <w:szCs w:val="10"/>
                <w:b w:val="1"/>
                <w:bCs w:val="1"/>
                <w:color w:val="292F72"/>
              </w:rPr>
              <w:t>OF AWARDS</w:t>
            </w:r>
          </w:p>
        </w:tc>
        <w:tc>
          <w:tcPr>
            <w:tcW w:w="1080" w:type="dxa"/>
            <w:vAlign w:val="bottom"/>
          </w:tcPr>
          <w:p>
            <w:pPr>
              <w:ind w:left="60"/>
              <w:spacing w:after="0"/>
              <w:rPr>
                <w:sz w:val="20"/>
                <w:szCs w:val="20"/>
                <w:color w:val="auto"/>
              </w:rPr>
            </w:pPr>
            <w:r>
              <w:rPr>
                <w:rFonts w:ascii="Arial" w:cs="Arial" w:eastAsia="Arial" w:hAnsi="Arial"/>
                <w:sz w:val="10"/>
                <w:szCs w:val="10"/>
                <w:b w:val="1"/>
                <w:bCs w:val="1"/>
                <w:color w:val="292F72"/>
              </w:rPr>
              <w:t>AND UNVESTED</w:t>
            </w:r>
          </w:p>
        </w:tc>
        <w:tc>
          <w:tcPr>
            <w:tcW w:w="1000" w:type="dxa"/>
            <w:vAlign w:val="bottom"/>
          </w:tcPr>
          <w:p>
            <w:pPr>
              <w:ind w:left="60"/>
              <w:spacing w:after="0"/>
              <w:rPr>
                <w:sz w:val="20"/>
                <w:szCs w:val="20"/>
                <w:color w:val="auto"/>
              </w:rPr>
            </w:pPr>
            <w:r>
              <w:rPr>
                <w:rFonts w:ascii="Arial" w:cs="Arial" w:eastAsia="Arial" w:hAnsi="Arial"/>
                <w:sz w:val="10"/>
                <w:szCs w:val="10"/>
                <w:b w:val="1"/>
                <w:bCs w:val="1"/>
                <w:color w:val="292F72"/>
              </w:rPr>
              <w:t>FISCAL YEAR</w:t>
            </w:r>
          </w:p>
        </w:tc>
        <w:tc>
          <w:tcPr>
            <w:tcW w:w="1140" w:type="dxa"/>
            <w:vAlign w:val="bottom"/>
          </w:tcPr>
          <w:p>
            <w:pPr>
              <w:ind w:left="60"/>
              <w:spacing w:after="0"/>
              <w:rPr>
                <w:sz w:val="20"/>
                <w:szCs w:val="20"/>
                <w:color w:val="auto"/>
              </w:rPr>
            </w:pPr>
            <w:r>
              <w:rPr>
                <w:rFonts w:ascii="Arial" w:cs="Arial" w:eastAsia="Arial" w:hAnsi="Arial"/>
                <w:sz w:val="10"/>
                <w:szCs w:val="10"/>
                <w:b w:val="1"/>
                <w:bCs w:val="1"/>
                <w:color w:val="292F72"/>
              </w:rPr>
              <w:t>FISCAL YEAR</w:t>
            </w:r>
          </w:p>
        </w:tc>
        <w:tc>
          <w:tcPr>
            <w:tcW w:w="760" w:type="dxa"/>
            <w:vAlign w:val="bottom"/>
          </w:tcPr>
          <w:p>
            <w:pPr>
              <w:ind w:left="60"/>
              <w:spacing w:after="0"/>
              <w:rPr>
                <w:sz w:val="20"/>
                <w:szCs w:val="20"/>
                <w:color w:val="auto"/>
              </w:rPr>
            </w:pPr>
            <w:r>
              <w:rPr>
                <w:rFonts w:ascii="Arial" w:cs="Arial" w:eastAsia="Arial" w:hAnsi="Arial"/>
                <w:sz w:val="10"/>
                <w:szCs w:val="10"/>
                <w:b w:val="1"/>
                <w:bCs w:val="1"/>
                <w:color w:val="292F72"/>
              </w:rPr>
              <w:t>CONDITIONS</w:t>
            </w:r>
          </w:p>
        </w:tc>
        <w:tc>
          <w:tcPr>
            <w:tcW w:w="340" w:type="dxa"/>
            <w:vAlign w:val="bottom"/>
          </w:tcPr>
          <w:p>
            <w:pPr>
              <w:spacing w:after="0"/>
              <w:rPr>
                <w:sz w:val="10"/>
                <w:szCs w:val="10"/>
                <w:color w:val="auto"/>
              </w:rPr>
            </w:pPr>
          </w:p>
        </w:tc>
        <w:tc>
          <w:tcPr>
            <w:tcW w:w="1040" w:type="dxa"/>
            <w:vAlign w:val="bottom"/>
          </w:tcPr>
          <w:p>
            <w:pPr>
              <w:ind w:left="60"/>
              <w:spacing w:after="0"/>
              <w:rPr>
                <w:sz w:val="20"/>
                <w:szCs w:val="20"/>
                <w:color w:val="auto"/>
              </w:rPr>
            </w:pPr>
            <w:r>
              <w:rPr>
                <w:rFonts w:ascii="Arial" w:cs="Arial" w:eastAsia="Arial" w:hAnsi="Arial"/>
                <w:sz w:val="10"/>
                <w:szCs w:val="10"/>
                <w:b w:val="1"/>
                <w:bCs w:val="1"/>
                <w:color w:val="292F72"/>
              </w:rPr>
              <w:t>AND UNVESTED</w:t>
            </w: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18"/>
        </w:trPr>
        <w:tc>
          <w:tcPr>
            <w:tcW w:w="920" w:type="dxa"/>
            <w:vAlign w:val="bottom"/>
          </w:tcPr>
          <w:p>
            <w:pPr>
              <w:spacing w:after="0"/>
              <w:rPr>
                <w:sz w:val="10"/>
                <w:szCs w:val="10"/>
                <w:color w:val="auto"/>
              </w:rPr>
            </w:pPr>
          </w:p>
        </w:tc>
        <w:tc>
          <w:tcPr>
            <w:tcW w:w="940" w:type="dxa"/>
            <w:vAlign w:val="bottom"/>
          </w:tcPr>
          <w:p>
            <w:pPr>
              <w:ind w:left="100"/>
              <w:spacing w:after="0"/>
              <w:rPr>
                <w:sz w:val="20"/>
                <w:szCs w:val="20"/>
                <w:color w:val="auto"/>
              </w:rPr>
            </w:pPr>
            <w:r>
              <w:rPr>
                <w:rFonts w:ascii="Arial" w:cs="Arial" w:eastAsia="Arial" w:hAnsi="Arial"/>
                <w:sz w:val="10"/>
                <w:szCs w:val="10"/>
                <w:b w:val="1"/>
                <w:bCs w:val="1"/>
                <w:color w:val="292F72"/>
              </w:rPr>
              <w:t>SUMMARY</w:t>
            </w:r>
          </w:p>
        </w:tc>
        <w:tc>
          <w:tcPr>
            <w:tcW w:w="880" w:type="dxa"/>
            <w:vAlign w:val="bottom"/>
          </w:tcPr>
          <w:p>
            <w:pPr>
              <w:ind w:left="80"/>
              <w:spacing w:after="0"/>
              <w:rPr>
                <w:sz w:val="20"/>
                <w:szCs w:val="20"/>
                <w:color w:val="auto"/>
              </w:rPr>
            </w:pPr>
            <w:r>
              <w:rPr>
                <w:rFonts w:ascii="Arial" w:cs="Arial" w:eastAsia="Arial" w:hAnsi="Arial"/>
                <w:sz w:val="10"/>
                <w:szCs w:val="10"/>
                <w:b w:val="1"/>
                <w:bCs w:val="1"/>
                <w:color w:val="292F72"/>
              </w:rPr>
              <w:t>GRANTED IN</w:t>
            </w:r>
          </w:p>
        </w:tc>
        <w:tc>
          <w:tcPr>
            <w:tcW w:w="1080" w:type="dxa"/>
            <w:vAlign w:val="bottom"/>
          </w:tcPr>
          <w:p>
            <w:pPr>
              <w:ind w:left="60"/>
              <w:spacing w:after="0"/>
              <w:rPr>
                <w:sz w:val="20"/>
                <w:szCs w:val="20"/>
                <w:color w:val="auto"/>
              </w:rPr>
            </w:pPr>
            <w:r>
              <w:rPr>
                <w:rFonts w:ascii="Arial" w:cs="Arial" w:eastAsia="Arial" w:hAnsi="Arial"/>
                <w:sz w:val="10"/>
                <w:szCs w:val="10"/>
                <w:b w:val="1"/>
                <w:bCs w:val="1"/>
                <w:color w:val="292F72"/>
              </w:rPr>
              <w:t>AT THE END OF</w:t>
            </w:r>
          </w:p>
        </w:tc>
        <w:tc>
          <w:tcPr>
            <w:tcW w:w="1000" w:type="dxa"/>
            <w:vAlign w:val="bottom"/>
          </w:tcPr>
          <w:p>
            <w:pPr>
              <w:ind w:left="60"/>
              <w:spacing w:after="0"/>
              <w:rPr>
                <w:sz w:val="20"/>
                <w:szCs w:val="20"/>
                <w:color w:val="auto"/>
              </w:rPr>
            </w:pPr>
            <w:r>
              <w:rPr>
                <w:rFonts w:ascii="Arial" w:cs="Arial" w:eastAsia="Arial" w:hAnsi="Arial"/>
                <w:sz w:val="10"/>
                <w:szCs w:val="10"/>
                <w:b w:val="1"/>
                <w:bCs w:val="1"/>
                <w:color w:val="292F72"/>
              </w:rPr>
              <w:t>AND VESTED</w:t>
            </w:r>
          </w:p>
        </w:tc>
        <w:tc>
          <w:tcPr>
            <w:tcW w:w="1140" w:type="dxa"/>
            <w:vAlign w:val="bottom"/>
          </w:tcPr>
          <w:p>
            <w:pPr>
              <w:ind w:left="60"/>
              <w:spacing w:after="0"/>
              <w:rPr>
                <w:sz w:val="20"/>
                <w:szCs w:val="20"/>
                <w:color w:val="auto"/>
              </w:rPr>
            </w:pPr>
            <w:r>
              <w:rPr>
                <w:rFonts w:ascii="Arial" w:cs="Arial" w:eastAsia="Arial" w:hAnsi="Arial"/>
                <w:sz w:val="10"/>
                <w:szCs w:val="10"/>
                <w:b w:val="1"/>
                <w:bCs w:val="1"/>
                <w:color w:val="292F72"/>
              </w:rPr>
              <w:t>AND VESTED</w:t>
            </w:r>
          </w:p>
        </w:tc>
        <w:tc>
          <w:tcPr>
            <w:tcW w:w="760" w:type="dxa"/>
            <w:vAlign w:val="bottom"/>
          </w:tcPr>
          <w:p>
            <w:pPr>
              <w:ind w:left="60"/>
              <w:spacing w:after="0"/>
              <w:rPr>
                <w:sz w:val="20"/>
                <w:szCs w:val="20"/>
                <w:color w:val="auto"/>
              </w:rPr>
            </w:pPr>
            <w:r>
              <w:rPr>
                <w:rFonts w:ascii="Arial" w:cs="Arial" w:eastAsia="Arial" w:hAnsi="Arial"/>
                <w:sz w:val="10"/>
                <w:szCs w:val="10"/>
                <w:b w:val="1"/>
                <w:bCs w:val="1"/>
                <w:color w:val="292F72"/>
              </w:rPr>
              <w:t>DURING THE</w:t>
            </w:r>
          </w:p>
        </w:tc>
        <w:tc>
          <w:tcPr>
            <w:tcW w:w="340" w:type="dxa"/>
            <w:vAlign w:val="bottom"/>
          </w:tcPr>
          <w:p>
            <w:pPr>
              <w:spacing w:after="0"/>
              <w:rPr>
                <w:sz w:val="10"/>
                <w:szCs w:val="10"/>
                <w:color w:val="auto"/>
              </w:rPr>
            </w:pPr>
          </w:p>
        </w:tc>
        <w:tc>
          <w:tcPr>
            <w:tcW w:w="1040" w:type="dxa"/>
            <w:vAlign w:val="bottom"/>
          </w:tcPr>
          <w:p>
            <w:pPr>
              <w:ind w:left="60"/>
              <w:spacing w:after="0"/>
              <w:rPr>
                <w:sz w:val="20"/>
                <w:szCs w:val="20"/>
                <w:color w:val="auto"/>
              </w:rPr>
            </w:pPr>
            <w:r>
              <w:rPr>
                <w:rFonts w:ascii="Arial" w:cs="Arial" w:eastAsia="Arial" w:hAnsi="Arial"/>
                <w:sz w:val="10"/>
                <w:szCs w:val="10"/>
                <w:b w:val="1"/>
                <w:bCs w:val="1"/>
                <w:color w:val="292F72"/>
              </w:rPr>
              <w:t>AS OF THE END</w:t>
            </w: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05"/>
        </w:trPr>
        <w:tc>
          <w:tcPr>
            <w:tcW w:w="920" w:type="dxa"/>
            <w:vAlign w:val="bottom"/>
          </w:tcPr>
          <w:p>
            <w:pPr>
              <w:spacing w:after="0"/>
              <w:rPr>
                <w:sz w:val="9"/>
                <w:szCs w:val="9"/>
                <w:color w:val="auto"/>
              </w:rPr>
            </w:pPr>
          </w:p>
        </w:tc>
        <w:tc>
          <w:tcPr>
            <w:tcW w:w="1820" w:type="dxa"/>
            <w:vAlign w:val="bottom"/>
            <w:gridSpan w:val="2"/>
          </w:tcPr>
          <w:p>
            <w:pPr>
              <w:ind w:left="100"/>
              <w:spacing w:after="0" w:line="105" w:lineRule="exact"/>
              <w:rPr>
                <w:sz w:val="20"/>
                <w:szCs w:val="20"/>
                <w:color w:val="auto"/>
              </w:rPr>
            </w:pPr>
            <w:r>
              <w:rPr>
                <w:rFonts w:ascii="Arial" w:cs="Arial" w:eastAsia="Arial" w:hAnsi="Arial"/>
                <w:sz w:val="10"/>
                <w:szCs w:val="10"/>
                <w:b w:val="1"/>
                <w:bCs w:val="1"/>
                <w:color w:val="292F72"/>
              </w:rPr>
              <w:t>COMPENSATION YEAR FROM</w:t>
            </w:r>
          </w:p>
        </w:tc>
        <w:tc>
          <w:tcPr>
            <w:tcW w:w="1080" w:type="dxa"/>
            <w:vAlign w:val="bottom"/>
          </w:tcPr>
          <w:p>
            <w:pPr>
              <w:ind w:left="60"/>
              <w:spacing w:after="0" w:line="105" w:lineRule="exact"/>
              <w:rPr>
                <w:sz w:val="20"/>
                <w:szCs w:val="20"/>
                <w:color w:val="auto"/>
              </w:rPr>
            </w:pPr>
            <w:r>
              <w:rPr>
                <w:rFonts w:ascii="Arial" w:cs="Arial" w:eastAsia="Arial" w:hAnsi="Arial"/>
                <w:sz w:val="10"/>
                <w:szCs w:val="10"/>
                <w:b w:val="1"/>
                <w:bCs w:val="1"/>
                <w:color w:val="292F72"/>
              </w:rPr>
              <w:t>THE COVERED</w:t>
            </w:r>
          </w:p>
        </w:tc>
        <w:tc>
          <w:tcPr>
            <w:tcW w:w="1000" w:type="dxa"/>
            <w:vAlign w:val="bottom"/>
          </w:tcPr>
          <w:p>
            <w:pPr>
              <w:ind w:left="60"/>
              <w:spacing w:after="0" w:line="105" w:lineRule="exact"/>
              <w:rPr>
                <w:sz w:val="20"/>
                <w:szCs w:val="20"/>
                <w:color w:val="auto"/>
              </w:rPr>
            </w:pPr>
            <w:r>
              <w:rPr>
                <w:rFonts w:ascii="Arial" w:cs="Arial" w:eastAsia="Arial" w:hAnsi="Arial"/>
                <w:sz w:val="10"/>
                <w:szCs w:val="10"/>
                <w:b w:val="1"/>
                <w:bCs w:val="1"/>
                <w:color w:val="292F72"/>
              </w:rPr>
              <w:t>DURING THE</w:t>
            </w:r>
          </w:p>
        </w:tc>
        <w:tc>
          <w:tcPr>
            <w:tcW w:w="1140" w:type="dxa"/>
            <w:vAlign w:val="bottom"/>
          </w:tcPr>
          <w:p>
            <w:pPr>
              <w:ind w:left="60"/>
              <w:spacing w:after="0" w:line="105" w:lineRule="exact"/>
              <w:rPr>
                <w:sz w:val="20"/>
                <w:szCs w:val="20"/>
                <w:color w:val="auto"/>
              </w:rPr>
            </w:pPr>
            <w:r>
              <w:rPr>
                <w:rFonts w:ascii="Arial" w:cs="Arial" w:eastAsia="Arial" w:hAnsi="Arial"/>
                <w:sz w:val="10"/>
                <w:szCs w:val="10"/>
                <w:b w:val="1"/>
                <w:bCs w:val="1"/>
                <w:color w:val="292F72"/>
              </w:rPr>
              <w:t>DURING THE</w:t>
            </w:r>
          </w:p>
        </w:tc>
        <w:tc>
          <w:tcPr>
            <w:tcW w:w="760" w:type="dxa"/>
            <w:vAlign w:val="bottom"/>
          </w:tcPr>
          <w:p>
            <w:pPr>
              <w:ind w:left="60"/>
              <w:spacing w:after="0" w:line="105" w:lineRule="exact"/>
              <w:rPr>
                <w:sz w:val="20"/>
                <w:szCs w:val="20"/>
                <w:color w:val="auto"/>
              </w:rPr>
            </w:pPr>
            <w:r>
              <w:rPr>
                <w:rFonts w:ascii="Arial" w:cs="Arial" w:eastAsia="Arial" w:hAnsi="Arial"/>
                <w:sz w:val="10"/>
                <w:szCs w:val="10"/>
                <w:b w:val="1"/>
                <w:bCs w:val="1"/>
                <w:color w:val="292F72"/>
              </w:rPr>
              <w:t>COVERED</w:t>
            </w:r>
          </w:p>
        </w:tc>
        <w:tc>
          <w:tcPr>
            <w:tcW w:w="340" w:type="dxa"/>
            <w:vAlign w:val="bottom"/>
          </w:tcPr>
          <w:p>
            <w:pPr>
              <w:spacing w:after="0"/>
              <w:rPr>
                <w:sz w:val="9"/>
                <w:szCs w:val="9"/>
                <w:color w:val="auto"/>
              </w:rPr>
            </w:pPr>
          </w:p>
        </w:tc>
        <w:tc>
          <w:tcPr>
            <w:tcW w:w="1040" w:type="dxa"/>
            <w:vAlign w:val="bottom"/>
          </w:tcPr>
          <w:p>
            <w:pPr>
              <w:ind w:left="60"/>
              <w:spacing w:after="0" w:line="105" w:lineRule="exact"/>
              <w:rPr>
                <w:sz w:val="20"/>
                <w:szCs w:val="20"/>
                <w:color w:val="auto"/>
              </w:rPr>
            </w:pPr>
            <w:r>
              <w:rPr>
                <w:rFonts w:ascii="Arial" w:cs="Arial" w:eastAsia="Arial" w:hAnsi="Arial"/>
                <w:sz w:val="10"/>
                <w:szCs w:val="10"/>
                <w:b w:val="1"/>
                <w:bCs w:val="1"/>
                <w:color w:val="292F72"/>
              </w:rPr>
              <w:t>OF THE COVERED</w:t>
            </w:r>
          </w:p>
        </w:tc>
        <w:tc>
          <w:tcPr>
            <w:tcW w:w="940" w:type="dxa"/>
            <w:vAlign w:val="bottom"/>
            <w:gridSpan w:val="2"/>
          </w:tcPr>
          <w:p>
            <w:pPr>
              <w:jc w:val="center"/>
              <w:spacing w:after="0" w:line="105" w:lineRule="exact"/>
              <w:rPr>
                <w:sz w:val="20"/>
                <w:szCs w:val="20"/>
                <w:color w:val="auto"/>
              </w:rPr>
            </w:pPr>
            <w:r>
              <w:rPr>
                <w:rFonts w:ascii="Arial" w:cs="Arial" w:eastAsia="Arial" w:hAnsi="Arial"/>
                <w:sz w:val="10"/>
                <w:szCs w:val="10"/>
                <w:b w:val="1"/>
                <w:bCs w:val="1"/>
                <w:color w:val="292F72"/>
              </w:rPr>
              <w:t>COMPENSATION</w:t>
            </w:r>
          </w:p>
        </w:tc>
      </w:tr>
      <w:tr>
        <w:trPr>
          <w:trHeight w:val="197"/>
        </w:trPr>
        <w:tc>
          <w:tcPr>
            <w:tcW w:w="920" w:type="dxa"/>
            <w:vAlign w:val="bottom"/>
          </w:tcPr>
          <w:p>
            <w:pPr>
              <w:spacing w:after="0"/>
              <w:rPr>
                <w:sz w:val="17"/>
                <w:szCs w:val="17"/>
                <w:color w:val="auto"/>
              </w:rPr>
            </w:pPr>
          </w:p>
        </w:tc>
        <w:tc>
          <w:tcPr>
            <w:tcW w:w="940" w:type="dxa"/>
            <w:vAlign w:val="bottom"/>
          </w:tcPr>
          <w:p>
            <w:pPr>
              <w:ind w:left="100"/>
              <w:spacing w:after="0"/>
              <w:rPr>
                <w:sz w:val="20"/>
                <w:szCs w:val="20"/>
                <w:color w:val="auto"/>
              </w:rPr>
            </w:pPr>
            <w:r>
              <w:rPr>
                <w:rFonts w:ascii="Arial" w:cs="Arial" w:eastAsia="Arial" w:hAnsi="Arial"/>
                <w:sz w:val="10"/>
                <w:szCs w:val="10"/>
                <w:b w:val="1"/>
                <w:bCs w:val="1"/>
                <w:color w:val="292F72"/>
              </w:rPr>
              <w:t>TABLE</w:t>
            </w:r>
          </w:p>
        </w:tc>
        <w:tc>
          <w:tcPr>
            <w:tcW w:w="880" w:type="dxa"/>
            <w:vAlign w:val="bottom"/>
          </w:tcPr>
          <w:p>
            <w:pPr>
              <w:ind w:left="80"/>
              <w:spacing w:after="0"/>
              <w:rPr>
                <w:sz w:val="20"/>
                <w:szCs w:val="20"/>
                <w:color w:val="auto"/>
              </w:rPr>
            </w:pPr>
            <w:r>
              <w:rPr>
                <w:rFonts w:ascii="Arial" w:cs="Arial" w:eastAsia="Arial" w:hAnsi="Arial"/>
                <w:sz w:val="10"/>
                <w:szCs w:val="10"/>
                <w:b w:val="1"/>
                <w:bCs w:val="1"/>
                <w:color w:val="292F72"/>
              </w:rPr>
              <w:t>SCT</w:t>
            </w:r>
            <w:r>
              <w:rPr>
                <w:rFonts w:ascii="Arial" w:cs="Arial" w:eastAsia="Arial" w:hAnsi="Arial"/>
                <w:sz w:val="15"/>
                <w:szCs w:val="15"/>
                <w:b w:val="1"/>
                <w:bCs w:val="1"/>
                <w:color w:val="292F72"/>
                <w:vertAlign w:val="superscript"/>
              </w:rPr>
              <w:t>(a)</w:t>
            </w:r>
          </w:p>
        </w:tc>
        <w:tc>
          <w:tcPr>
            <w:tcW w:w="1080" w:type="dxa"/>
            <w:vAlign w:val="bottom"/>
          </w:tcPr>
          <w:p>
            <w:pPr>
              <w:ind w:left="60"/>
              <w:spacing w:after="0"/>
              <w:rPr>
                <w:sz w:val="20"/>
                <w:szCs w:val="20"/>
                <w:color w:val="auto"/>
              </w:rPr>
            </w:pPr>
            <w:r>
              <w:rPr>
                <w:rFonts w:ascii="Arial" w:cs="Arial" w:eastAsia="Arial" w:hAnsi="Arial"/>
                <w:sz w:val="10"/>
                <w:szCs w:val="10"/>
                <w:b w:val="1"/>
                <w:bCs w:val="1"/>
                <w:color w:val="292F72"/>
              </w:rPr>
              <w:t>FISCAL YEAR</w:t>
            </w:r>
            <w:r>
              <w:rPr>
                <w:rFonts w:ascii="Arial" w:cs="Arial" w:eastAsia="Arial" w:hAnsi="Arial"/>
                <w:sz w:val="15"/>
                <w:szCs w:val="15"/>
                <w:b w:val="1"/>
                <w:bCs w:val="1"/>
                <w:color w:val="292F72"/>
                <w:vertAlign w:val="superscript"/>
              </w:rPr>
              <w:t>(a)</w:t>
            </w:r>
          </w:p>
        </w:tc>
        <w:tc>
          <w:tcPr>
            <w:tcW w:w="1000" w:type="dxa"/>
            <w:vAlign w:val="bottom"/>
          </w:tcPr>
          <w:p>
            <w:pPr>
              <w:ind w:left="60"/>
              <w:spacing w:after="0"/>
              <w:rPr>
                <w:sz w:val="20"/>
                <w:szCs w:val="20"/>
                <w:color w:val="auto"/>
              </w:rPr>
            </w:pPr>
            <w:r>
              <w:rPr>
                <w:rFonts w:ascii="Arial" w:cs="Arial" w:eastAsia="Arial" w:hAnsi="Arial"/>
                <w:sz w:val="10"/>
                <w:szCs w:val="10"/>
                <w:b w:val="1"/>
                <w:bCs w:val="1"/>
                <w:color w:val="292F72"/>
              </w:rPr>
              <w:t>FISCAL YEAR</w:t>
            </w:r>
            <w:r>
              <w:rPr>
                <w:rFonts w:ascii="Arial" w:cs="Arial" w:eastAsia="Arial" w:hAnsi="Arial"/>
                <w:sz w:val="15"/>
                <w:szCs w:val="15"/>
                <w:b w:val="1"/>
                <w:bCs w:val="1"/>
                <w:color w:val="292F72"/>
                <w:vertAlign w:val="superscript"/>
              </w:rPr>
              <w:t>(a)</w:t>
            </w:r>
          </w:p>
        </w:tc>
        <w:tc>
          <w:tcPr>
            <w:tcW w:w="1140" w:type="dxa"/>
            <w:vAlign w:val="bottom"/>
          </w:tcPr>
          <w:p>
            <w:pPr>
              <w:ind w:left="60"/>
              <w:spacing w:after="0"/>
              <w:rPr>
                <w:sz w:val="20"/>
                <w:szCs w:val="20"/>
                <w:color w:val="auto"/>
              </w:rPr>
            </w:pPr>
            <w:r>
              <w:rPr>
                <w:rFonts w:ascii="Arial" w:cs="Arial" w:eastAsia="Arial" w:hAnsi="Arial"/>
                <w:sz w:val="10"/>
                <w:szCs w:val="10"/>
                <w:b w:val="1"/>
                <w:bCs w:val="1"/>
                <w:color w:val="292F72"/>
              </w:rPr>
              <w:t>FISCAL YEAR</w:t>
            </w:r>
            <w:r>
              <w:rPr>
                <w:rFonts w:ascii="Arial" w:cs="Arial" w:eastAsia="Arial" w:hAnsi="Arial"/>
                <w:sz w:val="15"/>
                <w:szCs w:val="15"/>
                <w:b w:val="1"/>
                <w:bCs w:val="1"/>
                <w:color w:val="292F72"/>
                <w:vertAlign w:val="superscript"/>
              </w:rPr>
              <w:t>(a)</w:t>
            </w:r>
          </w:p>
        </w:tc>
        <w:tc>
          <w:tcPr>
            <w:tcW w:w="1100" w:type="dxa"/>
            <w:vAlign w:val="bottom"/>
            <w:gridSpan w:val="2"/>
          </w:tcPr>
          <w:p>
            <w:pPr>
              <w:ind w:left="60"/>
              <w:spacing w:after="0"/>
              <w:rPr>
                <w:sz w:val="20"/>
                <w:szCs w:val="20"/>
                <w:color w:val="auto"/>
              </w:rPr>
            </w:pPr>
            <w:r>
              <w:rPr>
                <w:rFonts w:ascii="Arial" w:cs="Arial" w:eastAsia="Arial" w:hAnsi="Arial"/>
                <w:sz w:val="10"/>
                <w:szCs w:val="10"/>
                <w:b w:val="1"/>
                <w:bCs w:val="1"/>
                <w:color w:val="292F72"/>
              </w:rPr>
              <w:t>FISCAL YEAR</w:t>
            </w:r>
            <w:r>
              <w:rPr>
                <w:rFonts w:ascii="Arial" w:cs="Arial" w:eastAsia="Arial" w:hAnsi="Arial"/>
                <w:sz w:val="15"/>
                <w:szCs w:val="15"/>
                <w:b w:val="1"/>
                <w:bCs w:val="1"/>
                <w:color w:val="292F72"/>
                <w:vertAlign w:val="superscript"/>
              </w:rPr>
              <w:t>(a)</w:t>
            </w:r>
          </w:p>
        </w:tc>
        <w:tc>
          <w:tcPr>
            <w:tcW w:w="1040" w:type="dxa"/>
            <w:vAlign w:val="bottom"/>
          </w:tcPr>
          <w:p>
            <w:pPr>
              <w:ind w:left="60"/>
              <w:spacing w:after="0"/>
              <w:rPr>
                <w:sz w:val="20"/>
                <w:szCs w:val="20"/>
                <w:color w:val="auto"/>
              </w:rPr>
            </w:pPr>
            <w:r>
              <w:rPr>
                <w:rFonts w:ascii="Arial" w:cs="Arial" w:eastAsia="Arial" w:hAnsi="Arial"/>
                <w:sz w:val="10"/>
                <w:szCs w:val="10"/>
                <w:b w:val="1"/>
                <w:bCs w:val="1"/>
                <w:color w:val="292F72"/>
              </w:rPr>
              <w:t>FISCAL YEAR</w:t>
            </w:r>
            <w:r>
              <w:rPr>
                <w:rFonts w:ascii="Arial" w:cs="Arial" w:eastAsia="Arial" w:hAnsi="Arial"/>
                <w:sz w:val="15"/>
                <w:szCs w:val="15"/>
                <w:b w:val="1"/>
                <w:bCs w:val="1"/>
                <w:color w:val="292F72"/>
                <w:vertAlign w:val="superscript"/>
              </w:rPr>
              <w:t>(a)</w:t>
            </w:r>
          </w:p>
        </w:tc>
        <w:tc>
          <w:tcPr>
            <w:tcW w:w="940" w:type="dxa"/>
            <w:vAlign w:val="bottom"/>
            <w:gridSpan w:val="2"/>
          </w:tcPr>
          <w:p>
            <w:pPr>
              <w:jc w:val="center"/>
              <w:spacing w:after="0"/>
              <w:rPr>
                <w:sz w:val="20"/>
                <w:szCs w:val="20"/>
                <w:color w:val="auto"/>
              </w:rPr>
            </w:pPr>
            <w:r>
              <w:rPr>
                <w:rFonts w:ascii="Arial" w:cs="Arial" w:eastAsia="Arial" w:hAnsi="Arial"/>
                <w:sz w:val="10"/>
                <w:szCs w:val="10"/>
                <w:b w:val="1"/>
                <w:bCs w:val="1"/>
                <w:color w:val="292F72"/>
              </w:rPr>
              <w:t>ACTUALLY PAID</w:t>
            </w:r>
          </w:p>
        </w:tc>
      </w:tr>
      <w:tr>
        <w:trPr>
          <w:trHeight w:val="143"/>
        </w:trPr>
        <w:tc>
          <w:tcPr>
            <w:tcW w:w="920" w:type="dxa"/>
            <w:vAlign w:val="bottom"/>
          </w:tcPr>
          <w:p>
            <w:pPr>
              <w:spacing w:after="0"/>
              <w:rPr>
                <w:sz w:val="12"/>
                <w:szCs w:val="12"/>
                <w:color w:val="auto"/>
              </w:rPr>
            </w:pPr>
          </w:p>
        </w:tc>
        <w:tc>
          <w:tcPr>
            <w:tcW w:w="940" w:type="dxa"/>
            <w:vAlign w:val="bottom"/>
          </w:tcPr>
          <w:p>
            <w:pPr>
              <w:jc w:val="right"/>
              <w:ind w:right="281"/>
              <w:spacing w:after="0"/>
              <w:rPr>
                <w:sz w:val="20"/>
                <w:szCs w:val="20"/>
                <w:color w:val="auto"/>
              </w:rPr>
            </w:pPr>
            <w:r>
              <w:rPr>
                <w:rFonts w:ascii="Arial" w:cs="Arial" w:eastAsia="Arial" w:hAnsi="Arial"/>
                <w:sz w:val="10"/>
                <w:szCs w:val="10"/>
                <w:b w:val="1"/>
                <w:bCs w:val="1"/>
                <w:color w:val="292F72"/>
              </w:rPr>
              <w:t>($)</w:t>
            </w:r>
          </w:p>
        </w:tc>
        <w:tc>
          <w:tcPr>
            <w:tcW w:w="880" w:type="dxa"/>
            <w:vAlign w:val="bottom"/>
          </w:tcPr>
          <w:p>
            <w:pPr>
              <w:jc w:val="right"/>
              <w:ind w:right="281"/>
              <w:spacing w:after="0"/>
              <w:rPr>
                <w:sz w:val="20"/>
                <w:szCs w:val="20"/>
                <w:color w:val="auto"/>
              </w:rPr>
            </w:pPr>
            <w:r>
              <w:rPr>
                <w:rFonts w:ascii="Arial" w:cs="Arial" w:eastAsia="Arial" w:hAnsi="Arial"/>
                <w:sz w:val="10"/>
                <w:szCs w:val="10"/>
                <w:b w:val="1"/>
                <w:bCs w:val="1"/>
                <w:color w:val="292F72"/>
              </w:rPr>
              <w:t>($)</w:t>
            </w:r>
          </w:p>
        </w:tc>
        <w:tc>
          <w:tcPr>
            <w:tcW w:w="1080" w:type="dxa"/>
            <w:vAlign w:val="bottom"/>
          </w:tcPr>
          <w:p>
            <w:pPr>
              <w:jc w:val="right"/>
              <w:ind w:right="403"/>
              <w:spacing w:after="0"/>
              <w:rPr>
                <w:sz w:val="20"/>
                <w:szCs w:val="20"/>
                <w:color w:val="auto"/>
              </w:rPr>
            </w:pPr>
            <w:r>
              <w:rPr>
                <w:rFonts w:ascii="Arial" w:cs="Arial" w:eastAsia="Arial" w:hAnsi="Arial"/>
                <w:sz w:val="10"/>
                <w:szCs w:val="10"/>
                <w:b w:val="1"/>
                <w:bCs w:val="1"/>
                <w:color w:val="292F72"/>
              </w:rPr>
              <w:t>($)</w:t>
            </w:r>
          </w:p>
        </w:tc>
        <w:tc>
          <w:tcPr>
            <w:tcW w:w="1000" w:type="dxa"/>
            <w:vAlign w:val="bottom"/>
          </w:tcPr>
          <w:p>
            <w:pPr>
              <w:jc w:val="right"/>
              <w:ind w:right="363"/>
              <w:spacing w:after="0"/>
              <w:rPr>
                <w:sz w:val="20"/>
                <w:szCs w:val="20"/>
                <w:color w:val="auto"/>
              </w:rPr>
            </w:pPr>
            <w:r>
              <w:rPr>
                <w:rFonts w:ascii="Arial" w:cs="Arial" w:eastAsia="Arial" w:hAnsi="Arial"/>
                <w:sz w:val="10"/>
                <w:szCs w:val="10"/>
                <w:b w:val="1"/>
                <w:bCs w:val="1"/>
                <w:color w:val="292F72"/>
              </w:rPr>
              <w:t>($)</w:t>
            </w:r>
          </w:p>
        </w:tc>
        <w:tc>
          <w:tcPr>
            <w:tcW w:w="1140" w:type="dxa"/>
            <w:vAlign w:val="bottom"/>
          </w:tcPr>
          <w:p>
            <w:pPr>
              <w:jc w:val="right"/>
              <w:ind w:right="442"/>
              <w:spacing w:after="0"/>
              <w:rPr>
                <w:sz w:val="20"/>
                <w:szCs w:val="20"/>
                <w:color w:val="auto"/>
              </w:rPr>
            </w:pPr>
            <w:r>
              <w:rPr>
                <w:rFonts w:ascii="Arial" w:cs="Arial" w:eastAsia="Arial" w:hAnsi="Arial"/>
                <w:sz w:val="10"/>
                <w:szCs w:val="10"/>
                <w:b w:val="1"/>
                <w:bCs w:val="1"/>
                <w:color w:val="292F72"/>
              </w:rPr>
              <w:t>($)</w:t>
            </w:r>
          </w:p>
        </w:tc>
        <w:tc>
          <w:tcPr>
            <w:tcW w:w="760" w:type="dxa"/>
            <w:vAlign w:val="bottom"/>
          </w:tcPr>
          <w:p>
            <w:pPr>
              <w:ind w:left="500"/>
              <w:spacing w:after="0"/>
              <w:rPr>
                <w:sz w:val="20"/>
                <w:szCs w:val="20"/>
                <w:color w:val="auto"/>
              </w:rPr>
            </w:pPr>
            <w:r>
              <w:rPr>
                <w:rFonts w:ascii="Arial" w:cs="Arial" w:eastAsia="Arial" w:hAnsi="Arial"/>
                <w:sz w:val="10"/>
                <w:szCs w:val="10"/>
                <w:b w:val="1"/>
                <w:bCs w:val="1"/>
                <w:color w:val="292F72"/>
              </w:rPr>
              <w:t>($)</w:t>
            </w:r>
          </w:p>
        </w:tc>
        <w:tc>
          <w:tcPr>
            <w:tcW w:w="340" w:type="dxa"/>
            <w:vAlign w:val="bottom"/>
          </w:tcPr>
          <w:p>
            <w:pPr>
              <w:spacing w:after="0"/>
              <w:rPr>
                <w:sz w:val="12"/>
                <w:szCs w:val="12"/>
                <w:color w:val="auto"/>
              </w:rPr>
            </w:pPr>
          </w:p>
        </w:tc>
        <w:tc>
          <w:tcPr>
            <w:tcW w:w="1040" w:type="dxa"/>
            <w:vAlign w:val="bottom"/>
          </w:tcPr>
          <w:p>
            <w:pPr>
              <w:jc w:val="right"/>
              <w:ind w:right="383"/>
              <w:spacing w:after="0"/>
              <w:rPr>
                <w:sz w:val="20"/>
                <w:szCs w:val="20"/>
                <w:color w:val="auto"/>
              </w:rPr>
            </w:pPr>
            <w:r>
              <w:rPr>
                <w:rFonts w:ascii="Arial" w:cs="Arial" w:eastAsia="Arial" w:hAnsi="Arial"/>
                <w:sz w:val="10"/>
                <w:szCs w:val="10"/>
                <w:b w:val="1"/>
                <w:bCs w:val="1"/>
                <w:color w:val="292F72"/>
              </w:rPr>
              <w:t>($)</w:t>
            </w:r>
          </w:p>
        </w:tc>
        <w:tc>
          <w:tcPr>
            <w:tcW w:w="180" w:type="dxa"/>
            <w:vAlign w:val="bottom"/>
          </w:tcPr>
          <w:p>
            <w:pPr>
              <w:spacing w:after="0"/>
              <w:rPr>
                <w:sz w:val="12"/>
                <w:szCs w:val="12"/>
                <w:color w:val="auto"/>
              </w:rPr>
            </w:pPr>
          </w:p>
        </w:tc>
        <w:tc>
          <w:tcPr>
            <w:tcW w:w="760" w:type="dxa"/>
            <w:vAlign w:val="bottom"/>
          </w:tcPr>
          <w:p>
            <w:pPr>
              <w:jc w:val="center"/>
              <w:ind w:right="59"/>
              <w:spacing w:after="0"/>
              <w:rPr>
                <w:sz w:val="20"/>
                <w:szCs w:val="20"/>
                <w:color w:val="auto"/>
              </w:rPr>
            </w:pPr>
            <w:r>
              <w:rPr>
                <w:rFonts w:ascii="Arial" w:cs="Arial" w:eastAsia="Arial" w:hAnsi="Arial"/>
                <w:sz w:val="10"/>
                <w:szCs w:val="10"/>
                <w:b w:val="1"/>
                <w:bCs w:val="1"/>
                <w:color w:val="292F72"/>
                <w:w w:val="97"/>
              </w:rPr>
              <w:t>($)</w:t>
            </w:r>
          </w:p>
        </w:tc>
      </w:tr>
      <w:tr>
        <w:trPr>
          <w:trHeight w:val="54"/>
        </w:trPr>
        <w:tc>
          <w:tcPr>
            <w:tcW w:w="920" w:type="dxa"/>
            <w:vAlign w:val="bottom"/>
            <w:tcBorders>
              <w:bottom w:val="single" w:sz="8" w:color="292F72"/>
            </w:tcBorders>
          </w:tcPr>
          <w:p>
            <w:pPr>
              <w:spacing w:after="0"/>
              <w:rPr>
                <w:sz w:val="4"/>
                <w:szCs w:val="4"/>
                <w:color w:val="auto"/>
              </w:rPr>
            </w:pPr>
          </w:p>
        </w:tc>
        <w:tc>
          <w:tcPr>
            <w:tcW w:w="940" w:type="dxa"/>
            <w:vAlign w:val="bottom"/>
            <w:tcBorders>
              <w:bottom w:val="single" w:sz="8" w:color="292F72"/>
            </w:tcBorders>
          </w:tcPr>
          <w:p>
            <w:pPr>
              <w:spacing w:after="0"/>
              <w:rPr>
                <w:sz w:val="4"/>
                <w:szCs w:val="4"/>
                <w:color w:val="auto"/>
              </w:rPr>
            </w:pPr>
          </w:p>
        </w:tc>
        <w:tc>
          <w:tcPr>
            <w:tcW w:w="880" w:type="dxa"/>
            <w:vAlign w:val="bottom"/>
            <w:tcBorders>
              <w:bottom w:val="single" w:sz="8" w:color="292F72"/>
            </w:tcBorders>
          </w:tcPr>
          <w:p>
            <w:pPr>
              <w:spacing w:after="0"/>
              <w:rPr>
                <w:sz w:val="4"/>
                <w:szCs w:val="4"/>
                <w:color w:val="auto"/>
              </w:rPr>
            </w:pPr>
          </w:p>
        </w:tc>
        <w:tc>
          <w:tcPr>
            <w:tcW w:w="1080" w:type="dxa"/>
            <w:vAlign w:val="bottom"/>
            <w:tcBorders>
              <w:bottom w:val="single" w:sz="8" w:color="292F72"/>
            </w:tcBorders>
          </w:tcPr>
          <w:p>
            <w:pPr>
              <w:spacing w:after="0"/>
              <w:rPr>
                <w:sz w:val="4"/>
                <w:szCs w:val="4"/>
                <w:color w:val="auto"/>
              </w:rPr>
            </w:pPr>
          </w:p>
        </w:tc>
        <w:tc>
          <w:tcPr>
            <w:tcW w:w="1000" w:type="dxa"/>
            <w:vAlign w:val="bottom"/>
            <w:tcBorders>
              <w:bottom w:val="single" w:sz="8" w:color="292F72"/>
            </w:tcBorders>
          </w:tcPr>
          <w:p>
            <w:pPr>
              <w:spacing w:after="0"/>
              <w:rPr>
                <w:sz w:val="4"/>
                <w:szCs w:val="4"/>
                <w:color w:val="auto"/>
              </w:rPr>
            </w:pPr>
          </w:p>
        </w:tc>
        <w:tc>
          <w:tcPr>
            <w:tcW w:w="1140" w:type="dxa"/>
            <w:vAlign w:val="bottom"/>
            <w:tcBorders>
              <w:bottom w:val="single" w:sz="8" w:color="292F72"/>
            </w:tcBorders>
          </w:tcPr>
          <w:p>
            <w:pPr>
              <w:spacing w:after="0"/>
              <w:rPr>
                <w:sz w:val="4"/>
                <w:szCs w:val="4"/>
                <w:color w:val="auto"/>
              </w:rPr>
            </w:pPr>
          </w:p>
        </w:tc>
        <w:tc>
          <w:tcPr>
            <w:tcW w:w="760" w:type="dxa"/>
            <w:vAlign w:val="bottom"/>
            <w:tcBorders>
              <w:bottom w:val="single" w:sz="8" w:color="292F72"/>
            </w:tcBorders>
          </w:tcPr>
          <w:p>
            <w:pPr>
              <w:spacing w:after="0"/>
              <w:rPr>
                <w:sz w:val="4"/>
                <w:szCs w:val="4"/>
                <w:color w:val="auto"/>
              </w:rPr>
            </w:pPr>
          </w:p>
        </w:tc>
        <w:tc>
          <w:tcPr>
            <w:tcW w:w="340" w:type="dxa"/>
            <w:vAlign w:val="bottom"/>
            <w:tcBorders>
              <w:bottom w:val="single" w:sz="8" w:color="292F72"/>
            </w:tcBorders>
          </w:tcPr>
          <w:p>
            <w:pPr>
              <w:spacing w:after="0"/>
              <w:rPr>
                <w:sz w:val="4"/>
                <w:szCs w:val="4"/>
                <w:color w:val="auto"/>
              </w:rPr>
            </w:pPr>
          </w:p>
        </w:tc>
        <w:tc>
          <w:tcPr>
            <w:tcW w:w="1040" w:type="dxa"/>
            <w:vAlign w:val="bottom"/>
            <w:tcBorders>
              <w:bottom w:val="single" w:sz="8" w:color="292F72"/>
            </w:tcBorders>
          </w:tcPr>
          <w:p>
            <w:pPr>
              <w:spacing w:after="0"/>
              <w:rPr>
                <w:sz w:val="4"/>
                <w:szCs w:val="4"/>
                <w:color w:val="auto"/>
              </w:rPr>
            </w:pPr>
          </w:p>
        </w:tc>
        <w:tc>
          <w:tcPr>
            <w:tcW w:w="180" w:type="dxa"/>
            <w:vAlign w:val="bottom"/>
            <w:tcBorders>
              <w:bottom w:val="single" w:sz="8" w:color="292F72"/>
            </w:tcBorders>
          </w:tcPr>
          <w:p>
            <w:pPr>
              <w:spacing w:after="0"/>
              <w:rPr>
                <w:sz w:val="4"/>
                <w:szCs w:val="4"/>
                <w:color w:val="auto"/>
              </w:rPr>
            </w:pPr>
          </w:p>
        </w:tc>
        <w:tc>
          <w:tcPr>
            <w:tcW w:w="760" w:type="dxa"/>
            <w:vAlign w:val="bottom"/>
            <w:tcBorders>
              <w:bottom w:val="single" w:sz="8" w:color="292F72"/>
            </w:tcBorders>
          </w:tcPr>
          <w:p>
            <w:pPr>
              <w:spacing w:after="0"/>
              <w:rPr>
                <w:sz w:val="4"/>
                <w:szCs w:val="4"/>
                <w:color w:val="auto"/>
              </w:rPr>
            </w:pPr>
          </w:p>
        </w:tc>
      </w:tr>
      <w:tr>
        <w:trPr>
          <w:trHeight w:val="234"/>
        </w:trPr>
        <w:tc>
          <w:tcPr>
            <w:tcW w:w="920" w:type="dxa"/>
            <w:vAlign w:val="bottom"/>
            <w:tcBorders>
              <w:bottom w:val="single" w:sz="8" w:color="F0F5FE"/>
            </w:tcBorders>
            <w:shd w:val="clear" w:color="auto" w:fill="F0F5FE"/>
          </w:tcPr>
          <w:p>
            <w:pPr>
              <w:spacing w:after="0"/>
              <w:rPr>
                <w:sz w:val="20"/>
                <w:szCs w:val="20"/>
                <w:color w:val="auto"/>
              </w:rPr>
            </w:pPr>
            <w:r>
              <w:rPr>
                <w:rFonts w:ascii="Arial" w:cs="Arial" w:eastAsia="Arial" w:hAnsi="Arial"/>
                <w:sz w:val="12"/>
                <w:szCs w:val="12"/>
                <w:b w:val="1"/>
                <w:bCs w:val="1"/>
                <w:color w:val="auto"/>
              </w:rPr>
              <w:t>Fiscal 2025</w:t>
            </w:r>
          </w:p>
        </w:tc>
        <w:tc>
          <w:tcPr>
            <w:tcW w:w="940" w:type="dxa"/>
            <w:vAlign w:val="bottom"/>
            <w:tcBorders>
              <w:bottom w:val="single" w:sz="8" w:color="F0F5FE"/>
            </w:tcBorders>
            <w:shd w:val="clear" w:color="auto" w:fill="F0F5FE"/>
          </w:tcPr>
          <w:p>
            <w:pPr>
              <w:spacing w:after="0"/>
              <w:rPr>
                <w:sz w:val="19"/>
                <w:szCs w:val="19"/>
                <w:color w:val="auto"/>
              </w:rPr>
            </w:pPr>
          </w:p>
        </w:tc>
        <w:tc>
          <w:tcPr>
            <w:tcW w:w="880" w:type="dxa"/>
            <w:vAlign w:val="bottom"/>
            <w:tcBorders>
              <w:bottom w:val="single" w:sz="8" w:color="F0F5FE"/>
            </w:tcBorders>
            <w:shd w:val="clear" w:color="auto" w:fill="F0F5FE"/>
          </w:tcPr>
          <w:p>
            <w:pPr>
              <w:spacing w:after="0"/>
              <w:rPr>
                <w:sz w:val="19"/>
                <w:szCs w:val="19"/>
                <w:color w:val="auto"/>
              </w:rPr>
            </w:pPr>
          </w:p>
        </w:tc>
        <w:tc>
          <w:tcPr>
            <w:tcW w:w="1080" w:type="dxa"/>
            <w:vAlign w:val="bottom"/>
            <w:tcBorders>
              <w:bottom w:val="single" w:sz="8" w:color="F0F5FE"/>
            </w:tcBorders>
            <w:shd w:val="clear" w:color="auto" w:fill="F0F5FE"/>
          </w:tcPr>
          <w:p>
            <w:pPr>
              <w:spacing w:after="0"/>
              <w:rPr>
                <w:sz w:val="19"/>
                <w:szCs w:val="19"/>
                <w:color w:val="auto"/>
              </w:rPr>
            </w:pPr>
          </w:p>
        </w:tc>
        <w:tc>
          <w:tcPr>
            <w:tcW w:w="1000" w:type="dxa"/>
            <w:vAlign w:val="bottom"/>
            <w:tcBorders>
              <w:bottom w:val="single" w:sz="8" w:color="F0F5FE"/>
            </w:tcBorders>
            <w:shd w:val="clear" w:color="auto" w:fill="F0F5FE"/>
          </w:tcPr>
          <w:p>
            <w:pPr>
              <w:spacing w:after="0"/>
              <w:rPr>
                <w:sz w:val="19"/>
                <w:szCs w:val="19"/>
                <w:color w:val="auto"/>
              </w:rPr>
            </w:pPr>
          </w:p>
        </w:tc>
        <w:tc>
          <w:tcPr>
            <w:tcW w:w="1140" w:type="dxa"/>
            <w:vAlign w:val="bottom"/>
            <w:tcBorders>
              <w:bottom w:val="single" w:sz="8" w:color="F0F5FE"/>
            </w:tcBorders>
            <w:shd w:val="clear" w:color="auto" w:fill="F0F5FE"/>
          </w:tcPr>
          <w:p>
            <w:pPr>
              <w:spacing w:after="0"/>
              <w:rPr>
                <w:sz w:val="19"/>
                <w:szCs w:val="19"/>
                <w:color w:val="auto"/>
              </w:rPr>
            </w:pPr>
          </w:p>
        </w:tc>
        <w:tc>
          <w:tcPr>
            <w:tcW w:w="760" w:type="dxa"/>
            <w:vAlign w:val="bottom"/>
            <w:tcBorders>
              <w:bottom w:val="single" w:sz="8" w:color="F0F5FE"/>
            </w:tcBorders>
            <w:shd w:val="clear" w:color="auto" w:fill="F0F5FE"/>
          </w:tcPr>
          <w:p>
            <w:pPr>
              <w:spacing w:after="0"/>
              <w:rPr>
                <w:sz w:val="19"/>
                <w:szCs w:val="19"/>
                <w:color w:val="auto"/>
              </w:rPr>
            </w:pPr>
          </w:p>
        </w:tc>
        <w:tc>
          <w:tcPr>
            <w:tcW w:w="340" w:type="dxa"/>
            <w:vAlign w:val="bottom"/>
            <w:tcBorders>
              <w:bottom w:val="single" w:sz="8" w:color="F0F5FE"/>
            </w:tcBorders>
            <w:shd w:val="clear" w:color="auto" w:fill="F0F5FE"/>
          </w:tcPr>
          <w:p>
            <w:pPr>
              <w:spacing w:after="0"/>
              <w:rPr>
                <w:sz w:val="19"/>
                <w:szCs w:val="19"/>
                <w:color w:val="auto"/>
              </w:rPr>
            </w:pPr>
          </w:p>
        </w:tc>
        <w:tc>
          <w:tcPr>
            <w:tcW w:w="1040" w:type="dxa"/>
            <w:vAlign w:val="bottom"/>
            <w:tcBorders>
              <w:bottom w:val="single" w:sz="8" w:color="F0F5FE"/>
            </w:tcBorders>
            <w:shd w:val="clear" w:color="auto" w:fill="F0F5FE"/>
          </w:tcPr>
          <w:p>
            <w:pPr>
              <w:spacing w:after="0"/>
              <w:rPr>
                <w:sz w:val="19"/>
                <w:szCs w:val="19"/>
                <w:color w:val="auto"/>
              </w:rPr>
            </w:pPr>
          </w:p>
        </w:tc>
        <w:tc>
          <w:tcPr>
            <w:tcW w:w="180" w:type="dxa"/>
            <w:vAlign w:val="bottom"/>
            <w:tcBorders>
              <w:bottom w:val="single" w:sz="8" w:color="F0F5FE"/>
            </w:tcBorders>
            <w:shd w:val="clear" w:color="auto" w:fill="F0F5FE"/>
          </w:tcPr>
          <w:p>
            <w:pPr>
              <w:spacing w:after="0"/>
              <w:rPr>
                <w:sz w:val="19"/>
                <w:szCs w:val="19"/>
                <w:color w:val="auto"/>
              </w:rPr>
            </w:pPr>
          </w:p>
        </w:tc>
        <w:tc>
          <w:tcPr>
            <w:tcW w:w="760" w:type="dxa"/>
            <w:vAlign w:val="bottom"/>
            <w:tcBorders>
              <w:bottom w:val="single" w:sz="8" w:color="F0F5FE"/>
            </w:tcBorders>
            <w:shd w:val="clear" w:color="auto" w:fill="F0F5FE"/>
          </w:tcPr>
          <w:p>
            <w:pPr>
              <w:spacing w:after="0"/>
              <w:rPr>
                <w:sz w:val="19"/>
                <w:szCs w:val="19"/>
                <w:color w:val="auto"/>
              </w:rPr>
            </w:pPr>
          </w:p>
        </w:tc>
      </w:tr>
      <w:tr>
        <w:trPr>
          <w:trHeight w:val="175"/>
        </w:trPr>
        <w:tc>
          <w:tcPr>
            <w:tcW w:w="920" w:type="dxa"/>
            <w:vAlign w:val="bottom"/>
            <w:tcBorders>
              <w:top w:val="single" w:sz="8" w:color="6D8CC3"/>
            </w:tcBorders>
          </w:tcPr>
          <w:p>
            <w:pPr>
              <w:spacing w:after="0"/>
              <w:rPr>
                <w:sz w:val="20"/>
                <w:szCs w:val="20"/>
                <w:color w:val="auto"/>
              </w:rPr>
            </w:pPr>
            <w:r>
              <w:rPr>
                <w:rFonts w:ascii="Arial" w:cs="Arial" w:eastAsia="Arial" w:hAnsi="Arial"/>
                <w:sz w:val="12"/>
                <w:szCs w:val="12"/>
                <w:color w:val="auto"/>
              </w:rPr>
              <w:t>Mr. Heaf</w:t>
            </w:r>
          </w:p>
        </w:tc>
        <w:tc>
          <w:tcPr>
            <w:tcW w:w="940" w:type="dxa"/>
            <w:vAlign w:val="bottom"/>
            <w:tcBorders>
              <w:top w:val="single" w:sz="8" w:color="6D8CC3"/>
            </w:tcBorders>
          </w:tcPr>
          <w:p>
            <w:pPr>
              <w:jc w:val="right"/>
              <w:ind w:right="41"/>
              <w:spacing w:after="0"/>
              <w:rPr>
                <w:sz w:val="20"/>
                <w:szCs w:val="20"/>
                <w:color w:val="auto"/>
              </w:rPr>
            </w:pPr>
            <w:r>
              <w:rPr>
                <w:rFonts w:ascii="Arial" w:cs="Arial" w:eastAsia="Arial" w:hAnsi="Arial"/>
                <w:sz w:val="12"/>
                <w:szCs w:val="12"/>
                <w:color w:val="auto"/>
              </w:rPr>
              <w:t>​ 6,587,902</w:t>
            </w:r>
          </w:p>
        </w:tc>
        <w:tc>
          <w:tcPr>
            <w:tcW w:w="880" w:type="dxa"/>
            <w:vAlign w:val="bottom"/>
            <w:tcBorders>
              <w:top w:val="single" w:sz="8" w:color="6D8CC3"/>
            </w:tcBorders>
          </w:tcPr>
          <w:p>
            <w:pPr>
              <w:jc w:val="right"/>
              <w:ind w:right="81"/>
              <w:spacing w:after="0"/>
              <w:rPr>
                <w:sz w:val="20"/>
                <w:szCs w:val="20"/>
                <w:color w:val="auto"/>
              </w:rPr>
            </w:pPr>
            <w:r>
              <w:rPr>
                <w:rFonts w:ascii="Arial" w:cs="Arial" w:eastAsia="Arial" w:hAnsi="Arial"/>
                <w:sz w:val="12"/>
                <w:szCs w:val="12"/>
                <w:color w:val="auto"/>
              </w:rPr>
              <w:t>5,043,771</w:t>
            </w:r>
          </w:p>
        </w:tc>
        <w:tc>
          <w:tcPr>
            <w:tcW w:w="1080" w:type="dxa"/>
            <w:vAlign w:val="bottom"/>
            <w:tcBorders>
              <w:top w:val="single" w:sz="8" w:color="6D8CC3"/>
            </w:tcBorders>
          </w:tcPr>
          <w:p>
            <w:pPr>
              <w:jc w:val="right"/>
              <w:ind w:right="183"/>
              <w:spacing w:after="0"/>
              <w:rPr>
                <w:sz w:val="20"/>
                <w:szCs w:val="20"/>
                <w:color w:val="auto"/>
              </w:rPr>
            </w:pPr>
            <w:r>
              <w:rPr>
                <w:rFonts w:ascii="Arial" w:cs="Arial" w:eastAsia="Arial" w:hAnsi="Arial"/>
                <w:sz w:val="12"/>
                <w:szCs w:val="12"/>
                <w:color w:val="auto"/>
              </w:rPr>
              <w:t>​ 2,742,484</w:t>
            </w:r>
          </w:p>
        </w:tc>
        <w:tc>
          <w:tcPr>
            <w:tcW w:w="1000" w:type="dxa"/>
            <w:vAlign w:val="bottom"/>
            <w:tcBorders>
              <w:top w:val="single" w:sz="8" w:color="6D8CC3"/>
            </w:tcBorders>
          </w:tcPr>
          <w:p>
            <w:pPr>
              <w:jc w:val="right"/>
              <w:ind w:right="243"/>
              <w:spacing w:after="0"/>
              <w:rPr>
                <w:sz w:val="20"/>
                <w:szCs w:val="20"/>
                <w:color w:val="auto"/>
              </w:rPr>
            </w:pPr>
            <w:r>
              <w:rPr>
                <w:rFonts w:ascii="Arial" w:cs="Arial" w:eastAsia="Arial" w:hAnsi="Arial"/>
                <w:sz w:val="12"/>
                <w:szCs w:val="12"/>
                <w:color w:val="auto"/>
              </w:rPr>
              <w:t>—</w:t>
            </w:r>
          </w:p>
        </w:tc>
        <w:tc>
          <w:tcPr>
            <w:tcW w:w="1140" w:type="dxa"/>
            <w:vAlign w:val="bottom"/>
            <w:tcBorders>
              <w:top w:val="single" w:sz="8" w:color="6D8CC3"/>
            </w:tcBorders>
          </w:tcPr>
          <w:p>
            <w:pPr>
              <w:jc w:val="right"/>
              <w:ind w:right="262"/>
              <w:spacing w:after="0"/>
              <w:rPr>
                <w:sz w:val="20"/>
                <w:szCs w:val="20"/>
                <w:color w:val="auto"/>
              </w:rPr>
            </w:pPr>
            <w:r>
              <w:rPr>
                <w:rFonts w:ascii="Arial" w:cs="Arial" w:eastAsia="Arial" w:hAnsi="Arial"/>
                <w:sz w:val="12"/>
                <w:szCs w:val="12"/>
                <w:color w:val="auto"/>
              </w:rPr>
              <w:t>—</w:t>
            </w:r>
          </w:p>
        </w:tc>
        <w:tc>
          <w:tcPr>
            <w:tcW w:w="760" w:type="dxa"/>
            <w:vAlign w:val="bottom"/>
            <w:tcBorders>
              <w:top w:val="single" w:sz="8" w:color="6D8CC3"/>
            </w:tcBorders>
          </w:tcPr>
          <w:p>
            <w:pPr>
              <w:spacing w:after="0"/>
              <w:rPr>
                <w:sz w:val="15"/>
                <w:szCs w:val="15"/>
                <w:color w:val="auto"/>
              </w:rPr>
            </w:pPr>
          </w:p>
        </w:tc>
        <w:tc>
          <w:tcPr>
            <w:tcW w:w="340" w:type="dxa"/>
            <w:vAlign w:val="bottom"/>
            <w:tcBorders>
              <w:top w:val="single" w:sz="8" w:color="6D8CC3"/>
            </w:tcBorders>
          </w:tcPr>
          <w:p>
            <w:pPr>
              <w:jc w:val="right"/>
              <w:ind w:right="159"/>
              <w:spacing w:after="0"/>
              <w:rPr>
                <w:sz w:val="20"/>
                <w:szCs w:val="20"/>
                <w:color w:val="auto"/>
              </w:rPr>
            </w:pPr>
            <w:r>
              <w:rPr>
                <w:rFonts w:ascii="Arial" w:cs="Arial" w:eastAsia="Arial" w:hAnsi="Arial"/>
                <w:sz w:val="12"/>
                <w:szCs w:val="12"/>
                <w:color w:val="auto"/>
                <w:w w:val="82"/>
              </w:rPr>
              <w:t>—</w:t>
            </w:r>
          </w:p>
        </w:tc>
        <w:tc>
          <w:tcPr>
            <w:tcW w:w="1040" w:type="dxa"/>
            <w:vAlign w:val="bottom"/>
            <w:tcBorders>
              <w:top w:val="single" w:sz="8" w:color="6D8CC3"/>
            </w:tcBorders>
          </w:tcPr>
          <w:p>
            <w:pPr>
              <w:jc w:val="right"/>
              <w:ind w:right="183"/>
              <w:spacing w:after="0"/>
              <w:rPr>
                <w:sz w:val="20"/>
                <w:szCs w:val="20"/>
                <w:color w:val="auto"/>
              </w:rPr>
            </w:pPr>
            <w:r>
              <w:rPr>
                <w:rFonts w:ascii="Arial" w:cs="Arial" w:eastAsia="Arial" w:hAnsi="Arial"/>
                <w:sz w:val="12"/>
                <w:szCs w:val="12"/>
                <w:color w:val="auto"/>
              </w:rPr>
              <w:t>—</w:t>
            </w:r>
          </w:p>
        </w:tc>
        <w:tc>
          <w:tcPr>
            <w:tcW w:w="180" w:type="dxa"/>
            <w:vAlign w:val="bottom"/>
            <w:tcBorders>
              <w:top w:val="single" w:sz="8" w:color="6D8CC3"/>
            </w:tcBorders>
          </w:tcPr>
          <w:p>
            <w:pPr>
              <w:ind w:left="120"/>
              <w:spacing w:after="0"/>
              <w:rPr>
                <w:sz w:val="20"/>
                <w:szCs w:val="20"/>
                <w:color w:val="auto"/>
              </w:rPr>
            </w:pPr>
            <w:r>
              <w:rPr>
                <w:rFonts w:ascii="Arial" w:cs="Arial" w:eastAsia="Arial" w:hAnsi="Arial"/>
                <w:sz w:val="12"/>
                <w:szCs w:val="12"/>
                <w:color w:val="auto"/>
              </w:rPr>
              <w:t>​</w:t>
            </w:r>
          </w:p>
        </w:tc>
        <w:tc>
          <w:tcPr>
            <w:tcW w:w="760" w:type="dxa"/>
            <w:vAlign w:val="bottom"/>
            <w:tcBorders>
              <w:top w:val="single" w:sz="8" w:color="6D8CC3"/>
            </w:tcBorders>
          </w:tcPr>
          <w:p>
            <w:pPr>
              <w:jc w:val="right"/>
              <w:ind w:right="59"/>
              <w:spacing w:after="0"/>
              <w:rPr>
                <w:sz w:val="20"/>
                <w:szCs w:val="20"/>
                <w:color w:val="auto"/>
              </w:rPr>
            </w:pPr>
            <w:r>
              <w:rPr>
                <w:rFonts w:ascii="Arial" w:cs="Arial" w:eastAsia="Arial" w:hAnsi="Arial"/>
                <w:sz w:val="12"/>
                <w:szCs w:val="12"/>
                <w:color w:val="auto"/>
              </w:rPr>
              <w:t>4,286,615</w:t>
            </w:r>
          </w:p>
        </w:tc>
      </w:tr>
      <w:tr>
        <w:trPr>
          <w:trHeight w:val="41"/>
        </w:trPr>
        <w:tc>
          <w:tcPr>
            <w:tcW w:w="920" w:type="dxa"/>
            <w:vAlign w:val="bottom"/>
            <w:tcBorders>
              <w:bottom w:val="single" w:sz="8" w:color="6D8CC3"/>
            </w:tcBorders>
          </w:tcPr>
          <w:p>
            <w:pPr>
              <w:spacing w:after="0"/>
              <w:rPr>
                <w:sz w:val="3"/>
                <w:szCs w:val="3"/>
                <w:color w:val="auto"/>
              </w:rPr>
            </w:pPr>
          </w:p>
        </w:tc>
        <w:tc>
          <w:tcPr>
            <w:tcW w:w="940" w:type="dxa"/>
            <w:vAlign w:val="bottom"/>
            <w:tcBorders>
              <w:bottom w:val="single" w:sz="8" w:color="6D8CC3"/>
            </w:tcBorders>
          </w:tcPr>
          <w:p>
            <w:pPr>
              <w:spacing w:after="0"/>
              <w:rPr>
                <w:sz w:val="3"/>
                <w:szCs w:val="3"/>
                <w:color w:val="auto"/>
              </w:rPr>
            </w:pPr>
          </w:p>
        </w:tc>
        <w:tc>
          <w:tcPr>
            <w:tcW w:w="880" w:type="dxa"/>
            <w:vAlign w:val="bottom"/>
            <w:tcBorders>
              <w:bottom w:val="single" w:sz="8" w:color="6D8CC3"/>
            </w:tcBorders>
          </w:tcPr>
          <w:p>
            <w:pPr>
              <w:spacing w:after="0"/>
              <w:rPr>
                <w:sz w:val="3"/>
                <w:szCs w:val="3"/>
                <w:color w:val="auto"/>
              </w:rPr>
            </w:pPr>
          </w:p>
        </w:tc>
        <w:tc>
          <w:tcPr>
            <w:tcW w:w="1080" w:type="dxa"/>
            <w:vAlign w:val="bottom"/>
            <w:tcBorders>
              <w:bottom w:val="single" w:sz="8" w:color="6D8CC3"/>
            </w:tcBorders>
          </w:tcPr>
          <w:p>
            <w:pPr>
              <w:spacing w:after="0"/>
              <w:rPr>
                <w:sz w:val="3"/>
                <w:szCs w:val="3"/>
                <w:color w:val="auto"/>
              </w:rPr>
            </w:pPr>
          </w:p>
        </w:tc>
        <w:tc>
          <w:tcPr>
            <w:tcW w:w="1000" w:type="dxa"/>
            <w:vAlign w:val="bottom"/>
            <w:tcBorders>
              <w:bottom w:val="single" w:sz="8" w:color="6D8CC3"/>
            </w:tcBorders>
          </w:tcPr>
          <w:p>
            <w:pPr>
              <w:spacing w:after="0"/>
              <w:rPr>
                <w:sz w:val="3"/>
                <w:szCs w:val="3"/>
                <w:color w:val="auto"/>
              </w:rPr>
            </w:pPr>
          </w:p>
        </w:tc>
        <w:tc>
          <w:tcPr>
            <w:tcW w:w="1140" w:type="dxa"/>
            <w:vAlign w:val="bottom"/>
            <w:tcBorders>
              <w:bottom w:val="single" w:sz="8" w:color="6D8CC3"/>
            </w:tcBorders>
          </w:tcPr>
          <w:p>
            <w:pPr>
              <w:spacing w:after="0"/>
              <w:rPr>
                <w:sz w:val="3"/>
                <w:szCs w:val="3"/>
                <w:color w:val="auto"/>
              </w:rPr>
            </w:pPr>
          </w:p>
        </w:tc>
        <w:tc>
          <w:tcPr>
            <w:tcW w:w="1100" w:type="dxa"/>
            <w:vAlign w:val="bottom"/>
            <w:tcBorders>
              <w:bottom w:val="single" w:sz="8" w:color="6D8CC3"/>
            </w:tcBorders>
            <w:gridSpan w:val="2"/>
          </w:tcPr>
          <w:p>
            <w:pPr>
              <w:spacing w:after="0"/>
              <w:rPr>
                <w:sz w:val="3"/>
                <w:szCs w:val="3"/>
                <w:color w:val="auto"/>
              </w:rPr>
            </w:pPr>
          </w:p>
        </w:tc>
        <w:tc>
          <w:tcPr>
            <w:tcW w:w="1040" w:type="dxa"/>
            <w:vAlign w:val="bottom"/>
            <w:tcBorders>
              <w:bottom w:val="single" w:sz="8" w:color="6D8CC3"/>
            </w:tcBorders>
          </w:tcPr>
          <w:p>
            <w:pPr>
              <w:spacing w:after="0"/>
              <w:rPr>
                <w:sz w:val="3"/>
                <w:szCs w:val="3"/>
                <w:color w:val="auto"/>
              </w:rPr>
            </w:pPr>
          </w:p>
        </w:tc>
        <w:tc>
          <w:tcPr>
            <w:tcW w:w="180" w:type="dxa"/>
            <w:vAlign w:val="bottom"/>
            <w:tcBorders>
              <w:bottom w:val="single" w:sz="8" w:color="6D8CC3"/>
            </w:tcBorders>
          </w:tcPr>
          <w:p>
            <w:pPr>
              <w:spacing w:after="0"/>
              <w:rPr>
                <w:sz w:val="3"/>
                <w:szCs w:val="3"/>
                <w:color w:val="auto"/>
              </w:rPr>
            </w:pPr>
          </w:p>
        </w:tc>
        <w:tc>
          <w:tcPr>
            <w:tcW w:w="760" w:type="dxa"/>
            <w:vAlign w:val="bottom"/>
            <w:tcBorders>
              <w:bottom w:val="single" w:sz="8" w:color="6D8CC3"/>
            </w:tcBorders>
          </w:tcPr>
          <w:p>
            <w:pPr>
              <w:spacing w:after="0"/>
              <w:rPr>
                <w:sz w:val="3"/>
                <w:szCs w:val="3"/>
                <w:color w:val="auto"/>
              </w:rPr>
            </w:pPr>
          </w:p>
        </w:tc>
      </w:tr>
      <w:tr>
        <w:trPr>
          <w:trHeight w:val="175"/>
        </w:trPr>
        <w:tc>
          <w:tcPr>
            <w:tcW w:w="920" w:type="dxa"/>
            <w:vAlign w:val="bottom"/>
          </w:tcPr>
          <w:p>
            <w:pPr>
              <w:spacing w:after="0"/>
              <w:rPr>
                <w:sz w:val="20"/>
                <w:szCs w:val="20"/>
                <w:color w:val="auto"/>
              </w:rPr>
            </w:pPr>
            <w:r>
              <w:rPr>
                <w:rFonts w:ascii="Arial" w:cs="Arial" w:eastAsia="Arial" w:hAnsi="Arial"/>
                <w:sz w:val="12"/>
                <w:szCs w:val="12"/>
                <w:color w:val="auto"/>
              </w:rPr>
              <w:t>Ms. Boswell</w:t>
            </w:r>
          </w:p>
        </w:tc>
        <w:tc>
          <w:tcPr>
            <w:tcW w:w="940" w:type="dxa"/>
            <w:vAlign w:val="bottom"/>
          </w:tcPr>
          <w:p>
            <w:pPr>
              <w:jc w:val="right"/>
              <w:ind w:right="41"/>
              <w:spacing w:after="0"/>
              <w:rPr>
                <w:sz w:val="20"/>
                <w:szCs w:val="20"/>
                <w:color w:val="auto"/>
              </w:rPr>
            </w:pPr>
            <w:r>
              <w:rPr>
                <w:rFonts w:ascii="Arial" w:cs="Arial" w:eastAsia="Arial" w:hAnsi="Arial"/>
                <w:sz w:val="12"/>
                <w:szCs w:val="12"/>
                <w:color w:val="auto"/>
              </w:rPr>
              <w:t>12,567,136</w:t>
            </w:r>
          </w:p>
        </w:tc>
        <w:tc>
          <w:tcPr>
            <w:tcW w:w="880" w:type="dxa"/>
            <w:vAlign w:val="bottom"/>
          </w:tcPr>
          <w:p>
            <w:pPr>
              <w:jc w:val="right"/>
              <w:ind w:right="81"/>
              <w:spacing w:after="0"/>
              <w:rPr>
                <w:sz w:val="20"/>
                <w:szCs w:val="20"/>
                <w:color w:val="auto"/>
              </w:rPr>
            </w:pPr>
            <w:r>
              <w:rPr>
                <w:rFonts w:ascii="Arial" w:cs="Arial" w:eastAsia="Arial" w:hAnsi="Arial"/>
                <w:sz w:val="12"/>
                <w:szCs w:val="12"/>
                <w:color w:val="auto"/>
              </w:rPr>
              <w:t>8,141,147</w:t>
            </w:r>
          </w:p>
        </w:tc>
        <w:tc>
          <w:tcPr>
            <w:tcW w:w="1080" w:type="dxa"/>
            <w:vAlign w:val="bottom"/>
          </w:tcPr>
          <w:p>
            <w:pPr>
              <w:jc w:val="right"/>
              <w:ind w:right="203"/>
              <w:spacing w:after="0"/>
              <w:rPr>
                <w:sz w:val="20"/>
                <w:szCs w:val="20"/>
                <w:color w:val="auto"/>
              </w:rPr>
            </w:pPr>
            <w:r>
              <w:rPr>
                <w:rFonts w:ascii="Arial" w:cs="Arial" w:eastAsia="Arial" w:hAnsi="Arial"/>
                <w:sz w:val="12"/>
                <w:szCs w:val="12"/>
                <w:color w:val="auto"/>
              </w:rPr>
              <w:t>​  232,397</w:t>
            </w:r>
          </w:p>
        </w:tc>
        <w:tc>
          <w:tcPr>
            <w:tcW w:w="1000" w:type="dxa"/>
            <w:vAlign w:val="bottom"/>
          </w:tcPr>
          <w:p>
            <w:pPr>
              <w:jc w:val="right"/>
              <w:ind w:right="243"/>
              <w:spacing w:after="0"/>
              <w:rPr>
                <w:sz w:val="20"/>
                <w:szCs w:val="20"/>
                <w:color w:val="auto"/>
              </w:rPr>
            </w:pPr>
            <w:r>
              <w:rPr>
                <w:rFonts w:ascii="Arial" w:cs="Arial" w:eastAsia="Arial" w:hAnsi="Arial"/>
                <w:sz w:val="12"/>
                <w:szCs w:val="12"/>
                <w:color w:val="auto"/>
              </w:rPr>
              <w:t>199,806</w:t>
            </w:r>
          </w:p>
        </w:tc>
        <w:tc>
          <w:tcPr>
            <w:tcW w:w="1140" w:type="dxa"/>
            <w:vAlign w:val="bottom"/>
          </w:tcPr>
          <w:p>
            <w:pPr>
              <w:jc w:val="right"/>
              <w:ind w:right="202"/>
              <w:spacing w:after="0"/>
              <w:rPr>
                <w:sz w:val="20"/>
                <w:szCs w:val="20"/>
                <w:color w:val="auto"/>
              </w:rPr>
            </w:pPr>
            <w:r>
              <w:rPr>
                <w:rFonts w:ascii="Arial" w:cs="Arial" w:eastAsia="Arial" w:hAnsi="Arial"/>
                <w:sz w:val="12"/>
                <w:szCs w:val="12"/>
                <w:color w:val="auto"/>
              </w:rPr>
              <w:t>(853,283)</w:t>
            </w:r>
          </w:p>
        </w:tc>
        <w:tc>
          <w:tcPr>
            <w:tcW w:w="1100" w:type="dxa"/>
            <w:vAlign w:val="bottom"/>
            <w:gridSpan w:val="2"/>
          </w:tcPr>
          <w:p>
            <w:pPr>
              <w:jc w:val="right"/>
              <w:ind w:right="99"/>
              <w:spacing w:after="0"/>
              <w:rPr>
                <w:sz w:val="20"/>
                <w:szCs w:val="20"/>
                <w:color w:val="auto"/>
              </w:rPr>
            </w:pPr>
            <w:r>
              <w:rPr>
                <w:rFonts w:ascii="Arial" w:cs="Arial" w:eastAsia="Arial" w:hAnsi="Arial"/>
                <w:sz w:val="12"/>
                <w:szCs w:val="12"/>
                <w:color w:val="auto"/>
              </w:rPr>
              <w:t>(5,919,359)</w:t>
            </w:r>
          </w:p>
        </w:tc>
        <w:tc>
          <w:tcPr>
            <w:tcW w:w="1040" w:type="dxa"/>
            <w:vAlign w:val="bottom"/>
          </w:tcPr>
          <w:p>
            <w:pPr>
              <w:jc w:val="right"/>
              <w:ind w:right="123"/>
              <w:spacing w:after="0"/>
              <w:rPr>
                <w:sz w:val="20"/>
                <w:szCs w:val="20"/>
                <w:color w:val="auto"/>
              </w:rPr>
            </w:pPr>
            <w:r>
              <w:rPr>
                <w:rFonts w:ascii="Arial" w:cs="Arial" w:eastAsia="Arial" w:hAnsi="Arial"/>
                <w:sz w:val="12"/>
                <w:szCs w:val="12"/>
                <w:color w:val="auto"/>
              </w:rPr>
              <w:t>(2,854,359)</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(4,768,809)</w:t>
            </w:r>
          </w:p>
        </w:tc>
      </w:tr>
      <w:tr>
        <w:trPr>
          <w:trHeight w:val="41"/>
        </w:trPr>
        <w:tc>
          <w:tcPr>
            <w:tcW w:w="920" w:type="dxa"/>
            <w:vAlign w:val="bottom"/>
            <w:tcBorders>
              <w:bottom w:val="single" w:sz="8" w:color="6D8CC3"/>
            </w:tcBorders>
          </w:tcPr>
          <w:p>
            <w:pPr>
              <w:spacing w:after="0"/>
              <w:rPr>
                <w:sz w:val="3"/>
                <w:szCs w:val="3"/>
                <w:color w:val="auto"/>
              </w:rPr>
            </w:pPr>
          </w:p>
        </w:tc>
        <w:tc>
          <w:tcPr>
            <w:tcW w:w="940" w:type="dxa"/>
            <w:vAlign w:val="bottom"/>
            <w:tcBorders>
              <w:bottom w:val="single" w:sz="8" w:color="6D8CC3"/>
            </w:tcBorders>
          </w:tcPr>
          <w:p>
            <w:pPr>
              <w:spacing w:after="0"/>
              <w:rPr>
                <w:sz w:val="3"/>
                <w:szCs w:val="3"/>
                <w:color w:val="auto"/>
              </w:rPr>
            </w:pPr>
          </w:p>
        </w:tc>
        <w:tc>
          <w:tcPr>
            <w:tcW w:w="880" w:type="dxa"/>
            <w:vAlign w:val="bottom"/>
            <w:tcBorders>
              <w:bottom w:val="single" w:sz="8" w:color="6D8CC3"/>
            </w:tcBorders>
          </w:tcPr>
          <w:p>
            <w:pPr>
              <w:spacing w:after="0"/>
              <w:rPr>
                <w:sz w:val="3"/>
                <w:szCs w:val="3"/>
                <w:color w:val="auto"/>
              </w:rPr>
            </w:pPr>
          </w:p>
        </w:tc>
        <w:tc>
          <w:tcPr>
            <w:tcW w:w="1080" w:type="dxa"/>
            <w:vAlign w:val="bottom"/>
            <w:tcBorders>
              <w:bottom w:val="single" w:sz="8" w:color="6D8CC3"/>
            </w:tcBorders>
          </w:tcPr>
          <w:p>
            <w:pPr>
              <w:spacing w:after="0"/>
              <w:rPr>
                <w:sz w:val="3"/>
                <w:szCs w:val="3"/>
                <w:color w:val="auto"/>
              </w:rPr>
            </w:pPr>
          </w:p>
        </w:tc>
        <w:tc>
          <w:tcPr>
            <w:tcW w:w="1000" w:type="dxa"/>
            <w:vAlign w:val="bottom"/>
            <w:tcBorders>
              <w:bottom w:val="single" w:sz="8" w:color="6D8CC3"/>
            </w:tcBorders>
          </w:tcPr>
          <w:p>
            <w:pPr>
              <w:spacing w:after="0"/>
              <w:rPr>
                <w:sz w:val="3"/>
                <w:szCs w:val="3"/>
                <w:color w:val="auto"/>
              </w:rPr>
            </w:pPr>
          </w:p>
        </w:tc>
        <w:tc>
          <w:tcPr>
            <w:tcW w:w="1140" w:type="dxa"/>
            <w:vAlign w:val="bottom"/>
            <w:tcBorders>
              <w:bottom w:val="single" w:sz="8" w:color="6D8CC3"/>
            </w:tcBorders>
          </w:tcPr>
          <w:p>
            <w:pPr>
              <w:spacing w:after="0"/>
              <w:rPr>
                <w:sz w:val="3"/>
                <w:szCs w:val="3"/>
                <w:color w:val="auto"/>
              </w:rPr>
            </w:pPr>
          </w:p>
        </w:tc>
        <w:tc>
          <w:tcPr>
            <w:tcW w:w="760" w:type="dxa"/>
            <w:vAlign w:val="bottom"/>
            <w:tcBorders>
              <w:bottom w:val="single" w:sz="8" w:color="6D8CC3"/>
            </w:tcBorders>
          </w:tcPr>
          <w:p>
            <w:pPr>
              <w:spacing w:after="0"/>
              <w:rPr>
                <w:sz w:val="3"/>
                <w:szCs w:val="3"/>
                <w:color w:val="auto"/>
              </w:rPr>
            </w:pPr>
          </w:p>
        </w:tc>
        <w:tc>
          <w:tcPr>
            <w:tcW w:w="340" w:type="dxa"/>
            <w:vAlign w:val="bottom"/>
            <w:tcBorders>
              <w:bottom w:val="single" w:sz="8" w:color="6D8CC3"/>
            </w:tcBorders>
          </w:tcPr>
          <w:p>
            <w:pPr>
              <w:spacing w:after="0"/>
              <w:rPr>
                <w:sz w:val="3"/>
                <w:szCs w:val="3"/>
                <w:color w:val="auto"/>
              </w:rPr>
            </w:pPr>
          </w:p>
        </w:tc>
        <w:tc>
          <w:tcPr>
            <w:tcW w:w="1040" w:type="dxa"/>
            <w:vAlign w:val="bottom"/>
            <w:tcBorders>
              <w:bottom w:val="single" w:sz="8" w:color="6D8CC3"/>
            </w:tcBorders>
          </w:tcPr>
          <w:p>
            <w:pPr>
              <w:spacing w:after="0"/>
              <w:rPr>
                <w:sz w:val="3"/>
                <w:szCs w:val="3"/>
                <w:color w:val="auto"/>
              </w:rPr>
            </w:pPr>
          </w:p>
        </w:tc>
        <w:tc>
          <w:tcPr>
            <w:tcW w:w="180" w:type="dxa"/>
            <w:vAlign w:val="bottom"/>
            <w:tcBorders>
              <w:bottom w:val="single" w:sz="8" w:color="6D8CC3"/>
            </w:tcBorders>
          </w:tcPr>
          <w:p>
            <w:pPr>
              <w:spacing w:after="0"/>
              <w:rPr>
                <w:sz w:val="3"/>
                <w:szCs w:val="3"/>
                <w:color w:val="auto"/>
              </w:rPr>
            </w:pPr>
          </w:p>
        </w:tc>
        <w:tc>
          <w:tcPr>
            <w:tcW w:w="760" w:type="dxa"/>
            <w:vAlign w:val="bottom"/>
            <w:tcBorders>
              <w:bottom w:val="single" w:sz="8" w:color="6D8CC3"/>
            </w:tcBorders>
          </w:tcPr>
          <w:p>
            <w:pPr>
              <w:spacing w:after="0"/>
              <w:rPr>
                <w:sz w:val="3"/>
                <w:szCs w:val="3"/>
                <w:color w:val="auto"/>
              </w:rPr>
            </w:pPr>
          </w:p>
        </w:tc>
      </w:tr>
      <w:tr>
        <w:trPr>
          <w:trHeight w:val="146"/>
        </w:trPr>
        <w:tc>
          <w:tcPr>
            <w:tcW w:w="920" w:type="dxa"/>
            <w:vAlign w:val="bottom"/>
          </w:tcPr>
          <w:p>
            <w:pPr>
              <w:spacing w:after="0"/>
              <w:rPr>
                <w:sz w:val="20"/>
                <w:szCs w:val="20"/>
                <w:color w:val="auto"/>
              </w:rPr>
            </w:pPr>
            <w:r>
              <w:rPr>
                <w:rFonts w:ascii="Arial" w:cs="Arial" w:eastAsia="Arial" w:hAnsi="Arial"/>
                <w:sz w:val="12"/>
                <w:szCs w:val="12"/>
                <w:color w:val="auto"/>
              </w:rPr>
              <w:t>Non-PEO NEO</w:t>
            </w:r>
          </w:p>
        </w:tc>
        <w:tc>
          <w:tcPr>
            <w:tcW w:w="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1"/>
        </w:trPr>
        <w:tc>
          <w:tcPr>
            <w:tcW w:w="920" w:type="dxa"/>
            <w:vAlign w:val="bottom"/>
          </w:tcPr>
          <w:p>
            <w:pPr>
              <w:spacing w:after="0"/>
              <w:rPr>
                <w:sz w:val="20"/>
                <w:szCs w:val="20"/>
                <w:color w:val="auto"/>
              </w:rPr>
            </w:pPr>
            <w:r>
              <w:rPr>
                <w:rFonts w:ascii="Arial" w:cs="Arial" w:eastAsia="Arial" w:hAnsi="Arial"/>
                <w:sz w:val="12"/>
                <w:szCs w:val="12"/>
                <w:color w:val="auto"/>
              </w:rPr>
              <w:t>Average</w:t>
            </w:r>
          </w:p>
        </w:tc>
        <w:tc>
          <w:tcPr>
            <w:tcW w:w="940" w:type="dxa"/>
            <w:vAlign w:val="bottom"/>
          </w:tcPr>
          <w:p>
            <w:pPr>
              <w:jc w:val="right"/>
              <w:ind w:right="41"/>
              <w:spacing w:after="0"/>
              <w:rPr>
                <w:sz w:val="20"/>
                <w:szCs w:val="20"/>
                <w:color w:val="auto"/>
              </w:rPr>
            </w:pPr>
            <w:r>
              <w:rPr>
                <w:rFonts w:ascii="Arial" w:cs="Arial" w:eastAsia="Arial" w:hAnsi="Arial"/>
                <w:sz w:val="12"/>
                <w:szCs w:val="12"/>
                <w:color w:val="auto"/>
              </w:rPr>
              <w:t>3,192,016</w:t>
            </w:r>
          </w:p>
        </w:tc>
        <w:tc>
          <w:tcPr>
            <w:tcW w:w="880" w:type="dxa"/>
            <w:vAlign w:val="bottom"/>
          </w:tcPr>
          <w:p>
            <w:pPr>
              <w:jc w:val="right"/>
              <w:ind w:right="81"/>
              <w:spacing w:after="0"/>
              <w:rPr>
                <w:sz w:val="20"/>
                <w:szCs w:val="20"/>
                <w:color w:val="auto"/>
              </w:rPr>
            </w:pPr>
            <w:r>
              <w:rPr>
                <w:rFonts w:ascii="Arial" w:cs="Arial" w:eastAsia="Arial" w:hAnsi="Arial"/>
                <w:sz w:val="12"/>
                <w:szCs w:val="12"/>
                <w:color w:val="auto"/>
              </w:rPr>
              <w:t>2,091,179</w:t>
            </w:r>
          </w:p>
        </w:tc>
        <w:tc>
          <w:tcPr>
            <w:tcW w:w="1080" w:type="dxa"/>
            <w:vAlign w:val="bottom"/>
          </w:tcPr>
          <w:p>
            <w:pPr>
              <w:jc w:val="right"/>
              <w:ind w:right="183"/>
              <w:spacing w:after="0"/>
              <w:rPr>
                <w:sz w:val="20"/>
                <w:szCs w:val="20"/>
                <w:color w:val="auto"/>
              </w:rPr>
            </w:pPr>
            <w:r>
              <w:rPr>
                <w:rFonts w:ascii="Arial" w:cs="Arial" w:eastAsia="Arial" w:hAnsi="Arial"/>
                <w:sz w:val="12"/>
                <w:szCs w:val="12"/>
                <w:color w:val="auto"/>
              </w:rPr>
              <w:t>1,207,437</w:t>
            </w:r>
          </w:p>
        </w:tc>
        <w:tc>
          <w:tcPr>
            <w:tcW w:w="1000" w:type="dxa"/>
            <w:vAlign w:val="bottom"/>
          </w:tcPr>
          <w:p>
            <w:pPr>
              <w:jc w:val="right"/>
              <w:ind w:right="243"/>
              <w:spacing w:after="0"/>
              <w:rPr>
                <w:sz w:val="20"/>
                <w:szCs w:val="20"/>
                <w:color w:val="auto"/>
              </w:rPr>
            </w:pPr>
            <w:r>
              <w:rPr>
                <w:rFonts w:ascii="Arial" w:cs="Arial" w:eastAsia="Arial" w:hAnsi="Arial"/>
                <w:sz w:val="12"/>
                <w:szCs w:val="12"/>
                <w:color w:val="auto"/>
              </w:rPr>
              <w:t>—</w:t>
            </w:r>
          </w:p>
        </w:tc>
        <w:tc>
          <w:tcPr>
            <w:tcW w:w="1140" w:type="dxa"/>
            <w:vAlign w:val="bottom"/>
          </w:tcPr>
          <w:p>
            <w:pPr>
              <w:jc w:val="right"/>
              <w:ind w:right="202"/>
              <w:spacing w:after="0"/>
              <w:rPr>
                <w:sz w:val="20"/>
                <w:szCs w:val="20"/>
                <w:color w:val="auto"/>
              </w:rPr>
            </w:pPr>
            <w:r>
              <w:rPr>
                <w:rFonts w:ascii="Arial" w:cs="Arial" w:eastAsia="Arial" w:hAnsi="Arial"/>
                <w:sz w:val="12"/>
                <w:szCs w:val="12"/>
                <w:color w:val="auto"/>
              </w:rPr>
              <w:t>(241,225)</w:t>
            </w:r>
          </w:p>
        </w:tc>
        <w:tc>
          <w:tcPr>
            <w:tcW w:w="760" w:type="dxa"/>
            <w:vAlign w:val="bottom"/>
          </w:tcPr>
          <w:p>
            <w:pPr>
              <w:ind w:left="180"/>
              <w:spacing w:after="0"/>
              <w:rPr>
                <w:sz w:val="20"/>
                <w:szCs w:val="20"/>
                <w:color w:val="auto"/>
              </w:rPr>
            </w:pPr>
            <w:r>
              <w:rPr>
                <w:rFonts w:ascii="Arial" w:cs="Arial" w:eastAsia="Arial" w:hAnsi="Arial"/>
                <w:sz w:val="12"/>
                <w:szCs w:val="12"/>
                <w:color w:val="auto"/>
              </w:rPr>
              <w:t>​</w:t>
            </w:r>
          </w:p>
        </w:tc>
        <w:tc>
          <w:tcPr>
            <w:tcW w:w="340" w:type="dxa"/>
            <w:vAlign w:val="bottom"/>
          </w:tcPr>
          <w:p>
            <w:pPr>
              <w:jc w:val="right"/>
              <w:ind w:right="159"/>
              <w:spacing w:after="0"/>
              <w:rPr>
                <w:sz w:val="20"/>
                <w:szCs w:val="20"/>
                <w:color w:val="auto"/>
              </w:rPr>
            </w:pPr>
            <w:r>
              <w:rPr>
                <w:rFonts w:ascii="Arial" w:cs="Arial" w:eastAsia="Arial" w:hAnsi="Arial"/>
                <w:sz w:val="12"/>
                <w:szCs w:val="12"/>
                <w:color w:val="auto"/>
                <w:w w:val="82"/>
              </w:rPr>
              <w:t>—</w:t>
            </w:r>
          </w:p>
        </w:tc>
        <w:tc>
          <w:tcPr>
            <w:tcW w:w="1040" w:type="dxa"/>
            <w:vAlign w:val="bottom"/>
          </w:tcPr>
          <w:p>
            <w:pPr>
              <w:jc w:val="right"/>
              <w:ind w:right="123"/>
              <w:spacing w:after="0"/>
              <w:rPr>
                <w:sz w:val="20"/>
                <w:szCs w:val="20"/>
                <w:color w:val="auto"/>
              </w:rPr>
            </w:pPr>
            <w:r>
              <w:rPr>
                <w:rFonts w:ascii="Arial" w:cs="Arial" w:eastAsia="Arial" w:hAnsi="Arial"/>
                <w:sz w:val="12"/>
                <w:szCs w:val="12"/>
                <w:color w:val="auto"/>
              </w:rPr>
              <w:t>(1,204,384)</w:t>
            </w:r>
          </w:p>
        </w:tc>
        <w:tc>
          <w:tcPr>
            <w:tcW w:w="180" w:type="dxa"/>
            <w:vAlign w:val="bottom"/>
          </w:tcPr>
          <w:p>
            <w:pPr>
              <w:ind w:left="12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59"/>
              <w:spacing w:after="0"/>
              <w:rPr>
                <w:sz w:val="20"/>
                <w:szCs w:val="20"/>
                <w:color w:val="auto"/>
              </w:rPr>
            </w:pPr>
            <w:r>
              <w:rPr>
                <w:rFonts w:ascii="Arial" w:cs="Arial" w:eastAsia="Arial" w:hAnsi="Arial"/>
                <w:sz w:val="12"/>
                <w:szCs w:val="12"/>
                <w:color w:val="auto"/>
              </w:rPr>
              <w:t>862,665</w:t>
            </w:r>
          </w:p>
        </w:tc>
      </w:tr>
      <w:tr>
        <w:trPr>
          <w:trHeight w:val="41"/>
        </w:trPr>
        <w:tc>
          <w:tcPr>
            <w:tcW w:w="920" w:type="dxa"/>
            <w:vAlign w:val="bottom"/>
            <w:tcBorders>
              <w:bottom w:val="single" w:sz="8" w:color="6D8CC3"/>
            </w:tcBorders>
          </w:tcPr>
          <w:p>
            <w:pPr>
              <w:spacing w:after="0"/>
              <w:rPr>
                <w:sz w:val="3"/>
                <w:szCs w:val="3"/>
                <w:color w:val="auto"/>
              </w:rPr>
            </w:pPr>
          </w:p>
        </w:tc>
        <w:tc>
          <w:tcPr>
            <w:tcW w:w="940" w:type="dxa"/>
            <w:vAlign w:val="bottom"/>
            <w:tcBorders>
              <w:bottom w:val="single" w:sz="8" w:color="6D8CC3"/>
            </w:tcBorders>
          </w:tcPr>
          <w:p>
            <w:pPr>
              <w:spacing w:after="0"/>
              <w:rPr>
                <w:sz w:val="3"/>
                <w:szCs w:val="3"/>
                <w:color w:val="auto"/>
              </w:rPr>
            </w:pPr>
          </w:p>
        </w:tc>
        <w:tc>
          <w:tcPr>
            <w:tcW w:w="880" w:type="dxa"/>
            <w:vAlign w:val="bottom"/>
            <w:tcBorders>
              <w:bottom w:val="single" w:sz="8" w:color="6D8CC3"/>
            </w:tcBorders>
          </w:tcPr>
          <w:p>
            <w:pPr>
              <w:spacing w:after="0"/>
              <w:rPr>
                <w:sz w:val="3"/>
                <w:szCs w:val="3"/>
                <w:color w:val="auto"/>
              </w:rPr>
            </w:pPr>
          </w:p>
        </w:tc>
        <w:tc>
          <w:tcPr>
            <w:tcW w:w="1080" w:type="dxa"/>
            <w:vAlign w:val="bottom"/>
            <w:tcBorders>
              <w:bottom w:val="single" w:sz="8" w:color="6D8CC3"/>
            </w:tcBorders>
          </w:tcPr>
          <w:p>
            <w:pPr>
              <w:spacing w:after="0"/>
              <w:rPr>
                <w:sz w:val="3"/>
                <w:szCs w:val="3"/>
                <w:color w:val="auto"/>
              </w:rPr>
            </w:pPr>
          </w:p>
        </w:tc>
        <w:tc>
          <w:tcPr>
            <w:tcW w:w="1000" w:type="dxa"/>
            <w:vAlign w:val="bottom"/>
            <w:tcBorders>
              <w:bottom w:val="single" w:sz="8" w:color="6D8CC3"/>
            </w:tcBorders>
          </w:tcPr>
          <w:p>
            <w:pPr>
              <w:spacing w:after="0"/>
              <w:rPr>
                <w:sz w:val="3"/>
                <w:szCs w:val="3"/>
                <w:color w:val="auto"/>
              </w:rPr>
            </w:pPr>
          </w:p>
        </w:tc>
        <w:tc>
          <w:tcPr>
            <w:tcW w:w="1140" w:type="dxa"/>
            <w:vAlign w:val="bottom"/>
            <w:tcBorders>
              <w:bottom w:val="single" w:sz="8" w:color="6D8CC3"/>
            </w:tcBorders>
          </w:tcPr>
          <w:p>
            <w:pPr>
              <w:spacing w:after="0"/>
              <w:rPr>
                <w:sz w:val="3"/>
                <w:szCs w:val="3"/>
                <w:color w:val="auto"/>
              </w:rPr>
            </w:pPr>
          </w:p>
        </w:tc>
        <w:tc>
          <w:tcPr>
            <w:tcW w:w="760" w:type="dxa"/>
            <w:vAlign w:val="bottom"/>
            <w:tcBorders>
              <w:bottom w:val="single" w:sz="8" w:color="6D8CC3"/>
            </w:tcBorders>
          </w:tcPr>
          <w:p>
            <w:pPr>
              <w:spacing w:after="0"/>
              <w:rPr>
                <w:sz w:val="3"/>
                <w:szCs w:val="3"/>
                <w:color w:val="auto"/>
              </w:rPr>
            </w:pPr>
          </w:p>
        </w:tc>
        <w:tc>
          <w:tcPr>
            <w:tcW w:w="340" w:type="dxa"/>
            <w:vAlign w:val="bottom"/>
            <w:tcBorders>
              <w:bottom w:val="single" w:sz="8" w:color="6D8CC3"/>
            </w:tcBorders>
          </w:tcPr>
          <w:p>
            <w:pPr>
              <w:spacing w:after="0"/>
              <w:rPr>
                <w:sz w:val="3"/>
                <w:szCs w:val="3"/>
                <w:color w:val="auto"/>
              </w:rPr>
            </w:pPr>
          </w:p>
        </w:tc>
        <w:tc>
          <w:tcPr>
            <w:tcW w:w="1040" w:type="dxa"/>
            <w:vAlign w:val="bottom"/>
            <w:tcBorders>
              <w:bottom w:val="single" w:sz="8" w:color="6D8CC3"/>
            </w:tcBorders>
          </w:tcPr>
          <w:p>
            <w:pPr>
              <w:spacing w:after="0"/>
              <w:rPr>
                <w:sz w:val="3"/>
                <w:szCs w:val="3"/>
                <w:color w:val="auto"/>
              </w:rPr>
            </w:pPr>
          </w:p>
        </w:tc>
        <w:tc>
          <w:tcPr>
            <w:tcW w:w="180" w:type="dxa"/>
            <w:vAlign w:val="bottom"/>
            <w:tcBorders>
              <w:bottom w:val="single" w:sz="8" w:color="6D8CC3"/>
            </w:tcBorders>
          </w:tcPr>
          <w:p>
            <w:pPr>
              <w:spacing w:after="0"/>
              <w:rPr>
                <w:sz w:val="3"/>
                <w:szCs w:val="3"/>
                <w:color w:val="auto"/>
              </w:rPr>
            </w:pPr>
          </w:p>
        </w:tc>
        <w:tc>
          <w:tcPr>
            <w:tcW w:w="760" w:type="dxa"/>
            <w:vAlign w:val="bottom"/>
            <w:tcBorders>
              <w:bottom w:val="single" w:sz="8" w:color="6D8CC3"/>
            </w:tcBorders>
          </w:tcPr>
          <w:p>
            <w:pPr>
              <w:spacing w:after="0"/>
              <w:rPr>
                <w:sz w:val="3"/>
                <w:szCs w:val="3"/>
                <w:color w:val="auto"/>
              </w:rPr>
            </w:pPr>
          </w:p>
        </w:tc>
      </w:tr>
      <w:tr>
        <w:trPr>
          <w:trHeight w:val="221"/>
        </w:trPr>
        <w:tc>
          <w:tcPr>
            <w:tcW w:w="920" w:type="dxa"/>
            <w:vAlign w:val="bottom"/>
            <w:tcBorders>
              <w:bottom w:val="single" w:sz="8" w:color="F0F5FE"/>
            </w:tcBorders>
            <w:shd w:val="clear" w:color="auto" w:fill="F0F5FE"/>
          </w:tcPr>
          <w:p>
            <w:pPr>
              <w:spacing w:after="0"/>
              <w:rPr>
                <w:sz w:val="20"/>
                <w:szCs w:val="20"/>
                <w:color w:val="auto"/>
              </w:rPr>
            </w:pPr>
            <w:r>
              <w:rPr>
                <w:rFonts w:ascii="Arial" w:cs="Arial" w:eastAsia="Arial" w:hAnsi="Arial"/>
                <w:sz w:val="12"/>
                <w:szCs w:val="12"/>
                <w:b w:val="1"/>
                <w:bCs w:val="1"/>
                <w:color w:val="auto"/>
              </w:rPr>
              <w:t>Fiscal 2024:</w:t>
            </w:r>
          </w:p>
        </w:tc>
        <w:tc>
          <w:tcPr>
            <w:tcW w:w="940" w:type="dxa"/>
            <w:vAlign w:val="bottom"/>
            <w:tcBorders>
              <w:bottom w:val="single" w:sz="8" w:color="F0F5FE"/>
            </w:tcBorders>
            <w:shd w:val="clear" w:color="auto" w:fill="F0F5FE"/>
          </w:tcPr>
          <w:p>
            <w:pPr>
              <w:spacing w:after="0"/>
              <w:rPr>
                <w:sz w:val="18"/>
                <w:szCs w:val="18"/>
                <w:color w:val="auto"/>
              </w:rPr>
            </w:pPr>
          </w:p>
        </w:tc>
        <w:tc>
          <w:tcPr>
            <w:tcW w:w="880" w:type="dxa"/>
            <w:vAlign w:val="bottom"/>
            <w:tcBorders>
              <w:bottom w:val="single" w:sz="8" w:color="F0F5FE"/>
            </w:tcBorders>
            <w:shd w:val="clear" w:color="auto" w:fill="F0F5FE"/>
          </w:tcPr>
          <w:p>
            <w:pPr>
              <w:spacing w:after="0"/>
              <w:rPr>
                <w:sz w:val="18"/>
                <w:szCs w:val="18"/>
                <w:color w:val="auto"/>
              </w:rPr>
            </w:pPr>
          </w:p>
        </w:tc>
        <w:tc>
          <w:tcPr>
            <w:tcW w:w="1080" w:type="dxa"/>
            <w:vAlign w:val="bottom"/>
            <w:tcBorders>
              <w:bottom w:val="single" w:sz="8" w:color="F0F5FE"/>
            </w:tcBorders>
            <w:shd w:val="clear" w:color="auto" w:fill="F0F5FE"/>
          </w:tcPr>
          <w:p>
            <w:pPr>
              <w:spacing w:after="0"/>
              <w:rPr>
                <w:sz w:val="18"/>
                <w:szCs w:val="18"/>
                <w:color w:val="auto"/>
              </w:rPr>
            </w:pPr>
          </w:p>
        </w:tc>
        <w:tc>
          <w:tcPr>
            <w:tcW w:w="1000" w:type="dxa"/>
            <w:vAlign w:val="bottom"/>
            <w:tcBorders>
              <w:bottom w:val="single" w:sz="8" w:color="F0F5FE"/>
            </w:tcBorders>
            <w:shd w:val="clear" w:color="auto" w:fill="F0F5FE"/>
          </w:tcPr>
          <w:p>
            <w:pPr>
              <w:spacing w:after="0"/>
              <w:rPr>
                <w:sz w:val="18"/>
                <w:szCs w:val="18"/>
                <w:color w:val="auto"/>
              </w:rPr>
            </w:pPr>
          </w:p>
        </w:tc>
        <w:tc>
          <w:tcPr>
            <w:tcW w:w="1140" w:type="dxa"/>
            <w:vAlign w:val="bottom"/>
            <w:tcBorders>
              <w:bottom w:val="single" w:sz="8" w:color="F0F5FE"/>
            </w:tcBorders>
            <w:shd w:val="clear" w:color="auto" w:fill="F0F5FE"/>
          </w:tcPr>
          <w:p>
            <w:pPr>
              <w:spacing w:after="0"/>
              <w:rPr>
                <w:sz w:val="18"/>
                <w:szCs w:val="18"/>
                <w:color w:val="auto"/>
              </w:rPr>
            </w:pPr>
          </w:p>
        </w:tc>
        <w:tc>
          <w:tcPr>
            <w:tcW w:w="760" w:type="dxa"/>
            <w:vAlign w:val="bottom"/>
            <w:tcBorders>
              <w:bottom w:val="single" w:sz="8" w:color="F0F5FE"/>
            </w:tcBorders>
            <w:shd w:val="clear" w:color="auto" w:fill="F0F5FE"/>
          </w:tcPr>
          <w:p>
            <w:pPr>
              <w:spacing w:after="0"/>
              <w:rPr>
                <w:sz w:val="18"/>
                <w:szCs w:val="18"/>
                <w:color w:val="auto"/>
              </w:rPr>
            </w:pPr>
          </w:p>
        </w:tc>
        <w:tc>
          <w:tcPr>
            <w:tcW w:w="340" w:type="dxa"/>
            <w:vAlign w:val="bottom"/>
            <w:tcBorders>
              <w:bottom w:val="single" w:sz="8" w:color="F0F5FE"/>
            </w:tcBorders>
            <w:shd w:val="clear" w:color="auto" w:fill="F0F5FE"/>
          </w:tcPr>
          <w:p>
            <w:pPr>
              <w:spacing w:after="0"/>
              <w:rPr>
                <w:sz w:val="18"/>
                <w:szCs w:val="18"/>
                <w:color w:val="auto"/>
              </w:rPr>
            </w:pPr>
          </w:p>
        </w:tc>
        <w:tc>
          <w:tcPr>
            <w:tcW w:w="1040" w:type="dxa"/>
            <w:vAlign w:val="bottom"/>
            <w:tcBorders>
              <w:bottom w:val="single" w:sz="8" w:color="F0F5FE"/>
            </w:tcBorders>
            <w:shd w:val="clear" w:color="auto" w:fill="F0F5FE"/>
          </w:tcPr>
          <w:p>
            <w:pPr>
              <w:spacing w:after="0"/>
              <w:rPr>
                <w:sz w:val="18"/>
                <w:szCs w:val="18"/>
                <w:color w:val="auto"/>
              </w:rPr>
            </w:pPr>
          </w:p>
        </w:tc>
        <w:tc>
          <w:tcPr>
            <w:tcW w:w="180" w:type="dxa"/>
            <w:vAlign w:val="bottom"/>
            <w:tcBorders>
              <w:bottom w:val="single" w:sz="8" w:color="F0F5FE"/>
            </w:tcBorders>
            <w:shd w:val="clear" w:color="auto" w:fill="F0F5FE"/>
          </w:tcPr>
          <w:p>
            <w:pPr>
              <w:spacing w:after="0"/>
              <w:rPr>
                <w:sz w:val="18"/>
                <w:szCs w:val="18"/>
                <w:color w:val="auto"/>
              </w:rPr>
            </w:pPr>
          </w:p>
        </w:tc>
        <w:tc>
          <w:tcPr>
            <w:tcW w:w="760" w:type="dxa"/>
            <w:vAlign w:val="bottom"/>
            <w:tcBorders>
              <w:bottom w:val="single" w:sz="8" w:color="F0F5FE"/>
            </w:tcBorders>
            <w:shd w:val="clear" w:color="auto" w:fill="F0F5FE"/>
          </w:tcPr>
          <w:p>
            <w:pPr>
              <w:spacing w:after="0"/>
              <w:rPr>
                <w:sz w:val="18"/>
                <w:szCs w:val="18"/>
                <w:color w:val="auto"/>
              </w:rPr>
            </w:pPr>
          </w:p>
        </w:tc>
      </w:tr>
      <w:tr>
        <w:trPr>
          <w:trHeight w:val="175"/>
        </w:trPr>
        <w:tc>
          <w:tcPr>
            <w:tcW w:w="920" w:type="dxa"/>
            <w:vAlign w:val="bottom"/>
            <w:tcBorders>
              <w:top w:val="single" w:sz="8" w:color="6D8CC3"/>
            </w:tcBorders>
          </w:tcPr>
          <w:p>
            <w:pPr>
              <w:spacing w:after="0"/>
              <w:rPr>
                <w:sz w:val="20"/>
                <w:szCs w:val="20"/>
                <w:color w:val="auto"/>
              </w:rPr>
            </w:pPr>
            <w:r>
              <w:rPr>
                <w:rFonts w:ascii="Arial" w:cs="Arial" w:eastAsia="Arial" w:hAnsi="Arial"/>
                <w:sz w:val="12"/>
                <w:szCs w:val="12"/>
                <w:color w:val="auto"/>
              </w:rPr>
              <w:t>Ms. Boswell</w:t>
            </w:r>
          </w:p>
        </w:tc>
        <w:tc>
          <w:tcPr>
            <w:tcW w:w="940" w:type="dxa"/>
            <w:vAlign w:val="bottom"/>
            <w:tcBorders>
              <w:top w:val="single" w:sz="8" w:color="6D8CC3"/>
            </w:tcBorders>
          </w:tcPr>
          <w:p>
            <w:pPr>
              <w:jc w:val="right"/>
              <w:ind w:right="41"/>
              <w:spacing w:after="0"/>
              <w:rPr>
                <w:sz w:val="20"/>
                <w:szCs w:val="20"/>
                <w:color w:val="auto"/>
              </w:rPr>
            </w:pPr>
            <w:r>
              <w:rPr>
                <w:rFonts w:ascii="Arial" w:cs="Arial" w:eastAsia="Arial" w:hAnsi="Arial"/>
                <w:sz w:val="12"/>
                <w:szCs w:val="12"/>
                <w:color w:val="auto"/>
              </w:rPr>
              <w:t>12,570,293</w:t>
            </w:r>
          </w:p>
        </w:tc>
        <w:tc>
          <w:tcPr>
            <w:tcW w:w="880" w:type="dxa"/>
            <w:vAlign w:val="bottom"/>
            <w:tcBorders>
              <w:top w:val="single" w:sz="8" w:color="6D8CC3"/>
            </w:tcBorders>
          </w:tcPr>
          <w:p>
            <w:pPr>
              <w:jc w:val="right"/>
              <w:ind w:right="81"/>
              <w:spacing w:after="0"/>
              <w:rPr>
                <w:sz w:val="20"/>
                <w:szCs w:val="20"/>
                <w:color w:val="auto"/>
              </w:rPr>
            </w:pPr>
            <w:r>
              <w:rPr>
                <w:rFonts w:ascii="Arial" w:cs="Arial" w:eastAsia="Arial" w:hAnsi="Arial"/>
                <w:sz w:val="12"/>
                <w:szCs w:val="12"/>
                <w:color w:val="auto"/>
              </w:rPr>
              <w:t>8,126,164</w:t>
            </w:r>
          </w:p>
        </w:tc>
        <w:tc>
          <w:tcPr>
            <w:tcW w:w="1080" w:type="dxa"/>
            <w:vAlign w:val="bottom"/>
            <w:tcBorders>
              <w:top w:val="single" w:sz="8" w:color="6D8CC3"/>
            </w:tcBorders>
          </w:tcPr>
          <w:p>
            <w:pPr>
              <w:jc w:val="right"/>
              <w:ind w:right="183"/>
              <w:spacing w:after="0"/>
              <w:rPr>
                <w:sz w:val="20"/>
                <w:szCs w:val="20"/>
                <w:color w:val="auto"/>
              </w:rPr>
            </w:pPr>
            <w:r>
              <w:rPr>
                <w:rFonts w:ascii="Arial" w:cs="Arial" w:eastAsia="Arial" w:hAnsi="Arial"/>
                <w:sz w:val="12"/>
                <w:szCs w:val="12"/>
                <w:color w:val="auto"/>
              </w:rPr>
              <w:t>6,141,959</w:t>
            </w:r>
          </w:p>
        </w:tc>
        <w:tc>
          <w:tcPr>
            <w:tcW w:w="1000" w:type="dxa"/>
            <w:vAlign w:val="bottom"/>
            <w:tcBorders>
              <w:top w:val="single" w:sz="8" w:color="6D8CC3"/>
            </w:tcBorders>
          </w:tcPr>
          <w:p>
            <w:pPr>
              <w:jc w:val="right"/>
              <w:ind w:right="243"/>
              <w:spacing w:after="0"/>
              <w:rPr>
                <w:sz w:val="20"/>
                <w:szCs w:val="20"/>
                <w:color w:val="auto"/>
              </w:rPr>
            </w:pPr>
            <w:r>
              <w:rPr>
                <w:rFonts w:ascii="Arial" w:cs="Arial" w:eastAsia="Arial" w:hAnsi="Arial"/>
                <w:sz w:val="12"/>
                <w:szCs w:val="12"/>
                <w:color w:val="auto"/>
              </w:rPr>
              <w:t>—</w:t>
            </w:r>
          </w:p>
        </w:tc>
        <w:tc>
          <w:tcPr>
            <w:tcW w:w="1140" w:type="dxa"/>
            <w:vAlign w:val="bottom"/>
            <w:tcBorders>
              <w:top w:val="single" w:sz="8" w:color="6D8CC3"/>
            </w:tcBorders>
          </w:tcPr>
          <w:p>
            <w:pPr>
              <w:jc w:val="right"/>
              <w:ind w:right="262"/>
              <w:spacing w:after="0"/>
              <w:rPr>
                <w:sz w:val="20"/>
                <w:szCs w:val="20"/>
                <w:color w:val="auto"/>
              </w:rPr>
            </w:pPr>
            <w:r>
              <w:rPr>
                <w:rFonts w:ascii="Arial" w:cs="Arial" w:eastAsia="Arial" w:hAnsi="Arial"/>
                <w:sz w:val="12"/>
                <w:szCs w:val="12"/>
                <w:color w:val="auto"/>
              </w:rPr>
              <w:t>37,659</w:t>
            </w:r>
          </w:p>
        </w:tc>
        <w:tc>
          <w:tcPr>
            <w:tcW w:w="760" w:type="dxa"/>
            <w:vAlign w:val="bottom"/>
            <w:tcBorders>
              <w:top w:val="single" w:sz="8" w:color="6D8CC3"/>
            </w:tcBorders>
          </w:tcPr>
          <w:p>
            <w:pPr>
              <w:spacing w:after="0"/>
              <w:rPr>
                <w:sz w:val="15"/>
                <w:szCs w:val="15"/>
                <w:color w:val="auto"/>
              </w:rPr>
            </w:pPr>
          </w:p>
        </w:tc>
        <w:tc>
          <w:tcPr>
            <w:tcW w:w="340" w:type="dxa"/>
            <w:vAlign w:val="bottom"/>
            <w:tcBorders>
              <w:top w:val="single" w:sz="8" w:color="6D8CC3"/>
            </w:tcBorders>
          </w:tcPr>
          <w:p>
            <w:pPr>
              <w:jc w:val="right"/>
              <w:ind w:right="159"/>
              <w:spacing w:after="0"/>
              <w:rPr>
                <w:sz w:val="20"/>
                <w:szCs w:val="20"/>
                <w:color w:val="auto"/>
              </w:rPr>
            </w:pPr>
            <w:r>
              <w:rPr>
                <w:rFonts w:ascii="Arial" w:cs="Arial" w:eastAsia="Arial" w:hAnsi="Arial"/>
                <w:sz w:val="12"/>
                <w:szCs w:val="12"/>
                <w:color w:val="auto"/>
                <w:w w:val="82"/>
              </w:rPr>
              <w:t>—</w:t>
            </w:r>
          </w:p>
        </w:tc>
        <w:tc>
          <w:tcPr>
            <w:tcW w:w="1040" w:type="dxa"/>
            <w:vAlign w:val="bottom"/>
            <w:tcBorders>
              <w:top w:val="single" w:sz="8" w:color="6D8CC3"/>
            </w:tcBorders>
          </w:tcPr>
          <w:p>
            <w:pPr>
              <w:jc w:val="right"/>
              <w:ind w:right="123"/>
              <w:spacing w:after="0"/>
              <w:rPr>
                <w:sz w:val="20"/>
                <w:szCs w:val="20"/>
                <w:color w:val="auto"/>
              </w:rPr>
            </w:pPr>
            <w:r>
              <w:rPr>
                <w:rFonts w:ascii="Arial" w:cs="Arial" w:eastAsia="Arial" w:hAnsi="Arial"/>
                <w:sz w:val="12"/>
                <w:szCs w:val="12"/>
                <w:color w:val="auto"/>
              </w:rPr>
              <w:t>(2,048,047)</w:t>
            </w:r>
          </w:p>
        </w:tc>
        <w:tc>
          <w:tcPr>
            <w:tcW w:w="180" w:type="dxa"/>
            <w:vAlign w:val="bottom"/>
            <w:tcBorders>
              <w:top w:val="single" w:sz="8" w:color="6D8CC3"/>
            </w:tcBorders>
          </w:tcPr>
          <w:p>
            <w:pPr>
              <w:spacing w:after="0"/>
              <w:rPr>
                <w:sz w:val="15"/>
                <w:szCs w:val="15"/>
                <w:color w:val="auto"/>
              </w:rPr>
            </w:pPr>
          </w:p>
        </w:tc>
        <w:tc>
          <w:tcPr>
            <w:tcW w:w="760" w:type="dxa"/>
            <w:vAlign w:val="bottom"/>
            <w:tcBorders>
              <w:top w:val="single" w:sz="8" w:color="6D8CC3"/>
            </w:tcBorders>
          </w:tcPr>
          <w:p>
            <w:pPr>
              <w:jc w:val="right"/>
              <w:ind w:right="59"/>
              <w:spacing w:after="0"/>
              <w:rPr>
                <w:sz w:val="20"/>
                <w:szCs w:val="20"/>
                <w:color w:val="auto"/>
              </w:rPr>
            </w:pPr>
            <w:r>
              <w:rPr>
                <w:rFonts w:ascii="Arial" w:cs="Arial" w:eastAsia="Arial" w:hAnsi="Arial"/>
                <w:sz w:val="12"/>
                <w:szCs w:val="12"/>
                <w:color w:val="auto"/>
              </w:rPr>
              <w:t>8,575,701</w:t>
            </w:r>
          </w:p>
        </w:tc>
      </w:tr>
      <w:tr>
        <w:trPr>
          <w:trHeight w:val="41"/>
        </w:trPr>
        <w:tc>
          <w:tcPr>
            <w:tcW w:w="920" w:type="dxa"/>
            <w:vAlign w:val="bottom"/>
            <w:tcBorders>
              <w:bottom w:val="single" w:sz="8" w:color="6D8CC3"/>
            </w:tcBorders>
          </w:tcPr>
          <w:p>
            <w:pPr>
              <w:spacing w:after="0"/>
              <w:rPr>
                <w:sz w:val="3"/>
                <w:szCs w:val="3"/>
                <w:color w:val="auto"/>
              </w:rPr>
            </w:pPr>
          </w:p>
        </w:tc>
        <w:tc>
          <w:tcPr>
            <w:tcW w:w="940" w:type="dxa"/>
            <w:vAlign w:val="bottom"/>
            <w:tcBorders>
              <w:bottom w:val="single" w:sz="8" w:color="6D8CC3"/>
            </w:tcBorders>
          </w:tcPr>
          <w:p>
            <w:pPr>
              <w:spacing w:after="0"/>
              <w:rPr>
                <w:sz w:val="3"/>
                <w:szCs w:val="3"/>
                <w:color w:val="auto"/>
              </w:rPr>
            </w:pPr>
          </w:p>
        </w:tc>
        <w:tc>
          <w:tcPr>
            <w:tcW w:w="880" w:type="dxa"/>
            <w:vAlign w:val="bottom"/>
            <w:tcBorders>
              <w:bottom w:val="single" w:sz="8" w:color="6D8CC3"/>
            </w:tcBorders>
          </w:tcPr>
          <w:p>
            <w:pPr>
              <w:spacing w:after="0"/>
              <w:rPr>
                <w:sz w:val="3"/>
                <w:szCs w:val="3"/>
                <w:color w:val="auto"/>
              </w:rPr>
            </w:pPr>
          </w:p>
        </w:tc>
        <w:tc>
          <w:tcPr>
            <w:tcW w:w="1080" w:type="dxa"/>
            <w:vAlign w:val="bottom"/>
            <w:tcBorders>
              <w:bottom w:val="single" w:sz="8" w:color="6D8CC3"/>
            </w:tcBorders>
          </w:tcPr>
          <w:p>
            <w:pPr>
              <w:spacing w:after="0"/>
              <w:rPr>
                <w:sz w:val="3"/>
                <w:szCs w:val="3"/>
                <w:color w:val="auto"/>
              </w:rPr>
            </w:pPr>
          </w:p>
        </w:tc>
        <w:tc>
          <w:tcPr>
            <w:tcW w:w="1000" w:type="dxa"/>
            <w:vAlign w:val="bottom"/>
            <w:tcBorders>
              <w:bottom w:val="single" w:sz="8" w:color="6D8CC3"/>
            </w:tcBorders>
          </w:tcPr>
          <w:p>
            <w:pPr>
              <w:spacing w:after="0"/>
              <w:rPr>
                <w:sz w:val="3"/>
                <w:szCs w:val="3"/>
                <w:color w:val="auto"/>
              </w:rPr>
            </w:pPr>
          </w:p>
        </w:tc>
        <w:tc>
          <w:tcPr>
            <w:tcW w:w="1140" w:type="dxa"/>
            <w:vAlign w:val="bottom"/>
            <w:tcBorders>
              <w:bottom w:val="single" w:sz="8" w:color="6D8CC3"/>
            </w:tcBorders>
          </w:tcPr>
          <w:p>
            <w:pPr>
              <w:spacing w:after="0"/>
              <w:rPr>
                <w:sz w:val="3"/>
                <w:szCs w:val="3"/>
                <w:color w:val="auto"/>
              </w:rPr>
            </w:pPr>
          </w:p>
        </w:tc>
        <w:tc>
          <w:tcPr>
            <w:tcW w:w="760" w:type="dxa"/>
            <w:vAlign w:val="bottom"/>
            <w:tcBorders>
              <w:bottom w:val="single" w:sz="8" w:color="6D8CC3"/>
            </w:tcBorders>
          </w:tcPr>
          <w:p>
            <w:pPr>
              <w:spacing w:after="0"/>
              <w:rPr>
                <w:sz w:val="3"/>
                <w:szCs w:val="3"/>
                <w:color w:val="auto"/>
              </w:rPr>
            </w:pPr>
          </w:p>
        </w:tc>
        <w:tc>
          <w:tcPr>
            <w:tcW w:w="340" w:type="dxa"/>
            <w:vAlign w:val="bottom"/>
            <w:tcBorders>
              <w:bottom w:val="single" w:sz="8" w:color="6D8CC3"/>
            </w:tcBorders>
          </w:tcPr>
          <w:p>
            <w:pPr>
              <w:spacing w:after="0"/>
              <w:rPr>
                <w:sz w:val="3"/>
                <w:szCs w:val="3"/>
                <w:color w:val="auto"/>
              </w:rPr>
            </w:pPr>
          </w:p>
        </w:tc>
        <w:tc>
          <w:tcPr>
            <w:tcW w:w="1040" w:type="dxa"/>
            <w:vAlign w:val="bottom"/>
            <w:tcBorders>
              <w:bottom w:val="single" w:sz="8" w:color="6D8CC3"/>
            </w:tcBorders>
          </w:tcPr>
          <w:p>
            <w:pPr>
              <w:spacing w:after="0"/>
              <w:rPr>
                <w:sz w:val="3"/>
                <w:szCs w:val="3"/>
                <w:color w:val="auto"/>
              </w:rPr>
            </w:pPr>
          </w:p>
        </w:tc>
        <w:tc>
          <w:tcPr>
            <w:tcW w:w="180" w:type="dxa"/>
            <w:vAlign w:val="bottom"/>
            <w:tcBorders>
              <w:bottom w:val="single" w:sz="8" w:color="6D8CC3"/>
            </w:tcBorders>
          </w:tcPr>
          <w:p>
            <w:pPr>
              <w:spacing w:after="0"/>
              <w:rPr>
                <w:sz w:val="3"/>
                <w:szCs w:val="3"/>
                <w:color w:val="auto"/>
              </w:rPr>
            </w:pPr>
          </w:p>
        </w:tc>
        <w:tc>
          <w:tcPr>
            <w:tcW w:w="760" w:type="dxa"/>
            <w:vAlign w:val="bottom"/>
            <w:tcBorders>
              <w:bottom w:val="single" w:sz="8" w:color="6D8CC3"/>
            </w:tcBorders>
          </w:tcPr>
          <w:p>
            <w:pPr>
              <w:spacing w:after="0"/>
              <w:rPr>
                <w:sz w:val="3"/>
                <w:szCs w:val="3"/>
                <w:color w:val="auto"/>
              </w:rPr>
            </w:pPr>
          </w:p>
        </w:tc>
      </w:tr>
      <w:tr>
        <w:trPr>
          <w:trHeight w:val="146"/>
        </w:trPr>
        <w:tc>
          <w:tcPr>
            <w:tcW w:w="920" w:type="dxa"/>
            <w:vAlign w:val="bottom"/>
          </w:tcPr>
          <w:p>
            <w:pPr>
              <w:spacing w:after="0"/>
              <w:rPr>
                <w:sz w:val="20"/>
                <w:szCs w:val="20"/>
                <w:color w:val="auto"/>
              </w:rPr>
            </w:pPr>
            <w:r>
              <w:rPr>
                <w:rFonts w:ascii="Arial" w:cs="Arial" w:eastAsia="Arial" w:hAnsi="Arial"/>
                <w:sz w:val="12"/>
                <w:szCs w:val="12"/>
                <w:color w:val="auto"/>
              </w:rPr>
              <w:t>Non-PEO NEO</w:t>
            </w:r>
          </w:p>
        </w:tc>
        <w:tc>
          <w:tcPr>
            <w:tcW w:w="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1"/>
        </w:trPr>
        <w:tc>
          <w:tcPr>
            <w:tcW w:w="920" w:type="dxa"/>
            <w:vAlign w:val="bottom"/>
          </w:tcPr>
          <w:p>
            <w:pPr>
              <w:spacing w:after="0"/>
              <w:rPr>
                <w:sz w:val="20"/>
                <w:szCs w:val="20"/>
                <w:color w:val="auto"/>
              </w:rPr>
            </w:pPr>
            <w:r>
              <w:rPr>
                <w:rFonts w:ascii="Arial" w:cs="Arial" w:eastAsia="Arial" w:hAnsi="Arial"/>
                <w:sz w:val="12"/>
                <w:szCs w:val="12"/>
                <w:color w:val="auto"/>
              </w:rPr>
              <w:t>Average</w:t>
            </w:r>
          </w:p>
        </w:tc>
        <w:tc>
          <w:tcPr>
            <w:tcW w:w="940" w:type="dxa"/>
            <w:vAlign w:val="bottom"/>
          </w:tcPr>
          <w:p>
            <w:pPr>
              <w:jc w:val="right"/>
              <w:ind w:right="41"/>
              <w:spacing w:after="0"/>
              <w:rPr>
                <w:sz w:val="20"/>
                <w:szCs w:val="20"/>
                <w:color w:val="auto"/>
              </w:rPr>
            </w:pPr>
            <w:r>
              <w:rPr>
                <w:rFonts w:ascii="Arial" w:cs="Arial" w:eastAsia="Arial" w:hAnsi="Arial"/>
                <w:sz w:val="12"/>
                <w:szCs w:val="12"/>
                <w:color w:val="auto"/>
              </w:rPr>
              <w:t>4,138,178</w:t>
            </w:r>
          </w:p>
        </w:tc>
        <w:tc>
          <w:tcPr>
            <w:tcW w:w="880" w:type="dxa"/>
            <w:vAlign w:val="bottom"/>
          </w:tcPr>
          <w:p>
            <w:pPr>
              <w:jc w:val="right"/>
              <w:ind w:right="81"/>
              <w:spacing w:after="0"/>
              <w:rPr>
                <w:sz w:val="20"/>
                <w:szCs w:val="20"/>
                <w:color w:val="auto"/>
              </w:rPr>
            </w:pPr>
            <w:r>
              <w:rPr>
                <w:rFonts w:ascii="Arial" w:cs="Arial" w:eastAsia="Arial" w:hAnsi="Arial"/>
                <w:sz w:val="12"/>
                <w:szCs w:val="12"/>
                <w:color w:val="auto"/>
              </w:rPr>
              <w:t>1,941,748</w:t>
            </w:r>
          </w:p>
        </w:tc>
        <w:tc>
          <w:tcPr>
            <w:tcW w:w="1080" w:type="dxa"/>
            <w:vAlign w:val="bottom"/>
          </w:tcPr>
          <w:p>
            <w:pPr>
              <w:jc w:val="right"/>
              <w:ind w:right="183"/>
              <w:spacing w:after="0"/>
              <w:rPr>
                <w:sz w:val="20"/>
                <w:szCs w:val="20"/>
                <w:color w:val="auto"/>
              </w:rPr>
            </w:pPr>
            <w:r>
              <w:rPr>
                <w:rFonts w:ascii="Arial" w:cs="Arial" w:eastAsia="Arial" w:hAnsi="Arial"/>
                <w:sz w:val="12"/>
                <w:szCs w:val="12"/>
                <w:color w:val="auto"/>
              </w:rPr>
              <w:t>1,216,202</w:t>
            </w:r>
          </w:p>
        </w:tc>
        <w:tc>
          <w:tcPr>
            <w:tcW w:w="1000" w:type="dxa"/>
            <w:vAlign w:val="bottom"/>
          </w:tcPr>
          <w:p>
            <w:pPr>
              <w:jc w:val="right"/>
              <w:ind w:right="243"/>
              <w:spacing w:after="0"/>
              <w:rPr>
                <w:sz w:val="20"/>
                <w:szCs w:val="20"/>
                <w:color w:val="auto"/>
              </w:rPr>
            </w:pPr>
            <w:r>
              <w:rPr>
                <w:rFonts w:ascii="Arial" w:cs="Arial" w:eastAsia="Arial" w:hAnsi="Arial"/>
                <w:sz w:val="12"/>
                <w:szCs w:val="12"/>
                <w:color w:val="auto"/>
              </w:rPr>
              <w:t>—</w:t>
            </w:r>
          </w:p>
        </w:tc>
        <w:tc>
          <w:tcPr>
            <w:tcW w:w="1140" w:type="dxa"/>
            <w:vAlign w:val="bottom"/>
          </w:tcPr>
          <w:p>
            <w:pPr>
              <w:jc w:val="right"/>
              <w:ind w:right="262"/>
              <w:spacing w:after="0"/>
              <w:rPr>
                <w:sz w:val="20"/>
                <w:szCs w:val="20"/>
                <w:color w:val="auto"/>
              </w:rPr>
            </w:pPr>
            <w:r>
              <w:rPr>
                <w:rFonts w:ascii="Arial" w:cs="Arial" w:eastAsia="Arial" w:hAnsi="Arial"/>
                <w:sz w:val="12"/>
                <w:szCs w:val="12"/>
                <w:color w:val="auto"/>
              </w:rPr>
              <w:t>73,956</w:t>
            </w:r>
          </w:p>
        </w:tc>
        <w:tc>
          <w:tcPr>
            <w:tcW w:w="1100" w:type="dxa"/>
            <w:vAlign w:val="bottom"/>
            <w:gridSpan w:val="2"/>
          </w:tcPr>
          <w:p>
            <w:pPr>
              <w:jc w:val="right"/>
              <w:ind w:right="99"/>
              <w:spacing w:after="0"/>
              <w:rPr>
                <w:sz w:val="20"/>
                <w:szCs w:val="20"/>
                <w:color w:val="auto"/>
              </w:rPr>
            </w:pPr>
            <w:r>
              <w:rPr>
                <w:rFonts w:ascii="Arial" w:cs="Arial" w:eastAsia="Arial" w:hAnsi="Arial"/>
                <w:sz w:val="12"/>
                <w:szCs w:val="12"/>
                <w:color w:val="auto"/>
              </w:rPr>
              <w:t>(609,467)</w:t>
            </w:r>
          </w:p>
        </w:tc>
        <w:tc>
          <w:tcPr>
            <w:tcW w:w="1040" w:type="dxa"/>
            <w:vAlign w:val="bottom"/>
          </w:tcPr>
          <w:p>
            <w:pPr>
              <w:jc w:val="right"/>
              <w:ind w:right="123"/>
              <w:spacing w:after="0"/>
              <w:rPr>
                <w:sz w:val="20"/>
                <w:szCs w:val="20"/>
                <w:color w:val="auto"/>
              </w:rPr>
            </w:pPr>
            <w:r>
              <w:rPr>
                <w:rFonts w:ascii="Arial" w:cs="Arial" w:eastAsia="Arial" w:hAnsi="Arial"/>
                <w:sz w:val="12"/>
                <w:szCs w:val="12"/>
                <w:color w:val="auto"/>
              </w:rPr>
              <w:t>(370,373)</w:t>
            </w:r>
          </w:p>
        </w:tc>
        <w:tc>
          <w:tcPr>
            <w:tcW w:w="180" w:type="dxa"/>
            <w:vAlign w:val="bottom"/>
          </w:tcPr>
          <w:p>
            <w:pPr>
              <w:spacing w:after="0"/>
              <w:rPr>
                <w:sz w:val="13"/>
                <w:szCs w:val="13"/>
                <w:color w:val="auto"/>
              </w:rPr>
            </w:pPr>
          </w:p>
        </w:tc>
        <w:tc>
          <w:tcPr>
            <w:tcW w:w="760" w:type="dxa"/>
            <w:vAlign w:val="bottom"/>
          </w:tcPr>
          <w:p>
            <w:pPr>
              <w:jc w:val="right"/>
              <w:ind w:right="59"/>
              <w:spacing w:after="0"/>
              <w:rPr>
                <w:sz w:val="20"/>
                <w:szCs w:val="20"/>
                <w:color w:val="auto"/>
              </w:rPr>
            </w:pPr>
            <w:r>
              <w:rPr>
                <w:rFonts w:ascii="Arial" w:cs="Arial" w:eastAsia="Arial" w:hAnsi="Arial"/>
                <w:sz w:val="12"/>
                <w:szCs w:val="12"/>
                <w:color w:val="auto"/>
              </w:rPr>
              <w:t>2,506,748</w:t>
            </w:r>
          </w:p>
        </w:tc>
      </w:tr>
      <w:tr>
        <w:trPr>
          <w:trHeight w:val="41"/>
        </w:trPr>
        <w:tc>
          <w:tcPr>
            <w:tcW w:w="920" w:type="dxa"/>
            <w:vAlign w:val="bottom"/>
            <w:tcBorders>
              <w:bottom w:val="single" w:sz="8" w:color="6D8CC3"/>
            </w:tcBorders>
          </w:tcPr>
          <w:p>
            <w:pPr>
              <w:spacing w:after="0"/>
              <w:rPr>
                <w:sz w:val="3"/>
                <w:szCs w:val="3"/>
                <w:color w:val="auto"/>
              </w:rPr>
            </w:pPr>
          </w:p>
        </w:tc>
        <w:tc>
          <w:tcPr>
            <w:tcW w:w="940" w:type="dxa"/>
            <w:vAlign w:val="bottom"/>
            <w:tcBorders>
              <w:bottom w:val="single" w:sz="8" w:color="6D8CC3"/>
            </w:tcBorders>
          </w:tcPr>
          <w:p>
            <w:pPr>
              <w:spacing w:after="0"/>
              <w:rPr>
                <w:sz w:val="3"/>
                <w:szCs w:val="3"/>
                <w:color w:val="auto"/>
              </w:rPr>
            </w:pPr>
          </w:p>
        </w:tc>
        <w:tc>
          <w:tcPr>
            <w:tcW w:w="880" w:type="dxa"/>
            <w:vAlign w:val="bottom"/>
            <w:tcBorders>
              <w:bottom w:val="single" w:sz="8" w:color="6D8CC3"/>
            </w:tcBorders>
          </w:tcPr>
          <w:p>
            <w:pPr>
              <w:spacing w:after="0"/>
              <w:rPr>
                <w:sz w:val="3"/>
                <w:szCs w:val="3"/>
                <w:color w:val="auto"/>
              </w:rPr>
            </w:pPr>
          </w:p>
        </w:tc>
        <w:tc>
          <w:tcPr>
            <w:tcW w:w="1080" w:type="dxa"/>
            <w:vAlign w:val="bottom"/>
            <w:tcBorders>
              <w:bottom w:val="single" w:sz="8" w:color="6D8CC3"/>
            </w:tcBorders>
          </w:tcPr>
          <w:p>
            <w:pPr>
              <w:spacing w:after="0"/>
              <w:rPr>
                <w:sz w:val="3"/>
                <w:szCs w:val="3"/>
                <w:color w:val="auto"/>
              </w:rPr>
            </w:pPr>
          </w:p>
        </w:tc>
        <w:tc>
          <w:tcPr>
            <w:tcW w:w="1000" w:type="dxa"/>
            <w:vAlign w:val="bottom"/>
            <w:tcBorders>
              <w:bottom w:val="single" w:sz="8" w:color="6D8CC3"/>
            </w:tcBorders>
          </w:tcPr>
          <w:p>
            <w:pPr>
              <w:spacing w:after="0"/>
              <w:rPr>
                <w:sz w:val="3"/>
                <w:szCs w:val="3"/>
                <w:color w:val="auto"/>
              </w:rPr>
            </w:pPr>
          </w:p>
        </w:tc>
        <w:tc>
          <w:tcPr>
            <w:tcW w:w="1140" w:type="dxa"/>
            <w:vAlign w:val="bottom"/>
            <w:tcBorders>
              <w:bottom w:val="single" w:sz="8" w:color="6D8CC3"/>
            </w:tcBorders>
          </w:tcPr>
          <w:p>
            <w:pPr>
              <w:spacing w:after="0"/>
              <w:rPr>
                <w:sz w:val="3"/>
                <w:szCs w:val="3"/>
                <w:color w:val="auto"/>
              </w:rPr>
            </w:pPr>
          </w:p>
        </w:tc>
        <w:tc>
          <w:tcPr>
            <w:tcW w:w="760" w:type="dxa"/>
            <w:vAlign w:val="bottom"/>
            <w:tcBorders>
              <w:bottom w:val="single" w:sz="8" w:color="6D8CC3"/>
            </w:tcBorders>
          </w:tcPr>
          <w:p>
            <w:pPr>
              <w:spacing w:after="0"/>
              <w:rPr>
                <w:sz w:val="3"/>
                <w:szCs w:val="3"/>
                <w:color w:val="auto"/>
              </w:rPr>
            </w:pPr>
          </w:p>
        </w:tc>
        <w:tc>
          <w:tcPr>
            <w:tcW w:w="340" w:type="dxa"/>
            <w:vAlign w:val="bottom"/>
            <w:tcBorders>
              <w:bottom w:val="single" w:sz="8" w:color="6D8CC3"/>
            </w:tcBorders>
          </w:tcPr>
          <w:p>
            <w:pPr>
              <w:spacing w:after="0"/>
              <w:rPr>
                <w:sz w:val="3"/>
                <w:szCs w:val="3"/>
                <w:color w:val="auto"/>
              </w:rPr>
            </w:pPr>
          </w:p>
        </w:tc>
        <w:tc>
          <w:tcPr>
            <w:tcW w:w="1040" w:type="dxa"/>
            <w:vAlign w:val="bottom"/>
            <w:tcBorders>
              <w:bottom w:val="single" w:sz="8" w:color="6D8CC3"/>
            </w:tcBorders>
          </w:tcPr>
          <w:p>
            <w:pPr>
              <w:spacing w:after="0"/>
              <w:rPr>
                <w:sz w:val="3"/>
                <w:szCs w:val="3"/>
                <w:color w:val="auto"/>
              </w:rPr>
            </w:pPr>
          </w:p>
        </w:tc>
        <w:tc>
          <w:tcPr>
            <w:tcW w:w="180" w:type="dxa"/>
            <w:vAlign w:val="bottom"/>
            <w:tcBorders>
              <w:bottom w:val="single" w:sz="8" w:color="6D8CC3"/>
            </w:tcBorders>
          </w:tcPr>
          <w:p>
            <w:pPr>
              <w:spacing w:after="0"/>
              <w:rPr>
                <w:sz w:val="3"/>
                <w:szCs w:val="3"/>
                <w:color w:val="auto"/>
              </w:rPr>
            </w:pPr>
          </w:p>
        </w:tc>
        <w:tc>
          <w:tcPr>
            <w:tcW w:w="760" w:type="dxa"/>
            <w:vAlign w:val="bottom"/>
            <w:tcBorders>
              <w:bottom w:val="single" w:sz="8" w:color="6D8CC3"/>
            </w:tcBorders>
          </w:tcPr>
          <w:p>
            <w:pPr>
              <w:spacing w:after="0"/>
              <w:rPr>
                <w:sz w:val="3"/>
                <w:szCs w:val="3"/>
                <w:color w:val="auto"/>
              </w:rPr>
            </w:pPr>
          </w:p>
        </w:tc>
      </w:tr>
      <w:tr>
        <w:trPr>
          <w:trHeight w:val="221"/>
        </w:trPr>
        <w:tc>
          <w:tcPr>
            <w:tcW w:w="920" w:type="dxa"/>
            <w:vAlign w:val="bottom"/>
            <w:tcBorders>
              <w:bottom w:val="single" w:sz="8" w:color="F0F5FE"/>
            </w:tcBorders>
            <w:shd w:val="clear" w:color="auto" w:fill="F0F5FE"/>
          </w:tcPr>
          <w:p>
            <w:pPr>
              <w:spacing w:after="0"/>
              <w:rPr>
                <w:sz w:val="20"/>
                <w:szCs w:val="20"/>
                <w:color w:val="auto"/>
              </w:rPr>
            </w:pPr>
            <w:r>
              <w:rPr>
                <w:rFonts w:ascii="Arial" w:cs="Arial" w:eastAsia="Arial" w:hAnsi="Arial"/>
                <w:sz w:val="12"/>
                <w:szCs w:val="12"/>
                <w:b w:val="1"/>
                <w:bCs w:val="1"/>
                <w:color w:val="auto"/>
              </w:rPr>
              <w:t>Fiscal 2023:</w:t>
            </w:r>
          </w:p>
        </w:tc>
        <w:tc>
          <w:tcPr>
            <w:tcW w:w="940" w:type="dxa"/>
            <w:vAlign w:val="bottom"/>
            <w:tcBorders>
              <w:bottom w:val="single" w:sz="8" w:color="F0F5FE"/>
            </w:tcBorders>
            <w:shd w:val="clear" w:color="auto" w:fill="F0F5FE"/>
          </w:tcPr>
          <w:p>
            <w:pPr>
              <w:spacing w:after="0"/>
              <w:rPr>
                <w:sz w:val="18"/>
                <w:szCs w:val="18"/>
                <w:color w:val="auto"/>
              </w:rPr>
            </w:pPr>
          </w:p>
        </w:tc>
        <w:tc>
          <w:tcPr>
            <w:tcW w:w="880" w:type="dxa"/>
            <w:vAlign w:val="bottom"/>
            <w:tcBorders>
              <w:bottom w:val="single" w:sz="8" w:color="F0F5FE"/>
            </w:tcBorders>
            <w:shd w:val="clear" w:color="auto" w:fill="F0F5FE"/>
          </w:tcPr>
          <w:p>
            <w:pPr>
              <w:spacing w:after="0"/>
              <w:rPr>
                <w:sz w:val="18"/>
                <w:szCs w:val="18"/>
                <w:color w:val="auto"/>
              </w:rPr>
            </w:pPr>
          </w:p>
        </w:tc>
        <w:tc>
          <w:tcPr>
            <w:tcW w:w="1080" w:type="dxa"/>
            <w:vAlign w:val="bottom"/>
            <w:tcBorders>
              <w:bottom w:val="single" w:sz="8" w:color="F0F5FE"/>
            </w:tcBorders>
            <w:shd w:val="clear" w:color="auto" w:fill="F0F5FE"/>
          </w:tcPr>
          <w:p>
            <w:pPr>
              <w:spacing w:after="0"/>
              <w:rPr>
                <w:sz w:val="18"/>
                <w:szCs w:val="18"/>
                <w:color w:val="auto"/>
              </w:rPr>
            </w:pPr>
          </w:p>
        </w:tc>
        <w:tc>
          <w:tcPr>
            <w:tcW w:w="1000" w:type="dxa"/>
            <w:vAlign w:val="bottom"/>
            <w:tcBorders>
              <w:bottom w:val="single" w:sz="8" w:color="F0F5FE"/>
            </w:tcBorders>
            <w:shd w:val="clear" w:color="auto" w:fill="F0F5FE"/>
          </w:tcPr>
          <w:p>
            <w:pPr>
              <w:spacing w:after="0"/>
              <w:rPr>
                <w:sz w:val="18"/>
                <w:szCs w:val="18"/>
                <w:color w:val="auto"/>
              </w:rPr>
            </w:pPr>
          </w:p>
        </w:tc>
        <w:tc>
          <w:tcPr>
            <w:tcW w:w="1140" w:type="dxa"/>
            <w:vAlign w:val="bottom"/>
            <w:tcBorders>
              <w:bottom w:val="single" w:sz="8" w:color="F0F5FE"/>
            </w:tcBorders>
            <w:shd w:val="clear" w:color="auto" w:fill="F0F5FE"/>
          </w:tcPr>
          <w:p>
            <w:pPr>
              <w:spacing w:after="0"/>
              <w:rPr>
                <w:sz w:val="18"/>
                <w:szCs w:val="18"/>
                <w:color w:val="auto"/>
              </w:rPr>
            </w:pPr>
          </w:p>
        </w:tc>
        <w:tc>
          <w:tcPr>
            <w:tcW w:w="760" w:type="dxa"/>
            <w:vAlign w:val="bottom"/>
            <w:tcBorders>
              <w:bottom w:val="single" w:sz="8" w:color="F0F5FE"/>
            </w:tcBorders>
            <w:shd w:val="clear" w:color="auto" w:fill="F0F5FE"/>
          </w:tcPr>
          <w:p>
            <w:pPr>
              <w:spacing w:after="0"/>
              <w:rPr>
                <w:sz w:val="18"/>
                <w:szCs w:val="18"/>
                <w:color w:val="auto"/>
              </w:rPr>
            </w:pPr>
          </w:p>
        </w:tc>
        <w:tc>
          <w:tcPr>
            <w:tcW w:w="340" w:type="dxa"/>
            <w:vAlign w:val="bottom"/>
            <w:tcBorders>
              <w:bottom w:val="single" w:sz="8" w:color="F0F5FE"/>
            </w:tcBorders>
            <w:shd w:val="clear" w:color="auto" w:fill="F0F5FE"/>
          </w:tcPr>
          <w:p>
            <w:pPr>
              <w:spacing w:after="0"/>
              <w:rPr>
                <w:sz w:val="18"/>
                <w:szCs w:val="18"/>
                <w:color w:val="auto"/>
              </w:rPr>
            </w:pPr>
          </w:p>
        </w:tc>
        <w:tc>
          <w:tcPr>
            <w:tcW w:w="1040" w:type="dxa"/>
            <w:vAlign w:val="bottom"/>
            <w:tcBorders>
              <w:bottom w:val="single" w:sz="8" w:color="F0F5FE"/>
            </w:tcBorders>
            <w:shd w:val="clear" w:color="auto" w:fill="F0F5FE"/>
          </w:tcPr>
          <w:p>
            <w:pPr>
              <w:spacing w:after="0"/>
              <w:rPr>
                <w:sz w:val="18"/>
                <w:szCs w:val="18"/>
                <w:color w:val="auto"/>
              </w:rPr>
            </w:pPr>
          </w:p>
        </w:tc>
        <w:tc>
          <w:tcPr>
            <w:tcW w:w="180" w:type="dxa"/>
            <w:vAlign w:val="bottom"/>
            <w:tcBorders>
              <w:bottom w:val="single" w:sz="8" w:color="F0F5FE"/>
            </w:tcBorders>
            <w:shd w:val="clear" w:color="auto" w:fill="F0F5FE"/>
          </w:tcPr>
          <w:p>
            <w:pPr>
              <w:spacing w:after="0"/>
              <w:rPr>
                <w:sz w:val="18"/>
                <w:szCs w:val="18"/>
                <w:color w:val="auto"/>
              </w:rPr>
            </w:pPr>
          </w:p>
        </w:tc>
        <w:tc>
          <w:tcPr>
            <w:tcW w:w="760" w:type="dxa"/>
            <w:vAlign w:val="bottom"/>
            <w:tcBorders>
              <w:bottom w:val="single" w:sz="8" w:color="F0F5FE"/>
            </w:tcBorders>
            <w:shd w:val="clear" w:color="auto" w:fill="F0F5FE"/>
          </w:tcPr>
          <w:p>
            <w:pPr>
              <w:spacing w:after="0"/>
              <w:rPr>
                <w:sz w:val="18"/>
                <w:szCs w:val="18"/>
                <w:color w:val="auto"/>
              </w:rPr>
            </w:pPr>
          </w:p>
        </w:tc>
      </w:tr>
      <w:tr>
        <w:trPr>
          <w:trHeight w:val="175"/>
        </w:trPr>
        <w:tc>
          <w:tcPr>
            <w:tcW w:w="920" w:type="dxa"/>
            <w:vAlign w:val="bottom"/>
            <w:tcBorders>
              <w:top w:val="single" w:sz="8" w:color="6D8CC3"/>
            </w:tcBorders>
          </w:tcPr>
          <w:p>
            <w:pPr>
              <w:spacing w:after="0"/>
              <w:rPr>
                <w:sz w:val="20"/>
                <w:szCs w:val="20"/>
                <w:color w:val="auto"/>
              </w:rPr>
            </w:pPr>
            <w:r>
              <w:rPr>
                <w:rFonts w:ascii="Arial" w:cs="Arial" w:eastAsia="Arial" w:hAnsi="Arial"/>
                <w:sz w:val="12"/>
                <w:szCs w:val="12"/>
                <w:color w:val="auto"/>
              </w:rPr>
              <w:t>Ms. Boswell</w:t>
            </w:r>
          </w:p>
        </w:tc>
        <w:tc>
          <w:tcPr>
            <w:tcW w:w="940" w:type="dxa"/>
            <w:vAlign w:val="bottom"/>
            <w:tcBorders>
              <w:top w:val="single" w:sz="8" w:color="6D8CC3"/>
            </w:tcBorders>
          </w:tcPr>
          <w:p>
            <w:pPr>
              <w:jc w:val="right"/>
              <w:ind w:right="61"/>
              <w:spacing w:after="0"/>
              <w:rPr>
                <w:sz w:val="20"/>
                <w:szCs w:val="20"/>
                <w:color w:val="auto"/>
              </w:rPr>
            </w:pPr>
            <w:r>
              <w:rPr>
                <w:rFonts w:ascii="Arial" w:cs="Arial" w:eastAsia="Arial" w:hAnsi="Arial"/>
                <w:sz w:val="12"/>
                <w:szCs w:val="12"/>
                <w:color w:val="auto"/>
              </w:rPr>
              <w:t>11,694,513</w:t>
            </w:r>
          </w:p>
        </w:tc>
        <w:tc>
          <w:tcPr>
            <w:tcW w:w="880" w:type="dxa"/>
            <w:vAlign w:val="bottom"/>
            <w:tcBorders>
              <w:top w:val="single" w:sz="8" w:color="6D8CC3"/>
            </w:tcBorders>
          </w:tcPr>
          <w:p>
            <w:pPr>
              <w:jc w:val="right"/>
              <w:ind w:right="81"/>
              <w:spacing w:after="0"/>
              <w:rPr>
                <w:sz w:val="20"/>
                <w:szCs w:val="20"/>
                <w:color w:val="auto"/>
              </w:rPr>
            </w:pPr>
            <w:r>
              <w:rPr>
                <w:rFonts w:ascii="Arial" w:cs="Arial" w:eastAsia="Arial" w:hAnsi="Arial"/>
                <w:sz w:val="12"/>
                <w:szCs w:val="12"/>
                <w:color w:val="auto"/>
              </w:rPr>
              <w:t>7,333,900</w:t>
            </w:r>
          </w:p>
        </w:tc>
        <w:tc>
          <w:tcPr>
            <w:tcW w:w="1080" w:type="dxa"/>
            <w:vAlign w:val="bottom"/>
            <w:tcBorders>
              <w:top w:val="single" w:sz="8" w:color="6D8CC3"/>
            </w:tcBorders>
          </w:tcPr>
          <w:p>
            <w:pPr>
              <w:jc w:val="right"/>
              <w:ind w:right="183"/>
              <w:spacing w:after="0"/>
              <w:rPr>
                <w:sz w:val="20"/>
                <w:szCs w:val="20"/>
                <w:color w:val="auto"/>
              </w:rPr>
            </w:pPr>
            <w:r>
              <w:rPr>
                <w:rFonts w:ascii="Arial" w:cs="Arial" w:eastAsia="Arial" w:hAnsi="Arial"/>
                <w:sz w:val="12"/>
                <w:szCs w:val="12"/>
                <w:color w:val="auto"/>
              </w:rPr>
              <w:t>8,738,905</w:t>
            </w:r>
          </w:p>
        </w:tc>
        <w:tc>
          <w:tcPr>
            <w:tcW w:w="1000" w:type="dxa"/>
            <w:vAlign w:val="bottom"/>
            <w:tcBorders>
              <w:top w:val="single" w:sz="8" w:color="6D8CC3"/>
            </w:tcBorders>
          </w:tcPr>
          <w:p>
            <w:pPr>
              <w:jc w:val="right"/>
              <w:ind w:right="243"/>
              <w:spacing w:after="0"/>
              <w:rPr>
                <w:sz w:val="20"/>
                <w:szCs w:val="20"/>
                <w:color w:val="auto"/>
              </w:rPr>
            </w:pPr>
            <w:r>
              <w:rPr>
                <w:rFonts w:ascii="Arial" w:cs="Arial" w:eastAsia="Arial" w:hAnsi="Arial"/>
                <w:sz w:val="12"/>
                <w:szCs w:val="12"/>
                <w:color w:val="auto"/>
              </w:rPr>
              <w:t>—</w:t>
            </w:r>
          </w:p>
        </w:tc>
        <w:tc>
          <w:tcPr>
            <w:tcW w:w="1140" w:type="dxa"/>
            <w:vAlign w:val="bottom"/>
            <w:tcBorders>
              <w:top w:val="single" w:sz="8" w:color="6D8CC3"/>
            </w:tcBorders>
          </w:tcPr>
          <w:p>
            <w:pPr>
              <w:jc w:val="right"/>
              <w:ind w:right="202"/>
              <w:spacing w:after="0"/>
              <w:rPr>
                <w:sz w:val="20"/>
                <w:szCs w:val="20"/>
                <w:color w:val="auto"/>
              </w:rPr>
            </w:pPr>
            <w:r>
              <w:rPr>
                <w:rFonts w:ascii="Arial" w:cs="Arial" w:eastAsia="Arial" w:hAnsi="Arial"/>
                <w:sz w:val="12"/>
                <w:szCs w:val="12"/>
                <w:color w:val="auto"/>
              </w:rPr>
              <w:t>(276,498)</w:t>
            </w:r>
          </w:p>
        </w:tc>
        <w:tc>
          <w:tcPr>
            <w:tcW w:w="760" w:type="dxa"/>
            <w:vAlign w:val="bottom"/>
            <w:tcBorders>
              <w:top w:val="single" w:sz="8" w:color="6D8CC3"/>
            </w:tcBorders>
          </w:tcPr>
          <w:p>
            <w:pPr>
              <w:spacing w:after="0"/>
              <w:rPr>
                <w:sz w:val="15"/>
                <w:szCs w:val="15"/>
                <w:color w:val="auto"/>
              </w:rPr>
            </w:pPr>
          </w:p>
        </w:tc>
        <w:tc>
          <w:tcPr>
            <w:tcW w:w="340" w:type="dxa"/>
            <w:vAlign w:val="bottom"/>
            <w:tcBorders>
              <w:top w:val="single" w:sz="8" w:color="6D8CC3"/>
            </w:tcBorders>
          </w:tcPr>
          <w:p>
            <w:pPr>
              <w:jc w:val="right"/>
              <w:ind w:right="159"/>
              <w:spacing w:after="0"/>
              <w:rPr>
                <w:sz w:val="20"/>
                <w:szCs w:val="20"/>
                <w:color w:val="auto"/>
              </w:rPr>
            </w:pPr>
            <w:r>
              <w:rPr>
                <w:rFonts w:ascii="Arial" w:cs="Arial" w:eastAsia="Arial" w:hAnsi="Arial"/>
                <w:sz w:val="12"/>
                <w:szCs w:val="12"/>
                <w:color w:val="auto"/>
                <w:w w:val="82"/>
              </w:rPr>
              <w:t>—</w:t>
            </w:r>
          </w:p>
        </w:tc>
        <w:tc>
          <w:tcPr>
            <w:tcW w:w="1040" w:type="dxa"/>
            <w:vAlign w:val="bottom"/>
            <w:tcBorders>
              <w:top w:val="single" w:sz="8" w:color="6D8CC3"/>
            </w:tcBorders>
          </w:tcPr>
          <w:p>
            <w:pPr>
              <w:jc w:val="right"/>
              <w:ind w:right="123"/>
              <w:spacing w:after="0"/>
              <w:rPr>
                <w:sz w:val="20"/>
                <w:szCs w:val="20"/>
                <w:color w:val="auto"/>
              </w:rPr>
            </w:pPr>
            <w:r>
              <w:rPr>
                <w:rFonts w:ascii="Arial" w:cs="Arial" w:eastAsia="Arial" w:hAnsi="Arial"/>
                <w:sz w:val="12"/>
                <w:szCs w:val="12"/>
                <w:color w:val="auto"/>
              </w:rPr>
              <w:t>(26,161)</w:t>
            </w:r>
          </w:p>
        </w:tc>
        <w:tc>
          <w:tcPr>
            <w:tcW w:w="180" w:type="dxa"/>
            <w:vAlign w:val="bottom"/>
            <w:tcBorders>
              <w:top w:val="single" w:sz="8" w:color="6D8CC3"/>
            </w:tcBorders>
          </w:tcPr>
          <w:p>
            <w:pPr>
              <w:spacing w:after="0"/>
              <w:rPr>
                <w:sz w:val="15"/>
                <w:szCs w:val="15"/>
                <w:color w:val="auto"/>
              </w:rPr>
            </w:pPr>
          </w:p>
        </w:tc>
        <w:tc>
          <w:tcPr>
            <w:tcW w:w="760" w:type="dxa"/>
            <w:vAlign w:val="bottom"/>
            <w:tcBorders>
              <w:top w:val="single" w:sz="8" w:color="6D8CC3"/>
            </w:tcBorders>
          </w:tcPr>
          <w:p>
            <w:pPr>
              <w:jc w:val="right"/>
              <w:ind w:right="59"/>
              <w:spacing w:after="0"/>
              <w:rPr>
                <w:sz w:val="20"/>
                <w:szCs w:val="20"/>
                <w:color w:val="auto"/>
              </w:rPr>
            </w:pPr>
            <w:r>
              <w:rPr>
                <w:rFonts w:ascii="Arial" w:cs="Arial" w:eastAsia="Arial" w:hAnsi="Arial"/>
                <w:sz w:val="12"/>
                <w:szCs w:val="12"/>
                <w:color w:val="auto"/>
              </w:rPr>
              <w:t>12,796,859</w:t>
            </w:r>
          </w:p>
        </w:tc>
      </w:tr>
      <w:tr>
        <w:trPr>
          <w:trHeight w:val="41"/>
        </w:trPr>
        <w:tc>
          <w:tcPr>
            <w:tcW w:w="920" w:type="dxa"/>
            <w:vAlign w:val="bottom"/>
            <w:tcBorders>
              <w:bottom w:val="single" w:sz="8" w:color="6D8CC3"/>
            </w:tcBorders>
          </w:tcPr>
          <w:p>
            <w:pPr>
              <w:spacing w:after="0"/>
              <w:rPr>
                <w:sz w:val="3"/>
                <w:szCs w:val="3"/>
                <w:color w:val="auto"/>
              </w:rPr>
            </w:pPr>
          </w:p>
        </w:tc>
        <w:tc>
          <w:tcPr>
            <w:tcW w:w="940" w:type="dxa"/>
            <w:vAlign w:val="bottom"/>
            <w:tcBorders>
              <w:bottom w:val="single" w:sz="8" w:color="6D8CC3"/>
            </w:tcBorders>
          </w:tcPr>
          <w:p>
            <w:pPr>
              <w:spacing w:after="0"/>
              <w:rPr>
                <w:sz w:val="3"/>
                <w:szCs w:val="3"/>
                <w:color w:val="auto"/>
              </w:rPr>
            </w:pPr>
          </w:p>
        </w:tc>
        <w:tc>
          <w:tcPr>
            <w:tcW w:w="880" w:type="dxa"/>
            <w:vAlign w:val="bottom"/>
            <w:tcBorders>
              <w:bottom w:val="single" w:sz="8" w:color="6D8CC3"/>
            </w:tcBorders>
          </w:tcPr>
          <w:p>
            <w:pPr>
              <w:spacing w:after="0"/>
              <w:rPr>
                <w:sz w:val="3"/>
                <w:szCs w:val="3"/>
                <w:color w:val="auto"/>
              </w:rPr>
            </w:pPr>
          </w:p>
        </w:tc>
        <w:tc>
          <w:tcPr>
            <w:tcW w:w="1080" w:type="dxa"/>
            <w:vAlign w:val="bottom"/>
            <w:tcBorders>
              <w:bottom w:val="single" w:sz="8" w:color="6D8CC3"/>
            </w:tcBorders>
          </w:tcPr>
          <w:p>
            <w:pPr>
              <w:spacing w:after="0"/>
              <w:rPr>
                <w:sz w:val="3"/>
                <w:szCs w:val="3"/>
                <w:color w:val="auto"/>
              </w:rPr>
            </w:pPr>
          </w:p>
        </w:tc>
        <w:tc>
          <w:tcPr>
            <w:tcW w:w="1000" w:type="dxa"/>
            <w:vAlign w:val="bottom"/>
            <w:tcBorders>
              <w:bottom w:val="single" w:sz="8" w:color="6D8CC3"/>
            </w:tcBorders>
          </w:tcPr>
          <w:p>
            <w:pPr>
              <w:spacing w:after="0"/>
              <w:rPr>
                <w:sz w:val="3"/>
                <w:szCs w:val="3"/>
                <w:color w:val="auto"/>
              </w:rPr>
            </w:pPr>
          </w:p>
        </w:tc>
        <w:tc>
          <w:tcPr>
            <w:tcW w:w="1140" w:type="dxa"/>
            <w:vAlign w:val="bottom"/>
            <w:tcBorders>
              <w:bottom w:val="single" w:sz="8" w:color="6D8CC3"/>
            </w:tcBorders>
          </w:tcPr>
          <w:p>
            <w:pPr>
              <w:spacing w:after="0"/>
              <w:rPr>
                <w:sz w:val="3"/>
                <w:szCs w:val="3"/>
                <w:color w:val="auto"/>
              </w:rPr>
            </w:pPr>
          </w:p>
        </w:tc>
        <w:tc>
          <w:tcPr>
            <w:tcW w:w="760" w:type="dxa"/>
            <w:vAlign w:val="bottom"/>
            <w:tcBorders>
              <w:bottom w:val="single" w:sz="8" w:color="6D8CC3"/>
            </w:tcBorders>
          </w:tcPr>
          <w:p>
            <w:pPr>
              <w:spacing w:after="0"/>
              <w:rPr>
                <w:sz w:val="3"/>
                <w:szCs w:val="3"/>
                <w:color w:val="auto"/>
              </w:rPr>
            </w:pPr>
          </w:p>
        </w:tc>
        <w:tc>
          <w:tcPr>
            <w:tcW w:w="340" w:type="dxa"/>
            <w:vAlign w:val="bottom"/>
            <w:tcBorders>
              <w:bottom w:val="single" w:sz="8" w:color="6D8CC3"/>
            </w:tcBorders>
          </w:tcPr>
          <w:p>
            <w:pPr>
              <w:spacing w:after="0"/>
              <w:rPr>
                <w:sz w:val="3"/>
                <w:szCs w:val="3"/>
                <w:color w:val="auto"/>
              </w:rPr>
            </w:pPr>
          </w:p>
        </w:tc>
        <w:tc>
          <w:tcPr>
            <w:tcW w:w="1040" w:type="dxa"/>
            <w:vAlign w:val="bottom"/>
            <w:tcBorders>
              <w:bottom w:val="single" w:sz="8" w:color="6D8CC3"/>
            </w:tcBorders>
          </w:tcPr>
          <w:p>
            <w:pPr>
              <w:spacing w:after="0"/>
              <w:rPr>
                <w:sz w:val="3"/>
                <w:szCs w:val="3"/>
                <w:color w:val="auto"/>
              </w:rPr>
            </w:pPr>
          </w:p>
        </w:tc>
        <w:tc>
          <w:tcPr>
            <w:tcW w:w="180" w:type="dxa"/>
            <w:vAlign w:val="bottom"/>
            <w:tcBorders>
              <w:bottom w:val="single" w:sz="8" w:color="6D8CC3"/>
            </w:tcBorders>
          </w:tcPr>
          <w:p>
            <w:pPr>
              <w:spacing w:after="0"/>
              <w:rPr>
                <w:sz w:val="3"/>
                <w:szCs w:val="3"/>
                <w:color w:val="auto"/>
              </w:rPr>
            </w:pPr>
          </w:p>
        </w:tc>
        <w:tc>
          <w:tcPr>
            <w:tcW w:w="760" w:type="dxa"/>
            <w:vAlign w:val="bottom"/>
            <w:tcBorders>
              <w:bottom w:val="single" w:sz="8" w:color="6D8CC3"/>
            </w:tcBorders>
          </w:tcPr>
          <w:p>
            <w:pPr>
              <w:spacing w:after="0"/>
              <w:rPr>
                <w:sz w:val="3"/>
                <w:szCs w:val="3"/>
                <w:color w:val="auto"/>
              </w:rPr>
            </w:pPr>
          </w:p>
        </w:tc>
      </w:tr>
      <w:tr>
        <w:trPr>
          <w:trHeight w:val="146"/>
        </w:trPr>
        <w:tc>
          <w:tcPr>
            <w:tcW w:w="920" w:type="dxa"/>
            <w:vAlign w:val="bottom"/>
          </w:tcPr>
          <w:p>
            <w:pPr>
              <w:spacing w:after="0"/>
              <w:rPr>
                <w:sz w:val="20"/>
                <w:szCs w:val="20"/>
                <w:color w:val="auto"/>
              </w:rPr>
            </w:pPr>
            <w:r>
              <w:rPr>
                <w:rFonts w:ascii="Arial" w:cs="Arial" w:eastAsia="Arial" w:hAnsi="Arial"/>
                <w:sz w:val="12"/>
                <w:szCs w:val="12"/>
                <w:color w:val="auto"/>
              </w:rPr>
              <w:t>Non-PEO NEO</w:t>
            </w:r>
          </w:p>
        </w:tc>
        <w:tc>
          <w:tcPr>
            <w:tcW w:w="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1"/>
        </w:trPr>
        <w:tc>
          <w:tcPr>
            <w:tcW w:w="920" w:type="dxa"/>
            <w:vAlign w:val="bottom"/>
          </w:tcPr>
          <w:p>
            <w:pPr>
              <w:spacing w:after="0"/>
              <w:rPr>
                <w:sz w:val="20"/>
                <w:szCs w:val="20"/>
                <w:color w:val="auto"/>
              </w:rPr>
            </w:pPr>
            <w:r>
              <w:rPr>
                <w:rFonts w:ascii="Arial" w:cs="Arial" w:eastAsia="Arial" w:hAnsi="Arial"/>
                <w:sz w:val="12"/>
                <w:szCs w:val="12"/>
                <w:color w:val="auto"/>
              </w:rPr>
              <w:t>Average</w:t>
            </w:r>
          </w:p>
        </w:tc>
        <w:tc>
          <w:tcPr>
            <w:tcW w:w="940" w:type="dxa"/>
            <w:vAlign w:val="bottom"/>
          </w:tcPr>
          <w:p>
            <w:pPr>
              <w:jc w:val="right"/>
              <w:ind w:right="61"/>
              <w:spacing w:after="0"/>
              <w:rPr>
                <w:sz w:val="20"/>
                <w:szCs w:val="20"/>
                <w:color w:val="auto"/>
              </w:rPr>
            </w:pPr>
            <w:r>
              <w:rPr>
                <w:rFonts w:ascii="Arial" w:cs="Arial" w:eastAsia="Arial" w:hAnsi="Arial"/>
                <w:sz w:val="12"/>
                <w:szCs w:val="12"/>
                <w:color w:val="auto"/>
              </w:rPr>
              <w:t>3,749,110</w:t>
            </w:r>
          </w:p>
        </w:tc>
        <w:tc>
          <w:tcPr>
            <w:tcW w:w="880" w:type="dxa"/>
            <w:vAlign w:val="bottom"/>
          </w:tcPr>
          <w:p>
            <w:pPr>
              <w:jc w:val="right"/>
              <w:ind w:right="81"/>
              <w:spacing w:after="0"/>
              <w:rPr>
                <w:sz w:val="20"/>
                <w:szCs w:val="20"/>
                <w:color w:val="auto"/>
              </w:rPr>
            </w:pPr>
            <w:r>
              <w:rPr>
                <w:rFonts w:ascii="Arial" w:cs="Arial" w:eastAsia="Arial" w:hAnsi="Arial"/>
                <w:sz w:val="12"/>
                <w:szCs w:val="12"/>
                <w:color w:val="auto"/>
              </w:rPr>
              <w:t>1,370,407</w:t>
            </w:r>
          </w:p>
        </w:tc>
        <w:tc>
          <w:tcPr>
            <w:tcW w:w="1080" w:type="dxa"/>
            <w:vAlign w:val="bottom"/>
          </w:tcPr>
          <w:p>
            <w:pPr>
              <w:jc w:val="right"/>
              <w:ind w:right="183"/>
              <w:spacing w:after="0"/>
              <w:rPr>
                <w:sz w:val="20"/>
                <w:szCs w:val="20"/>
                <w:color w:val="auto"/>
              </w:rPr>
            </w:pPr>
            <w:r>
              <w:rPr>
                <w:rFonts w:ascii="Arial" w:cs="Arial" w:eastAsia="Arial" w:hAnsi="Arial"/>
                <w:sz w:val="12"/>
                <w:szCs w:val="12"/>
                <w:color w:val="auto"/>
              </w:rPr>
              <w:t>1,636,606</w:t>
            </w:r>
          </w:p>
        </w:tc>
        <w:tc>
          <w:tcPr>
            <w:tcW w:w="1000" w:type="dxa"/>
            <w:vAlign w:val="bottom"/>
          </w:tcPr>
          <w:p>
            <w:pPr>
              <w:jc w:val="right"/>
              <w:ind w:right="243"/>
              <w:spacing w:after="0"/>
              <w:rPr>
                <w:sz w:val="20"/>
                <w:szCs w:val="20"/>
                <w:color w:val="auto"/>
              </w:rPr>
            </w:pPr>
            <w:r>
              <w:rPr>
                <w:rFonts w:ascii="Arial" w:cs="Arial" w:eastAsia="Arial" w:hAnsi="Arial"/>
                <w:sz w:val="12"/>
                <w:szCs w:val="12"/>
                <w:color w:val="auto"/>
              </w:rPr>
              <w:t>—</w:t>
            </w:r>
          </w:p>
        </w:tc>
        <w:tc>
          <w:tcPr>
            <w:tcW w:w="1140" w:type="dxa"/>
            <w:vAlign w:val="bottom"/>
          </w:tcPr>
          <w:p>
            <w:pPr>
              <w:jc w:val="right"/>
              <w:ind w:right="202"/>
              <w:spacing w:after="0"/>
              <w:rPr>
                <w:sz w:val="20"/>
                <w:szCs w:val="20"/>
                <w:color w:val="auto"/>
              </w:rPr>
            </w:pPr>
            <w:r>
              <w:rPr>
                <w:rFonts w:ascii="Arial" w:cs="Arial" w:eastAsia="Arial" w:hAnsi="Arial"/>
                <w:sz w:val="12"/>
                <w:szCs w:val="12"/>
                <w:color w:val="auto"/>
              </w:rPr>
              <w:t>(152,427)</w:t>
            </w:r>
          </w:p>
        </w:tc>
        <w:tc>
          <w:tcPr>
            <w:tcW w:w="1100" w:type="dxa"/>
            <w:vAlign w:val="bottom"/>
            <w:gridSpan w:val="2"/>
          </w:tcPr>
          <w:p>
            <w:pPr>
              <w:jc w:val="right"/>
              <w:ind w:right="99"/>
              <w:spacing w:after="0"/>
              <w:rPr>
                <w:sz w:val="20"/>
                <w:szCs w:val="20"/>
                <w:color w:val="auto"/>
              </w:rPr>
            </w:pPr>
            <w:r>
              <w:rPr>
                <w:rFonts w:ascii="Arial" w:cs="Arial" w:eastAsia="Arial" w:hAnsi="Arial"/>
                <w:sz w:val="12"/>
                <w:szCs w:val="12"/>
                <w:color w:val="auto"/>
              </w:rPr>
              <w:t>(253,153)</w:t>
            </w:r>
          </w:p>
        </w:tc>
        <w:tc>
          <w:tcPr>
            <w:tcW w:w="1040" w:type="dxa"/>
            <w:vAlign w:val="bottom"/>
          </w:tcPr>
          <w:p>
            <w:pPr>
              <w:jc w:val="right"/>
              <w:ind w:right="143"/>
              <w:spacing w:after="0"/>
              <w:rPr>
                <w:sz w:val="20"/>
                <w:szCs w:val="20"/>
                <w:color w:val="auto"/>
              </w:rPr>
            </w:pPr>
            <w:r>
              <w:rPr>
                <w:rFonts w:ascii="Arial" w:cs="Arial" w:eastAsia="Arial" w:hAnsi="Arial"/>
                <w:sz w:val="12"/>
                <w:szCs w:val="12"/>
                <w:color w:val="auto"/>
              </w:rPr>
              <w:t>(625,511)</w:t>
            </w:r>
          </w:p>
        </w:tc>
        <w:tc>
          <w:tcPr>
            <w:tcW w:w="180" w:type="dxa"/>
            <w:vAlign w:val="bottom"/>
          </w:tcPr>
          <w:p>
            <w:pPr>
              <w:spacing w:after="0"/>
              <w:rPr>
                <w:sz w:val="13"/>
                <w:szCs w:val="13"/>
                <w:color w:val="auto"/>
              </w:rPr>
            </w:pPr>
          </w:p>
        </w:tc>
        <w:tc>
          <w:tcPr>
            <w:tcW w:w="760" w:type="dxa"/>
            <w:vAlign w:val="bottom"/>
          </w:tcPr>
          <w:p>
            <w:pPr>
              <w:jc w:val="right"/>
              <w:ind w:right="59"/>
              <w:spacing w:after="0"/>
              <w:rPr>
                <w:sz w:val="20"/>
                <w:szCs w:val="20"/>
                <w:color w:val="auto"/>
              </w:rPr>
            </w:pPr>
            <w:r>
              <w:rPr>
                <w:rFonts w:ascii="Arial" w:cs="Arial" w:eastAsia="Arial" w:hAnsi="Arial"/>
                <w:sz w:val="12"/>
                <w:szCs w:val="12"/>
                <w:color w:val="auto"/>
              </w:rPr>
              <w:t>2,984,218</w:t>
            </w:r>
          </w:p>
        </w:tc>
      </w:tr>
      <w:tr>
        <w:trPr>
          <w:trHeight w:val="41"/>
        </w:trPr>
        <w:tc>
          <w:tcPr>
            <w:tcW w:w="920" w:type="dxa"/>
            <w:vAlign w:val="bottom"/>
            <w:tcBorders>
              <w:bottom w:val="single" w:sz="8" w:color="6D8CC3"/>
            </w:tcBorders>
          </w:tcPr>
          <w:p>
            <w:pPr>
              <w:spacing w:after="0"/>
              <w:rPr>
                <w:sz w:val="3"/>
                <w:szCs w:val="3"/>
                <w:color w:val="auto"/>
              </w:rPr>
            </w:pPr>
          </w:p>
        </w:tc>
        <w:tc>
          <w:tcPr>
            <w:tcW w:w="940" w:type="dxa"/>
            <w:vAlign w:val="bottom"/>
            <w:tcBorders>
              <w:bottom w:val="single" w:sz="8" w:color="6D8CC3"/>
            </w:tcBorders>
          </w:tcPr>
          <w:p>
            <w:pPr>
              <w:spacing w:after="0"/>
              <w:rPr>
                <w:sz w:val="3"/>
                <w:szCs w:val="3"/>
                <w:color w:val="auto"/>
              </w:rPr>
            </w:pPr>
          </w:p>
        </w:tc>
        <w:tc>
          <w:tcPr>
            <w:tcW w:w="880" w:type="dxa"/>
            <w:vAlign w:val="bottom"/>
            <w:tcBorders>
              <w:bottom w:val="single" w:sz="8" w:color="6D8CC3"/>
            </w:tcBorders>
          </w:tcPr>
          <w:p>
            <w:pPr>
              <w:spacing w:after="0"/>
              <w:rPr>
                <w:sz w:val="3"/>
                <w:szCs w:val="3"/>
                <w:color w:val="auto"/>
              </w:rPr>
            </w:pPr>
          </w:p>
        </w:tc>
        <w:tc>
          <w:tcPr>
            <w:tcW w:w="1080" w:type="dxa"/>
            <w:vAlign w:val="bottom"/>
            <w:tcBorders>
              <w:bottom w:val="single" w:sz="8" w:color="6D8CC3"/>
            </w:tcBorders>
          </w:tcPr>
          <w:p>
            <w:pPr>
              <w:spacing w:after="0"/>
              <w:rPr>
                <w:sz w:val="3"/>
                <w:szCs w:val="3"/>
                <w:color w:val="auto"/>
              </w:rPr>
            </w:pPr>
          </w:p>
        </w:tc>
        <w:tc>
          <w:tcPr>
            <w:tcW w:w="1000" w:type="dxa"/>
            <w:vAlign w:val="bottom"/>
            <w:tcBorders>
              <w:bottom w:val="single" w:sz="8" w:color="6D8CC3"/>
            </w:tcBorders>
          </w:tcPr>
          <w:p>
            <w:pPr>
              <w:spacing w:after="0"/>
              <w:rPr>
                <w:sz w:val="3"/>
                <w:szCs w:val="3"/>
                <w:color w:val="auto"/>
              </w:rPr>
            </w:pPr>
          </w:p>
        </w:tc>
        <w:tc>
          <w:tcPr>
            <w:tcW w:w="1140" w:type="dxa"/>
            <w:vAlign w:val="bottom"/>
            <w:tcBorders>
              <w:bottom w:val="single" w:sz="8" w:color="6D8CC3"/>
            </w:tcBorders>
          </w:tcPr>
          <w:p>
            <w:pPr>
              <w:spacing w:after="0"/>
              <w:rPr>
                <w:sz w:val="3"/>
                <w:szCs w:val="3"/>
                <w:color w:val="auto"/>
              </w:rPr>
            </w:pPr>
          </w:p>
        </w:tc>
        <w:tc>
          <w:tcPr>
            <w:tcW w:w="760" w:type="dxa"/>
            <w:vAlign w:val="bottom"/>
            <w:tcBorders>
              <w:bottom w:val="single" w:sz="8" w:color="6D8CC3"/>
            </w:tcBorders>
          </w:tcPr>
          <w:p>
            <w:pPr>
              <w:spacing w:after="0"/>
              <w:rPr>
                <w:sz w:val="3"/>
                <w:szCs w:val="3"/>
                <w:color w:val="auto"/>
              </w:rPr>
            </w:pPr>
          </w:p>
        </w:tc>
        <w:tc>
          <w:tcPr>
            <w:tcW w:w="340" w:type="dxa"/>
            <w:vAlign w:val="bottom"/>
            <w:tcBorders>
              <w:bottom w:val="single" w:sz="8" w:color="6D8CC3"/>
            </w:tcBorders>
          </w:tcPr>
          <w:p>
            <w:pPr>
              <w:spacing w:after="0"/>
              <w:rPr>
                <w:sz w:val="3"/>
                <w:szCs w:val="3"/>
                <w:color w:val="auto"/>
              </w:rPr>
            </w:pPr>
          </w:p>
        </w:tc>
        <w:tc>
          <w:tcPr>
            <w:tcW w:w="1040" w:type="dxa"/>
            <w:vAlign w:val="bottom"/>
            <w:tcBorders>
              <w:bottom w:val="single" w:sz="8" w:color="6D8CC3"/>
            </w:tcBorders>
          </w:tcPr>
          <w:p>
            <w:pPr>
              <w:spacing w:after="0"/>
              <w:rPr>
                <w:sz w:val="3"/>
                <w:szCs w:val="3"/>
                <w:color w:val="auto"/>
              </w:rPr>
            </w:pPr>
          </w:p>
        </w:tc>
        <w:tc>
          <w:tcPr>
            <w:tcW w:w="180" w:type="dxa"/>
            <w:vAlign w:val="bottom"/>
            <w:tcBorders>
              <w:bottom w:val="single" w:sz="8" w:color="6D8CC3"/>
            </w:tcBorders>
          </w:tcPr>
          <w:p>
            <w:pPr>
              <w:spacing w:after="0"/>
              <w:rPr>
                <w:sz w:val="3"/>
                <w:szCs w:val="3"/>
                <w:color w:val="auto"/>
              </w:rPr>
            </w:pPr>
          </w:p>
        </w:tc>
        <w:tc>
          <w:tcPr>
            <w:tcW w:w="760" w:type="dxa"/>
            <w:vAlign w:val="bottom"/>
            <w:tcBorders>
              <w:bottom w:val="single" w:sz="8" w:color="6D8CC3"/>
            </w:tcBorders>
          </w:tcPr>
          <w:p>
            <w:pPr>
              <w:spacing w:after="0"/>
              <w:rPr>
                <w:sz w:val="3"/>
                <w:szCs w:val="3"/>
                <w:color w:val="auto"/>
              </w:rPr>
            </w:pPr>
          </w:p>
        </w:tc>
      </w:tr>
      <w:tr>
        <w:trPr>
          <w:trHeight w:val="221"/>
        </w:trPr>
        <w:tc>
          <w:tcPr>
            <w:tcW w:w="920" w:type="dxa"/>
            <w:vAlign w:val="bottom"/>
            <w:tcBorders>
              <w:bottom w:val="single" w:sz="8" w:color="F0F5FE"/>
            </w:tcBorders>
            <w:shd w:val="clear" w:color="auto" w:fill="F0F5FE"/>
          </w:tcPr>
          <w:p>
            <w:pPr>
              <w:spacing w:after="0"/>
              <w:rPr>
                <w:sz w:val="20"/>
                <w:szCs w:val="20"/>
                <w:color w:val="auto"/>
              </w:rPr>
            </w:pPr>
            <w:r>
              <w:rPr>
                <w:rFonts w:ascii="Arial" w:cs="Arial" w:eastAsia="Arial" w:hAnsi="Arial"/>
                <w:sz w:val="12"/>
                <w:szCs w:val="12"/>
                <w:b w:val="1"/>
                <w:bCs w:val="1"/>
                <w:color w:val="auto"/>
              </w:rPr>
              <w:t>Fiscal 2022:</w:t>
            </w:r>
          </w:p>
        </w:tc>
        <w:tc>
          <w:tcPr>
            <w:tcW w:w="940" w:type="dxa"/>
            <w:vAlign w:val="bottom"/>
            <w:tcBorders>
              <w:bottom w:val="single" w:sz="8" w:color="F0F5FE"/>
            </w:tcBorders>
            <w:shd w:val="clear" w:color="auto" w:fill="F0F5FE"/>
          </w:tcPr>
          <w:p>
            <w:pPr>
              <w:spacing w:after="0"/>
              <w:rPr>
                <w:sz w:val="18"/>
                <w:szCs w:val="18"/>
                <w:color w:val="auto"/>
              </w:rPr>
            </w:pPr>
          </w:p>
        </w:tc>
        <w:tc>
          <w:tcPr>
            <w:tcW w:w="880" w:type="dxa"/>
            <w:vAlign w:val="bottom"/>
            <w:tcBorders>
              <w:bottom w:val="single" w:sz="8" w:color="F0F5FE"/>
            </w:tcBorders>
            <w:shd w:val="clear" w:color="auto" w:fill="F0F5FE"/>
          </w:tcPr>
          <w:p>
            <w:pPr>
              <w:spacing w:after="0"/>
              <w:rPr>
                <w:sz w:val="18"/>
                <w:szCs w:val="18"/>
                <w:color w:val="auto"/>
              </w:rPr>
            </w:pPr>
          </w:p>
        </w:tc>
        <w:tc>
          <w:tcPr>
            <w:tcW w:w="1080" w:type="dxa"/>
            <w:vAlign w:val="bottom"/>
            <w:tcBorders>
              <w:bottom w:val="single" w:sz="8" w:color="F0F5FE"/>
            </w:tcBorders>
            <w:shd w:val="clear" w:color="auto" w:fill="F0F5FE"/>
          </w:tcPr>
          <w:p>
            <w:pPr>
              <w:spacing w:after="0"/>
              <w:rPr>
                <w:sz w:val="18"/>
                <w:szCs w:val="18"/>
                <w:color w:val="auto"/>
              </w:rPr>
            </w:pPr>
          </w:p>
        </w:tc>
        <w:tc>
          <w:tcPr>
            <w:tcW w:w="1000" w:type="dxa"/>
            <w:vAlign w:val="bottom"/>
            <w:tcBorders>
              <w:bottom w:val="single" w:sz="8" w:color="F0F5FE"/>
            </w:tcBorders>
            <w:shd w:val="clear" w:color="auto" w:fill="F0F5FE"/>
          </w:tcPr>
          <w:p>
            <w:pPr>
              <w:spacing w:after="0"/>
              <w:rPr>
                <w:sz w:val="18"/>
                <w:szCs w:val="18"/>
                <w:color w:val="auto"/>
              </w:rPr>
            </w:pPr>
          </w:p>
        </w:tc>
        <w:tc>
          <w:tcPr>
            <w:tcW w:w="1140" w:type="dxa"/>
            <w:vAlign w:val="bottom"/>
            <w:tcBorders>
              <w:bottom w:val="single" w:sz="8" w:color="F0F5FE"/>
            </w:tcBorders>
            <w:shd w:val="clear" w:color="auto" w:fill="F0F5FE"/>
          </w:tcPr>
          <w:p>
            <w:pPr>
              <w:spacing w:after="0"/>
              <w:rPr>
                <w:sz w:val="18"/>
                <w:szCs w:val="18"/>
                <w:color w:val="auto"/>
              </w:rPr>
            </w:pPr>
          </w:p>
        </w:tc>
        <w:tc>
          <w:tcPr>
            <w:tcW w:w="760" w:type="dxa"/>
            <w:vAlign w:val="bottom"/>
            <w:tcBorders>
              <w:bottom w:val="single" w:sz="8" w:color="F0F5FE"/>
            </w:tcBorders>
            <w:shd w:val="clear" w:color="auto" w:fill="F0F5FE"/>
          </w:tcPr>
          <w:p>
            <w:pPr>
              <w:spacing w:after="0"/>
              <w:rPr>
                <w:sz w:val="18"/>
                <w:szCs w:val="18"/>
                <w:color w:val="auto"/>
              </w:rPr>
            </w:pPr>
          </w:p>
        </w:tc>
        <w:tc>
          <w:tcPr>
            <w:tcW w:w="340" w:type="dxa"/>
            <w:vAlign w:val="bottom"/>
            <w:tcBorders>
              <w:bottom w:val="single" w:sz="8" w:color="F0F5FE"/>
            </w:tcBorders>
            <w:shd w:val="clear" w:color="auto" w:fill="F0F5FE"/>
          </w:tcPr>
          <w:p>
            <w:pPr>
              <w:spacing w:after="0"/>
              <w:rPr>
                <w:sz w:val="18"/>
                <w:szCs w:val="18"/>
                <w:color w:val="auto"/>
              </w:rPr>
            </w:pPr>
          </w:p>
        </w:tc>
        <w:tc>
          <w:tcPr>
            <w:tcW w:w="1040" w:type="dxa"/>
            <w:vAlign w:val="bottom"/>
            <w:tcBorders>
              <w:bottom w:val="single" w:sz="8" w:color="F0F5FE"/>
            </w:tcBorders>
            <w:shd w:val="clear" w:color="auto" w:fill="F0F5FE"/>
          </w:tcPr>
          <w:p>
            <w:pPr>
              <w:spacing w:after="0"/>
              <w:rPr>
                <w:sz w:val="18"/>
                <w:szCs w:val="18"/>
                <w:color w:val="auto"/>
              </w:rPr>
            </w:pPr>
          </w:p>
        </w:tc>
        <w:tc>
          <w:tcPr>
            <w:tcW w:w="180" w:type="dxa"/>
            <w:vAlign w:val="bottom"/>
            <w:tcBorders>
              <w:bottom w:val="single" w:sz="8" w:color="F0F5FE"/>
            </w:tcBorders>
            <w:shd w:val="clear" w:color="auto" w:fill="F0F5FE"/>
          </w:tcPr>
          <w:p>
            <w:pPr>
              <w:spacing w:after="0"/>
              <w:rPr>
                <w:sz w:val="18"/>
                <w:szCs w:val="18"/>
                <w:color w:val="auto"/>
              </w:rPr>
            </w:pPr>
          </w:p>
        </w:tc>
        <w:tc>
          <w:tcPr>
            <w:tcW w:w="760" w:type="dxa"/>
            <w:vAlign w:val="bottom"/>
            <w:tcBorders>
              <w:bottom w:val="single" w:sz="8" w:color="F0F5FE"/>
            </w:tcBorders>
            <w:shd w:val="clear" w:color="auto" w:fill="F0F5FE"/>
          </w:tcPr>
          <w:p>
            <w:pPr>
              <w:spacing w:after="0"/>
              <w:rPr>
                <w:sz w:val="18"/>
                <w:szCs w:val="18"/>
                <w:color w:val="auto"/>
              </w:rPr>
            </w:pPr>
          </w:p>
        </w:tc>
      </w:tr>
      <w:tr>
        <w:trPr>
          <w:trHeight w:val="175"/>
        </w:trPr>
        <w:tc>
          <w:tcPr>
            <w:tcW w:w="920" w:type="dxa"/>
            <w:vAlign w:val="bottom"/>
            <w:tcBorders>
              <w:top w:val="single" w:sz="8" w:color="6D8CC3"/>
            </w:tcBorders>
          </w:tcPr>
          <w:p>
            <w:pPr>
              <w:spacing w:after="0"/>
              <w:rPr>
                <w:sz w:val="20"/>
                <w:szCs w:val="20"/>
                <w:color w:val="auto"/>
              </w:rPr>
            </w:pPr>
            <w:r>
              <w:rPr>
                <w:rFonts w:ascii="Arial" w:cs="Arial" w:eastAsia="Arial" w:hAnsi="Arial"/>
                <w:sz w:val="12"/>
                <w:szCs w:val="12"/>
                <w:color w:val="auto"/>
              </w:rPr>
              <w:t>Ms. Boswell</w:t>
            </w:r>
          </w:p>
        </w:tc>
        <w:tc>
          <w:tcPr>
            <w:tcW w:w="940" w:type="dxa"/>
            <w:vAlign w:val="bottom"/>
            <w:tcBorders>
              <w:top w:val="single" w:sz="8" w:color="6D8CC3"/>
            </w:tcBorders>
          </w:tcPr>
          <w:p>
            <w:pPr>
              <w:jc w:val="right"/>
              <w:ind w:right="41"/>
              <w:spacing w:after="0"/>
              <w:rPr>
                <w:sz w:val="20"/>
                <w:szCs w:val="20"/>
                <w:color w:val="auto"/>
              </w:rPr>
            </w:pPr>
            <w:r>
              <w:rPr>
                <w:rFonts w:ascii="Arial" w:cs="Arial" w:eastAsia="Arial" w:hAnsi="Arial"/>
                <w:sz w:val="12"/>
                <w:szCs w:val="12"/>
                <w:color w:val="auto"/>
              </w:rPr>
              <w:t>6,908,991</w:t>
            </w:r>
          </w:p>
        </w:tc>
        <w:tc>
          <w:tcPr>
            <w:tcW w:w="880" w:type="dxa"/>
            <w:vAlign w:val="bottom"/>
            <w:tcBorders>
              <w:top w:val="single" w:sz="8" w:color="6D8CC3"/>
            </w:tcBorders>
          </w:tcPr>
          <w:p>
            <w:pPr>
              <w:jc w:val="right"/>
              <w:ind w:right="81"/>
              <w:spacing w:after="0"/>
              <w:rPr>
                <w:sz w:val="20"/>
                <w:szCs w:val="20"/>
                <w:color w:val="auto"/>
              </w:rPr>
            </w:pPr>
            <w:r>
              <w:rPr>
                <w:rFonts w:ascii="Arial" w:cs="Arial" w:eastAsia="Arial" w:hAnsi="Arial"/>
                <w:sz w:val="12"/>
                <w:szCs w:val="12"/>
                <w:color w:val="auto"/>
              </w:rPr>
              <w:t>3,853,024</w:t>
            </w:r>
          </w:p>
        </w:tc>
        <w:tc>
          <w:tcPr>
            <w:tcW w:w="1080" w:type="dxa"/>
            <w:vAlign w:val="bottom"/>
            <w:tcBorders>
              <w:top w:val="single" w:sz="8" w:color="6D8CC3"/>
            </w:tcBorders>
          </w:tcPr>
          <w:p>
            <w:pPr>
              <w:jc w:val="right"/>
              <w:ind w:right="183"/>
              <w:spacing w:after="0"/>
              <w:rPr>
                <w:sz w:val="20"/>
                <w:szCs w:val="20"/>
                <w:color w:val="auto"/>
              </w:rPr>
            </w:pPr>
            <w:r>
              <w:rPr>
                <w:rFonts w:ascii="Arial" w:cs="Arial" w:eastAsia="Arial" w:hAnsi="Arial"/>
                <w:sz w:val="12"/>
                <w:szCs w:val="12"/>
                <w:color w:val="auto"/>
              </w:rPr>
              <w:t>3,973,847</w:t>
            </w:r>
          </w:p>
        </w:tc>
        <w:tc>
          <w:tcPr>
            <w:tcW w:w="1000" w:type="dxa"/>
            <w:vAlign w:val="bottom"/>
            <w:tcBorders>
              <w:top w:val="single" w:sz="8" w:color="6D8CC3"/>
            </w:tcBorders>
          </w:tcPr>
          <w:p>
            <w:pPr>
              <w:jc w:val="right"/>
              <w:ind w:right="243"/>
              <w:spacing w:after="0"/>
              <w:rPr>
                <w:sz w:val="20"/>
                <w:szCs w:val="20"/>
                <w:color w:val="auto"/>
              </w:rPr>
            </w:pPr>
            <w:r>
              <w:rPr>
                <w:rFonts w:ascii="Arial" w:cs="Arial" w:eastAsia="Arial" w:hAnsi="Arial"/>
                <w:sz w:val="12"/>
                <w:szCs w:val="12"/>
                <w:color w:val="auto"/>
              </w:rPr>
              <w:t>—</w:t>
            </w:r>
          </w:p>
        </w:tc>
        <w:tc>
          <w:tcPr>
            <w:tcW w:w="1140" w:type="dxa"/>
            <w:vAlign w:val="bottom"/>
            <w:tcBorders>
              <w:top w:val="single" w:sz="8" w:color="6D8CC3"/>
            </w:tcBorders>
          </w:tcPr>
          <w:p>
            <w:pPr>
              <w:jc w:val="right"/>
              <w:ind w:right="262"/>
              <w:spacing w:after="0"/>
              <w:rPr>
                <w:sz w:val="20"/>
                <w:szCs w:val="20"/>
                <w:color w:val="auto"/>
              </w:rPr>
            </w:pPr>
            <w:r>
              <w:rPr>
                <w:rFonts w:ascii="Arial" w:cs="Arial" w:eastAsia="Arial" w:hAnsi="Arial"/>
                <w:sz w:val="12"/>
                <w:szCs w:val="12"/>
                <w:color w:val="auto"/>
              </w:rPr>
              <w:t>—</w:t>
            </w:r>
          </w:p>
        </w:tc>
        <w:tc>
          <w:tcPr>
            <w:tcW w:w="760" w:type="dxa"/>
            <w:vAlign w:val="bottom"/>
            <w:tcBorders>
              <w:top w:val="single" w:sz="8" w:color="6D8CC3"/>
            </w:tcBorders>
          </w:tcPr>
          <w:p>
            <w:pPr>
              <w:spacing w:after="0"/>
              <w:rPr>
                <w:sz w:val="15"/>
                <w:szCs w:val="15"/>
                <w:color w:val="auto"/>
              </w:rPr>
            </w:pPr>
          </w:p>
        </w:tc>
        <w:tc>
          <w:tcPr>
            <w:tcW w:w="340" w:type="dxa"/>
            <w:vAlign w:val="bottom"/>
            <w:tcBorders>
              <w:top w:val="single" w:sz="8" w:color="6D8CC3"/>
            </w:tcBorders>
          </w:tcPr>
          <w:p>
            <w:pPr>
              <w:jc w:val="right"/>
              <w:ind w:right="159"/>
              <w:spacing w:after="0"/>
              <w:rPr>
                <w:sz w:val="20"/>
                <w:szCs w:val="20"/>
                <w:color w:val="auto"/>
              </w:rPr>
            </w:pPr>
            <w:r>
              <w:rPr>
                <w:rFonts w:ascii="Arial" w:cs="Arial" w:eastAsia="Arial" w:hAnsi="Arial"/>
                <w:sz w:val="12"/>
                <w:szCs w:val="12"/>
                <w:color w:val="auto"/>
                <w:w w:val="82"/>
              </w:rPr>
              <w:t>—</w:t>
            </w:r>
          </w:p>
        </w:tc>
        <w:tc>
          <w:tcPr>
            <w:tcW w:w="1040" w:type="dxa"/>
            <w:vAlign w:val="bottom"/>
            <w:tcBorders>
              <w:top w:val="single" w:sz="8" w:color="6D8CC3"/>
            </w:tcBorders>
          </w:tcPr>
          <w:p>
            <w:pPr>
              <w:jc w:val="right"/>
              <w:ind w:right="183"/>
              <w:spacing w:after="0"/>
              <w:rPr>
                <w:sz w:val="20"/>
                <w:szCs w:val="20"/>
                <w:color w:val="auto"/>
              </w:rPr>
            </w:pPr>
            <w:r>
              <w:rPr>
                <w:rFonts w:ascii="Arial" w:cs="Arial" w:eastAsia="Arial" w:hAnsi="Arial"/>
                <w:sz w:val="12"/>
                <w:szCs w:val="12"/>
                <w:color w:val="auto"/>
              </w:rPr>
              <w:t>—</w:t>
            </w:r>
          </w:p>
        </w:tc>
        <w:tc>
          <w:tcPr>
            <w:tcW w:w="180" w:type="dxa"/>
            <w:vAlign w:val="bottom"/>
            <w:tcBorders>
              <w:top w:val="single" w:sz="8" w:color="6D8CC3"/>
            </w:tcBorders>
          </w:tcPr>
          <w:p>
            <w:pPr>
              <w:spacing w:after="0"/>
              <w:rPr>
                <w:sz w:val="15"/>
                <w:szCs w:val="15"/>
                <w:color w:val="auto"/>
              </w:rPr>
            </w:pPr>
          </w:p>
        </w:tc>
        <w:tc>
          <w:tcPr>
            <w:tcW w:w="760" w:type="dxa"/>
            <w:vAlign w:val="bottom"/>
            <w:tcBorders>
              <w:top w:val="single" w:sz="8" w:color="6D8CC3"/>
            </w:tcBorders>
          </w:tcPr>
          <w:p>
            <w:pPr>
              <w:jc w:val="right"/>
              <w:ind w:right="59"/>
              <w:spacing w:after="0"/>
              <w:rPr>
                <w:sz w:val="20"/>
                <w:szCs w:val="20"/>
                <w:color w:val="auto"/>
              </w:rPr>
            </w:pPr>
            <w:r>
              <w:rPr>
                <w:rFonts w:ascii="Arial" w:cs="Arial" w:eastAsia="Arial" w:hAnsi="Arial"/>
                <w:sz w:val="12"/>
                <w:szCs w:val="12"/>
                <w:color w:val="auto"/>
              </w:rPr>
              <w:t>7,029,815</w:t>
            </w:r>
          </w:p>
        </w:tc>
      </w:tr>
      <w:tr>
        <w:trPr>
          <w:trHeight w:val="41"/>
        </w:trPr>
        <w:tc>
          <w:tcPr>
            <w:tcW w:w="920" w:type="dxa"/>
            <w:vAlign w:val="bottom"/>
            <w:tcBorders>
              <w:bottom w:val="single" w:sz="8" w:color="6D8CC3"/>
            </w:tcBorders>
          </w:tcPr>
          <w:p>
            <w:pPr>
              <w:spacing w:after="0"/>
              <w:rPr>
                <w:sz w:val="3"/>
                <w:szCs w:val="3"/>
                <w:color w:val="auto"/>
              </w:rPr>
            </w:pPr>
          </w:p>
        </w:tc>
        <w:tc>
          <w:tcPr>
            <w:tcW w:w="940" w:type="dxa"/>
            <w:vAlign w:val="bottom"/>
            <w:tcBorders>
              <w:bottom w:val="single" w:sz="8" w:color="6D8CC3"/>
            </w:tcBorders>
          </w:tcPr>
          <w:p>
            <w:pPr>
              <w:spacing w:after="0"/>
              <w:rPr>
                <w:sz w:val="3"/>
                <w:szCs w:val="3"/>
                <w:color w:val="auto"/>
              </w:rPr>
            </w:pPr>
          </w:p>
        </w:tc>
        <w:tc>
          <w:tcPr>
            <w:tcW w:w="880" w:type="dxa"/>
            <w:vAlign w:val="bottom"/>
            <w:tcBorders>
              <w:bottom w:val="single" w:sz="8" w:color="6D8CC3"/>
            </w:tcBorders>
          </w:tcPr>
          <w:p>
            <w:pPr>
              <w:spacing w:after="0"/>
              <w:rPr>
                <w:sz w:val="3"/>
                <w:szCs w:val="3"/>
                <w:color w:val="auto"/>
              </w:rPr>
            </w:pPr>
          </w:p>
        </w:tc>
        <w:tc>
          <w:tcPr>
            <w:tcW w:w="1080" w:type="dxa"/>
            <w:vAlign w:val="bottom"/>
            <w:tcBorders>
              <w:bottom w:val="single" w:sz="8" w:color="6D8CC3"/>
            </w:tcBorders>
          </w:tcPr>
          <w:p>
            <w:pPr>
              <w:spacing w:after="0"/>
              <w:rPr>
                <w:sz w:val="3"/>
                <w:szCs w:val="3"/>
                <w:color w:val="auto"/>
              </w:rPr>
            </w:pPr>
          </w:p>
        </w:tc>
        <w:tc>
          <w:tcPr>
            <w:tcW w:w="1000" w:type="dxa"/>
            <w:vAlign w:val="bottom"/>
            <w:tcBorders>
              <w:bottom w:val="single" w:sz="8" w:color="6D8CC3"/>
            </w:tcBorders>
          </w:tcPr>
          <w:p>
            <w:pPr>
              <w:spacing w:after="0"/>
              <w:rPr>
                <w:sz w:val="3"/>
                <w:szCs w:val="3"/>
                <w:color w:val="auto"/>
              </w:rPr>
            </w:pPr>
          </w:p>
        </w:tc>
        <w:tc>
          <w:tcPr>
            <w:tcW w:w="1140" w:type="dxa"/>
            <w:vAlign w:val="bottom"/>
            <w:tcBorders>
              <w:bottom w:val="single" w:sz="8" w:color="6D8CC3"/>
            </w:tcBorders>
          </w:tcPr>
          <w:p>
            <w:pPr>
              <w:spacing w:after="0"/>
              <w:rPr>
                <w:sz w:val="3"/>
                <w:szCs w:val="3"/>
                <w:color w:val="auto"/>
              </w:rPr>
            </w:pPr>
          </w:p>
        </w:tc>
        <w:tc>
          <w:tcPr>
            <w:tcW w:w="760" w:type="dxa"/>
            <w:vAlign w:val="bottom"/>
            <w:tcBorders>
              <w:bottom w:val="single" w:sz="8" w:color="6D8CC3"/>
            </w:tcBorders>
          </w:tcPr>
          <w:p>
            <w:pPr>
              <w:spacing w:after="0"/>
              <w:rPr>
                <w:sz w:val="3"/>
                <w:szCs w:val="3"/>
                <w:color w:val="auto"/>
              </w:rPr>
            </w:pPr>
          </w:p>
        </w:tc>
        <w:tc>
          <w:tcPr>
            <w:tcW w:w="340" w:type="dxa"/>
            <w:vAlign w:val="bottom"/>
            <w:tcBorders>
              <w:bottom w:val="single" w:sz="8" w:color="6D8CC3"/>
            </w:tcBorders>
          </w:tcPr>
          <w:p>
            <w:pPr>
              <w:spacing w:after="0"/>
              <w:rPr>
                <w:sz w:val="3"/>
                <w:szCs w:val="3"/>
                <w:color w:val="auto"/>
              </w:rPr>
            </w:pPr>
          </w:p>
        </w:tc>
        <w:tc>
          <w:tcPr>
            <w:tcW w:w="1040" w:type="dxa"/>
            <w:vAlign w:val="bottom"/>
            <w:tcBorders>
              <w:bottom w:val="single" w:sz="8" w:color="6D8CC3"/>
            </w:tcBorders>
          </w:tcPr>
          <w:p>
            <w:pPr>
              <w:spacing w:after="0"/>
              <w:rPr>
                <w:sz w:val="3"/>
                <w:szCs w:val="3"/>
                <w:color w:val="auto"/>
              </w:rPr>
            </w:pPr>
          </w:p>
        </w:tc>
        <w:tc>
          <w:tcPr>
            <w:tcW w:w="180" w:type="dxa"/>
            <w:vAlign w:val="bottom"/>
            <w:tcBorders>
              <w:bottom w:val="single" w:sz="8" w:color="6D8CC3"/>
            </w:tcBorders>
          </w:tcPr>
          <w:p>
            <w:pPr>
              <w:spacing w:after="0"/>
              <w:rPr>
                <w:sz w:val="3"/>
                <w:szCs w:val="3"/>
                <w:color w:val="auto"/>
              </w:rPr>
            </w:pPr>
          </w:p>
        </w:tc>
        <w:tc>
          <w:tcPr>
            <w:tcW w:w="760" w:type="dxa"/>
            <w:vAlign w:val="bottom"/>
            <w:tcBorders>
              <w:bottom w:val="single" w:sz="8" w:color="6D8CC3"/>
            </w:tcBorders>
          </w:tcPr>
          <w:p>
            <w:pPr>
              <w:spacing w:after="0"/>
              <w:rPr>
                <w:sz w:val="3"/>
                <w:szCs w:val="3"/>
                <w:color w:val="auto"/>
              </w:rPr>
            </w:pPr>
          </w:p>
        </w:tc>
      </w:tr>
      <w:tr>
        <w:trPr>
          <w:trHeight w:val="175"/>
        </w:trPr>
        <w:tc>
          <w:tcPr>
            <w:tcW w:w="920" w:type="dxa"/>
            <w:vAlign w:val="bottom"/>
          </w:tcPr>
          <w:p>
            <w:pPr>
              <w:spacing w:after="0"/>
              <w:rPr>
                <w:sz w:val="20"/>
                <w:szCs w:val="20"/>
                <w:color w:val="auto"/>
              </w:rPr>
            </w:pPr>
            <w:r>
              <w:rPr>
                <w:rFonts w:ascii="Arial" w:cs="Arial" w:eastAsia="Arial" w:hAnsi="Arial"/>
                <w:sz w:val="12"/>
                <w:szCs w:val="12"/>
                <w:color w:val="auto"/>
              </w:rPr>
              <w:t>Ms. Nash</w:t>
            </w:r>
          </w:p>
        </w:tc>
        <w:tc>
          <w:tcPr>
            <w:tcW w:w="940" w:type="dxa"/>
            <w:vAlign w:val="bottom"/>
          </w:tcPr>
          <w:p>
            <w:pPr>
              <w:jc w:val="right"/>
              <w:ind w:right="41"/>
              <w:spacing w:after="0"/>
              <w:rPr>
                <w:sz w:val="20"/>
                <w:szCs w:val="20"/>
                <w:color w:val="auto"/>
              </w:rPr>
            </w:pPr>
            <w:r>
              <w:rPr>
                <w:rFonts w:ascii="Arial" w:cs="Arial" w:eastAsia="Arial" w:hAnsi="Arial"/>
                <w:sz w:val="12"/>
                <w:szCs w:val="12"/>
                <w:color w:val="auto"/>
              </w:rPr>
              <w:t>22,795,013</w:t>
            </w:r>
          </w:p>
        </w:tc>
        <w:tc>
          <w:tcPr>
            <w:tcW w:w="880" w:type="dxa"/>
            <w:vAlign w:val="bottom"/>
          </w:tcPr>
          <w:p>
            <w:pPr>
              <w:jc w:val="right"/>
              <w:ind w:right="61"/>
              <w:spacing w:after="0"/>
              <w:rPr>
                <w:sz w:val="20"/>
                <w:szCs w:val="20"/>
                <w:color w:val="auto"/>
              </w:rPr>
            </w:pPr>
            <w:r>
              <w:rPr>
                <w:rFonts w:ascii="Arial" w:cs="Arial" w:eastAsia="Arial" w:hAnsi="Arial"/>
                <w:sz w:val="12"/>
                <w:szCs w:val="12"/>
                <w:color w:val="auto"/>
              </w:rPr>
              <w:t>17,412,228</w:t>
            </w:r>
          </w:p>
        </w:tc>
        <w:tc>
          <w:tcPr>
            <w:tcW w:w="1080" w:type="dxa"/>
            <w:vAlign w:val="bottom"/>
          </w:tcPr>
          <w:p>
            <w:pPr>
              <w:jc w:val="right"/>
              <w:ind w:right="183"/>
              <w:spacing w:after="0"/>
              <w:rPr>
                <w:sz w:val="20"/>
                <w:szCs w:val="20"/>
                <w:color w:val="auto"/>
              </w:rPr>
            </w:pPr>
            <w:r>
              <w:rPr>
                <w:rFonts w:ascii="Arial" w:cs="Arial" w:eastAsia="Arial" w:hAnsi="Arial"/>
                <w:sz w:val="12"/>
                <w:szCs w:val="12"/>
                <w:color w:val="auto"/>
              </w:rPr>
              <w:t>16,342,298</w:t>
            </w:r>
          </w:p>
        </w:tc>
        <w:tc>
          <w:tcPr>
            <w:tcW w:w="1000" w:type="dxa"/>
            <w:vAlign w:val="bottom"/>
          </w:tcPr>
          <w:p>
            <w:pPr>
              <w:jc w:val="right"/>
              <w:ind w:right="243"/>
              <w:spacing w:after="0"/>
              <w:rPr>
                <w:sz w:val="20"/>
                <w:szCs w:val="20"/>
                <w:color w:val="auto"/>
              </w:rPr>
            </w:pPr>
            <w:r>
              <w:rPr>
                <w:rFonts w:ascii="Arial" w:cs="Arial" w:eastAsia="Arial" w:hAnsi="Arial"/>
                <w:sz w:val="12"/>
                <w:szCs w:val="12"/>
                <w:color w:val="auto"/>
              </w:rPr>
              <w:t>—</w:t>
            </w:r>
          </w:p>
        </w:tc>
        <w:tc>
          <w:tcPr>
            <w:tcW w:w="1140" w:type="dxa"/>
            <w:vAlign w:val="bottom"/>
          </w:tcPr>
          <w:p>
            <w:pPr>
              <w:jc w:val="right"/>
              <w:ind w:right="202"/>
              <w:spacing w:after="0"/>
              <w:rPr>
                <w:sz w:val="20"/>
                <w:szCs w:val="20"/>
                <w:color w:val="auto"/>
              </w:rPr>
            </w:pPr>
            <w:r>
              <w:rPr>
                <w:rFonts w:ascii="Arial" w:cs="Arial" w:eastAsia="Arial" w:hAnsi="Arial"/>
                <w:sz w:val="12"/>
                <w:szCs w:val="12"/>
                <w:color w:val="auto"/>
              </w:rPr>
              <w:t>(43,538)</w:t>
            </w:r>
          </w:p>
        </w:tc>
        <w:tc>
          <w:tcPr>
            <w:tcW w:w="760" w:type="dxa"/>
            <w:vAlign w:val="bottom"/>
          </w:tcPr>
          <w:p>
            <w:pPr>
              <w:spacing w:after="0"/>
              <w:rPr>
                <w:sz w:val="15"/>
                <w:szCs w:val="15"/>
                <w:color w:val="auto"/>
              </w:rPr>
            </w:pPr>
          </w:p>
        </w:tc>
        <w:tc>
          <w:tcPr>
            <w:tcW w:w="340" w:type="dxa"/>
            <w:vAlign w:val="bottom"/>
          </w:tcPr>
          <w:p>
            <w:pPr>
              <w:jc w:val="right"/>
              <w:ind w:right="159"/>
              <w:spacing w:after="0"/>
              <w:rPr>
                <w:sz w:val="20"/>
                <w:szCs w:val="20"/>
                <w:color w:val="auto"/>
              </w:rPr>
            </w:pPr>
            <w:r>
              <w:rPr>
                <w:rFonts w:ascii="Arial" w:cs="Arial" w:eastAsia="Arial" w:hAnsi="Arial"/>
                <w:sz w:val="12"/>
                <w:szCs w:val="12"/>
                <w:color w:val="auto"/>
                <w:w w:val="82"/>
              </w:rPr>
              <w:t>—</w:t>
            </w:r>
          </w:p>
        </w:tc>
        <w:tc>
          <w:tcPr>
            <w:tcW w:w="1040" w:type="dxa"/>
            <w:vAlign w:val="bottom"/>
          </w:tcPr>
          <w:p>
            <w:pPr>
              <w:jc w:val="right"/>
              <w:ind w:right="123"/>
              <w:spacing w:after="0"/>
              <w:rPr>
                <w:sz w:val="20"/>
                <w:szCs w:val="20"/>
                <w:color w:val="auto"/>
              </w:rPr>
            </w:pPr>
            <w:r>
              <w:rPr>
                <w:rFonts w:ascii="Arial" w:cs="Arial" w:eastAsia="Arial" w:hAnsi="Arial"/>
                <w:sz w:val="12"/>
                <w:szCs w:val="12"/>
                <w:color w:val="auto"/>
              </w:rPr>
              <w:t>(34,646)</w:t>
            </w:r>
          </w:p>
        </w:tc>
        <w:tc>
          <w:tcPr>
            <w:tcW w:w="180" w:type="dxa"/>
            <w:vAlign w:val="bottom"/>
          </w:tcPr>
          <w:p>
            <w:pPr>
              <w:spacing w:after="0"/>
              <w:rPr>
                <w:sz w:val="15"/>
                <w:szCs w:val="15"/>
                <w:color w:val="auto"/>
              </w:rPr>
            </w:pPr>
          </w:p>
        </w:tc>
        <w:tc>
          <w:tcPr>
            <w:tcW w:w="760" w:type="dxa"/>
            <w:vAlign w:val="bottom"/>
          </w:tcPr>
          <w:p>
            <w:pPr>
              <w:jc w:val="right"/>
              <w:ind w:right="59"/>
              <w:spacing w:after="0"/>
              <w:rPr>
                <w:sz w:val="20"/>
                <w:szCs w:val="20"/>
                <w:color w:val="auto"/>
              </w:rPr>
            </w:pPr>
            <w:r>
              <w:rPr>
                <w:rFonts w:ascii="Arial" w:cs="Arial" w:eastAsia="Arial" w:hAnsi="Arial"/>
                <w:sz w:val="12"/>
                <w:szCs w:val="12"/>
                <w:color w:val="auto"/>
              </w:rPr>
              <w:t>21,646,899</w:t>
            </w:r>
          </w:p>
        </w:tc>
      </w:tr>
      <w:tr>
        <w:trPr>
          <w:trHeight w:val="41"/>
        </w:trPr>
        <w:tc>
          <w:tcPr>
            <w:tcW w:w="920" w:type="dxa"/>
            <w:vAlign w:val="bottom"/>
            <w:tcBorders>
              <w:bottom w:val="single" w:sz="8" w:color="6D8CC3"/>
            </w:tcBorders>
          </w:tcPr>
          <w:p>
            <w:pPr>
              <w:spacing w:after="0"/>
              <w:rPr>
                <w:sz w:val="3"/>
                <w:szCs w:val="3"/>
                <w:color w:val="auto"/>
              </w:rPr>
            </w:pPr>
          </w:p>
        </w:tc>
        <w:tc>
          <w:tcPr>
            <w:tcW w:w="940" w:type="dxa"/>
            <w:vAlign w:val="bottom"/>
            <w:tcBorders>
              <w:bottom w:val="single" w:sz="8" w:color="6D8CC3"/>
            </w:tcBorders>
          </w:tcPr>
          <w:p>
            <w:pPr>
              <w:spacing w:after="0"/>
              <w:rPr>
                <w:sz w:val="3"/>
                <w:szCs w:val="3"/>
                <w:color w:val="auto"/>
              </w:rPr>
            </w:pPr>
          </w:p>
        </w:tc>
        <w:tc>
          <w:tcPr>
            <w:tcW w:w="880" w:type="dxa"/>
            <w:vAlign w:val="bottom"/>
            <w:tcBorders>
              <w:bottom w:val="single" w:sz="8" w:color="6D8CC3"/>
            </w:tcBorders>
          </w:tcPr>
          <w:p>
            <w:pPr>
              <w:spacing w:after="0"/>
              <w:rPr>
                <w:sz w:val="3"/>
                <w:szCs w:val="3"/>
                <w:color w:val="auto"/>
              </w:rPr>
            </w:pPr>
          </w:p>
        </w:tc>
        <w:tc>
          <w:tcPr>
            <w:tcW w:w="1080" w:type="dxa"/>
            <w:vAlign w:val="bottom"/>
            <w:tcBorders>
              <w:bottom w:val="single" w:sz="8" w:color="6D8CC3"/>
            </w:tcBorders>
          </w:tcPr>
          <w:p>
            <w:pPr>
              <w:spacing w:after="0"/>
              <w:rPr>
                <w:sz w:val="3"/>
                <w:szCs w:val="3"/>
                <w:color w:val="auto"/>
              </w:rPr>
            </w:pPr>
          </w:p>
        </w:tc>
        <w:tc>
          <w:tcPr>
            <w:tcW w:w="1000" w:type="dxa"/>
            <w:vAlign w:val="bottom"/>
            <w:tcBorders>
              <w:bottom w:val="single" w:sz="8" w:color="6D8CC3"/>
            </w:tcBorders>
          </w:tcPr>
          <w:p>
            <w:pPr>
              <w:spacing w:after="0"/>
              <w:rPr>
                <w:sz w:val="3"/>
                <w:szCs w:val="3"/>
                <w:color w:val="auto"/>
              </w:rPr>
            </w:pPr>
          </w:p>
        </w:tc>
        <w:tc>
          <w:tcPr>
            <w:tcW w:w="1140" w:type="dxa"/>
            <w:vAlign w:val="bottom"/>
            <w:tcBorders>
              <w:bottom w:val="single" w:sz="8" w:color="6D8CC3"/>
            </w:tcBorders>
          </w:tcPr>
          <w:p>
            <w:pPr>
              <w:spacing w:after="0"/>
              <w:rPr>
                <w:sz w:val="3"/>
                <w:szCs w:val="3"/>
                <w:color w:val="auto"/>
              </w:rPr>
            </w:pPr>
          </w:p>
        </w:tc>
        <w:tc>
          <w:tcPr>
            <w:tcW w:w="1100" w:type="dxa"/>
            <w:vAlign w:val="bottom"/>
            <w:tcBorders>
              <w:bottom w:val="single" w:sz="8" w:color="6D8CC3"/>
            </w:tcBorders>
            <w:gridSpan w:val="2"/>
          </w:tcPr>
          <w:p>
            <w:pPr>
              <w:spacing w:after="0"/>
              <w:rPr>
                <w:sz w:val="3"/>
                <w:szCs w:val="3"/>
                <w:color w:val="auto"/>
              </w:rPr>
            </w:pPr>
          </w:p>
        </w:tc>
        <w:tc>
          <w:tcPr>
            <w:tcW w:w="1040" w:type="dxa"/>
            <w:vAlign w:val="bottom"/>
            <w:tcBorders>
              <w:bottom w:val="single" w:sz="8" w:color="6D8CC3"/>
            </w:tcBorders>
          </w:tcPr>
          <w:p>
            <w:pPr>
              <w:spacing w:after="0"/>
              <w:rPr>
                <w:sz w:val="3"/>
                <w:szCs w:val="3"/>
                <w:color w:val="auto"/>
              </w:rPr>
            </w:pPr>
          </w:p>
        </w:tc>
        <w:tc>
          <w:tcPr>
            <w:tcW w:w="940" w:type="dxa"/>
            <w:vAlign w:val="bottom"/>
            <w:tcBorders>
              <w:bottom w:val="single" w:sz="8" w:color="6D8CC3"/>
            </w:tcBorders>
            <w:gridSpan w:val="2"/>
          </w:tcPr>
          <w:p>
            <w:pPr>
              <w:spacing w:after="0"/>
              <w:rPr>
                <w:sz w:val="3"/>
                <w:szCs w:val="3"/>
                <w:color w:val="auto"/>
              </w:rPr>
            </w:pPr>
          </w:p>
        </w:tc>
      </w:tr>
      <w:tr>
        <w:trPr>
          <w:trHeight w:val="175"/>
        </w:trPr>
        <w:tc>
          <w:tcPr>
            <w:tcW w:w="920" w:type="dxa"/>
            <w:vAlign w:val="bottom"/>
          </w:tcPr>
          <w:p>
            <w:pPr>
              <w:spacing w:after="0"/>
              <w:rPr>
                <w:sz w:val="20"/>
                <w:szCs w:val="20"/>
                <w:color w:val="auto"/>
              </w:rPr>
            </w:pPr>
            <w:r>
              <w:rPr>
                <w:rFonts w:ascii="Arial" w:cs="Arial" w:eastAsia="Arial" w:hAnsi="Arial"/>
                <w:sz w:val="12"/>
                <w:szCs w:val="12"/>
                <w:color w:val="auto"/>
              </w:rPr>
              <w:t>Mr. Meslow</w:t>
            </w:r>
          </w:p>
        </w:tc>
        <w:tc>
          <w:tcPr>
            <w:tcW w:w="940" w:type="dxa"/>
            <w:vAlign w:val="bottom"/>
          </w:tcPr>
          <w:p>
            <w:pPr>
              <w:jc w:val="right"/>
              <w:ind w:right="41"/>
              <w:spacing w:after="0"/>
              <w:rPr>
                <w:sz w:val="20"/>
                <w:szCs w:val="20"/>
                <w:color w:val="auto"/>
              </w:rPr>
            </w:pPr>
            <w:r>
              <w:rPr>
                <w:rFonts w:ascii="Arial" w:cs="Arial" w:eastAsia="Arial" w:hAnsi="Arial"/>
                <w:sz w:val="12"/>
                <w:szCs w:val="12"/>
                <w:color w:val="auto"/>
              </w:rPr>
              <w:t>9,467,439</w:t>
            </w:r>
          </w:p>
        </w:tc>
        <w:tc>
          <w:tcPr>
            <w:tcW w:w="880" w:type="dxa"/>
            <w:vAlign w:val="bottom"/>
          </w:tcPr>
          <w:p>
            <w:pPr>
              <w:jc w:val="right"/>
              <w:ind w:right="81"/>
              <w:spacing w:after="0"/>
              <w:rPr>
                <w:sz w:val="20"/>
                <w:szCs w:val="20"/>
                <w:color w:val="auto"/>
              </w:rPr>
            </w:pPr>
            <w:r>
              <w:rPr>
                <w:rFonts w:ascii="Arial" w:cs="Arial" w:eastAsia="Arial" w:hAnsi="Arial"/>
                <w:sz w:val="12"/>
                <w:szCs w:val="12"/>
                <w:color w:val="auto"/>
              </w:rPr>
              <w:t>—</w:t>
            </w:r>
          </w:p>
        </w:tc>
        <w:tc>
          <w:tcPr>
            <w:tcW w:w="1080" w:type="dxa"/>
            <w:vAlign w:val="bottom"/>
          </w:tcPr>
          <w:p>
            <w:pPr>
              <w:jc w:val="right"/>
              <w:ind w:right="183"/>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243"/>
              <w:spacing w:after="0"/>
              <w:rPr>
                <w:sz w:val="20"/>
                <w:szCs w:val="20"/>
                <w:color w:val="auto"/>
              </w:rPr>
            </w:pPr>
            <w:r>
              <w:rPr>
                <w:rFonts w:ascii="Arial" w:cs="Arial" w:eastAsia="Arial" w:hAnsi="Arial"/>
                <w:sz w:val="12"/>
                <w:szCs w:val="12"/>
                <w:color w:val="auto"/>
              </w:rPr>
              <w:t>—</w:t>
            </w:r>
          </w:p>
        </w:tc>
        <w:tc>
          <w:tcPr>
            <w:tcW w:w="1140" w:type="dxa"/>
            <w:vAlign w:val="bottom"/>
          </w:tcPr>
          <w:p>
            <w:pPr>
              <w:jc w:val="right"/>
              <w:ind w:right="202"/>
              <w:spacing w:after="0"/>
              <w:rPr>
                <w:sz w:val="20"/>
                <w:szCs w:val="20"/>
                <w:color w:val="auto"/>
              </w:rPr>
            </w:pPr>
            <w:r>
              <w:rPr>
                <w:rFonts w:ascii="Arial" w:cs="Arial" w:eastAsia="Arial" w:hAnsi="Arial"/>
                <w:sz w:val="12"/>
                <w:szCs w:val="12"/>
                <w:color w:val="auto"/>
              </w:rPr>
              <w:t>(451,632)</w:t>
            </w:r>
          </w:p>
        </w:tc>
        <w:tc>
          <w:tcPr>
            <w:tcW w:w="1100" w:type="dxa"/>
            <w:vAlign w:val="bottom"/>
            <w:gridSpan w:val="2"/>
          </w:tcPr>
          <w:p>
            <w:pPr>
              <w:jc w:val="right"/>
              <w:ind w:right="99"/>
              <w:spacing w:after="0"/>
              <w:rPr>
                <w:sz w:val="20"/>
                <w:szCs w:val="20"/>
                <w:color w:val="auto"/>
              </w:rPr>
            </w:pPr>
            <w:r>
              <w:rPr>
                <w:rFonts w:ascii="Arial" w:cs="Arial" w:eastAsia="Arial" w:hAnsi="Arial"/>
                <w:sz w:val="12"/>
                <w:szCs w:val="12"/>
                <w:color w:val="auto"/>
              </w:rPr>
              <w:t>(124,395,933)</w:t>
            </w:r>
          </w:p>
        </w:tc>
        <w:tc>
          <w:tcPr>
            <w:tcW w:w="1040" w:type="dxa"/>
            <w:vAlign w:val="bottom"/>
          </w:tcPr>
          <w:p>
            <w:pPr>
              <w:jc w:val="right"/>
              <w:ind w:right="183"/>
              <w:spacing w:after="0"/>
              <w:rPr>
                <w:sz w:val="20"/>
                <w:szCs w:val="20"/>
                <w:color w:val="auto"/>
              </w:rPr>
            </w:pPr>
            <w:r>
              <w:rPr>
                <w:rFonts w:ascii="Arial" w:cs="Arial" w:eastAsia="Arial" w:hAnsi="Arial"/>
                <w:sz w:val="12"/>
                <w:szCs w:val="12"/>
                <w:color w:val="auto"/>
              </w:rPr>
              <w:t>—</w:t>
            </w:r>
          </w:p>
        </w:tc>
        <w:tc>
          <w:tcPr>
            <w:tcW w:w="940" w:type="dxa"/>
            <w:vAlign w:val="bottom"/>
            <w:gridSpan w:val="2"/>
          </w:tcPr>
          <w:p>
            <w:pPr>
              <w:ind w:left="120"/>
              <w:spacing w:after="0"/>
              <w:rPr>
                <w:sz w:val="20"/>
                <w:szCs w:val="20"/>
                <w:color w:val="auto"/>
              </w:rPr>
            </w:pPr>
            <w:r>
              <w:rPr>
                <w:rFonts w:ascii="Arial" w:cs="Arial" w:eastAsia="Arial" w:hAnsi="Arial"/>
                <w:sz w:val="12"/>
                <w:szCs w:val="12"/>
                <w:color w:val="auto"/>
              </w:rPr>
              <w:t>(115,380,126)</w:t>
            </w:r>
          </w:p>
        </w:tc>
      </w:tr>
      <w:tr>
        <w:trPr>
          <w:trHeight w:val="41"/>
        </w:trPr>
        <w:tc>
          <w:tcPr>
            <w:tcW w:w="920" w:type="dxa"/>
            <w:vAlign w:val="bottom"/>
            <w:tcBorders>
              <w:bottom w:val="single" w:sz="8" w:color="6D8CC3"/>
            </w:tcBorders>
          </w:tcPr>
          <w:p>
            <w:pPr>
              <w:spacing w:after="0"/>
              <w:rPr>
                <w:sz w:val="3"/>
                <w:szCs w:val="3"/>
                <w:color w:val="auto"/>
              </w:rPr>
            </w:pPr>
          </w:p>
        </w:tc>
        <w:tc>
          <w:tcPr>
            <w:tcW w:w="940" w:type="dxa"/>
            <w:vAlign w:val="bottom"/>
            <w:tcBorders>
              <w:bottom w:val="single" w:sz="8" w:color="6D8CC3"/>
            </w:tcBorders>
          </w:tcPr>
          <w:p>
            <w:pPr>
              <w:spacing w:after="0"/>
              <w:rPr>
                <w:sz w:val="3"/>
                <w:szCs w:val="3"/>
                <w:color w:val="auto"/>
              </w:rPr>
            </w:pPr>
          </w:p>
        </w:tc>
        <w:tc>
          <w:tcPr>
            <w:tcW w:w="880" w:type="dxa"/>
            <w:vAlign w:val="bottom"/>
            <w:tcBorders>
              <w:bottom w:val="single" w:sz="8" w:color="6D8CC3"/>
            </w:tcBorders>
          </w:tcPr>
          <w:p>
            <w:pPr>
              <w:spacing w:after="0"/>
              <w:rPr>
                <w:sz w:val="3"/>
                <w:szCs w:val="3"/>
                <w:color w:val="auto"/>
              </w:rPr>
            </w:pPr>
          </w:p>
        </w:tc>
        <w:tc>
          <w:tcPr>
            <w:tcW w:w="1080" w:type="dxa"/>
            <w:vAlign w:val="bottom"/>
            <w:tcBorders>
              <w:bottom w:val="single" w:sz="8" w:color="6D8CC3"/>
            </w:tcBorders>
          </w:tcPr>
          <w:p>
            <w:pPr>
              <w:spacing w:after="0"/>
              <w:rPr>
                <w:sz w:val="3"/>
                <w:szCs w:val="3"/>
                <w:color w:val="auto"/>
              </w:rPr>
            </w:pPr>
          </w:p>
        </w:tc>
        <w:tc>
          <w:tcPr>
            <w:tcW w:w="1000" w:type="dxa"/>
            <w:vAlign w:val="bottom"/>
            <w:tcBorders>
              <w:bottom w:val="single" w:sz="8" w:color="6D8CC3"/>
            </w:tcBorders>
          </w:tcPr>
          <w:p>
            <w:pPr>
              <w:spacing w:after="0"/>
              <w:rPr>
                <w:sz w:val="3"/>
                <w:szCs w:val="3"/>
                <w:color w:val="auto"/>
              </w:rPr>
            </w:pPr>
          </w:p>
        </w:tc>
        <w:tc>
          <w:tcPr>
            <w:tcW w:w="1140" w:type="dxa"/>
            <w:vAlign w:val="bottom"/>
            <w:tcBorders>
              <w:bottom w:val="single" w:sz="8" w:color="6D8CC3"/>
            </w:tcBorders>
          </w:tcPr>
          <w:p>
            <w:pPr>
              <w:spacing w:after="0"/>
              <w:rPr>
                <w:sz w:val="3"/>
                <w:szCs w:val="3"/>
                <w:color w:val="auto"/>
              </w:rPr>
            </w:pPr>
          </w:p>
        </w:tc>
        <w:tc>
          <w:tcPr>
            <w:tcW w:w="760" w:type="dxa"/>
            <w:vAlign w:val="bottom"/>
            <w:tcBorders>
              <w:bottom w:val="single" w:sz="8" w:color="6D8CC3"/>
            </w:tcBorders>
          </w:tcPr>
          <w:p>
            <w:pPr>
              <w:spacing w:after="0"/>
              <w:rPr>
                <w:sz w:val="3"/>
                <w:szCs w:val="3"/>
                <w:color w:val="auto"/>
              </w:rPr>
            </w:pPr>
          </w:p>
        </w:tc>
        <w:tc>
          <w:tcPr>
            <w:tcW w:w="340" w:type="dxa"/>
            <w:vAlign w:val="bottom"/>
            <w:tcBorders>
              <w:bottom w:val="single" w:sz="8" w:color="6D8CC3"/>
            </w:tcBorders>
          </w:tcPr>
          <w:p>
            <w:pPr>
              <w:spacing w:after="0"/>
              <w:rPr>
                <w:sz w:val="3"/>
                <w:szCs w:val="3"/>
                <w:color w:val="auto"/>
              </w:rPr>
            </w:pPr>
          </w:p>
        </w:tc>
        <w:tc>
          <w:tcPr>
            <w:tcW w:w="1040" w:type="dxa"/>
            <w:vAlign w:val="bottom"/>
            <w:tcBorders>
              <w:bottom w:val="single" w:sz="8" w:color="6D8CC3"/>
            </w:tcBorders>
          </w:tcPr>
          <w:p>
            <w:pPr>
              <w:spacing w:after="0"/>
              <w:rPr>
                <w:sz w:val="3"/>
                <w:szCs w:val="3"/>
                <w:color w:val="auto"/>
              </w:rPr>
            </w:pPr>
          </w:p>
        </w:tc>
        <w:tc>
          <w:tcPr>
            <w:tcW w:w="180" w:type="dxa"/>
            <w:vAlign w:val="bottom"/>
            <w:tcBorders>
              <w:bottom w:val="single" w:sz="8" w:color="6D8CC3"/>
            </w:tcBorders>
          </w:tcPr>
          <w:p>
            <w:pPr>
              <w:spacing w:after="0"/>
              <w:rPr>
                <w:sz w:val="3"/>
                <w:szCs w:val="3"/>
                <w:color w:val="auto"/>
              </w:rPr>
            </w:pPr>
          </w:p>
        </w:tc>
        <w:tc>
          <w:tcPr>
            <w:tcW w:w="760" w:type="dxa"/>
            <w:vAlign w:val="bottom"/>
            <w:tcBorders>
              <w:bottom w:val="single" w:sz="8" w:color="6D8CC3"/>
            </w:tcBorders>
          </w:tcPr>
          <w:p>
            <w:pPr>
              <w:spacing w:after="0"/>
              <w:rPr>
                <w:sz w:val="3"/>
                <w:szCs w:val="3"/>
                <w:color w:val="auto"/>
              </w:rPr>
            </w:pPr>
          </w:p>
        </w:tc>
      </w:tr>
      <w:tr>
        <w:trPr>
          <w:trHeight w:val="146"/>
        </w:trPr>
        <w:tc>
          <w:tcPr>
            <w:tcW w:w="920" w:type="dxa"/>
            <w:vAlign w:val="bottom"/>
          </w:tcPr>
          <w:p>
            <w:pPr>
              <w:spacing w:after="0"/>
              <w:rPr>
                <w:sz w:val="20"/>
                <w:szCs w:val="20"/>
                <w:color w:val="auto"/>
              </w:rPr>
            </w:pPr>
            <w:r>
              <w:rPr>
                <w:rFonts w:ascii="Arial" w:cs="Arial" w:eastAsia="Arial" w:hAnsi="Arial"/>
                <w:sz w:val="12"/>
                <w:szCs w:val="12"/>
                <w:color w:val="auto"/>
              </w:rPr>
              <w:t>Non-PEO NEO</w:t>
            </w:r>
          </w:p>
        </w:tc>
        <w:tc>
          <w:tcPr>
            <w:tcW w:w="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1"/>
        </w:trPr>
        <w:tc>
          <w:tcPr>
            <w:tcW w:w="920" w:type="dxa"/>
            <w:vAlign w:val="bottom"/>
          </w:tcPr>
          <w:p>
            <w:pPr>
              <w:spacing w:after="0"/>
              <w:rPr>
                <w:sz w:val="20"/>
                <w:szCs w:val="20"/>
                <w:color w:val="auto"/>
              </w:rPr>
            </w:pPr>
            <w:r>
              <w:rPr>
                <w:rFonts w:ascii="Arial" w:cs="Arial" w:eastAsia="Arial" w:hAnsi="Arial"/>
                <w:sz w:val="12"/>
                <w:szCs w:val="12"/>
                <w:color w:val="auto"/>
              </w:rPr>
              <w:t>Average</w:t>
            </w:r>
          </w:p>
        </w:tc>
        <w:tc>
          <w:tcPr>
            <w:tcW w:w="940" w:type="dxa"/>
            <w:vAlign w:val="bottom"/>
          </w:tcPr>
          <w:p>
            <w:pPr>
              <w:jc w:val="right"/>
              <w:ind w:right="41"/>
              <w:spacing w:after="0"/>
              <w:rPr>
                <w:sz w:val="20"/>
                <w:szCs w:val="20"/>
                <w:color w:val="auto"/>
              </w:rPr>
            </w:pPr>
            <w:r>
              <w:rPr>
                <w:rFonts w:ascii="Arial" w:cs="Arial" w:eastAsia="Arial" w:hAnsi="Arial"/>
                <w:sz w:val="12"/>
                <w:szCs w:val="12"/>
                <w:color w:val="auto"/>
              </w:rPr>
              <w:t>6,048,032</w:t>
            </w:r>
          </w:p>
        </w:tc>
        <w:tc>
          <w:tcPr>
            <w:tcW w:w="880" w:type="dxa"/>
            <w:vAlign w:val="bottom"/>
          </w:tcPr>
          <w:p>
            <w:pPr>
              <w:jc w:val="right"/>
              <w:ind w:right="81"/>
              <w:spacing w:after="0"/>
              <w:rPr>
                <w:sz w:val="20"/>
                <w:szCs w:val="20"/>
                <w:color w:val="auto"/>
              </w:rPr>
            </w:pPr>
            <w:r>
              <w:rPr>
                <w:rFonts w:ascii="Arial" w:cs="Arial" w:eastAsia="Arial" w:hAnsi="Arial"/>
                <w:sz w:val="12"/>
                <w:szCs w:val="12"/>
                <w:color w:val="auto"/>
              </w:rPr>
              <w:t>2,642,339</w:t>
            </w:r>
          </w:p>
        </w:tc>
        <w:tc>
          <w:tcPr>
            <w:tcW w:w="1080" w:type="dxa"/>
            <w:vAlign w:val="bottom"/>
          </w:tcPr>
          <w:p>
            <w:pPr>
              <w:jc w:val="right"/>
              <w:ind w:right="183"/>
              <w:spacing w:after="0"/>
              <w:rPr>
                <w:sz w:val="20"/>
                <w:szCs w:val="20"/>
                <w:color w:val="auto"/>
              </w:rPr>
            </w:pPr>
            <w:r>
              <w:rPr>
                <w:rFonts w:ascii="Arial" w:cs="Arial" w:eastAsia="Arial" w:hAnsi="Arial"/>
                <w:sz w:val="12"/>
                <w:szCs w:val="12"/>
                <w:color w:val="auto"/>
              </w:rPr>
              <w:t>2,409,483</w:t>
            </w:r>
          </w:p>
        </w:tc>
        <w:tc>
          <w:tcPr>
            <w:tcW w:w="1000" w:type="dxa"/>
            <w:vAlign w:val="bottom"/>
          </w:tcPr>
          <w:p>
            <w:pPr>
              <w:jc w:val="right"/>
              <w:ind w:right="243"/>
              <w:spacing w:after="0"/>
              <w:rPr>
                <w:sz w:val="20"/>
                <w:szCs w:val="20"/>
                <w:color w:val="auto"/>
              </w:rPr>
            </w:pPr>
            <w:r>
              <w:rPr>
                <w:rFonts w:ascii="Arial" w:cs="Arial" w:eastAsia="Arial" w:hAnsi="Arial"/>
                <w:sz w:val="12"/>
                <w:szCs w:val="12"/>
                <w:color w:val="auto"/>
              </w:rPr>
              <w:t>—</w:t>
            </w:r>
          </w:p>
        </w:tc>
        <w:tc>
          <w:tcPr>
            <w:tcW w:w="1140" w:type="dxa"/>
            <w:vAlign w:val="bottom"/>
          </w:tcPr>
          <w:p>
            <w:pPr>
              <w:jc w:val="right"/>
              <w:ind w:right="202"/>
              <w:spacing w:after="0"/>
              <w:rPr>
                <w:sz w:val="20"/>
                <w:szCs w:val="20"/>
                <w:color w:val="auto"/>
              </w:rPr>
            </w:pPr>
            <w:r>
              <w:rPr>
                <w:rFonts w:ascii="Arial" w:cs="Arial" w:eastAsia="Arial" w:hAnsi="Arial"/>
                <w:sz w:val="12"/>
                <w:szCs w:val="12"/>
                <w:color w:val="auto"/>
              </w:rPr>
              <w:t>(141,718)</w:t>
            </w:r>
          </w:p>
        </w:tc>
        <w:tc>
          <w:tcPr>
            <w:tcW w:w="760" w:type="dxa"/>
            <w:vAlign w:val="bottom"/>
          </w:tcPr>
          <w:p>
            <w:pPr>
              <w:spacing w:after="0"/>
              <w:rPr>
                <w:sz w:val="13"/>
                <w:szCs w:val="13"/>
                <w:color w:val="auto"/>
              </w:rPr>
            </w:pPr>
          </w:p>
        </w:tc>
        <w:tc>
          <w:tcPr>
            <w:tcW w:w="340" w:type="dxa"/>
            <w:vAlign w:val="bottom"/>
          </w:tcPr>
          <w:p>
            <w:pPr>
              <w:jc w:val="right"/>
              <w:ind w:right="159"/>
              <w:spacing w:after="0"/>
              <w:rPr>
                <w:sz w:val="20"/>
                <w:szCs w:val="20"/>
                <w:color w:val="auto"/>
              </w:rPr>
            </w:pPr>
            <w:r>
              <w:rPr>
                <w:rFonts w:ascii="Arial" w:cs="Arial" w:eastAsia="Arial" w:hAnsi="Arial"/>
                <w:sz w:val="12"/>
                <w:szCs w:val="12"/>
                <w:color w:val="auto"/>
                <w:w w:val="82"/>
              </w:rPr>
              <w:t>—</w:t>
            </w:r>
          </w:p>
        </w:tc>
        <w:tc>
          <w:tcPr>
            <w:tcW w:w="1040" w:type="dxa"/>
            <w:vAlign w:val="bottom"/>
          </w:tcPr>
          <w:p>
            <w:pPr>
              <w:jc w:val="right"/>
              <w:ind w:right="123"/>
              <w:spacing w:after="0"/>
              <w:rPr>
                <w:sz w:val="20"/>
                <w:szCs w:val="20"/>
                <w:color w:val="auto"/>
              </w:rPr>
            </w:pPr>
            <w:r>
              <w:rPr>
                <w:rFonts w:ascii="Arial" w:cs="Arial" w:eastAsia="Arial" w:hAnsi="Arial"/>
                <w:sz w:val="12"/>
                <w:szCs w:val="12"/>
                <w:color w:val="auto"/>
              </w:rPr>
              <w:t>(302,285)</w:t>
            </w:r>
          </w:p>
        </w:tc>
        <w:tc>
          <w:tcPr>
            <w:tcW w:w="180" w:type="dxa"/>
            <w:vAlign w:val="bottom"/>
          </w:tcPr>
          <w:p>
            <w:pPr>
              <w:spacing w:after="0"/>
              <w:rPr>
                <w:sz w:val="13"/>
                <w:szCs w:val="13"/>
                <w:color w:val="auto"/>
              </w:rPr>
            </w:pPr>
          </w:p>
        </w:tc>
        <w:tc>
          <w:tcPr>
            <w:tcW w:w="760" w:type="dxa"/>
            <w:vAlign w:val="bottom"/>
          </w:tcPr>
          <w:p>
            <w:pPr>
              <w:jc w:val="right"/>
              <w:ind w:right="59"/>
              <w:spacing w:after="0"/>
              <w:rPr>
                <w:sz w:val="20"/>
                <w:szCs w:val="20"/>
                <w:color w:val="auto"/>
              </w:rPr>
            </w:pPr>
            <w:r>
              <w:rPr>
                <w:rFonts w:ascii="Arial" w:cs="Arial" w:eastAsia="Arial" w:hAnsi="Arial"/>
                <w:sz w:val="12"/>
                <w:szCs w:val="12"/>
                <w:color w:val="auto"/>
              </w:rPr>
              <w:t>5,371,173</w:t>
            </w:r>
          </w:p>
        </w:tc>
      </w:tr>
      <w:tr>
        <w:trPr>
          <w:trHeight w:val="41"/>
        </w:trPr>
        <w:tc>
          <w:tcPr>
            <w:tcW w:w="920" w:type="dxa"/>
            <w:vAlign w:val="bottom"/>
            <w:tcBorders>
              <w:bottom w:val="single" w:sz="8" w:color="6D8CC3"/>
            </w:tcBorders>
          </w:tcPr>
          <w:p>
            <w:pPr>
              <w:spacing w:after="0"/>
              <w:rPr>
                <w:sz w:val="3"/>
                <w:szCs w:val="3"/>
                <w:color w:val="auto"/>
              </w:rPr>
            </w:pPr>
          </w:p>
        </w:tc>
        <w:tc>
          <w:tcPr>
            <w:tcW w:w="940" w:type="dxa"/>
            <w:vAlign w:val="bottom"/>
            <w:tcBorders>
              <w:bottom w:val="single" w:sz="8" w:color="6D8CC3"/>
            </w:tcBorders>
          </w:tcPr>
          <w:p>
            <w:pPr>
              <w:spacing w:after="0"/>
              <w:rPr>
                <w:sz w:val="3"/>
                <w:szCs w:val="3"/>
                <w:color w:val="auto"/>
              </w:rPr>
            </w:pPr>
          </w:p>
        </w:tc>
        <w:tc>
          <w:tcPr>
            <w:tcW w:w="880" w:type="dxa"/>
            <w:vAlign w:val="bottom"/>
            <w:tcBorders>
              <w:bottom w:val="single" w:sz="8" w:color="6D8CC3"/>
            </w:tcBorders>
          </w:tcPr>
          <w:p>
            <w:pPr>
              <w:spacing w:after="0"/>
              <w:rPr>
                <w:sz w:val="3"/>
                <w:szCs w:val="3"/>
                <w:color w:val="auto"/>
              </w:rPr>
            </w:pPr>
          </w:p>
        </w:tc>
        <w:tc>
          <w:tcPr>
            <w:tcW w:w="1080" w:type="dxa"/>
            <w:vAlign w:val="bottom"/>
            <w:tcBorders>
              <w:bottom w:val="single" w:sz="8" w:color="6D8CC3"/>
            </w:tcBorders>
          </w:tcPr>
          <w:p>
            <w:pPr>
              <w:spacing w:after="0"/>
              <w:rPr>
                <w:sz w:val="3"/>
                <w:szCs w:val="3"/>
                <w:color w:val="auto"/>
              </w:rPr>
            </w:pPr>
          </w:p>
        </w:tc>
        <w:tc>
          <w:tcPr>
            <w:tcW w:w="1000" w:type="dxa"/>
            <w:vAlign w:val="bottom"/>
            <w:tcBorders>
              <w:bottom w:val="single" w:sz="8" w:color="6D8CC3"/>
            </w:tcBorders>
          </w:tcPr>
          <w:p>
            <w:pPr>
              <w:spacing w:after="0"/>
              <w:rPr>
                <w:sz w:val="3"/>
                <w:szCs w:val="3"/>
                <w:color w:val="auto"/>
              </w:rPr>
            </w:pPr>
          </w:p>
        </w:tc>
        <w:tc>
          <w:tcPr>
            <w:tcW w:w="1140" w:type="dxa"/>
            <w:vAlign w:val="bottom"/>
            <w:tcBorders>
              <w:bottom w:val="single" w:sz="8" w:color="6D8CC3"/>
            </w:tcBorders>
          </w:tcPr>
          <w:p>
            <w:pPr>
              <w:spacing w:after="0"/>
              <w:rPr>
                <w:sz w:val="3"/>
                <w:szCs w:val="3"/>
                <w:color w:val="auto"/>
              </w:rPr>
            </w:pPr>
          </w:p>
        </w:tc>
        <w:tc>
          <w:tcPr>
            <w:tcW w:w="760" w:type="dxa"/>
            <w:vAlign w:val="bottom"/>
            <w:tcBorders>
              <w:bottom w:val="single" w:sz="8" w:color="6D8CC3"/>
            </w:tcBorders>
          </w:tcPr>
          <w:p>
            <w:pPr>
              <w:spacing w:after="0"/>
              <w:rPr>
                <w:sz w:val="3"/>
                <w:szCs w:val="3"/>
                <w:color w:val="auto"/>
              </w:rPr>
            </w:pPr>
          </w:p>
        </w:tc>
        <w:tc>
          <w:tcPr>
            <w:tcW w:w="340" w:type="dxa"/>
            <w:vAlign w:val="bottom"/>
            <w:tcBorders>
              <w:bottom w:val="single" w:sz="8" w:color="6D8CC3"/>
            </w:tcBorders>
          </w:tcPr>
          <w:p>
            <w:pPr>
              <w:spacing w:after="0"/>
              <w:rPr>
                <w:sz w:val="3"/>
                <w:szCs w:val="3"/>
                <w:color w:val="auto"/>
              </w:rPr>
            </w:pPr>
          </w:p>
        </w:tc>
        <w:tc>
          <w:tcPr>
            <w:tcW w:w="1040" w:type="dxa"/>
            <w:vAlign w:val="bottom"/>
            <w:tcBorders>
              <w:bottom w:val="single" w:sz="8" w:color="6D8CC3"/>
            </w:tcBorders>
          </w:tcPr>
          <w:p>
            <w:pPr>
              <w:spacing w:after="0"/>
              <w:rPr>
                <w:sz w:val="3"/>
                <w:szCs w:val="3"/>
                <w:color w:val="auto"/>
              </w:rPr>
            </w:pPr>
          </w:p>
        </w:tc>
        <w:tc>
          <w:tcPr>
            <w:tcW w:w="180" w:type="dxa"/>
            <w:vAlign w:val="bottom"/>
            <w:tcBorders>
              <w:bottom w:val="single" w:sz="8" w:color="6D8CC3"/>
            </w:tcBorders>
          </w:tcPr>
          <w:p>
            <w:pPr>
              <w:spacing w:after="0"/>
              <w:rPr>
                <w:sz w:val="3"/>
                <w:szCs w:val="3"/>
                <w:color w:val="auto"/>
              </w:rPr>
            </w:pPr>
          </w:p>
        </w:tc>
        <w:tc>
          <w:tcPr>
            <w:tcW w:w="760" w:type="dxa"/>
            <w:vAlign w:val="bottom"/>
            <w:tcBorders>
              <w:bottom w:val="single" w:sz="8" w:color="6D8CC3"/>
            </w:tcBorders>
          </w:tcPr>
          <w:p>
            <w:pPr>
              <w:spacing w:after="0"/>
              <w:rPr>
                <w:sz w:val="3"/>
                <w:szCs w:val="3"/>
                <w:color w:val="auto"/>
              </w:rPr>
            </w:pPr>
          </w:p>
        </w:tc>
      </w:tr>
      <w:tr>
        <w:trPr>
          <w:trHeight w:val="221"/>
        </w:trPr>
        <w:tc>
          <w:tcPr>
            <w:tcW w:w="920" w:type="dxa"/>
            <w:vAlign w:val="bottom"/>
            <w:tcBorders>
              <w:bottom w:val="single" w:sz="8" w:color="F0F5FE"/>
            </w:tcBorders>
            <w:shd w:val="clear" w:color="auto" w:fill="F0F5FE"/>
          </w:tcPr>
          <w:p>
            <w:pPr>
              <w:spacing w:after="0"/>
              <w:rPr>
                <w:sz w:val="20"/>
                <w:szCs w:val="20"/>
                <w:color w:val="auto"/>
              </w:rPr>
            </w:pPr>
            <w:r>
              <w:rPr>
                <w:rFonts w:ascii="Arial" w:cs="Arial" w:eastAsia="Arial" w:hAnsi="Arial"/>
                <w:sz w:val="12"/>
                <w:szCs w:val="12"/>
                <w:b w:val="1"/>
                <w:bCs w:val="1"/>
                <w:color w:val="auto"/>
              </w:rPr>
              <w:t>Fiscal 2021:</w:t>
            </w:r>
          </w:p>
        </w:tc>
        <w:tc>
          <w:tcPr>
            <w:tcW w:w="940" w:type="dxa"/>
            <w:vAlign w:val="bottom"/>
            <w:tcBorders>
              <w:bottom w:val="single" w:sz="8" w:color="F0F5FE"/>
            </w:tcBorders>
            <w:shd w:val="clear" w:color="auto" w:fill="F0F5FE"/>
          </w:tcPr>
          <w:p>
            <w:pPr>
              <w:spacing w:after="0"/>
              <w:rPr>
                <w:sz w:val="18"/>
                <w:szCs w:val="18"/>
                <w:color w:val="auto"/>
              </w:rPr>
            </w:pPr>
          </w:p>
        </w:tc>
        <w:tc>
          <w:tcPr>
            <w:tcW w:w="880" w:type="dxa"/>
            <w:vAlign w:val="bottom"/>
            <w:tcBorders>
              <w:bottom w:val="single" w:sz="8" w:color="F0F5FE"/>
            </w:tcBorders>
            <w:shd w:val="clear" w:color="auto" w:fill="F0F5FE"/>
          </w:tcPr>
          <w:p>
            <w:pPr>
              <w:spacing w:after="0"/>
              <w:rPr>
                <w:sz w:val="18"/>
                <w:szCs w:val="18"/>
                <w:color w:val="auto"/>
              </w:rPr>
            </w:pPr>
          </w:p>
        </w:tc>
        <w:tc>
          <w:tcPr>
            <w:tcW w:w="1080" w:type="dxa"/>
            <w:vAlign w:val="bottom"/>
            <w:tcBorders>
              <w:bottom w:val="single" w:sz="8" w:color="F0F5FE"/>
            </w:tcBorders>
            <w:shd w:val="clear" w:color="auto" w:fill="F0F5FE"/>
          </w:tcPr>
          <w:p>
            <w:pPr>
              <w:spacing w:after="0"/>
              <w:rPr>
                <w:sz w:val="18"/>
                <w:szCs w:val="18"/>
                <w:color w:val="auto"/>
              </w:rPr>
            </w:pPr>
          </w:p>
        </w:tc>
        <w:tc>
          <w:tcPr>
            <w:tcW w:w="1000" w:type="dxa"/>
            <w:vAlign w:val="bottom"/>
            <w:tcBorders>
              <w:bottom w:val="single" w:sz="8" w:color="F0F5FE"/>
            </w:tcBorders>
            <w:shd w:val="clear" w:color="auto" w:fill="F0F5FE"/>
          </w:tcPr>
          <w:p>
            <w:pPr>
              <w:spacing w:after="0"/>
              <w:rPr>
                <w:sz w:val="18"/>
                <w:szCs w:val="18"/>
                <w:color w:val="auto"/>
              </w:rPr>
            </w:pPr>
          </w:p>
        </w:tc>
        <w:tc>
          <w:tcPr>
            <w:tcW w:w="1140" w:type="dxa"/>
            <w:vAlign w:val="bottom"/>
            <w:tcBorders>
              <w:bottom w:val="single" w:sz="8" w:color="F0F5FE"/>
            </w:tcBorders>
            <w:shd w:val="clear" w:color="auto" w:fill="F0F5FE"/>
          </w:tcPr>
          <w:p>
            <w:pPr>
              <w:spacing w:after="0"/>
              <w:rPr>
                <w:sz w:val="18"/>
                <w:szCs w:val="18"/>
                <w:color w:val="auto"/>
              </w:rPr>
            </w:pPr>
          </w:p>
        </w:tc>
        <w:tc>
          <w:tcPr>
            <w:tcW w:w="760" w:type="dxa"/>
            <w:vAlign w:val="bottom"/>
            <w:tcBorders>
              <w:bottom w:val="single" w:sz="8" w:color="F0F5FE"/>
            </w:tcBorders>
            <w:shd w:val="clear" w:color="auto" w:fill="F0F5FE"/>
          </w:tcPr>
          <w:p>
            <w:pPr>
              <w:spacing w:after="0"/>
              <w:rPr>
                <w:sz w:val="18"/>
                <w:szCs w:val="18"/>
                <w:color w:val="auto"/>
              </w:rPr>
            </w:pPr>
          </w:p>
        </w:tc>
        <w:tc>
          <w:tcPr>
            <w:tcW w:w="340" w:type="dxa"/>
            <w:vAlign w:val="bottom"/>
            <w:tcBorders>
              <w:bottom w:val="single" w:sz="8" w:color="F0F5FE"/>
            </w:tcBorders>
            <w:shd w:val="clear" w:color="auto" w:fill="F0F5FE"/>
          </w:tcPr>
          <w:p>
            <w:pPr>
              <w:spacing w:after="0"/>
              <w:rPr>
                <w:sz w:val="18"/>
                <w:szCs w:val="18"/>
                <w:color w:val="auto"/>
              </w:rPr>
            </w:pPr>
          </w:p>
        </w:tc>
        <w:tc>
          <w:tcPr>
            <w:tcW w:w="1040" w:type="dxa"/>
            <w:vAlign w:val="bottom"/>
            <w:tcBorders>
              <w:bottom w:val="single" w:sz="8" w:color="F0F5FE"/>
            </w:tcBorders>
            <w:shd w:val="clear" w:color="auto" w:fill="F0F5FE"/>
          </w:tcPr>
          <w:p>
            <w:pPr>
              <w:spacing w:after="0"/>
              <w:rPr>
                <w:sz w:val="18"/>
                <w:szCs w:val="18"/>
                <w:color w:val="auto"/>
              </w:rPr>
            </w:pPr>
          </w:p>
        </w:tc>
        <w:tc>
          <w:tcPr>
            <w:tcW w:w="180" w:type="dxa"/>
            <w:vAlign w:val="bottom"/>
            <w:tcBorders>
              <w:bottom w:val="single" w:sz="8" w:color="F0F5FE"/>
            </w:tcBorders>
            <w:shd w:val="clear" w:color="auto" w:fill="F0F5FE"/>
          </w:tcPr>
          <w:p>
            <w:pPr>
              <w:spacing w:after="0"/>
              <w:rPr>
                <w:sz w:val="18"/>
                <w:szCs w:val="18"/>
                <w:color w:val="auto"/>
              </w:rPr>
            </w:pPr>
          </w:p>
        </w:tc>
        <w:tc>
          <w:tcPr>
            <w:tcW w:w="760" w:type="dxa"/>
            <w:vAlign w:val="bottom"/>
            <w:tcBorders>
              <w:bottom w:val="single" w:sz="8" w:color="F0F5FE"/>
            </w:tcBorders>
            <w:shd w:val="clear" w:color="auto" w:fill="F0F5FE"/>
          </w:tcPr>
          <w:p>
            <w:pPr>
              <w:spacing w:after="0"/>
              <w:rPr>
                <w:sz w:val="18"/>
                <w:szCs w:val="18"/>
                <w:color w:val="auto"/>
              </w:rPr>
            </w:pPr>
          </w:p>
        </w:tc>
      </w:tr>
      <w:tr>
        <w:trPr>
          <w:trHeight w:val="175"/>
        </w:trPr>
        <w:tc>
          <w:tcPr>
            <w:tcW w:w="920" w:type="dxa"/>
            <w:vAlign w:val="bottom"/>
            <w:tcBorders>
              <w:top w:val="single" w:sz="8" w:color="6D8CC3"/>
            </w:tcBorders>
          </w:tcPr>
          <w:p>
            <w:pPr>
              <w:spacing w:after="0"/>
              <w:rPr>
                <w:sz w:val="20"/>
                <w:szCs w:val="20"/>
                <w:color w:val="auto"/>
              </w:rPr>
            </w:pPr>
            <w:r>
              <w:rPr>
                <w:rFonts w:ascii="Arial" w:cs="Arial" w:eastAsia="Arial" w:hAnsi="Arial"/>
                <w:sz w:val="12"/>
                <w:szCs w:val="12"/>
                <w:color w:val="auto"/>
              </w:rPr>
              <w:t>Mr. Meslow</w:t>
            </w:r>
          </w:p>
        </w:tc>
        <w:tc>
          <w:tcPr>
            <w:tcW w:w="940" w:type="dxa"/>
            <w:vAlign w:val="bottom"/>
            <w:tcBorders>
              <w:top w:val="single" w:sz="8" w:color="6D8CC3"/>
            </w:tcBorders>
          </w:tcPr>
          <w:p>
            <w:pPr>
              <w:jc w:val="right"/>
              <w:ind w:right="41"/>
              <w:spacing w:after="0"/>
              <w:rPr>
                <w:sz w:val="20"/>
                <w:szCs w:val="20"/>
                <w:color w:val="auto"/>
              </w:rPr>
            </w:pPr>
            <w:r>
              <w:rPr>
                <w:rFonts w:ascii="Arial" w:cs="Arial" w:eastAsia="Arial" w:hAnsi="Arial"/>
                <w:sz w:val="12"/>
                <w:szCs w:val="12"/>
                <w:color w:val="auto"/>
              </w:rPr>
              <w:t>17,668,627</w:t>
            </w:r>
          </w:p>
        </w:tc>
        <w:tc>
          <w:tcPr>
            <w:tcW w:w="880" w:type="dxa"/>
            <w:vAlign w:val="bottom"/>
            <w:tcBorders>
              <w:top w:val="single" w:sz="8" w:color="6D8CC3"/>
            </w:tcBorders>
          </w:tcPr>
          <w:p>
            <w:pPr>
              <w:jc w:val="right"/>
              <w:ind w:right="81"/>
              <w:spacing w:after="0"/>
              <w:rPr>
                <w:sz w:val="20"/>
                <w:szCs w:val="20"/>
                <w:color w:val="auto"/>
              </w:rPr>
            </w:pPr>
            <w:r>
              <w:rPr>
                <w:rFonts w:ascii="Arial" w:cs="Arial" w:eastAsia="Arial" w:hAnsi="Arial"/>
                <w:sz w:val="12"/>
                <w:szCs w:val="12"/>
                <w:color w:val="auto"/>
              </w:rPr>
              <w:t>7,348,518</w:t>
            </w:r>
          </w:p>
        </w:tc>
        <w:tc>
          <w:tcPr>
            <w:tcW w:w="1080" w:type="dxa"/>
            <w:vAlign w:val="bottom"/>
            <w:tcBorders>
              <w:top w:val="single" w:sz="8" w:color="6D8CC3"/>
            </w:tcBorders>
          </w:tcPr>
          <w:p>
            <w:pPr>
              <w:jc w:val="right"/>
              <w:ind w:right="183"/>
              <w:spacing w:after="0"/>
              <w:rPr>
                <w:sz w:val="20"/>
                <w:szCs w:val="20"/>
                <w:color w:val="auto"/>
              </w:rPr>
            </w:pPr>
            <w:r>
              <w:rPr>
                <w:rFonts w:ascii="Arial" w:cs="Arial" w:eastAsia="Arial" w:hAnsi="Arial"/>
                <w:sz w:val="12"/>
                <w:szCs w:val="12"/>
                <w:color w:val="auto"/>
              </w:rPr>
              <w:t>6,102,879</w:t>
            </w:r>
          </w:p>
        </w:tc>
        <w:tc>
          <w:tcPr>
            <w:tcW w:w="1000" w:type="dxa"/>
            <w:vAlign w:val="bottom"/>
            <w:tcBorders>
              <w:top w:val="single" w:sz="8" w:color="6D8CC3"/>
            </w:tcBorders>
          </w:tcPr>
          <w:p>
            <w:pPr>
              <w:jc w:val="right"/>
              <w:ind w:right="243"/>
              <w:spacing w:after="0"/>
              <w:rPr>
                <w:sz w:val="20"/>
                <w:szCs w:val="20"/>
                <w:color w:val="auto"/>
              </w:rPr>
            </w:pPr>
            <w:r>
              <w:rPr>
                <w:rFonts w:ascii="Arial" w:cs="Arial" w:eastAsia="Arial" w:hAnsi="Arial"/>
                <w:sz w:val="12"/>
                <w:szCs w:val="12"/>
                <w:color w:val="auto"/>
              </w:rPr>
              <w:t>—</w:t>
            </w:r>
          </w:p>
        </w:tc>
        <w:tc>
          <w:tcPr>
            <w:tcW w:w="1140" w:type="dxa"/>
            <w:vAlign w:val="bottom"/>
            <w:tcBorders>
              <w:top w:val="single" w:sz="8" w:color="6D8CC3"/>
            </w:tcBorders>
          </w:tcPr>
          <w:p>
            <w:pPr>
              <w:jc w:val="right"/>
              <w:ind w:right="262"/>
              <w:spacing w:after="0"/>
              <w:rPr>
                <w:sz w:val="20"/>
                <w:szCs w:val="20"/>
                <w:color w:val="auto"/>
              </w:rPr>
            </w:pPr>
            <w:r>
              <w:rPr>
                <w:rFonts w:ascii="Arial" w:cs="Arial" w:eastAsia="Arial" w:hAnsi="Arial"/>
                <w:sz w:val="12"/>
                <w:szCs w:val="12"/>
                <w:color w:val="auto"/>
              </w:rPr>
              <w:t>1,405,205</w:t>
            </w:r>
          </w:p>
        </w:tc>
        <w:tc>
          <w:tcPr>
            <w:tcW w:w="760" w:type="dxa"/>
            <w:vAlign w:val="bottom"/>
            <w:tcBorders>
              <w:top w:val="single" w:sz="8" w:color="6D8CC3"/>
            </w:tcBorders>
          </w:tcPr>
          <w:p>
            <w:pPr>
              <w:spacing w:after="0"/>
              <w:rPr>
                <w:sz w:val="15"/>
                <w:szCs w:val="15"/>
                <w:color w:val="auto"/>
              </w:rPr>
            </w:pPr>
          </w:p>
        </w:tc>
        <w:tc>
          <w:tcPr>
            <w:tcW w:w="340" w:type="dxa"/>
            <w:vAlign w:val="bottom"/>
            <w:tcBorders>
              <w:top w:val="single" w:sz="8" w:color="6D8CC3"/>
            </w:tcBorders>
          </w:tcPr>
          <w:p>
            <w:pPr>
              <w:jc w:val="right"/>
              <w:ind w:right="159"/>
              <w:spacing w:after="0"/>
              <w:rPr>
                <w:sz w:val="20"/>
                <w:szCs w:val="20"/>
                <w:color w:val="auto"/>
              </w:rPr>
            </w:pPr>
            <w:r>
              <w:rPr>
                <w:rFonts w:ascii="Arial" w:cs="Arial" w:eastAsia="Arial" w:hAnsi="Arial"/>
                <w:sz w:val="12"/>
                <w:szCs w:val="12"/>
                <w:color w:val="auto"/>
                <w:w w:val="82"/>
              </w:rPr>
              <w:t>—</w:t>
            </w:r>
          </w:p>
        </w:tc>
        <w:tc>
          <w:tcPr>
            <w:tcW w:w="1040" w:type="dxa"/>
            <w:vAlign w:val="bottom"/>
            <w:tcBorders>
              <w:top w:val="single" w:sz="8" w:color="6D8CC3"/>
            </w:tcBorders>
          </w:tcPr>
          <w:p>
            <w:pPr>
              <w:jc w:val="right"/>
              <w:ind w:right="163"/>
              <w:spacing w:after="0"/>
              <w:rPr>
                <w:sz w:val="20"/>
                <w:szCs w:val="20"/>
                <w:color w:val="auto"/>
              </w:rPr>
            </w:pPr>
            <w:r>
              <w:rPr>
                <w:rFonts w:ascii="Arial" w:cs="Arial" w:eastAsia="Arial" w:hAnsi="Arial"/>
                <w:sz w:val="12"/>
                <w:szCs w:val="12"/>
                <w:color w:val="auto"/>
              </w:rPr>
              <w:t>72,734,076</w:t>
            </w:r>
          </w:p>
        </w:tc>
        <w:tc>
          <w:tcPr>
            <w:tcW w:w="180" w:type="dxa"/>
            <w:vAlign w:val="bottom"/>
            <w:tcBorders>
              <w:top w:val="single" w:sz="8" w:color="6D8CC3"/>
            </w:tcBorders>
          </w:tcPr>
          <w:p>
            <w:pPr>
              <w:spacing w:after="0"/>
              <w:rPr>
                <w:sz w:val="15"/>
                <w:szCs w:val="15"/>
                <w:color w:val="auto"/>
              </w:rPr>
            </w:pPr>
          </w:p>
        </w:tc>
        <w:tc>
          <w:tcPr>
            <w:tcW w:w="760" w:type="dxa"/>
            <w:vAlign w:val="bottom"/>
            <w:tcBorders>
              <w:top w:val="single" w:sz="8" w:color="6D8CC3"/>
            </w:tcBorders>
          </w:tcPr>
          <w:p>
            <w:pPr>
              <w:jc w:val="right"/>
              <w:ind w:right="59"/>
              <w:spacing w:after="0"/>
              <w:rPr>
                <w:sz w:val="20"/>
                <w:szCs w:val="20"/>
                <w:color w:val="auto"/>
              </w:rPr>
            </w:pPr>
            <w:r>
              <w:rPr>
                <w:rFonts w:ascii="Arial" w:cs="Arial" w:eastAsia="Arial" w:hAnsi="Arial"/>
                <w:sz w:val="12"/>
                <w:szCs w:val="12"/>
                <w:color w:val="auto"/>
              </w:rPr>
              <w:t>90,562,269</w:t>
            </w:r>
          </w:p>
        </w:tc>
      </w:tr>
      <w:tr>
        <w:trPr>
          <w:trHeight w:val="41"/>
        </w:trPr>
        <w:tc>
          <w:tcPr>
            <w:tcW w:w="920" w:type="dxa"/>
            <w:vAlign w:val="bottom"/>
            <w:tcBorders>
              <w:bottom w:val="single" w:sz="8" w:color="6D8CC3"/>
            </w:tcBorders>
          </w:tcPr>
          <w:p>
            <w:pPr>
              <w:spacing w:after="0"/>
              <w:rPr>
                <w:sz w:val="3"/>
                <w:szCs w:val="3"/>
                <w:color w:val="auto"/>
              </w:rPr>
            </w:pPr>
          </w:p>
        </w:tc>
        <w:tc>
          <w:tcPr>
            <w:tcW w:w="940" w:type="dxa"/>
            <w:vAlign w:val="bottom"/>
            <w:tcBorders>
              <w:bottom w:val="single" w:sz="8" w:color="6D8CC3"/>
            </w:tcBorders>
          </w:tcPr>
          <w:p>
            <w:pPr>
              <w:spacing w:after="0"/>
              <w:rPr>
                <w:sz w:val="3"/>
                <w:szCs w:val="3"/>
                <w:color w:val="auto"/>
              </w:rPr>
            </w:pPr>
          </w:p>
        </w:tc>
        <w:tc>
          <w:tcPr>
            <w:tcW w:w="880" w:type="dxa"/>
            <w:vAlign w:val="bottom"/>
            <w:tcBorders>
              <w:bottom w:val="single" w:sz="8" w:color="6D8CC3"/>
            </w:tcBorders>
          </w:tcPr>
          <w:p>
            <w:pPr>
              <w:spacing w:after="0"/>
              <w:rPr>
                <w:sz w:val="3"/>
                <w:szCs w:val="3"/>
                <w:color w:val="auto"/>
              </w:rPr>
            </w:pPr>
          </w:p>
        </w:tc>
        <w:tc>
          <w:tcPr>
            <w:tcW w:w="1080" w:type="dxa"/>
            <w:vAlign w:val="bottom"/>
            <w:tcBorders>
              <w:bottom w:val="single" w:sz="8" w:color="6D8CC3"/>
            </w:tcBorders>
          </w:tcPr>
          <w:p>
            <w:pPr>
              <w:spacing w:after="0"/>
              <w:rPr>
                <w:sz w:val="3"/>
                <w:szCs w:val="3"/>
                <w:color w:val="auto"/>
              </w:rPr>
            </w:pPr>
          </w:p>
        </w:tc>
        <w:tc>
          <w:tcPr>
            <w:tcW w:w="1000" w:type="dxa"/>
            <w:vAlign w:val="bottom"/>
            <w:tcBorders>
              <w:bottom w:val="single" w:sz="8" w:color="6D8CC3"/>
            </w:tcBorders>
          </w:tcPr>
          <w:p>
            <w:pPr>
              <w:spacing w:after="0"/>
              <w:rPr>
                <w:sz w:val="3"/>
                <w:szCs w:val="3"/>
                <w:color w:val="auto"/>
              </w:rPr>
            </w:pPr>
          </w:p>
        </w:tc>
        <w:tc>
          <w:tcPr>
            <w:tcW w:w="1140" w:type="dxa"/>
            <w:vAlign w:val="bottom"/>
            <w:tcBorders>
              <w:bottom w:val="single" w:sz="8" w:color="6D8CC3"/>
            </w:tcBorders>
          </w:tcPr>
          <w:p>
            <w:pPr>
              <w:spacing w:after="0"/>
              <w:rPr>
                <w:sz w:val="3"/>
                <w:szCs w:val="3"/>
                <w:color w:val="auto"/>
              </w:rPr>
            </w:pPr>
          </w:p>
        </w:tc>
        <w:tc>
          <w:tcPr>
            <w:tcW w:w="760" w:type="dxa"/>
            <w:vAlign w:val="bottom"/>
            <w:tcBorders>
              <w:bottom w:val="single" w:sz="8" w:color="6D8CC3"/>
            </w:tcBorders>
          </w:tcPr>
          <w:p>
            <w:pPr>
              <w:spacing w:after="0"/>
              <w:rPr>
                <w:sz w:val="3"/>
                <w:szCs w:val="3"/>
                <w:color w:val="auto"/>
              </w:rPr>
            </w:pPr>
          </w:p>
        </w:tc>
        <w:tc>
          <w:tcPr>
            <w:tcW w:w="340" w:type="dxa"/>
            <w:vAlign w:val="bottom"/>
            <w:tcBorders>
              <w:bottom w:val="single" w:sz="8" w:color="6D8CC3"/>
            </w:tcBorders>
          </w:tcPr>
          <w:p>
            <w:pPr>
              <w:spacing w:after="0"/>
              <w:rPr>
                <w:sz w:val="3"/>
                <w:szCs w:val="3"/>
                <w:color w:val="auto"/>
              </w:rPr>
            </w:pPr>
          </w:p>
        </w:tc>
        <w:tc>
          <w:tcPr>
            <w:tcW w:w="1040" w:type="dxa"/>
            <w:vAlign w:val="bottom"/>
            <w:tcBorders>
              <w:bottom w:val="single" w:sz="8" w:color="6D8CC3"/>
            </w:tcBorders>
          </w:tcPr>
          <w:p>
            <w:pPr>
              <w:spacing w:after="0"/>
              <w:rPr>
                <w:sz w:val="3"/>
                <w:szCs w:val="3"/>
                <w:color w:val="auto"/>
              </w:rPr>
            </w:pPr>
          </w:p>
        </w:tc>
        <w:tc>
          <w:tcPr>
            <w:tcW w:w="180" w:type="dxa"/>
            <w:vAlign w:val="bottom"/>
            <w:tcBorders>
              <w:bottom w:val="single" w:sz="8" w:color="6D8CC3"/>
            </w:tcBorders>
          </w:tcPr>
          <w:p>
            <w:pPr>
              <w:spacing w:after="0"/>
              <w:rPr>
                <w:sz w:val="3"/>
                <w:szCs w:val="3"/>
                <w:color w:val="auto"/>
              </w:rPr>
            </w:pPr>
          </w:p>
        </w:tc>
        <w:tc>
          <w:tcPr>
            <w:tcW w:w="760" w:type="dxa"/>
            <w:vAlign w:val="bottom"/>
            <w:tcBorders>
              <w:bottom w:val="single" w:sz="8" w:color="6D8CC3"/>
            </w:tcBorders>
          </w:tcPr>
          <w:p>
            <w:pPr>
              <w:spacing w:after="0"/>
              <w:rPr>
                <w:sz w:val="3"/>
                <w:szCs w:val="3"/>
                <w:color w:val="auto"/>
              </w:rPr>
            </w:pPr>
          </w:p>
        </w:tc>
      </w:tr>
      <w:tr>
        <w:trPr>
          <w:trHeight w:val="146"/>
        </w:trPr>
        <w:tc>
          <w:tcPr>
            <w:tcW w:w="920" w:type="dxa"/>
            <w:vAlign w:val="bottom"/>
          </w:tcPr>
          <w:p>
            <w:pPr>
              <w:spacing w:after="0"/>
              <w:rPr>
                <w:sz w:val="20"/>
                <w:szCs w:val="20"/>
                <w:color w:val="auto"/>
              </w:rPr>
            </w:pPr>
            <w:r>
              <w:rPr>
                <w:rFonts w:ascii="Arial" w:cs="Arial" w:eastAsia="Arial" w:hAnsi="Arial"/>
                <w:sz w:val="12"/>
                <w:szCs w:val="12"/>
                <w:color w:val="auto"/>
              </w:rPr>
              <w:t>Non-PEO NEO</w:t>
            </w:r>
          </w:p>
        </w:tc>
        <w:tc>
          <w:tcPr>
            <w:tcW w:w="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1"/>
        </w:trPr>
        <w:tc>
          <w:tcPr>
            <w:tcW w:w="920" w:type="dxa"/>
            <w:vAlign w:val="bottom"/>
          </w:tcPr>
          <w:p>
            <w:pPr>
              <w:spacing w:after="0"/>
              <w:rPr>
                <w:sz w:val="20"/>
                <w:szCs w:val="20"/>
                <w:color w:val="auto"/>
              </w:rPr>
            </w:pPr>
            <w:r>
              <w:rPr>
                <w:rFonts w:ascii="Arial" w:cs="Arial" w:eastAsia="Arial" w:hAnsi="Arial"/>
                <w:sz w:val="12"/>
                <w:szCs w:val="12"/>
                <w:color w:val="auto"/>
              </w:rPr>
              <w:t>Average</w:t>
            </w:r>
          </w:p>
        </w:tc>
        <w:tc>
          <w:tcPr>
            <w:tcW w:w="940" w:type="dxa"/>
            <w:vAlign w:val="bottom"/>
          </w:tcPr>
          <w:p>
            <w:pPr>
              <w:jc w:val="right"/>
              <w:ind w:right="41"/>
              <w:spacing w:after="0"/>
              <w:rPr>
                <w:sz w:val="20"/>
                <w:szCs w:val="20"/>
                <w:color w:val="auto"/>
              </w:rPr>
            </w:pPr>
            <w:r>
              <w:rPr>
                <w:rFonts w:ascii="Arial" w:cs="Arial" w:eastAsia="Arial" w:hAnsi="Arial"/>
                <w:sz w:val="12"/>
                <w:szCs w:val="12"/>
                <w:color w:val="auto"/>
              </w:rPr>
              <w:t>5,340,605</w:t>
            </w:r>
          </w:p>
        </w:tc>
        <w:tc>
          <w:tcPr>
            <w:tcW w:w="880" w:type="dxa"/>
            <w:vAlign w:val="bottom"/>
          </w:tcPr>
          <w:p>
            <w:pPr>
              <w:jc w:val="right"/>
              <w:ind w:right="81"/>
              <w:spacing w:after="0"/>
              <w:rPr>
                <w:sz w:val="20"/>
                <w:szCs w:val="20"/>
                <w:color w:val="auto"/>
              </w:rPr>
            </w:pPr>
            <w:r>
              <w:rPr>
                <w:rFonts w:ascii="Arial" w:cs="Arial" w:eastAsia="Arial" w:hAnsi="Arial"/>
                <w:sz w:val="12"/>
                <w:szCs w:val="12"/>
                <w:color w:val="auto"/>
              </w:rPr>
              <w:t>1,126,764</w:t>
            </w:r>
          </w:p>
        </w:tc>
        <w:tc>
          <w:tcPr>
            <w:tcW w:w="1080" w:type="dxa"/>
            <w:vAlign w:val="bottom"/>
          </w:tcPr>
          <w:p>
            <w:pPr>
              <w:jc w:val="right"/>
              <w:ind w:right="183"/>
              <w:spacing w:after="0"/>
              <w:rPr>
                <w:sz w:val="20"/>
                <w:szCs w:val="20"/>
                <w:color w:val="auto"/>
              </w:rPr>
            </w:pPr>
            <w:r>
              <w:rPr>
                <w:rFonts w:ascii="Arial" w:cs="Arial" w:eastAsia="Arial" w:hAnsi="Arial"/>
                <w:sz w:val="12"/>
                <w:szCs w:val="12"/>
                <w:color w:val="auto"/>
              </w:rPr>
              <w:t>1,023,384</w:t>
            </w:r>
          </w:p>
        </w:tc>
        <w:tc>
          <w:tcPr>
            <w:tcW w:w="1000" w:type="dxa"/>
            <w:vAlign w:val="bottom"/>
          </w:tcPr>
          <w:p>
            <w:pPr>
              <w:jc w:val="right"/>
              <w:ind w:right="243"/>
              <w:spacing w:after="0"/>
              <w:rPr>
                <w:sz w:val="20"/>
                <w:szCs w:val="20"/>
                <w:color w:val="auto"/>
              </w:rPr>
            </w:pPr>
            <w:r>
              <w:rPr>
                <w:rFonts w:ascii="Arial" w:cs="Arial" w:eastAsia="Arial" w:hAnsi="Arial"/>
                <w:sz w:val="12"/>
                <w:szCs w:val="12"/>
                <w:color w:val="auto"/>
              </w:rPr>
              <w:t>—</w:t>
            </w:r>
          </w:p>
        </w:tc>
        <w:tc>
          <w:tcPr>
            <w:tcW w:w="1140" w:type="dxa"/>
            <w:vAlign w:val="bottom"/>
          </w:tcPr>
          <w:p>
            <w:pPr>
              <w:jc w:val="right"/>
              <w:ind w:right="262"/>
              <w:spacing w:after="0"/>
              <w:rPr>
                <w:sz w:val="20"/>
                <w:szCs w:val="20"/>
                <w:color w:val="auto"/>
              </w:rPr>
            </w:pPr>
            <w:r>
              <w:rPr>
                <w:rFonts w:ascii="Arial" w:cs="Arial" w:eastAsia="Arial" w:hAnsi="Arial"/>
                <w:sz w:val="12"/>
                <w:szCs w:val="12"/>
                <w:color w:val="auto"/>
              </w:rPr>
              <w:t>735,793</w:t>
            </w:r>
          </w:p>
        </w:tc>
        <w:tc>
          <w:tcPr>
            <w:tcW w:w="1100" w:type="dxa"/>
            <w:vAlign w:val="bottom"/>
            <w:gridSpan w:val="2"/>
          </w:tcPr>
          <w:p>
            <w:pPr>
              <w:jc w:val="right"/>
              <w:ind w:right="99"/>
              <w:spacing w:after="0"/>
              <w:rPr>
                <w:sz w:val="20"/>
                <w:szCs w:val="20"/>
                <w:color w:val="auto"/>
              </w:rPr>
            </w:pPr>
            <w:r>
              <w:rPr>
                <w:rFonts w:ascii="Arial" w:cs="Arial" w:eastAsia="Arial" w:hAnsi="Arial"/>
                <w:sz w:val="12"/>
                <w:szCs w:val="12"/>
                <w:color w:val="auto"/>
              </w:rPr>
              <w:t>(480,289)</w:t>
            </w:r>
          </w:p>
        </w:tc>
        <w:tc>
          <w:tcPr>
            <w:tcW w:w="1040" w:type="dxa"/>
            <w:vAlign w:val="bottom"/>
          </w:tcPr>
          <w:p>
            <w:pPr>
              <w:jc w:val="right"/>
              <w:ind w:right="163"/>
              <w:spacing w:after="0"/>
              <w:rPr>
                <w:sz w:val="20"/>
                <w:szCs w:val="20"/>
                <w:color w:val="auto"/>
              </w:rPr>
            </w:pPr>
            <w:r>
              <w:rPr>
                <w:rFonts w:ascii="Arial" w:cs="Arial" w:eastAsia="Arial" w:hAnsi="Arial"/>
                <w:sz w:val="12"/>
                <w:szCs w:val="12"/>
                <w:color w:val="auto"/>
              </w:rPr>
              <w:t>1,454,751</w:t>
            </w:r>
          </w:p>
        </w:tc>
        <w:tc>
          <w:tcPr>
            <w:tcW w:w="180" w:type="dxa"/>
            <w:vAlign w:val="bottom"/>
          </w:tcPr>
          <w:p>
            <w:pPr>
              <w:spacing w:after="0"/>
              <w:rPr>
                <w:sz w:val="13"/>
                <w:szCs w:val="13"/>
                <w:color w:val="auto"/>
              </w:rPr>
            </w:pPr>
          </w:p>
        </w:tc>
        <w:tc>
          <w:tcPr>
            <w:tcW w:w="760" w:type="dxa"/>
            <w:vAlign w:val="bottom"/>
          </w:tcPr>
          <w:p>
            <w:pPr>
              <w:jc w:val="right"/>
              <w:ind w:right="59"/>
              <w:spacing w:after="0"/>
              <w:rPr>
                <w:sz w:val="20"/>
                <w:szCs w:val="20"/>
                <w:color w:val="auto"/>
              </w:rPr>
            </w:pPr>
            <w:r>
              <w:rPr>
                <w:rFonts w:ascii="Arial" w:cs="Arial" w:eastAsia="Arial" w:hAnsi="Arial"/>
                <w:sz w:val="12"/>
                <w:szCs w:val="12"/>
                <w:color w:val="auto"/>
              </w:rPr>
              <w:t>6,947,481</w:t>
            </w:r>
          </w:p>
        </w:tc>
      </w:tr>
      <w:tr>
        <w:trPr>
          <w:trHeight w:val="41"/>
        </w:trPr>
        <w:tc>
          <w:tcPr>
            <w:tcW w:w="920" w:type="dxa"/>
            <w:vAlign w:val="bottom"/>
            <w:tcBorders>
              <w:bottom w:val="single" w:sz="8" w:color="6D8CC3"/>
            </w:tcBorders>
          </w:tcPr>
          <w:p>
            <w:pPr>
              <w:spacing w:after="0"/>
              <w:rPr>
                <w:sz w:val="3"/>
                <w:szCs w:val="3"/>
                <w:color w:val="auto"/>
              </w:rPr>
            </w:pPr>
          </w:p>
        </w:tc>
        <w:tc>
          <w:tcPr>
            <w:tcW w:w="940" w:type="dxa"/>
            <w:vAlign w:val="bottom"/>
            <w:tcBorders>
              <w:bottom w:val="single" w:sz="8" w:color="6D8CC3"/>
            </w:tcBorders>
          </w:tcPr>
          <w:p>
            <w:pPr>
              <w:spacing w:after="0"/>
              <w:rPr>
                <w:sz w:val="3"/>
                <w:szCs w:val="3"/>
                <w:color w:val="auto"/>
              </w:rPr>
            </w:pPr>
          </w:p>
        </w:tc>
        <w:tc>
          <w:tcPr>
            <w:tcW w:w="880" w:type="dxa"/>
            <w:vAlign w:val="bottom"/>
            <w:tcBorders>
              <w:bottom w:val="single" w:sz="8" w:color="6D8CC3"/>
            </w:tcBorders>
          </w:tcPr>
          <w:p>
            <w:pPr>
              <w:spacing w:after="0"/>
              <w:rPr>
                <w:sz w:val="3"/>
                <w:szCs w:val="3"/>
                <w:color w:val="auto"/>
              </w:rPr>
            </w:pPr>
          </w:p>
        </w:tc>
        <w:tc>
          <w:tcPr>
            <w:tcW w:w="1080" w:type="dxa"/>
            <w:vAlign w:val="bottom"/>
            <w:tcBorders>
              <w:bottom w:val="single" w:sz="8" w:color="6D8CC3"/>
            </w:tcBorders>
          </w:tcPr>
          <w:p>
            <w:pPr>
              <w:spacing w:after="0"/>
              <w:rPr>
                <w:sz w:val="3"/>
                <w:szCs w:val="3"/>
                <w:color w:val="auto"/>
              </w:rPr>
            </w:pPr>
          </w:p>
        </w:tc>
        <w:tc>
          <w:tcPr>
            <w:tcW w:w="1000" w:type="dxa"/>
            <w:vAlign w:val="bottom"/>
            <w:tcBorders>
              <w:bottom w:val="single" w:sz="8" w:color="6D8CC3"/>
            </w:tcBorders>
          </w:tcPr>
          <w:p>
            <w:pPr>
              <w:spacing w:after="0"/>
              <w:rPr>
                <w:sz w:val="3"/>
                <w:szCs w:val="3"/>
                <w:color w:val="auto"/>
              </w:rPr>
            </w:pPr>
          </w:p>
        </w:tc>
        <w:tc>
          <w:tcPr>
            <w:tcW w:w="1140" w:type="dxa"/>
            <w:vAlign w:val="bottom"/>
            <w:tcBorders>
              <w:bottom w:val="single" w:sz="8" w:color="6D8CC3"/>
            </w:tcBorders>
          </w:tcPr>
          <w:p>
            <w:pPr>
              <w:spacing w:after="0"/>
              <w:rPr>
                <w:sz w:val="3"/>
                <w:szCs w:val="3"/>
                <w:color w:val="auto"/>
              </w:rPr>
            </w:pPr>
          </w:p>
        </w:tc>
        <w:tc>
          <w:tcPr>
            <w:tcW w:w="760" w:type="dxa"/>
            <w:vAlign w:val="bottom"/>
            <w:tcBorders>
              <w:bottom w:val="single" w:sz="8" w:color="6D8CC3"/>
            </w:tcBorders>
          </w:tcPr>
          <w:p>
            <w:pPr>
              <w:spacing w:after="0"/>
              <w:rPr>
                <w:sz w:val="3"/>
                <w:szCs w:val="3"/>
                <w:color w:val="auto"/>
              </w:rPr>
            </w:pPr>
          </w:p>
        </w:tc>
        <w:tc>
          <w:tcPr>
            <w:tcW w:w="340" w:type="dxa"/>
            <w:vAlign w:val="bottom"/>
            <w:tcBorders>
              <w:bottom w:val="single" w:sz="8" w:color="6D8CC3"/>
            </w:tcBorders>
          </w:tcPr>
          <w:p>
            <w:pPr>
              <w:spacing w:after="0"/>
              <w:rPr>
                <w:sz w:val="3"/>
                <w:szCs w:val="3"/>
                <w:color w:val="auto"/>
              </w:rPr>
            </w:pPr>
          </w:p>
        </w:tc>
        <w:tc>
          <w:tcPr>
            <w:tcW w:w="1040" w:type="dxa"/>
            <w:vAlign w:val="bottom"/>
            <w:tcBorders>
              <w:bottom w:val="single" w:sz="8" w:color="6D8CC3"/>
            </w:tcBorders>
          </w:tcPr>
          <w:p>
            <w:pPr>
              <w:spacing w:after="0"/>
              <w:rPr>
                <w:sz w:val="3"/>
                <w:szCs w:val="3"/>
                <w:color w:val="auto"/>
              </w:rPr>
            </w:pPr>
          </w:p>
        </w:tc>
        <w:tc>
          <w:tcPr>
            <w:tcW w:w="180" w:type="dxa"/>
            <w:vAlign w:val="bottom"/>
            <w:tcBorders>
              <w:bottom w:val="single" w:sz="8" w:color="6D8CC3"/>
            </w:tcBorders>
          </w:tcPr>
          <w:p>
            <w:pPr>
              <w:spacing w:after="0"/>
              <w:rPr>
                <w:sz w:val="3"/>
                <w:szCs w:val="3"/>
                <w:color w:val="auto"/>
              </w:rPr>
            </w:pPr>
          </w:p>
        </w:tc>
        <w:tc>
          <w:tcPr>
            <w:tcW w:w="760" w:type="dxa"/>
            <w:vAlign w:val="bottom"/>
            <w:tcBorders>
              <w:bottom w:val="single" w:sz="8" w:color="6D8CC3"/>
            </w:tcBorders>
          </w:tcPr>
          <w:p>
            <w:pPr>
              <w:spacing w:after="0"/>
              <w:rPr>
                <w:sz w:val="3"/>
                <w:szCs w:val="3"/>
                <w:color w:val="auto"/>
              </w:rPr>
            </w:pPr>
          </w:p>
        </w:tc>
      </w:tr>
    </w:tbl>
    <w:p>
      <w:pPr>
        <w:spacing w:after="0" w:line="56" w:lineRule="exact"/>
        <w:rPr>
          <w:sz w:val="20"/>
          <w:szCs w:val="20"/>
          <w:color w:val="auto"/>
        </w:rPr>
      </w:pPr>
    </w:p>
    <w:p>
      <w:pPr>
        <w:ind w:left="700" w:hanging="346"/>
        <w:spacing w:after="0"/>
        <w:tabs>
          <w:tab w:leader="none" w:pos="700" w:val="left"/>
        </w:tabs>
        <w:numPr>
          <w:ilvl w:val="0"/>
          <w:numId w:val="81"/>
        </w:numPr>
        <w:rPr>
          <w:rFonts w:ascii="Arial" w:cs="Arial" w:eastAsia="Arial" w:hAnsi="Arial"/>
          <w:sz w:val="14"/>
          <w:szCs w:val="14"/>
          <w:color w:val="auto"/>
        </w:rPr>
      </w:pPr>
      <w:r>
        <w:rPr>
          <w:rFonts w:ascii="Arial" w:cs="Arial" w:eastAsia="Arial" w:hAnsi="Arial"/>
          <w:sz w:val="14"/>
          <w:szCs w:val="14"/>
          <w:color w:val="auto"/>
        </w:rPr>
        <w:t>Represents the fair value of equity awards calculated in accordance with ASC Topic 718 Compensation—Stock Compensation.</w:t>
      </w:r>
    </w:p>
    <w:p>
      <w:pPr>
        <w:spacing w:after="0" w:line="62" w:lineRule="exact"/>
        <w:rPr>
          <w:sz w:val="20"/>
          <w:szCs w:val="20"/>
          <w:color w:val="auto"/>
        </w:rPr>
      </w:pPr>
    </w:p>
    <w:p>
      <w:pPr>
        <w:jc w:val="both"/>
        <w:ind w:left="700" w:right="180" w:hanging="346"/>
        <w:spacing w:after="0" w:line="241" w:lineRule="auto"/>
        <w:tabs>
          <w:tab w:leader="none" w:pos="700" w:val="left"/>
        </w:tabs>
        <w:numPr>
          <w:ilvl w:val="1"/>
          <w:numId w:val="82"/>
        </w:numPr>
        <w:rPr>
          <w:rFonts w:ascii="Arial" w:cs="Arial" w:eastAsia="Arial" w:hAnsi="Arial"/>
          <w:sz w:val="14"/>
          <w:szCs w:val="14"/>
          <w:color w:val="auto"/>
        </w:rPr>
      </w:pPr>
      <w:r>
        <w:rPr>
          <w:rFonts w:ascii="Arial" w:cs="Arial" w:eastAsia="Arial" w:hAnsi="Arial"/>
          <w:sz w:val="14"/>
          <w:szCs w:val="14"/>
          <w:color w:val="auto"/>
        </w:rPr>
        <w:t>Stock options are valued on the applicable measurement date using the Black-Scholes option pricing model. Valuation assumptions are based on an expected term calculated as the product of (i) the original expected term, multiplied by (ii) the ratio of remaining and original terms. Dividend yield is calculated based on the projected dividend at the time of measurement over the expected term.</w:t>
      </w:r>
    </w:p>
    <w:p>
      <w:pPr>
        <w:spacing w:after="0" w:line="1" w:lineRule="exact"/>
        <w:rPr>
          <w:rFonts w:ascii="Arial" w:cs="Arial" w:eastAsia="Arial" w:hAnsi="Arial"/>
          <w:sz w:val="14"/>
          <w:szCs w:val="14"/>
          <w:color w:val="auto"/>
        </w:rPr>
      </w:pPr>
    </w:p>
    <w:p>
      <w:pPr>
        <w:jc w:val="both"/>
        <w:ind w:left="700" w:right="40"/>
        <w:spacing w:after="0" w:line="241" w:lineRule="auto"/>
        <w:rPr>
          <w:rFonts w:ascii="Arial" w:cs="Arial" w:eastAsia="Arial" w:hAnsi="Arial"/>
          <w:sz w:val="14"/>
          <w:szCs w:val="14"/>
          <w:color w:val="auto"/>
        </w:rPr>
      </w:pPr>
      <w:r>
        <w:rPr>
          <w:rFonts w:ascii="Arial" w:cs="Arial" w:eastAsia="Arial" w:hAnsi="Arial"/>
          <w:sz w:val="14"/>
          <w:szCs w:val="14"/>
          <w:color w:val="auto"/>
        </w:rPr>
        <w:t>Volatility is calculated based on historical volatility at the time of measurement for the same time period as the expected term. The risk-free interest rate is based on U.S. Treasury rates on the measurement date for a time period that most closely aligns with the expected term.</w:t>
      </w:r>
    </w:p>
    <w:p>
      <w:pPr>
        <w:spacing w:after="0" w:line="51" w:lineRule="exact"/>
        <w:rPr>
          <w:rFonts w:ascii="Arial" w:cs="Arial" w:eastAsia="Arial" w:hAnsi="Arial"/>
          <w:sz w:val="14"/>
          <w:szCs w:val="14"/>
          <w:color w:val="auto"/>
        </w:rPr>
      </w:pPr>
    </w:p>
    <w:p>
      <w:pPr>
        <w:ind w:left="700" w:right="100" w:hanging="346"/>
        <w:spacing w:after="0" w:line="252" w:lineRule="auto"/>
        <w:tabs>
          <w:tab w:leader="none" w:pos="700" w:val="left"/>
        </w:tabs>
        <w:numPr>
          <w:ilvl w:val="1"/>
          <w:numId w:val="82"/>
        </w:numPr>
        <w:rPr>
          <w:rFonts w:ascii="Arial" w:cs="Arial" w:eastAsia="Arial" w:hAnsi="Arial"/>
          <w:sz w:val="14"/>
          <w:szCs w:val="14"/>
          <w:color w:val="auto"/>
        </w:rPr>
      </w:pPr>
      <w:r>
        <w:rPr>
          <w:rFonts w:ascii="Arial" w:cs="Arial" w:eastAsia="Arial" w:hAnsi="Arial"/>
          <w:sz w:val="14"/>
          <w:szCs w:val="14"/>
          <w:color w:val="auto"/>
        </w:rPr>
        <w:t>RSUs and PSUs are valued based on the fair market value of a share of the Company’s common stock on the measurement date, adjusted for anticipated dividend yields. PSU value is determined based on the probable outcome of the performance conditions as of the applicable measurement date.</w:t>
      </w:r>
    </w:p>
    <w:p>
      <w:pPr>
        <w:spacing w:after="0" w:line="30" w:lineRule="exact"/>
        <w:rPr>
          <w:rFonts w:ascii="Arial" w:cs="Arial" w:eastAsia="Arial" w:hAnsi="Arial"/>
          <w:sz w:val="14"/>
          <w:szCs w:val="14"/>
          <w:color w:val="auto"/>
        </w:rPr>
      </w:pPr>
    </w:p>
    <w:p>
      <w:pPr>
        <w:ind w:left="340" w:right="100" w:hanging="336"/>
        <w:spacing w:after="0" w:line="246" w:lineRule="auto"/>
        <w:tabs>
          <w:tab w:leader="none" w:pos="340"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 average compensation for the non-PEO NEOs reflects the compensation for the following individuals: (i) for fiscal 2025, Eva Boratto, Michael Wu, and Tom Mazurek; (ii) for fiscal 2024, Eva Boratto, Michael Wu, Tom Mazurek, Julie Rosen and Deon Riley; (iii) for fiscal 2023, Wendy Arlin, Eva Boratto, Julie Rosen, Deon Riley and Michael Wu; (iv) for fiscal 2022, Wendy Arlin, Julie Rosen, Deon Riley and Michael Wu; and (v) for fiscal 2021, Wendy Arlin, James Bersani, Julie Rosen, Deon Riley and Stuart Burgdoerfer.</w:t>
      </w:r>
    </w:p>
    <w:p>
      <w:pPr>
        <w:spacing w:after="0" w:line="34" w:lineRule="exact"/>
        <w:rPr>
          <w:rFonts w:ascii="Arial" w:cs="Arial" w:eastAsia="Arial" w:hAnsi="Arial"/>
          <w:sz w:val="14"/>
          <w:szCs w:val="14"/>
          <w:color w:val="auto"/>
        </w:rPr>
      </w:pPr>
    </w:p>
    <w:p>
      <w:pPr>
        <w:ind w:left="340" w:right="60" w:hanging="336"/>
        <w:spacing w:after="0" w:line="239" w:lineRule="auto"/>
        <w:tabs>
          <w:tab w:leader="none" w:pos="340" w:val="left"/>
        </w:tabs>
        <w:numPr>
          <w:ilvl w:val="0"/>
          <w:numId w:val="82"/>
        </w:numPr>
        <w:rPr>
          <w:rFonts w:ascii="Arial" w:cs="Arial" w:eastAsia="Arial" w:hAnsi="Arial"/>
          <w:sz w:val="14"/>
          <w:szCs w:val="14"/>
          <w:color w:val="auto"/>
        </w:rPr>
      </w:pPr>
      <w:r>
        <w:rPr>
          <w:rFonts w:ascii="Arial" w:cs="Arial" w:eastAsia="Arial" w:hAnsi="Arial"/>
          <w:sz w:val="14"/>
          <w:szCs w:val="14"/>
          <w:color w:val="auto"/>
        </w:rPr>
        <w:t>TSR is cumulative for the measurement periods beginning on January 31, 2021 and ending on the last day of each of fiscal 2025, 2024, 2023, 2022 and 2021, calculated in accordance with Item 201(e) of Regulation S-K, including reinvestment of dividends. The Company’s stock prices prior to August 3, 2021 have been adjusted to give effect to the spin-off of Victoria’s Secret &amp; Co. For fiscal 2025, the Company updated its peer group for purposes of Item 201(e) of Regulation S-K to the S&amp;P 400 Consumer Discretionary Distribution and Retail Index in connection with the Company’s inclusion in the S&amp;P MidCap 400 Consumer Discretionary Index beginning in 2025. Accordingly, the peer group total shareholder return amounts presented in the table above for all years reflect this updated peer group. In prior fiscal years, the Company utilized the S&amp;P 500 Consumer Discretionary Distribution and Retail Index as its peer group. The prior peer group TSR presented for the years fiscal years 2025, 2024, 2023, 2022, and 2021 were $164.12, $161.20, $123.16, $87.69, and $105.90,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123825</wp:posOffset>
            </wp:positionV>
            <wp:extent cx="573722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737225" cy="8255"/>
                    </a:xfrm>
                    <a:prstGeom prst="rect">
                      <a:avLst/>
                    </a:prstGeom>
                    <a:noFill/>
                  </pic:spPr>
                </pic:pic>
              </a:graphicData>
            </a:graphic>
          </wp:anchor>
        </w:drawing>
      </w: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b w:val="1"/>
          <w:bCs w:val="1"/>
          <w:color w:val="292F72"/>
        </w:rPr>
        <w:t>56</w:t>
      </w:r>
      <w:r>
        <w:rPr>
          <w:rFonts w:ascii="Arial" w:cs="Arial" w:eastAsia="Arial" w:hAnsi="Arial"/>
          <w:sz w:val="14"/>
          <w:szCs w:val="14"/>
          <w:color w:val="292F72"/>
        </w:rPr>
        <w:t xml:space="preserve">     Bath &amp; Body Works, Inc.</w:t>
      </w:r>
      <w:r>
        <w:rPr>
          <w:rFonts w:ascii="Arial" w:cs="Arial" w:eastAsia="Arial" w:hAnsi="Arial"/>
          <w:sz w:val="14"/>
          <w:szCs w:val="14"/>
          <w:color w:val="6D8CC3"/>
        </w:rPr>
        <w:t xml:space="preserve">   | </w:t>
      </w:r>
      <w:r>
        <w:rPr>
          <w:rFonts w:ascii="Arial" w:cs="Arial" w:eastAsia="Arial" w:hAnsi="Arial"/>
          <w:sz w:val="14"/>
          <w:szCs w:val="14"/>
          <w:b w:val="1"/>
          <w:bCs w:val="1"/>
          <w:color w:val="292F72"/>
        </w:rPr>
        <w:t xml:space="preserve">  </w:t>
      </w:r>
      <w:r>
        <w:rPr>
          <w:rFonts w:ascii="Arial" w:cs="Arial" w:eastAsia="Arial" w:hAnsi="Arial"/>
          <w:sz w:val="14"/>
          <w:szCs w:val="14"/>
          <w:color w:val="292F72"/>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178435</wp:posOffset>
            </wp:positionV>
            <wp:extent cx="6795135" cy="1651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795135" cy="16510"/>
                    </a:xfrm>
                    <a:prstGeom prst="rect">
                      <a:avLst/>
                    </a:prstGeom>
                    <a:noFill/>
                  </pic:spPr>
                </pic:pic>
              </a:graphicData>
            </a:graphic>
          </wp:anchor>
        </w:drawing>
      </w:r>
    </w:p>
    <w:p>
      <w:pPr>
        <w:sectPr>
          <w:pgSz w:w="11900" w:h="16838" w:orient="portrait"/>
          <w:cols w:equalWidth="0" w:num="1">
            <w:col w:w="9040"/>
          </w:cols>
          <w:pgMar w:left="1420" w:top="116" w:right="14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2" w:lineRule="exact"/>
        <w:rPr>
          <w:sz w:val="20"/>
          <w:szCs w:val="20"/>
          <w:color w:val="auto"/>
        </w:rPr>
      </w:pPr>
    </w:p>
    <w:p>
      <w:pPr>
        <w:ind w:left="6840"/>
        <w:spacing w:after="0"/>
        <w:rPr>
          <w:sz w:val="20"/>
          <w:szCs w:val="20"/>
          <w:color w:val="auto"/>
        </w:rPr>
      </w:pPr>
      <w:r>
        <w:rPr>
          <w:rFonts w:ascii="Arial" w:cs="Arial" w:eastAsia="Arial" w:hAnsi="Arial"/>
          <w:sz w:val="15"/>
          <w:szCs w:val="15"/>
          <w:color w:val="292F72"/>
        </w:rPr>
        <w:t>Compensation-Related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48260</wp:posOffset>
            </wp:positionV>
            <wp:extent cx="1407160" cy="3302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407160" cy="33020"/>
                    </a:xfrm>
                    <a:prstGeom prst="rect">
                      <a:avLst/>
                    </a:prstGeom>
                    <a:noFill/>
                  </pic:spPr>
                </pic:pic>
              </a:graphicData>
            </a:graphic>
          </wp:anchor>
        </w:drawing>
      </w:r>
    </w:p>
    <w:p>
      <w:pPr>
        <w:spacing w:after="0" w:line="191" w:lineRule="exact"/>
        <w:rPr>
          <w:sz w:val="20"/>
          <w:szCs w:val="20"/>
          <w:color w:val="auto"/>
        </w:rPr>
      </w:pPr>
    </w:p>
    <w:p>
      <w:pPr>
        <w:ind w:left="340" w:right="120" w:hanging="336"/>
        <w:spacing w:after="0" w:line="243" w:lineRule="auto"/>
        <w:tabs>
          <w:tab w:leader="none" w:pos="3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Adjusted operating income is a non-GAAP financial measure that reflects the Company’s operating income excluding certain special items. Attached as Appendix A are reconciliations of the Company’s fiscal 2025, 2024, 2023, 2022 and 2021 adjusted operating income to the Company’s fiscal 2025, 2024, 2023, 2022 and 2021 GAAP operating income, as well as other important disclosures regarding non-GAAP financial measures. For fiscal 2024, 2023 and 2022, we did not make any adjustments to operating income; therefore, for fiscal 2024, 2023 and 2022, adjusted operating income is equal to our GAAP operating income for fiscal 2024, 2023 and 2022, respectively.</w:t>
      </w:r>
    </w:p>
    <w:p>
      <w:pPr>
        <w:spacing w:after="0" w:line="299" w:lineRule="exact"/>
        <w:rPr>
          <w:sz w:val="20"/>
          <w:szCs w:val="20"/>
          <w:color w:val="auto"/>
        </w:rPr>
      </w:pPr>
    </w:p>
    <w:p>
      <w:pPr>
        <w:spacing w:after="0"/>
        <w:rPr>
          <w:sz w:val="20"/>
          <w:szCs w:val="20"/>
          <w:color w:val="auto"/>
        </w:rPr>
      </w:pPr>
      <w:r>
        <w:rPr>
          <w:rFonts w:ascii="Arial" w:cs="Arial" w:eastAsia="Arial" w:hAnsi="Arial"/>
          <w:sz w:val="19"/>
          <w:szCs w:val="19"/>
          <w:b w:val="1"/>
          <w:bCs w:val="1"/>
          <w:color w:val="6D8CC3"/>
        </w:rPr>
        <w:t>MOST IMPORTANT PERFORMANCE MEASURES FOR FISCAL 2025</w:t>
      </w:r>
    </w:p>
    <w:p>
      <w:pPr>
        <w:spacing w:after="0" w:line="55"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 xml:space="preserve">The following table sets forth a list of the performance measures that we view as the “most important” measures for linking our PEO and other NEO pay to performance for fiscal 2025. While these financial measures are considered the most important measures, additional financial and other measures were also considered to align pay and performance as further described under the heading “—Compensation Discussion and Analysis” beginning on page </w:t>
      </w:r>
      <w:r>
        <w:rPr>
          <w:rFonts w:ascii="Arial" w:cs="Arial" w:eastAsia="Arial" w:hAnsi="Arial"/>
          <w:sz w:val="16"/>
          <w:szCs w:val="16"/>
          <w:u w:val="single" w:color="auto"/>
          <w:color w:val="0000EE"/>
        </w:rPr>
        <w:t>29</w:t>
      </w:r>
      <w:r>
        <w:rPr>
          <w:rFonts w:ascii="Arial" w:cs="Arial" w:eastAsia="Arial" w:hAnsi="Arial"/>
          <w:sz w:val="16"/>
          <w:szCs w:val="16"/>
          <w:color w:val="auto"/>
        </w:rPr>
        <w:t xml:space="preserve"> of this proxy statement.</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color w:val="292F72"/>
        </w:rPr>
        <w:t>PERFORMANCE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62230</wp:posOffset>
            </wp:positionV>
            <wp:extent cx="573722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737225" cy="825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Adjusted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573722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737225" cy="8255"/>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573722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737225" cy="8255"/>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Relative total shareholder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573722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737225" cy="8255"/>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Cumulative adjusted operating income as a percentage of cumulative sales (“adjusted operating income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48895</wp:posOffset>
            </wp:positionV>
            <wp:extent cx="573722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737225" cy="8255"/>
                    </a:xfrm>
                    <a:prstGeom prst="rect">
                      <a:avLst/>
                    </a:prstGeom>
                    <a:noFill/>
                  </pic:spPr>
                </pic:pic>
              </a:graphicData>
            </a:graphic>
          </wp:anchor>
        </w:drawing>
      </w:r>
    </w:p>
    <w:p>
      <w:pPr>
        <w:spacing w:after="0" w:line="229"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From the above list of performance measures, we view adjusted operating income as our most important financial performance measure used to link compensation actually paid to our PEOs and other NEOs to Company performance for fiscal 2025. Adjusted operating income is a key component of the Company’s short-term performance-based incentive compensation program and is a performance measure over which our NEOs can have significant impact. In addition, adjusted operating income is directly linked to the Company’s long-term strategic growth plan and performance that drive shareholder value and is highly correlated with fluctuations in our stock price. In fiscal 2025, we adjusted the weighting of the Company’s short-term performance-based incentive compensation program, net sales being weighted at 35%, with absolute adjusted operating income weighted at 65% and continuing to serve as the primary performance metric.</w:t>
      </w:r>
    </w:p>
    <w:p>
      <w:pPr>
        <w:spacing w:after="0" w:line="162" w:lineRule="exact"/>
        <w:rPr>
          <w:sz w:val="20"/>
          <w:szCs w:val="20"/>
          <w:color w:val="auto"/>
        </w:rPr>
      </w:pPr>
    </w:p>
    <w:p>
      <w:pPr>
        <w:ind w:right="120"/>
        <w:spacing w:after="0" w:line="254" w:lineRule="auto"/>
        <w:rPr>
          <w:sz w:val="20"/>
          <w:szCs w:val="20"/>
          <w:color w:val="auto"/>
        </w:rPr>
      </w:pPr>
      <w:r>
        <w:rPr>
          <w:rFonts w:ascii="Arial" w:cs="Arial" w:eastAsia="Arial" w:hAnsi="Arial"/>
          <w:sz w:val="16"/>
          <w:szCs w:val="16"/>
          <w:color w:val="auto"/>
        </w:rPr>
        <w:t>As for the other performance measures listed in the table above, adjusted operating income margin and relative TSR are equally weighted metrics in our long-term performance-based incentive compensation program for fiscal 2025, which was a key component of our NEOs’ pay in 2025.</w:t>
      </w:r>
    </w:p>
    <w:p>
      <w:pPr>
        <w:spacing w:after="0" w:line="137" w:lineRule="exact"/>
        <w:rPr>
          <w:sz w:val="20"/>
          <w:szCs w:val="20"/>
          <w:color w:val="auto"/>
        </w:rPr>
      </w:pPr>
    </w:p>
    <w:p>
      <w:pPr>
        <w:ind w:right="620"/>
        <w:spacing w:after="0" w:line="254" w:lineRule="auto"/>
        <w:rPr>
          <w:sz w:val="20"/>
          <w:szCs w:val="20"/>
          <w:color w:val="auto"/>
        </w:rPr>
      </w:pPr>
      <w:r>
        <w:rPr>
          <w:rFonts w:ascii="Arial" w:cs="Arial" w:eastAsia="Arial" w:hAnsi="Arial"/>
          <w:sz w:val="16"/>
          <w:szCs w:val="16"/>
          <w:color w:val="auto"/>
        </w:rPr>
        <w:t xml:space="preserve">For additional information regarding how the above listed performance measures were utilized as part of our executive compensation program in fiscal 2025, see “—Compensation Discussion and Analysis” beginning on page </w:t>
      </w:r>
      <w:r>
        <w:rPr>
          <w:rFonts w:ascii="Arial" w:cs="Arial" w:eastAsia="Arial" w:hAnsi="Arial"/>
          <w:sz w:val="16"/>
          <w:szCs w:val="16"/>
          <w:u w:val="single" w:color="auto"/>
          <w:color w:val="0000EE"/>
        </w:rPr>
        <w:t>29</w:t>
      </w:r>
      <w:r>
        <w:rPr>
          <w:rFonts w:ascii="Arial" w:cs="Arial" w:eastAsia="Arial" w:hAnsi="Arial"/>
          <w:sz w:val="16"/>
          <w:szCs w:val="16"/>
          <w:color w:val="auto"/>
        </w:rPr>
        <w:t xml:space="preserve">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120015</wp:posOffset>
            </wp:positionV>
            <wp:extent cx="573722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737225" cy="8255"/>
                    </a:xfrm>
                    <a:prstGeom prst="rect">
                      <a:avLst/>
                    </a:prstGeom>
                    <a:noFill/>
                  </pic:spPr>
                </pic:pic>
              </a:graphicData>
            </a:graphic>
          </wp:anchor>
        </w:drawing>
      </w:r>
    </w:p>
    <w:p>
      <w:pPr>
        <w:spacing w:after="0" w:line="264" w:lineRule="exact"/>
        <w:rPr>
          <w:sz w:val="20"/>
          <w:szCs w:val="20"/>
          <w:color w:val="auto"/>
        </w:rPr>
      </w:pPr>
    </w:p>
    <w:p>
      <w:pPr>
        <w:jc w:val="right"/>
        <w:spacing w:after="0"/>
        <w:rPr>
          <w:sz w:val="20"/>
          <w:szCs w:val="20"/>
          <w:color w:val="auto"/>
        </w:rPr>
      </w:pPr>
      <w:r>
        <w:rPr>
          <w:rFonts w:ascii="Arial" w:cs="Arial" w:eastAsia="Arial" w:hAnsi="Arial"/>
          <w:sz w:val="14"/>
          <w:szCs w:val="14"/>
          <w:color w:val="292F72"/>
        </w:rPr>
        <w:t>Bath &amp; Body Works, Inc.</w:t>
      </w:r>
      <w:r>
        <w:rPr>
          <w:rFonts w:ascii="Arial" w:cs="Arial" w:eastAsia="Arial" w:hAnsi="Arial"/>
          <w:sz w:val="14"/>
          <w:szCs w:val="14"/>
          <w:color w:val="6D8CC3"/>
        </w:rPr>
        <w:t xml:space="preserve">   | </w:t>
      </w:r>
      <w:r>
        <w:rPr>
          <w:rFonts w:ascii="Arial" w:cs="Arial" w:eastAsia="Arial" w:hAnsi="Arial"/>
          <w:sz w:val="14"/>
          <w:szCs w:val="14"/>
          <w:color w:val="292F72"/>
        </w:rPr>
        <w:t xml:space="preserve">  2026 Proxy Statement     </w:t>
      </w:r>
      <w:r>
        <w:rPr>
          <w:rFonts w:ascii="Arial" w:cs="Arial" w:eastAsia="Arial" w:hAnsi="Arial"/>
          <w:sz w:val="14"/>
          <w:szCs w:val="14"/>
          <w:b w:val="1"/>
          <w:bCs w:val="1"/>
          <w:color w:val="292F72"/>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145415</wp:posOffset>
            </wp:positionV>
            <wp:extent cx="6795135" cy="1651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795135" cy="16510"/>
                    </a:xfrm>
                    <a:prstGeom prst="rect">
                      <a:avLst/>
                    </a:prstGeom>
                    <a:noFill/>
                  </pic:spPr>
                </pic:pic>
              </a:graphicData>
            </a:graphic>
          </wp:anchor>
        </w:drawing>
      </w:r>
    </w:p>
    <w:p>
      <w:pPr>
        <w:sectPr>
          <w:pgSz w:w="11900" w:h="16838" w:orient="portrait"/>
          <w:cols w:equalWidth="0" w:num="1">
            <w:col w:w="9040"/>
          </w:cols>
          <w:pgMar w:left="1420" w:top="116" w:right="14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6"/>
          <w:szCs w:val="16"/>
          <w:color w:val="292F72"/>
        </w:rPr>
        <w:t>Compensation-Related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40640</wp:posOffset>
            </wp:positionV>
            <wp:extent cx="1407160" cy="3302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407160" cy="3302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b w:val="1"/>
          <w:bCs w:val="1"/>
          <w:color w:val="6D8CC3"/>
        </w:rPr>
        <w:t>RELATIONSHIP BETWEEN CAP AND PERFORMANCE</w:t>
      </w:r>
    </w:p>
    <w:p>
      <w:pPr>
        <w:spacing w:after="0" w:line="55" w:lineRule="exact"/>
        <w:rPr>
          <w:sz w:val="20"/>
          <w:szCs w:val="20"/>
          <w:color w:val="auto"/>
        </w:rPr>
      </w:pPr>
    </w:p>
    <w:p>
      <w:pPr>
        <w:ind w:right="519"/>
        <w:spacing w:after="0" w:line="268" w:lineRule="auto"/>
        <w:rPr>
          <w:sz w:val="20"/>
          <w:szCs w:val="20"/>
          <w:color w:val="auto"/>
        </w:rPr>
      </w:pPr>
      <w:r>
        <w:rPr>
          <w:rFonts w:ascii="Arial" w:cs="Arial" w:eastAsia="Arial" w:hAnsi="Arial"/>
          <w:sz w:val="16"/>
          <w:szCs w:val="16"/>
          <w:color w:val="auto"/>
        </w:rPr>
        <w:t>The following charts illustrate the relationship of CAP of our PEOs and our other non-PEO NEOs to (i) the Company’s total shareholder return, (ii) the Company’s net income, and (iii) the Company’s adjusted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179705</wp:posOffset>
            </wp:positionV>
            <wp:extent cx="5737225" cy="65449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737225" cy="6544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b w:val="1"/>
          <w:bCs w:val="1"/>
          <w:color w:val="292F72"/>
        </w:rPr>
        <w:t>58</w:t>
      </w:r>
      <w:r>
        <w:rPr>
          <w:rFonts w:ascii="Arial" w:cs="Arial" w:eastAsia="Arial" w:hAnsi="Arial"/>
          <w:sz w:val="14"/>
          <w:szCs w:val="14"/>
          <w:color w:val="292F72"/>
        </w:rPr>
        <w:t xml:space="preserve">     Bath &amp; Body Works, Inc.</w:t>
      </w:r>
      <w:r>
        <w:rPr>
          <w:rFonts w:ascii="Arial" w:cs="Arial" w:eastAsia="Arial" w:hAnsi="Arial"/>
          <w:sz w:val="14"/>
          <w:szCs w:val="14"/>
          <w:color w:val="6D8CC3"/>
        </w:rPr>
        <w:t xml:space="preserve">   | </w:t>
      </w:r>
      <w:r>
        <w:rPr>
          <w:rFonts w:ascii="Arial" w:cs="Arial" w:eastAsia="Arial" w:hAnsi="Arial"/>
          <w:sz w:val="14"/>
          <w:szCs w:val="14"/>
          <w:b w:val="1"/>
          <w:bCs w:val="1"/>
          <w:color w:val="292F72"/>
        </w:rPr>
        <w:t xml:space="preserve">  </w:t>
      </w:r>
      <w:r>
        <w:rPr>
          <w:rFonts w:ascii="Arial" w:cs="Arial" w:eastAsia="Arial" w:hAnsi="Arial"/>
          <w:sz w:val="14"/>
          <w:szCs w:val="14"/>
          <w:color w:val="292F72"/>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170180</wp:posOffset>
            </wp:positionV>
            <wp:extent cx="6795135" cy="1651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795135" cy="16510"/>
                    </a:xfrm>
                    <a:prstGeom prst="rect">
                      <a:avLst/>
                    </a:prstGeom>
                    <a:noFill/>
                  </pic:spPr>
                </pic:pic>
              </a:graphicData>
            </a:graphic>
          </wp:anchor>
        </w:drawing>
      </w:r>
    </w:p>
    <w:p>
      <w:pPr>
        <w:sectPr>
          <w:pgSz w:w="11900" w:h="16838" w:orient="portrait"/>
          <w:cols w:equalWidth="0" w:num="1">
            <w:col w:w="9039"/>
          </w:cols>
          <w:pgMar w:left="1420" w:top="116" w:right="1440"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2"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292F72"/>
        </w:rPr>
        <w:t>Compensation-Related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40640</wp:posOffset>
            </wp:positionV>
            <wp:extent cx="5737225" cy="667829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737225" cy="6678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Arial" w:cs="Arial" w:eastAsia="Arial" w:hAnsi="Arial"/>
          <w:sz w:val="14"/>
          <w:szCs w:val="14"/>
          <w:color w:val="292F72"/>
        </w:rPr>
        <w:t>Bath &amp; Body Works, Inc.</w:t>
      </w:r>
      <w:r>
        <w:rPr>
          <w:rFonts w:ascii="Arial" w:cs="Arial" w:eastAsia="Arial" w:hAnsi="Arial"/>
          <w:sz w:val="14"/>
          <w:szCs w:val="14"/>
          <w:color w:val="6D8CC3"/>
        </w:rPr>
        <w:t xml:space="preserve">   | </w:t>
      </w:r>
      <w:r>
        <w:rPr>
          <w:rFonts w:ascii="Arial" w:cs="Arial" w:eastAsia="Arial" w:hAnsi="Arial"/>
          <w:sz w:val="14"/>
          <w:szCs w:val="14"/>
          <w:color w:val="292F72"/>
        </w:rPr>
        <w:t xml:space="preserve">  2026 Proxy Statement     </w:t>
      </w:r>
      <w:r>
        <w:rPr>
          <w:rFonts w:ascii="Arial" w:cs="Arial" w:eastAsia="Arial" w:hAnsi="Arial"/>
          <w:sz w:val="14"/>
          <w:szCs w:val="14"/>
          <w:b w:val="1"/>
          <w:bCs w:val="1"/>
          <w:color w:val="292F72"/>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153670</wp:posOffset>
            </wp:positionV>
            <wp:extent cx="6795135" cy="1651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795135" cy="16510"/>
                    </a:xfrm>
                    <a:prstGeom prst="rect">
                      <a:avLst/>
                    </a:prstGeom>
                    <a:noFill/>
                  </pic:spPr>
                </pic:pic>
              </a:graphicData>
            </a:graphic>
          </wp:anchor>
        </w:drawing>
      </w:r>
    </w:p>
    <w:p>
      <w:pPr>
        <w:sectPr>
          <w:pgSz w:w="11900" w:h="16838" w:orient="portrait"/>
          <w:cols w:equalWidth="0" w:num="1">
            <w:col w:w="9040"/>
          </w:cols>
          <w:pgMar w:left="1420" w:top="116" w:right="14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7" w:lineRule="exact"/>
        <w:rPr>
          <w:sz w:val="20"/>
          <w:szCs w:val="20"/>
          <w:color w:val="auto"/>
        </w:rPr>
      </w:pPr>
    </w:p>
    <w:p>
      <w:pPr>
        <w:spacing w:after="0"/>
        <w:rPr>
          <w:sz w:val="20"/>
          <w:szCs w:val="20"/>
          <w:color w:val="auto"/>
        </w:rPr>
      </w:pPr>
      <w:r>
        <w:rPr>
          <w:rFonts w:ascii="Arial" w:cs="Arial" w:eastAsia="Arial" w:hAnsi="Arial"/>
          <w:sz w:val="38"/>
          <w:szCs w:val="38"/>
          <w:color w:val="292F72"/>
        </w:rPr>
        <w:t>Beneficial Ownership of Common Stock</w:t>
      </w:r>
    </w:p>
    <w:p>
      <w:pPr>
        <w:spacing w:after="0" w:line="186" w:lineRule="exact"/>
        <w:rPr>
          <w:sz w:val="20"/>
          <w:szCs w:val="20"/>
          <w:color w:val="auto"/>
        </w:rPr>
      </w:pPr>
    </w:p>
    <w:p>
      <w:pPr>
        <w:ind w:right="160"/>
        <w:spacing w:after="0" w:line="254" w:lineRule="auto"/>
        <w:rPr>
          <w:sz w:val="20"/>
          <w:szCs w:val="20"/>
          <w:color w:val="auto"/>
        </w:rPr>
      </w:pPr>
      <w:r>
        <w:rPr>
          <w:rFonts w:ascii="Arial" w:cs="Arial" w:eastAsia="Arial" w:hAnsi="Arial"/>
          <w:sz w:val="16"/>
          <w:szCs w:val="16"/>
          <w:color w:val="auto"/>
        </w:rPr>
        <w:t xml:space="preserve">The following table includes certain information about the securities ownership of all directors of the Company, the current and former executive officers of the Company named in the 2025 Summary Compensation Table on page </w:t>
      </w:r>
      <w:r>
        <w:rPr>
          <w:rFonts w:ascii="Arial" w:cs="Arial" w:eastAsia="Arial" w:hAnsi="Arial"/>
          <w:sz w:val="16"/>
          <w:szCs w:val="16"/>
          <w:u w:val="single" w:color="auto"/>
          <w:color w:val="0000EE"/>
        </w:rPr>
        <w:t>45</w:t>
      </w:r>
      <w:r>
        <w:rPr>
          <w:rFonts w:ascii="Arial" w:cs="Arial" w:eastAsia="Arial" w:hAnsi="Arial"/>
          <w:sz w:val="16"/>
          <w:szCs w:val="16"/>
          <w:color w:val="auto"/>
        </w:rPr>
        <w:t xml:space="preserve"> of this proxy statement and all directors and current executive officers of the Company as a group.</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3840" w:type="dxa"/>
            <w:vAlign w:val="bottom"/>
          </w:tcPr>
          <w:p>
            <w:pPr>
              <w:ind w:left="1980"/>
              <w:spacing w:after="0"/>
              <w:rPr>
                <w:sz w:val="20"/>
                <w:szCs w:val="20"/>
                <w:color w:val="auto"/>
              </w:rPr>
            </w:pPr>
            <w:r>
              <w:rPr>
                <w:rFonts w:ascii="Arial" w:cs="Arial" w:eastAsia="Arial" w:hAnsi="Arial"/>
                <w:sz w:val="14"/>
                <w:szCs w:val="14"/>
                <w:b w:val="1"/>
                <w:bCs w:val="1"/>
                <w:color w:val="292F72"/>
              </w:rPr>
              <w:t>NUMBER OF SHARES OF</w:t>
            </w:r>
          </w:p>
        </w:tc>
        <w:tc>
          <w:tcPr>
            <w:tcW w:w="1120" w:type="dxa"/>
            <w:vAlign w:val="bottom"/>
          </w:tcPr>
          <w:p>
            <w:pPr>
              <w:spacing w:after="0"/>
              <w:rPr>
                <w:sz w:val="14"/>
                <w:szCs w:val="14"/>
                <w:color w:val="auto"/>
              </w:rPr>
            </w:pPr>
          </w:p>
        </w:tc>
      </w:tr>
      <w:tr>
        <w:trPr>
          <w:trHeight w:val="157"/>
        </w:trPr>
        <w:tc>
          <w:tcPr>
            <w:tcW w:w="4080" w:type="dxa"/>
            <w:vAlign w:val="bottom"/>
          </w:tcPr>
          <w:p>
            <w:pPr>
              <w:spacing w:after="0"/>
              <w:rPr>
                <w:sz w:val="13"/>
                <w:szCs w:val="13"/>
                <w:color w:val="auto"/>
              </w:rPr>
            </w:pPr>
          </w:p>
        </w:tc>
        <w:tc>
          <w:tcPr>
            <w:tcW w:w="3840" w:type="dxa"/>
            <w:vAlign w:val="bottom"/>
          </w:tcPr>
          <w:p>
            <w:pPr>
              <w:ind w:left="1980"/>
              <w:spacing w:after="0" w:line="157" w:lineRule="exact"/>
              <w:rPr>
                <w:sz w:val="20"/>
                <w:szCs w:val="20"/>
                <w:color w:val="auto"/>
              </w:rPr>
            </w:pPr>
            <w:r>
              <w:rPr>
                <w:rFonts w:ascii="Arial" w:cs="Arial" w:eastAsia="Arial" w:hAnsi="Arial"/>
                <w:sz w:val="14"/>
                <w:szCs w:val="14"/>
                <w:b w:val="1"/>
                <w:bCs w:val="1"/>
                <w:color w:val="292F72"/>
              </w:rPr>
              <w:t>COMMON STOCK</w:t>
            </w:r>
          </w:p>
        </w:tc>
        <w:tc>
          <w:tcPr>
            <w:tcW w:w="1120" w:type="dxa"/>
            <w:vAlign w:val="bottom"/>
          </w:tcPr>
          <w:p>
            <w:pPr>
              <w:spacing w:after="0"/>
              <w:rPr>
                <w:sz w:val="13"/>
                <w:szCs w:val="13"/>
                <w:color w:val="auto"/>
              </w:rPr>
            </w:pPr>
          </w:p>
        </w:tc>
      </w:tr>
      <w:tr>
        <w:trPr>
          <w:trHeight w:val="154"/>
        </w:trPr>
        <w:tc>
          <w:tcPr>
            <w:tcW w:w="4080" w:type="dxa"/>
            <w:vAlign w:val="bottom"/>
          </w:tcPr>
          <w:p>
            <w:pPr>
              <w:spacing w:after="0"/>
              <w:rPr>
                <w:sz w:val="13"/>
                <w:szCs w:val="13"/>
                <w:color w:val="auto"/>
              </w:rPr>
            </w:pPr>
          </w:p>
        </w:tc>
        <w:tc>
          <w:tcPr>
            <w:tcW w:w="3840" w:type="dxa"/>
            <w:vAlign w:val="bottom"/>
          </w:tcPr>
          <w:p>
            <w:pPr>
              <w:ind w:left="1980"/>
              <w:spacing w:after="0" w:line="154" w:lineRule="exact"/>
              <w:rPr>
                <w:sz w:val="20"/>
                <w:szCs w:val="20"/>
                <w:color w:val="auto"/>
              </w:rPr>
            </w:pPr>
            <w:r>
              <w:rPr>
                <w:rFonts w:ascii="Arial" w:cs="Arial" w:eastAsia="Arial" w:hAnsi="Arial"/>
                <w:sz w:val="14"/>
                <w:szCs w:val="14"/>
                <w:b w:val="1"/>
                <w:bCs w:val="1"/>
                <w:color w:val="292F72"/>
              </w:rPr>
              <w:t>BENEFICIALLY</w:t>
            </w:r>
          </w:p>
        </w:tc>
        <w:tc>
          <w:tcPr>
            <w:tcW w:w="1120" w:type="dxa"/>
            <w:vAlign w:val="bottom"/>
          </w:tcPr>
          <w:p>
            <w:pPr>
              <w:ind w:left="180"/>
              <w:spacing w:after="0" w:line="154" w:lineRule="exact"/>
              <w:rPr>
                <w:sz w:val="20"/>
                <w:szCs w:val="20"/>
                <w:color w:val="auto"/>
              </w:rPr>
            </w:pPr>
            <w:r>
              <w:rPr>
                <w:rFonts w:ascii="Arial" w:cs="Arial" w:eastAsia="Arial" w:hAnsi="Arial"/>
                <w:sz w:val="14"/>
                <w:szCs w:val="14"/>
                <w:b w:val="1"/>
                <w:bCs w:val="1"/>
                <w:color w:val="292F72"/>
              </w:rPr>
              <w:t>PERCENT OF</w:t>
            </w:r>
          </w:p>
        </w:tc>
      </w:tr>
      <w:tr>
        <w:trPr>
          <w:trHeight w:val="262"/>
        </w:trPr>
        <w:tc>
          <w:tcPr>
            <w:tcW w:w="4080" w:type="dxa"/>
            <w:vAlign w:val="bottom"/>
            <w:tcBorders>
              <w:bottom w:val="single" w:sz="8" w:color="292F72"/>
            </w:tcBorders>
          </w:tcPr>
          <w:p>
            <w:pPr>
              <w:spacing w:after="0"/>
              <w:rPr>
                <w:sz w:val="20"/>
                <w:szCs w:val="20"/>
                <w:color w:val="auto"/>
              </w:rPr>
            </w:pPr>
            <w:r>
              <w:rPr>
                <w:rFonts w:ascii="Arial" w:cs="Arial" w:eastAsia="Arial" w:hAnsi="Arial"/>
                <w:sz w:val="14"/>
                <w:szCs w:val="14"/>
                <w:b w:val="1"/>
                <w:bCs w:val="1"/>
                <w:color w:val="292F72"/>
              </w:rPr>
              <w:t>NAME OF BENEFICIAL OWNER</w:t>
            </w:r>
          </w:p>
        </w:tc>
        <w:tc>
          <w:tcPr>
            <w:tcW w:w="3840" w:type="dxa"/>
            <w:vAlign w:val="bottom"/>
            <w:tcBorders>
              <w:bottom w:val="single" w:sz="8" w:color="292F72"/>
            </w:tcBorders>
          </w:tcPr>
          <w:p>
            <w:pPr>
              <w:ind w:left="1980"/>
              <w:spacing w:after="0" w:line="262" w:lineRule="exact"/>
              <w:rPr>
                <w:sz w:val="20"/>
                <w:szCs w:val="20"/>
                <w:color w:val="auto"/>
              </w:rPr>
            </w:pPr>
            <w:r>
              <w:rPr>
                <w:rFonts w:ascii="Arial" w:cs="Arial" w:eastAsia="Arial" w:hAnsi="Arial"/>
                <w:sz w:val="27"/>
                <w:szCs w:val="27"/>
                <w:b w:val="1"/>
                <w:bCs w:val="1"/>
                <w:color w:val="292F72"/>
                <w:vertAlign w:val="subscript"/>
              </w:rPr>
              <w:t>OWNED</w:t>
            </w:r>
            <w:r>
              <w:rPr>
                <w:rFonts w:ascii="Arial" w:cs="Arial" w:eastAsia="Arial" w:hAnsi="Arial"/>
                <w:sz w:val="12"/>
                <w:szCs w:val="12"/>
                <w:b w:val="1"/>
                <w:bCs w:val="1"/>
                <w:color w:val="292F72"/>
              </w:rPr>
              <w:t>(1)(2)</w:t>
            </w:r>
          </w:p>
        </w:tc>
        <w:tc>
          <w:tcPr>
            <w:tcW w:w="1120" w:type="dxa"/>
            <w:vAlign w:val="bottom"/>
            <w:tcBorders>
              <w:bottom w:val="single" w:sz="8" w:color="292F72"/>
            </w:tcBorders>
          </w:tcPr>
          <w:p>
            <w:pPr>
              <w:ind w:left="180"/>
              <w:spacing w:after="0" w:line="262" w:lineRule="exact"/>
              <w:rPr>
                <w:sz w:val="20"/>
                <w:szCs w:val="20"/>
                <w:color w:val="auto"/>
              </w:rPr>
            </w:pPr>
            <w:r>
              <w:rPr>
                <w:rFonts w:ascii="Arial" w:cs="Arial" w:eastAsia="Arial" w:hAnsi="Arial"/>
                <w:sz w:val="14"/>
                <w:szCs w:val="14"/>
                <w:b w:val="1"/>
                <w:bCs w:val="1"/>
                <w:color w:val="292F72"/>
              </w:rPr>
              <w:t>CLASS</w:t>
            </w:r>
            <w:r>
              <w:rPr>
                <w:rFonts w:ascii="Arial" w:cs="Arial" w:eastAsia="Arial" w:hAnsi="Arial"/>
                <w:sz w:val="23"/>
                <w:szCs w:val="23"/>
                <w:b w:val="1"/>
                <w:bCs w:val="1"/>
                <w:color w:val="292F72"/>
                <w:vertAlign w:val="superscript"/>
              </w:rPr>
              <w:t>(2)</w:t>
            </w:r>
          </w:p>
        </w:tc>
      </w:tr>
    </w:tbl>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301"/>
        </w:trPr>
        <w:tc>
          <w:tcPr>
            <w:tcW w:w="5500" w:type="dxa"/>
            <w:vAlign w:val="bottom"/>
            <w:tcBorders>
              <w:bottom w:val="single" w:sz="8" w:color="6D8CC3"/>
            </w:tcBorders>
          </w:tcPr>
          <w:p>
            <w:pPr>
              <w:spacing w:after="0"/>
              <w:rPr>
                <w:sz w:val="20"/>
                <w:szCs w:val="20"/>
                <w:color w:val="auto"/>
              </w:rPr>
            </w:pPr>
            <w:r>
              <w:rPr>
                <w:rFonts w:ascii="Arial" w:cs="Arial" w:eastAsia="Arial" w:hAnsi="Arial"/>
                <w:sz w:val="16"/>
                <w:szCs w:val="16"/>
                <w:color w:val="auto"/>
              </w:rPr>
              <w:t>Alessandro Bogliolo</w:t>
            </w:r>
          </w:p>
        </w:tc>
        <w:tc>
          <w:tcPr>
            <w:tcW w:w="1160" w:type="dxa"/>
            <w:vAlign w:val="bottom"/>
            <w:tcBorders>
              <w:bottom w:val="single" w:sz="8" w:color="6D8CC3"/>
            </w:tcBorders>
          </w:tcPr>
          <w:p>
            <w:pPr>
              <w:ind w:left="940"/>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6D8CC3"/>
            </w:tcBorders>
            <w:gridSpan w:val="2"/>
          </w:tcPr>
          <w:p>
            <w:pPr>
              <w:ind w:left="180"/>
              <w:spacing w:after="0"/>
              <w:rPr>
                <w:sz w:val="20"/>
                <w:szCs w:val="20"/>
                <w:color w:val="auto"/>
              </w:rPr>
            </w:pPr>
            <w:r>
              <w:rPr>
                <w:rFonts w:ascii="Arial" w:cs="Arial" w:eastAsia="Arial" w:hAnsi="Arial"/>
                <w:sz w:val="16"/>
                <w:szCs w:val="16"/>
                <w:color w:val="auto"/>
              </w:rPr>
              <w:t>16,520</w:t>
            </w:r>
            <w:r>
              <w:rPr>
                <w:rFonts w:ascii="Arial" w:cs="Arial" w:eastAsia="Arial" w:hAnsi="Arial"/>
                <w:sz w:val="26"/>
                <w:szCs w:val="26"/>
                <w:color w:val="auto"/>
                <w:vertAlign w:val="superscript"/>
              </w:rPr>
              <w:t>(3)</w:t>
            </w:r>
          </w:p>
        </w:tc>
        <w:tc>
          <w:tcPr>
            <w:tcW w:w="860" w:type="dxa"/>
            <w:vAlign w:val="bottom"/>
            <w:tcBorders>
              <w:bottom w:val="single" w:sz="8" w:color="6D8CC3"/>
            </w:tcBorders>
          </w:tcPr>
          <w:p>
            <w:pPr>
              <w:jc w:val="right"/>
              <w:ind w:right="361"/>
              <w:spacing w:after="0"/>
              <w:rPr>
                <w:sz w:val="20"/>
                <w:szCs w:val="20"/>
                <w:color w:val="auto"/>
              </w:rPr>
            </w:pPr>
            <w:r>
              <w:rPr>
                <w:rFonts w:ascii="Arial" w:cs="Arial" w:eastAsia="Arial" w:hAnsi="Arial"/>
                <w:sz w:val="16"/>
                <w:szCs w:val="16"/>
                <w:color w:val="auto"/>
              </w:rPr>
              <w:t>*</w:t>
            </w:r>
          </w:p>
        </w:tc>
      </w:tr>
      <w:tr>
        <w:trPr>
          <w:trHeight w:val="240"/>
        </w:trPr>
        <w:tc>
          <w:tcPr>
            <w:tcW w:w="5500" w:type="dxa"/>
            <w:vAlign w:val="bottom"/>
          </w:tcPr>
          <w:p>
            <w:pPr>
              <w:spacing w:after="0"/>
              <w:rPr>
                <w:sz w:val="20"/>
                <w:szCs w:val="20"/>
                <w:color w:val="auto"/>
              </w:rPr>
            </w:pPr>
            <w:r>
              <w:rPr>
                <w:rFonts w:ascii="Arial" w:cs="Arial" w:eastAsia="Arial" w:hAnsi="Arial"/>
                <w:sz w:val="16"/>
                <w:szCs w:val="16"/>
                <w:color w:val="auto"/>
              </w:rPr>
              <w:t>Eva Boratto</w:t>
            </w:r>
          </w:p>
        </w:tc>
        <w:tc>
          <w:tcPr>
            <w:tcW w:w="1160" w:type="dxa"/>
            <w:vAlign w:val="bottom"/>
          </w:tcPr>
          <w:p>
            <w:pPr>
              <w:ind w:left="940"/>
              <w:spacing w:after="0"/>
              <w:rPr>
                <w:sz w:val="20"/>
                <w:szCs w:val="20"/>
                <w:color w:val="auto"/>
              </w:rPr>
            </w:pPr>
            <w:r>
              <w:rPr>
                <w:rFonts w:ascii="Arial" w:cs="Arial" w:eastAsia="Arial" w:hAnsi="Arial"/>
                <w:sz w:val="16"/>
                <w:szCs w:val="16"/>
                <w:color w:val="auto"/>
              </w:rPr>
              <w:t>​</w:t>
            </w:r>
          </w:p>
        </w:tc>
        <w:tc>
          <w:tcPr>
            <w:tcW w:w="1520" w:type="dxa"/>
            <w:vAlign w:val="bottom"/>
            <w:gridSpan w:val="2"/>
          </w:tcPr>
          <w:p>
            <w:pPr>
              <w:ind w:left="180"/>
              <w:spacing w:after="0"/>
              <w:rPr>
                <w:sz w:val="20"/>
                <w:szCs w:val="20"/>
                <w:color w:val="auto"/>
              </w:rPr>
            </w:pPr>
            <w:r>
              <w:rPr>
                <w:rFonts w:ascii="Arial" w:cs="Arial" w:eastAsia="Arial" w:hAnsi="Arial"/>
                <w:sz w:val="16"/>
                <w:szCs w:val="16"/>
                <w:color w:val="auto"/>
              </w:rPr>
              <w:t>38,740</w:t>
            </w:r>
          </w:p>
        </w:tc>
        <w:tc>
          <w:tcPr>
            <w:tcW w:w="860" w:type="dxa"/>
            <w:vAlign w:val="bottom"/>
          </w:tcPr>
          <w:p>
            <w:pPr>
              <w:jc w:val="right"/>
              <w:ind w:right="361"/>
              <w:spacing w:after="0"/>
              <w:rPr>
                <w:sz w:val="20"/>
                <w:szCs w:val="20"/>
                <w:color w:val="auto"/>
              </w:rPr>
            </w:pPr>
            <w:r>
              <w:rPr>
                <w:rFonts w:ascii="Arial" w:cs="Arial" w:eastAsia="Arial" w:hAnsi="Arial"/>
                <w:sz w:val="16"/>
                <w:szCs w:val="16"/>
                <w:color w:val="auto"/>
              </w:rPr>
              <w:t>*</w:t>
            </w:r>
          </w:p>
        </w:tc>
      </w:tr>
      <w:tr>
        <w:trPr>
          <w:trHeight w:val="55"/>
        </w:trPr>
        <w:tc>
          <w:tcPr>
            <w:tcW w:w="5500" w:type="dxa"/>
            <w:vAlign w:val="bottom"/>
            <w:tcBorders>
              <w:bottom w:val="single" w:sz="8" w:color="6D8CC3"/>
            </w:tcBorders>
          </w:tcPr>
          <w:p>
            <w:pPr>
              <w:spacing w:after="0"/>
              <w:rPr>
                <w:sz w:val="4"/>
                <w:szCs w:val="4"/>
                <w:color w:val="auto"/>
              </w:rPr>
            </w:pPr>
          </w:p>
        </w:tc>
        <w:tc>
          <w:tcPr>
            <w:tcW w:w="1160" w:type="dxa"/>
            <w:vAlign w:val="bottom"/>
            <w:tcBorders>
              <w:bottom w:val="single" w:sz="8" w:color="6D8CC3"/>
            </w:tcBorders>
          </w:tcPr>
          <w:p>
            <w:pPr>
              <w:spacing w:after="0"/>
              <w:rPr>
                <w:sz w:val="4"/>
                <w:szCs w:val="4"/>
                <w:color w:val="auto"/>
              </w:rPr>
            </w:pPr>
          </w:p>
        </w:tc>
        <w:tc>
          <w:tcPr>
            <w:tcW w:w="1520" w:type="dxa"/>
            <w:vAlign w:val="bottom"/>
            <w:tcBorders>
              <w:bottom w:val="single" w:sz="8" w:color="6D8CC3"/>
            </w:tcBorders>
            <w:gridSpan w:val="2"/>
          </w:tcPr>
          <w:p>
            <w:pPr>
              <w:spacing w:after="0"/>
              <w:rPr>
                <w:sz w:val="4"/>
                <w:szCs w:val="4"/>
                <w:color w:val="auto"/>
              </w:rPr>
            </w:pPr>
          </w:p>
        </w:tc>
        <w:tc>
          <w:tcPr>
            <w:tcW w:w="860" w:type="dxa"/>
            <w:vAlign w:val="bottom"/>
            <w:tcBorders>
              <w:bottom w:val="single" w:sz="8" w:color="6D8CC3"/>
            </w:tcBorders>
          </w:tcPr>
          <w:p>
            <w:pPr>
              <w:spacing w:after="0"/>
              <w:rPr>
                <w:sz w:val="4"/>
                <w:szCs w:val="4"/>
                <w:color w:val="auto"/>
              </w:rPr>
            </w:pPr>
          </w:p>
        </w:tc>
      </w:tr>
      <w:tr>
        <w:trPr>
          <w:trHeight w:val="334"/>
        </w:trPr>
        <w:tc>
          <w:tcPr>
            <w:tcW w:w="5500" w:type="dxa"/>
            <w:vAlign w:val="bottom"/>
            <w:tcBorders>
              <w:bottom w:val="single" w:sz="8" w:color="6D8CC3"/>
            </w:tcBorders>
          </w:tcPr>
          <w:p>
            <w:pPr>
              <w:spacing w:after="0"/>
              <w:rPr>
                <w:sz w:val="20"/>
                <w:szCs w:val="20"/>
                <w:color w:val="auto"/>
              </w:rPr>
            </w:pPr>
            <w:r>
              <w:rPr>
                <w:rFonts w:ascii="Arial" w:cs="Arial" w:eastAsia="Arial" w:hAnsi="Arial"/>
                <w:sz w:val="16"/>
                <w:szCs w:val="16"/>
                <w:color w:val="auto"/>
              </w:rPr>
              <w:t>Gina Boswell</w:t>
            </w:r>
          </w:p>
        </w:tc>
        <w:tc>
          <w:tcPr>
            <w:tcW w:w="1160" w:type="dxa"/>
            <w:vAlign w:val="bottom"/>
            <w:tcBorders>
              <w:bottom w:val="single" w:sz="8" w:color="6D8CC3"/>
            </w:tcBorders>
          </w:tcPr>
          <w:p>
            <w:pPr>
              <w:spacing w:after="0"/>
              <w:rPr>
                <w:sz w:val="24"/>
                <w:szCs w:val="24"/>
                <w:color w:val="auto"/>
              </w:rPr>
            </w:pPr>
          </w:p>
        </w:tc>
        <w:tc>
          <w:tcPr>
            <w:tcW w:w="1520" w:type="dxa"/>
            <w:vAlign w:val="bottom"/>
            <w:tcBorders>
              <w:bottom w:val="single" w:sz="8" w:color="6D8CC3"/>
            </w:tcBorders>
            <w:gridSpan w:val="2"/>
          </w:tcPr>
          <w:p>
            <w:pPr>
              <w:ind w:left="180"/>
              <w:spacing w:after="0"/>
              <w:rPr>
                <w:sz w:val="20"/>
                <w:szCs w:val="20"/>
                <w:color w:val="auto"/>
              </w:rPr>
            </w:pPr>
            <w:r>
              <w:rPr>
                <w:rFonts w:ascii="Arial" w:cs="Arial" w:eastAsia="Arial" w:hAnsi="Arial"/>
                <w:sz w:val="16"/>
                <w:szCs w:val="16"/>
                <w:color w:val="auto"/>
              </w:rPr>
              <w:t>78,764</w:t>
            </w:r>
            <w:r>
              <w:rPr>
                <w:rFonts w:ascii="Arial" w:cs="Arial" w:eastAsia="Arial" w:hAnsi="Arial"/>
                <w:sz w:val="26"/>
                <w:szCs w:val="26"/>
                <w:color w:val="auto"/>
                <w:vertAlign w:val="superscript"/>
              </w:rPr>
              <w:t>(4)</w:t>
            </w:r>
          </w:p>
        </w:tc>
        <w:tc>
          <w:tcPr>
            <w:tcW w:w="860" w:type="dxa"/>
            <w:vAlign w:val="bottom"/>
            <w:tcBorders>
              <w:bottom w:val="single" w:sz="8" w:color="6D8CC3"/>
            </w:tcBorders>
          </w:tcPr>
          <w:p>
            <w:pPr>
              <w:jc w:val="right"/>
              <w:ind w:right="361"/>
              <w:spacing w:after="0"/>
              <w:rPr>
                <w:sz w:val="20"/>
                <w:szCs w:val="20"/>
                <w:color w:val="auto"/>
              </w:rPr>
            </w:pPr>
            <w:r>
              <w:rPr>
                <w:rFonts w:ascii="Arial" w:cs="Arial" w:eastAsia="Arial" w:hAnsi="Arial"/>
                <w:sz w:val="16"/>
                <w:szCs w:val="16"/>
                <w:color w:val="auto"/>
              </w:rPr>
              <w:t>*</w:t>
            </w:r>
          </w:p>
        </w:tc>
      </w:tr>
      <w:tr>
        <w:trPr>
          <w:trHeight w:val="334"/>
        </w:trPr>
        <w:tc>
          <w:tcPr>
            <w:tcW w:w="5500" w:type="dxa"/>
            <w:vAlign w:val="bottom"/>
            <w:tcBorders>
              <w:bottom w:val="single" w:sz="8" w:color="6D8CC3"/>
            </w:tcBorders>
          </w:tcPr>
          <w:p>
            <w:pPr>
              <w:spacing w:after="0"/>
              <w:rPr>
                <w:sz w:val="20"/>
                <w:szCs w:val="20"/>
                <w:color w:val="auto"/>
              </w:rPr>
            </w:pPr>
            <w:r>
              <w:rPr>
                <w:rFonts w:ascii="Arial" w:cs="Arial" w:eastAsia="Arial" w:hAnsi="Arial"/>
                <w:sz w:val="16"/>
                <w:szCs w:val="16"/>
                <w:color w:val="auto"/>
              </w:rPr>
              <w:t>Lucy Brady</w:t>
            </w:r>
          </w:p>
        </w:tc>
        <w:tc>
          <w:tcPr>
            <w:tcW w:w="1160" w:type="dxa"/>
            <w:vAlign w:val="bottom"/>
            <w:tcBorders>
              <w:bottom w:val="single" w:sz="8" w:color="6D8CC3"/>
            </w:tcBorders>
          </w:tcPr>
          <w:p>
            <w:pPr>
              <w:ind w:left="940"/>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6D8CC3"/>
            </w:tcBorders>
            <w:gridSpan w:val="2"/>
          </w:tcPr>
          <w:p>
            <w:pPr>
              <w:ind w:left="180"/>
              <w:spacing w:after="0"/>
              <w:rPr>
                <w:sz w:val="20"/>
                <w:szCs w:val="20"/>
                <w:color w:val="auto"/>
              </w:rPr>
            </w:pPr>
            <w:r>
              <w:rPr>
                <w:rFonts w:ascii="Arial" w:cs="Arial" w:eastAsia="Arial" w:hAnsi="Arial"/>
                <w:sz w:val="16"/>
                <w:szCs w:val="16"/>
                <w:color w:val="auto"/>
              </w:rPr>
              <w:t>17,481</w:t>
            </w:r>
            <w:r>
              <w:rPr>
                <w:rFonts w:ascii="Arial" w:cs="Arial" w:eastAsia="Arial" w:hAnsi="Arial"/>
                <w:sz w:val="26"/>
                <w:szCs w:val="26"/>
                <w:color w:val="auto"/>
                <w:vertAlign w:val="superscript"/>
              </w:rPr>
              <w:t>(3)</w:t>
            </w:r>
          </w:p>
        </w:tc>
        <w:tc>
          <w:tcPr>
            <w:tcW w:w="860" w:type="dxa"/>
            <w:vAlign w:val="bottom"/>
            <w:tcBorders>
              <w:bottom w:val="single" w:sz="8" w:color="6D8CC3"/>
            </w:tcBorders>
          </w:tcPr>
          <w:p>
            <w:pPr>
              <w:jc w:val="right"/>
              <w:ind w:right="361"/>
              <w:spacing w:after="0"/>
              <w:rPr>
                <w:sz w:val="20"/>
                <w:szCs w:val="20"/>
                <w:color w:val="auto"/>
              </w:rPr>
            </w:pPr>
            <w:r>
              <w:rPr>
                <w:rFonts w:ascii="Arial" w:cs="Arial" w:eastAsia="Arial" w:hAnsi="Arial"/>
                <w:sz w:val="16"/>
                <w:szCs w:val="16"/>
                <w:color w:val="auto"/>
              </w:rPr>
              <w:t>*</w:t>
            </w:r>
          </w:p>
        </w:tc>
      </w:tr>
      <w:tr>
        <w:trPr>
          <w:trHeight w:val="334"/>
        </w:trPr>
        <w:tc>
          <w:tcPr>
            <w:tcW w:w="5500" w:type="dxa"/>
            <w:vAlign w:val="bottom"/>
            <w:tcBorders>
              <w:bottom w:val="single" w:sz="8" w:color="6D8CC3"/>
            </w:tcBorders>
          </w:tcPr>
          <w:p>
            <w:pPr>
              <w:spacing w:after="0"/>
              <w:rPr>
                <w:sz w:val="20"/>
                <w:szCs w:val="20"/>
                <w:color w:val="auto"/>
              </w:rPr>
            </w:pPr>
            <w:r>
              <w:rPr>
                <w:rFonts w:ascii="Arial" w:cs="Arial" w:eastAsia="Arial" w:hAnsi="Arial"/>
                <w:sz w:val="16"/>
                <w:szCs w:val="16"/>
                <w:color w:val="auto"/>
              </w:rPr>
              <w:t>Daniel Heaf</w:t>
            </w:r>
          </w:p>
        </w:tc>
        <w:tc>
          <w:tcPr>
            <w:tcW w:w="1160" w:type="dxa"/>
            <w:vAlign w:val="bottom"/>
            <w:tcBorders>
              <w:bottom w:val="single" w:sz="8" w:color="6D8CC3"/>
            </w:tcBorders>
          </w:tcPr>
          <w:p>
            <w:pPr>
              <w:spacing w:after="0"/>
              <w:rPr>
                <w:sz w:val="24"/>
                <w:szCs w:val="24"/>
                <w:color w:val="auto"/>
              </w:rPr>
            </w:pPr>
          </w:p>
        </w:tc>
        <w:tc>
          <w:tcPr>
            <w:tcW w:w="1520" w:type="dxa"/>
            <w:vAlign w:val="bottom"/>
            <w:tcBorders>
              <w:bottom w:val="single" w:sz="8" w:color="6D8CC3"/>
            </w:tcBorders>
            <w:gridSpan w:val="2"/>
          </w:tcPr>
          <w:p>
            <w:pPr>
              <w:ind w:left="180"/>
              <w:spacing w:after="0"/>
              <w:rPr>
                <w:sz w:val="20"/>
                <w:szCs w:val="20"/>
                <w:color w:val="auto"/>
              </w:rPr>
            </w:pPr>
            <w:r>
              <w:rPr>
                <w:rFonts w:ascii="Arial" w:cs="Arial" w:eastAsia="Arial" w:hAnsi="Arial"/>
                <w:sz w:val="16"/>
                <w:szCs w:val="16"/>
                <w:color w:val="auto"/>
              </w:rPr>
              <w:t>24,777</w:t>
            </w:r>
            <w:r>
              <w:rPr>
                <w:rFonts w:ascii="Arial" w:cs="Arial" w:eastAsia="Arial" w:hAnsi="Arial"/>
                <w:sz w:val="26"/>
                <w:szCs w:val="26"/>
                <w:color w:val="auto"/>
                <w:vertAlign w:val="superscript"/>
              </w:rPr>
              <w:t>(3)</w:t>
            </w:r>
          </w:p>
        </w:tc>
        <w:tc>
          <w:tcPr>
            <w:tcW w:w="860" w:type="dxa"/>
            <w:vAlign w:val="bottom"/>
            <w:tcBorders>
              <w:bottom w:val="single" w:sz="8" w:color="6D8CC3"/>
            </w:tcBorders>
          </w:tcPr>
          <w:p>
            <w:pPr>
              <w:jc w:val="right"/>
              <w:ind w:right="361"/>
              <w:spacing w:after="0"/>
              <w:rPr>
                <w:sz w:val="20"/>
                <w:szCs w:val="20"/>
                <w:color w:val="auto"/>
              </w:rPr>
            </w:pPr>
            <w:r>
              <w:rPr>
                <w:rFonts w:ascii="Arial" w:cs="Arial" w:eastAsia="Arial" w:hAnsi="Arial"/>
                <w:sz w:val="16"/>
                <w:szCs w:val="16"/>
                <w:color w:val="auto"/>
              </w:rPr>
              <w:t>*</w:t>
            </w:r>
          </w:p>
        </w:tc>
      </w:tr>
      <w:tr>
        <w:trPr>
          <w:trHeight w:val="334"/>
        </w:trPr>
        <w:tc>
          <w:tcPr>
            <w:tcW w:w="5500" w:type="dxa"/>
            <w:vAlign w:val="bottom"/>
            <w:tcBorders>
              <w:bottom w:val="single" w:sz="8" w:color="6D8CC3"/>
            </w:tcBorders>
          </w:tcPr>
          <w:p>
            <w:pPr>
              <w:spacing w:after="0"/>
              <w:rPr>
                <w:sz w:val="20"/>
                <w:szCs w:val="20"/>
                <w:color w:val="auto"/>
              </w:rPr>
            </w:pPr>
            <w:r>
              <w:rPr>
                <w:rFonts w:ascii="Arial" w:cs="Arial" w:eastAsia="Arial" w:hAnsi="Arial"/>
                <w:sz w:val="16"/>
                <w:szCs w:val="16"/>
                <w:color w:val="auto"/>
              </w:rPr>
              <w:t>Francis Hondal</w:t>
            </w:r>
          </w:p>
        </w:tc>
        <w:tc>
          <w:tcPr>
            <w:tcW w:w="1160" w:type="dxa"/>
            <w:vAlign w:val="bottom"/>
            <w:tcBorders>
              <w:bottom w:val="single" w:sz="8" w:color="6D8CC3"/>
            </w:tcBorders>
          </w:tcPr>
          <w:p>
            <w:pPr>
              <w:ind w:left="940"/>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6D8CC3"/>
            </w:tcBorders>
            <w:gridSpan w:val="2"/>
          </w:tcPr>
          <w:p>
            <w:pPr>
              <w:ind w:left="180"/>
              <w:spacing w:after="0"/>
              <w:rPr>
                <w:sz w:val="20"/>
                <w:szCs w:val="20"/>
                <w:color w:val="auto"/>
              </w:rPr>
            </w:pPr>
            <w:r>
              <w:rPr>
                <w:rFonts w:ascii="Arial" w:cs="Arial" w:eastAsia="Arial" w:hAnsi="Arial"/>
                <w:sz w:val="16"/>
                <w:szCs w:val="16"/>
                <w:color w:val="auto"/>
              </w:rPr>
              <w:t>21,554</w:t>
            </w:r>
            <w:r>
              <w:rPr>
                <w:rFonts w:ascii="Arial" w:cs="Arial" w:eastAsia="Arial" w:hAnsi="Arial"/>
                <w:sz w:val="26"/>
                <w:szCs w:val="26"/>
                <w:color w:val="auto"/>
                <w:vertAlign w:val="superscript"/>
              </w:rPr>
              <w:t>(3)(5)</w:t>
            </w:r>
          </w:p>
        </w:tc>
        <w:tc>
          <w:tcPr>
            <w:tcW w:w="860" w:type="dxa"/>
            <w:vAlign w:val="bottom"/>
            <w:tcBorders>
              <w:bottom w:val="single" w:sz="8" w:color="6D8CC3"/>
            </w:tcBorders>
          </w:tcPr>
          <w:p>
            <w:pPr>
              <w:jc w:val="right"/>
              <w:ind w:right="361"/>
              <w:spacing w:after="0"/>
              <w:rPr>
                <w:sz w:val="20"/>
                <w:szCs w:val="20"/>
                <w:color w:val="auto"/>
              </w:rPr>
            </w:pPr>
            <w:r>
              <w:rPr>
                <w:rFonts w:ascii="Arial" w:cs="Arial" w:eastAsia="Arial" w:hAnsi="Arial"/>
                <w:sz w:val="16"/>
                <w:szCs w:val="16"/>
                <w:color w:val="auto"/>
              </w:rPr>
              <w:t>*</w:t>
            </w:r>
          </w:p>
        </w:tc>
      </w:tr>
      <w:tr>
        <w:trPr>
          <w:trHeight w:val="334"/>
        </w:trPr>
        <w:tc>
          <w:tcPr>
            <w:tcW w:w="5500" w:type="dxa"/>
            <w:vAlign w:val="bottom"/>
            <w:tcBorders>
              <w:bottom w:val="single" w:sz="8" w:color="6D8CC3"/>
            </w:tcBorders>
          </w:tcPr>
          <w:p>
            <w:pPr>
              <w:spacing w:after="0"/>
              <w:rPr>
                <w:sz w:val="20"/>
                <w:szCs w:val="20"/>
                <w:color w:val="auto"/>
              </w:rPr>
            </w:pPr>
            <w:r>
              <w:rPr>
                <w:rFonts w:ascii="Arial" w:cs="Arial" w:eastAsia="Arial" w:hAnsi="Arial"/>
                <w:sz w:val="16"/>
                <w:szCs w:val="16"/>
                <w:color w:val="auto"/>
              </w:rPr>
              <w:t>Danielle Lee</w:t>
            </w:r>
          </w:p>
        </w:tc>
        <w:tc>
          <w:tcPr>
            <w:tcW w:w="1160" w:type="dxa"/>
            <w:vAlign w:val="bottom"/>
            <w:tcBorders>
              <w:bottom w:val="single" w:sz="8" w:color="6D8CC3"/>
            </w:tcBorders>
          </w:tcPr>
          <w:p>
            <w:pPr>
              <w:ind w:left="940"/>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6D8CC3"/>
            </w:tcBorders>
            <w:gridSpan w:val="2"/>
          </w:tcPr>
          <w:p>
            <w:pPr>
              <w:ind w:left="180"/>
              <w:spacing w:after="0"/>
              <w:rPr>
                <w:sz w:val="20"/>
                <w:szCs w:val="20"/>
                <w:color w:val="auto"/>
              </w:rPr>
            </w:pPr>
            <w:r>
              <w:rPr>
                <w:rFonts w:ascii="Arial" w:cs="Arial" w:eastAsia="Arial" w:hAnsi="Arial"/>
                <w:sz w:val="16"/>
                <w:szCs w:val="16"/>
                <w:color w:val="auto"/>
              </w:rPr>
              <w:t>18,211</w:t>
            </w:r>
            <w:r>
              <w:rPr>
                <w:rFonts w:ascii="Arial" w:cs="Arial" w:eastAsia="Arial" w:hAnsi="Arial"/>
                <w:sz w:val="26"/>
                <w:szCs w:val="26"/>
                <w:color w:val="auto"/>
                <w:vertAlign w:val="superscript"/>
              </w:rPr>
              <w:t>(3)</w:t>
            </w:r>
          </w:p>
        </w:tc>
        <w:tc>
          <w:tcPr>
            <w:tcW w:w="860" w:type="dxa"/>
            <w:vAlign w:val="bottom"/>
            <w:tcBorders>
              <w:bottom w:val="single" w:sz="8" w:color="6D8CC3"/>
            </w:tcBorders>
          </w:tcPr>
          <w:p>
            <w:pPr>
              <w:jc w:val="right"/>
              <w:ind w:right="361"/>
              <w:spacing w:after="0"/>
              <w:rPr>
                <w:sz w:val="20"/>
                <w:szCs w:val="20"/>
                <w:color w:val="auto"/>
              </w:rPr>
            </w:pPr>
            <w:r>
              <w:rPr>
                <w:rFonts w:ascii="Arial" w:cs="Arial" w:eastAsia="Arial" w:hAnsi="Arial"/>
                <w:sz w:val="16"/>
                <w:szCs w:val="16"/>
                <w:color w:val="auto"/>
              </w:rPr>
              <w:t>*</w:t>
            </w:r>
          </w:p>
        </w:tc>
      </w:tr>
      <w:tr>
        <w:trPr>
          <w:trHeight w:val="334"/>
        </w:trPr>
        <w:tc>
          <w:tcPr>
            <w:tcW w:w="5500" w:type="dxa"/>
            <w:vAlign w:val="bottom"/>
            <w:tcBorders>
              <w:bottom w:val="single" w:sz="8" w:color="6D8CC3"/>
            </w:tcBorders>
          </w:tcPr>
          <w:p>
            <w:pPr>
              <w:spacing w:after="0"/>
              <w:rPr>
                <w:sz w:val="20"/>
                <w:szCs w:val="20"/>
                <w:color w:val="auto"/>
              </w:rPr>
            </w:pPr>
            <w:r>
              <w:rPr>
                <w:rFonts w:ascii="Arial" w:cs="Arial" w:eastAsia="Arial" w:hAnsi="Arial"/>
                <w:sz w:val="16"/>
                <w:szCs w:val="16"/>
                <w:color w:val="auto"/>
              </w:rPr>
              <w:t>Tom Mazurek</w:t>
            </w:r>
          </w:p>
        </w:tc>
        <w:tc>
          <w:tcPr>
            <w:tcW w:w="2680" w:type="dxa"/>
            <w:vAlign w:val="bottom"/>
            <w:tcBorders>
              <w:bottom w:val="single" w:sz="8" w:color="6D8CC3"/>
            </w:tcBorders>
            <w:gridSpan w:val="3"/>
          </w:tcPr>
          <w:p>
            <w:pPr>
              <w:ind w:left="940"/>
              <w:spacing w:after="0"/>
              <w:rPr>
                <w:sz w:val="20"/>
                <w:szCs w:val="20"/>
                <w:color w:val="auto"/>
              </w:rPr>
            </w:pPr>
            <w:r>
              <w:rPr>
                <w:rFonts w:ascii="Arial" w:cs="Arial" w:eastAsia="Arial" w:hAnsi="Arial"/>
                <w:sz w:val="16"/>
                <w:szCs w:val="16"/>
                <w:color w:val="auto"/>
              </w:rPr>
              <w:t>​ 62,696.404</w:t>
            </w:r>
            <w:r>
              <w:rPr>
                <w:rFonts w:ascii="Arial" w:cs="Arial" w:eastAsia="Arial" w:hAnsi="Arial"/>
                <w:sz w:val="26"/>
                <w:szCs w:val="26"/>
                <w:color w:val="auto"/>
                <w:vertAlign w:val="superscript"/>
              </w:rPr>
              <w:t>(3)</w:t>
            </w:r>
          </w:p>
        </w:tc>
        <w:tc>
          <w:tcPr>
            <w:tcW w:w="860" w:type="dxa"/>
            <w:vAlign w:val="bottom"/>
            <w:tcBorders>
              <w:bottom w:val="single" w:sz="8" w:color="6D8CC3"/>
            </w:tcBorders>
          </w:tcPr>
          <w:p>
            <w:pPr>
              <w:jc w:val="right"/>
              <w:ind w:right="361"/>
              <w:spacing w:after="0"/>
              <w:rPr>
                <w:sz w:val="20"/>
                <w:szCs w:val="20"/>
                <w:color w:val="auto"/>
              </w:rPr>
            </w:pPr>
            <w:r>
              <w:rPr>
                <w:rFonts w:ascii="Arial" w:cs="Arial" w:eastAsia="Arial" w:hAnsi="Arial"/>
                <w:sz w:val="16"/>
                <w:szCs w:val="16"/>
                <w:color w:val="auto"/>
              </w:rPr>
              <w:t>*</w:t>
            </w:r>
          </w:p>
        </w:tc>
      </w:tr>
      <w:tr>
        <w:trPr>
          <w:trHeight w:val="334"/>
        </w:trPr>
        <w:tc>
          <w:tcPr>
            <w:tcW w:w="5500" w:type="dxa"/>
            <w:vAlign w:val="bottom"/>
            <w:tcBorders>
              <w:bottom w:val="single" w:sz="8" w:color="6D8CC3"/>
            </w:tcBorders>
          </w:tcPr>
          <w:p>
            <w:pPr>
              <w:spacing w:after="0"/>
              <w:rPr>
                <w:sz w:val="20"/>
                <w:szCs w:val="20"/>
                <w:color w:val="auto"/>
              </w:rPr>
            </w:pPr>
            <w:r>
              <w:rPr>
                <w:rFonts w:ascii="Arial" w:cs="Arial" w:eastAsia="Arial" w:hAnsi="Arial"/>
                <w:sz w:val="16"/>
                <w:szCs w:val="16"/>
                <w:color w:val="auto"/>
              </w:rPr>
              <w:t>Sarah Nash</w:t>
            </w:r>
          </w:p>
        </w:tc>
        <w:tc>
          <w:tcPr>
            <w:tcW w:w="2680" w:type="dxa"/>
            <w:vAlign w:val="bottom"/>
            <w:tcBorders>
              <w:bottom w:val="single" w:sz="8" w:color="6D8CC3"/>
            </w:tcBorders>
            <w:gridSpan w:val="3"/>
          </w:tcPr>
          <w:p>
            <w:pPr>
              <w:ind w:left="940"/>
              <w:spacing w:after="0"/>
              <w:rPr>
                <w:sz w:val="20"/>
                <w:szCs w:val="20"/>
                <w:color w:val="auto"/>
              </w:rPr>
            </w:pPr>
            <w:r>
              <w:rPr>
                <w:rFonts w:ascii="Arial" w:cs="Arial" w:eastAsia="Arial" w:hAnsi="Arial"/>
                <w:sz w:val="16"/>
                <w:szCs w:val="16"/>
                <w:color w:val="auto"/>
              </w:rPr>
              <w:t>​ 285,610.77</w:t>
            </w:r>
            <w:r>
              <w:rPr>
                <w:rFonts w:ascii="Arial" w:cs="Arial" w:eastAsia="Arial" w:hAnsi="Arial"/>
                <w:sz w:val="26"/>
                <w:szCs w:val="26"/>
                <w:color w:val="auto"/>
                <w:vertAlign w:val="superscript"/>
              </w:rPr>
              <w:t>(3)</w:t>
            </w:r>
          </w:p>
        </w:tc>
        <w:tc>
          <w:tcPr>
            <w:tcW w:w="860" w:type="dxa"/>
            <w:vAlign w:val="bottom"/>
            <w:tcBorders>
              <w:bottom w:val="single" w:sz="8" w:color="6D8CC3"/>
            </w:tcBorders>
          </w:tcPr>
          <w:p>
            <w:pPr>
              <w:jc w:val="right"/>
              <w:ind w:right="361"/>
              <w:spacing w:after="0"/>
              <w:rPr>
                <w:sz w:val="20"/>
                <w:szCs w:val="20"/>
                <w:color w:val="auto"/>
              </w:rPr>
            </w:pPr>
            <w:r>
              <w:rPr>
                <w:rFonts w:ascii="Arial" w:cs="Arial" w:eastAsia="Arial" w:hAnsi="Arial"/>
                <w:sz w:val="16"/>
                <w:szCs w:val="16"/>
                <w:color w:val="auto"/>
              </w:rPr>
              <w:t>*</w:t>
            </w:r>
          </w:p>
        </w:tc>
      </w:tr>
      <w:tr>
        <w:trPr>
          <w:trHeight w:val="334"/>
        </w:trPr>
        <w:tc>
          <w:tcPr>
            <w:tcW w:w="5500" w:type="dxa"/>
            <w:vAlign w:val="bottom"/>
            <w:tcBorders>
              <w:bottom w:val="single" w:sz="8" w:color="6D8CC3"/>
            </w:tcBorders>
          </w:tcPr>
          <w:p>
            <w:pPr>
              <w:spacing w:after="0"/>
              <w:rPr>
                <w:sz w:val="20"/>
                <w:szCs w:val="20"/>
                <w:color w:val="auto"/>
              </w:rPr>
            </w:pPr>
            <w:r>
              <w:rPr>
                <w:rFonts w:ascii="Arial" w:cs="Arial" w:eastAsia="Arial" w:hAnsi="Arial"/>
                <w:sz w:val="16"/>
                <w:szCs w:val="16"/>
                <w:color w:val="auto"/>
              </w:rPr>
              <w:t>Juan Rajlin</w:t>
            </w:r>
          </w:p>
        </w:tc>
        <w:tc>
          <w:tcPr>
            <w:tcW w:w="1160" w:type="dxa"/>
            <w:vAlign w:val="bottom"/>
            <w:tcBorders>
              <w:bottom w:val="single" w:sz="8" w:color="6D8CC3"/>
            </w:tcBorders>
          </w:tcPr>
          <w:p>
            <w:pPr>
              <w:ind w:left="940"/>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6D8CC3"/>
            </w:tcBorders>
            <w:gridSpan w:val="2"/>
          </w:tcPr>
          <w:p>
            <w:pPr>
              <w:ind w:left="180"/>
              <w:spacing w:after="0"/>
              <w:rPr>
                <w:sz w:val="20"/>
                <w:szCs w:val="20"/>
                <w:color w:val="auto"/>
              </w:rPr>
            </w:pPr>
            <w:r>
              <w:rPr>
                <w:rFonts w:ascii="Arial" w:cs="Arial" w:eastAsia="Arial" w:hAnsi="Arial"/>
                <w:sz w:val="16"/>
                <w:szCs w:val="16"/>
                <w:color w:val="auto"/>
              </w:rPr>
              <w:t>16,520</w:t>
            </w:r>
            <w:r>
              <w:rPr>
                <w:rFonts w:ascii="Arial" w:cs="Arial" w:eastAsia="Arial" w:hAnsi="Arial"/>
                <w:sz w:val="26"/>
                <w:szCs w:val="26"/>
                <w:color w:val="auto"/>
                <w:vertAlign w:val="superscript"/>
              </w:rPr>
              <w:t>(3)</w:t>
            </w:r>
          </w:p>
        </w:tc>
        <w:tc>
          <w:tcPr>
            <w:tcW w:w="860" w:type="dxa"/>
            <w:vAlign w:val="bottom"/>
            <w:tcBorders>
              <w:bottom w:val="single" w:sz="8" w:color="6D8CC3"/>
            </w:tcBorders>
          </w:tcPr>
          <w:p>
            <w:pPr>
              <w:jc w:val="right"/>
              <w:ind w:right="361"/>
              <w:spacing w:after="0"/>
              <w:rPr>
                <w:sz w:val="20"/>
                <w:szCs w:val="20"/>
                <w:color w:val="auto"/>
              </w:rPr>
            </w:pPr>
            <w:r>
              <w:rPr>
                <w:rFonts w:ascii="Arial" w:cs="Arial" w:eastAsia="Arial" w:hAnsi="Arial"/>
                <w:sz w:val="16"/>
                <w:szCs w:val="16"/>
                <w:color w:val="auto"/>
              </w:rPr>
              <w:t>*</w:t>
            </w:r>
          </w:p>
        </w:tc>
      </w:tr>
      <w:tr>
        <w:trPr>
          <w:trHeight w:val="334"/>
        </w:trPr>
        <w:tc>
          <w:tcPr>
            <w:tcW w:w="5500" w:type="dxa"/>
            <w:vAlign w:val="bottom"/>
            <w:tcBorders>
              <w:bottom w:val="single" w:sz="8" w:color="6D8CC3"/>
            </w:tcBorders>
          </w:tcPr>
          <w:p>
            <w:pPr>
              <w:spacing w:after="0"/>
              <w:rPr>
                <w:sz w:val="20"/>
                <w:szCs w:val="20"/>
                <w:color w:val="auto"/>
              </w:rPr>
            </w:pPr>
            <w:r>
              <w:rPr>
                <w:rFonts w:ascii="Arial" w:cs="Arial" w:eastAsia="Arial" w:hAnsi="Arial"/>
                <w:sz w:val="16"/>
                <w:szCs w:val="16"/>
                <w:color w:val="auto"/>
              </w:rPr>
              <w:t>Stephen Steinour</w:t>
            </w:r>
          </w:p>
        </w:tc>
        <w:tc>
          <w:tcPr>
            <w:tcW w:w="1160" w:type="dxa"/>
            <w:vAlign w:val="bottom"/>
            <w:tcBorders>
              <w:bottom w:val="single" w:sz="8" w:color="6D8CC3"/>
            </w:tcBorders>
          </w:tcPr>
          <w:p>
            <w:pPr>
              <w:ind w:left="940"/>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6D8CC3"/>
            </w:tcBorders>
            <w:gridSpan w:val="2"/>
          </w:tcPr>
          <w:p>
            <w:pPr>
              <w:ind w:left="180"/>
              <w:spacing w:after="0" w:line="333" w:lineRule="exact"/>
              <w:rPr>
                <w:sz w:val="20"/>
                <w:szCs w:val="20"/>
                <w:color w:val="auto"/>
              </w:rPr>
            </w:pPr>
            <w:r>
              <w:rPr>
                <w:rFonts w:ascii="Arial" w:cs="Arial" w:eastAsia="Arial" w:hAnsi="Arial"/>
                <w:sz w:val="31"/>
                <w:szCs w:val="31"/>
                <w:color w:val="auto"/>
                <w:vertAlign w:val="subscript"/>
              </w:rPr>
              <w:t>80,900</w:t>
            </w:r>
            <w:r>
              <w:rPr>
                <w:rFonts w:ascii="Arial" w:cs="Arial" w:eastAsia="Arial" w:hAnsi="Arial"/>
                <w:sz w:val="13"/>
                <w:szCs w:val="13"/>
                <w:color w:val="auto"/>
              </w:rPr>
              <w:t>(3)(6)</w:t>
            </w:r>
          </w:p>
        </w:tc>
        <w:tc>
          <w:tcPr>
            <w:tcW w:w="860" w:type="dxa"/>
            <w:vAlign w:val="bottom"/>
            <w:tcBorders>
              <w:bottom w:val="single" w:sz="8" w:color="6D8CC3"/>
            </w:tcBorders>
          </w:tcPr>
          <w:p>
            <w:pPr>
              <w:jc w:val="right"/>
              <w:ind w:right="361"/>
              <w:spacing w:after="0"/>
              <w:rPr>
                <w:sz w:val="20"/>
                <w:szCs w:val="20"/>
                <w:color w:val="auto"/>
              </w:rPr>
            </w:pPr>
            <w:r>
              <w:rPr>
                <w:rFonts w:ascii="Arial" w:cs="Arial" w:eastAsia="Arial" w:hAnsi="Arial"/>
                <w:sz w:val="16"/>
                <w:szCs w:val="16"/>
                <w:color w:val="auto"/>
              </w:rPr>
              <w:t>*</w:t>
            </w:r>
          </w:p>
        </w:tc>
      </w:tr>
      <w:tr>
        <w:trPr>
          <w:trHeight w:val="334"/>
        </w:trPr>
        <w:tc>
          <w:tcPr>
            <w:tcW w:w="5500" w:type="dxa"/>
            <w:vAlign w:val="bottom"/>
            <w:tcBorders>
              <w:bottom w:val="single" w:sz="8" w:color="6D8CC3"/>
            </w:tcBorders>
          </w:tcPr>
          <w:p>
            <w:pPr>
              <w:spacing w:after="0"/>
              <w:rPr>
                <w:sz w:val="20"/>
                <w:szCs w:val="20"/>
                <w:color w:val="auto"/>
              </w:rPr>
            </w:pPr>
            <w:r>
              <w:rPr>
                <w:rFonts w:ascii="Arial" w:cs="Arial" w:eastAsia="Arial" w:hAnsi="Arial"/>
                <w:sz w:val="16"/>
                <w:szCs w:val="16"/>
                <w:color w:val="auto"/>
              </w:rPr>
              <w:t>J.K. Symancyk</w:t>
            </w:r>
          </w:p>
        </w:tc>
        <w:tc>
          <w:tcPr>
            <w:tcW w:w="1160" w:type="dxa"/>
            <w:vAlign w:val="bottom"/>
            <w:tcBorders>
              <w:bottom w:val="single" w:sz="8" w:color="6D8CC3"/>
            </w:tcBorders>
          </w:tcPr>
          <w:p>
            <w:pPr>
              <w:ind w:left="940"/>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6D8CC3"/>
            </w:tcBorders>
            <w:gridSpan w:val="2"/>
          </w:tcPr>
          <w:p>
            <w:pPr>
              <w:ind w:left="180"/>
              <w:spacing w:after="0"/>
              <w:rPr>
                <w:sz w:val="20"/>
                <w:szCs w:val="20"/>
                <w:color w:val="auto"/>
              </w:rPr>
            </w:pPr>
            <w:r>
              <w:rPr>
                <w:rFonts w:ascii="Arial" w:cs="Arial" w:eastAsia="Arial" w:hAnsi="Arial"/>
                <w:sz w:val="16"/>
                <w:szCs w:val="16"/>
                <w:color w:val="auto"/>
              </w:rPr>
              <w:t>40,379</w:t>
            </w:r>
            <w:r>
              <w:rPr>
                <w:rFonts w:ascii="Arial" w:cs="Arial" w:eastAsia="Arial" w:hAnsi="Arial"/>
                <w:sz w:val="26"/>
                <w:szCs w:val="26"/>
                <w:color w:val="auto"/>
                <w:vertAlign w:val="superscript"/>
              </w:rPr>
              <w:t>(3)</w:t>
            </w:r>
          </w:p>
        </w:tc>
        <w:tc>
          <w:tcPr>
            <w:tcW w:w="860" w:type="dxa"/>
            <w:vAlign w:val="bottom"/>
            <w:tcBorders>
              <w:bottom w:val="single" w:sz="8" w:color="6D8CC3"/>
            </w:tcBorders>
          </w:tcPr>
          <w:p>
            <w:pPr>
              <w:jc w:val="right"/>
              <w:ind w:right="361"/>
              <w:spacing w:after="0"/>
              <w:rPr>
                <w:sz w:val="20"/>
                <w:szCs w:val="20"/>
                <w:color w:val="auto"/>
              </w:rPr>
            </w:pPr>
            <w:r>
              <w:rPr>
                <w:rFonts w:ascii="Arial" w:cs="Arial" w:eastAsia="Arial" w:hAnsi="Arial"/>
                <w:sz w:val="16"/>
                <w:szCs w:val="16"/>
                <w:color w:val="auto"/>
              </w:rPr>
              <w:t>*</w:t>
            </w:r>
          </w:p>
        </w:tc>
      </w:tr>
      <w:tr>
        <w:trPr>
          <w:trHeight w:val="334"/>
        </w:trPr>
        <w:tc>
          <w:tcPr>
            <w:tcW w:w="5500" w:type="dxa"/>
            <w:vAlign w:val="bottom"/>
            <w:tcBorders>
              <w:bottom w:val="single" w:sz="8" w:color="6D8CC3"/>
            </w:tcBorders>
          </w:tcPr>
          <w:p>
            <w:pPr>
              <w:spacing w:after="0"/>
              <w:rPr>
                <w:sz w:val="20"/>
                <w:szCs w:val="20"/>
                <w:color w:val="auto"/>
              </w:rPr>
            </w:pPr>
            <w:r>
              <w:rPr>
                <w:rFonts w:ascii="Arial" w:cs="Arial" w:eastAsia="Arial" w:hAnsi="Arial"/>
                <w:sz w:val="16"/>
                <w:szCs w:val="16"/>
                <w:color w:val="auto"/>
              </w:rPr>
              <w:t>Steven Voskuil</w:t>
            </w:r>
          </w:p>
        </w:tc>
        <w:tc>
          <w:tcPr>
            <w:tcW w:w="1160" w:type="dxa"/>
            <w:vAlign w:val="bottom"/>
            <w:tcBorders>
              <w:bottom w:val="single" w:sz="8" w:color="6D8CC3"/>
            </w:tcBorders>
          </w:tcPr>
          <w:p>
            <w:pPr>
              <w:ind w:left="940"/>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6D8CC3"/>
            </w:tcBorders>
            <w:gridSpan w:val="2"/>
          </w:tcPr>
          <w:p>
            <w:pPr>
              <w:ind w:left="180"/>
              <w:spacing w:after="0"/>
              <w:rPr>
                <w:sz w:val="20"/>
                <w:szCs w:val="20"/>
                <w:color w:val="auto"/>
              </w:rPr>
            </w:pPr>
            <w:r>
              <w:rPr>
                <w:rFonts w:ascii="Arial" w:cs="Arial" w:eastAsia="Arial" w:hAnsi="Arial"/>
                <w:sz w:val="16"/>
                <w:szCs w:val="16"/>
                <w:color w:val="auto"/>
              </w:rPr>
              <w:t>33,925</w:t>
            </w:r>
            <w:r>
              <w:rPr>
                <w:rFonts w:ascii="Arial" w:cs="Arial" w:eastAsia="Arial" w:hAnsi="Arial"/>
                <w:sz w:val="26"/>
                <w:szCs w:val="26"/>
                <w:color w:val="auto"/>
                <w:vertAlign w:val="superscript"/>
              </w:rPr>
              <w:t>(3)</w:t>
            </w:r>
          </w:p>
        </w:tc>
        <w:tc>
          <w:tcPr>
            <w:tcW w:w="860" w:type="dxa"/>
            <w:vAlign w:val="bottom"/>
            <w:tcBorders>
              <w:bottom w:val="single" w:sz="8" w:color="6D8CC3"/>
            </w:tcBorders>
          </w:tcPr>
          <w:p>
            <w:pPr>
              <w:jc w:val="right"/>
              <w:ind w:right="361"/>
              <w:spacing w:after="0"/>
              <w:rPr>
                <w:sz w:val="20"/>
                <w:szCs w:val="20"/>
                <w:color w:val="auto"/>
              </w:rPr>
            </w:pPr>
            <w:r>
              <w:rPr>
                <w:rFonts w:ascii="Arial" w:cs="Arial" w:eastAsia="Arial" w:hAnsi="Arial"/>
                <w:sz w:val="16"/>
                <w:szCs w:val="16"/>
                <w:color w:val="auto"/>
              </w:rPr>
              <w:t>*</w:t>
            </w:r>
          </w:p>
        </w:tc>
      </w:tr>
      <w:tr>
        <w:trPr>
          <w:trHeight w:val="334"/>
        </w:trPr>
        <w:tc>
          <w:tcPr>
            <w:tcW w:w="5500" w:type="dxa"/>
            <w:vAlign w:val="bottom"/>
            <w:tcBorders>
              <w:bottom w:val="single" w:sz="8" w:color="6D8CC3"/>
            </w:tcBorders>
          </w:tcPr>
          <w:p>
            <w:pPr>
              <w:spacing w:after="0"/>
              <w:rPr>
                <w:sz w:val="20"/>
                <w:szCs w:val="20"/>
                <w:color w:val="auto"/>
              </w:rPr>
            </w:pPr>
            <w:r>
              <w:rPr>
                <w:rFonts w:ascii="Arial" w:cs="Arial" w:eastAsia="Arial" w:hAnsi="Arial"/>
                <w:sz w:val="16"/>
                <w:szCs w:val="16"/>
                <w:color w:val="auto"/>
              </w:rPr>
              <w:t>Michael Wu</w:t>
            </w:r>
          </w:p>
        </w:tc>
        <w:tc>
          <w:tcPr>
            <w:tcW w:w="2680" w:type="dxa"/>
            <w:vAlign w:val="bottom"/>
            <w:tcBorders>
              <w:bottom w:val="single" w:sz="8" w:color="6D8CC3"/>
            </w:tcBorders>
            <w:gridSpan w:val="3"/>
          </w:tcPr>
          <w:p>
            <w:pPr>
              <w:ind w:left="940"/>
              <w:spacing w:after="0"/>
              <w:rPr>
                <w:sz w:val="20"/>
                <w:szCs w:val="20"/>
                <w:color w:val="auto"/>
              </w:rPr>
            </w:pPr>
            <w:r>
              <w:rPr>
                <w:rFonts w:ascii="Arial" w:cs="Arial" w:eastAsia="Arial" w:hAnsi="Arial"/>
                <w:sz w:val="16"/>
                <w:szCs w:val="16"/>
                <w:color w:val="auto"/>
              </w:rPr>
              <w:t>​ 76,227.904</w:t>
            </w:r>
            <w:r>
              <w:rPr>
                <w:rFonts w:ascii="Arial" w:cs="Arial" w:eastAsia="Arial" w:hAnsi="Arial"/>
                <w:sz w:val="26"/>
                <w:szCs w:val="26"/>
                <w:color w:val="auto"/>
                <w:vertAlign w:val="superscript"/>
              </w:rPr>
              <w:t>(4)</w:t>
            </w:r>
          </w:p>
        </w:tc>
        <w:tc>
          <w:tcPr>
            <w:tcW w:w="860" w:type="dxa"/>
            <w:vAlign w:val="bottom"/>
            <w:tcBorders>
              <w:bottom w:val="single" w:sz="8" w:color="6D8CC3"/>
            </w:tcBorders>
          </w:tcPr>
          <w:p>
            <w:pPr>
              <w:jc w:val="right"/>
              <w:ind w:right="361"/>
              <w:spacing w:after="0"/>
              <w:rPr>
                <w:sz w:val="20"/>
                <w:szCs w:val="20"/>
                <w:color w:val="auto"/>
              </w:rPr>
            </w:pPr>
            <w:r>
              <w:rPr>
                <w:rFonts w:ascii="Arial" w:cs="Arial" w:eastAsia="Arial" w:hAnsi="Arial"/>
                <w:sz w:val="16"/>
                <w:szCs w:val="16"/>
                <w:color w:val="auto"/>
              </w:rPr>
              <w:t>*</w:t>
            </w:r>
          </w:p>
        </w:tc>
      </w:tr>
      <w:tr>
        <w:trPr>
          <w:trHeight w:val="321"/>
        </w:trPr>
        <w:tc>
          <w:tcPr>
            <w:tcW w:w="5500" w:type="dxa"/>
            <w:vAlign w:val="bottom"/>
            <w:tcBorders>
              <w:bottom w:val="single" w:sz="8" w:color="6D8CC3"/>
            </w:tcBorders>
          </w:tcPr>
          <w:p>
            <w:pPr>
              <w:spacing w:after="0"/>
              <w:rPr>
                <w:sz w:val="20"/>
                <w:szCs w:val="20"/>
                <w:color w:val="auto"/>
              </w:rPr>
            </w:pPr>
            <w:r>
              <w:rPr>
                <w:rFonts w:ascii="Arial" w:cs="Arial" w:eastAsia="Arial" w:hAnsi="Arial"/>
                <w:sz w:val="16"/>
                <w:szCs w:val="16"/>
                <w:color w:val="auto"/>
              </w:rPr>
              <w:t>All directors and current executive officers as a group (12 people)</w:t>
            </w:r>
          </w:p>
        </w:tc>
        <w:tc>
          <w:tcPr>
            <w:tcW w:w="1520" w:type="dxa"/>
            <w:vAlign w:val="bottom"/>
            <w:tcBorders>
              <w:bottom w:val="single" w:sz="8" w:color="6D8CC3"/>
            </w:tcBorders>
            <w:gridSpan w:val="2"/>
          </w:tcPr>
          <w:p>
            <w:pPr>
              <w:ind w:left="940"/>
              <w:spacing w:after="0"/>
              <w:rPr>
                <w:sz w:val="20"/>
                <w:szCs w:val="20"/>
                <w:color w:val="auto"/>
              </w:rPr>
            </w:pPr>
            <w:r>
              <w:rPr>
                <w:rFonts w:ascii="Arial" w:cs="Arial" w:eastAsia="Arial" w:hAnsi="Arial"/>
                <w:sz w:val="16"/>
                <w:szCs w:val="16"/>
                <w:color w:val="auto"/>
                <w:w w:val="96"/>
              </w:rPr>
              <w:t>657,314​</w:t>
            </w:r>
          </w:p>
        </w:tc>
        <w:tc>
          <w:tcPr>
            <w:tcW w:w="1160" w:type="dxa"/>
            <w:vAlign w:val="bottom"/>
            <w:tcBorders>
              <w:bottom w:val="single" w:sz="8" w:color="6D8CC3"/>
            </w:tcBorders>
          </w:tcPr>
          <w:p>
            <w:pPr>
              <w:jc w:val="right"/>
              <w:ind w:right="314"/>
              <w:spacing w:after="0" w:line="321" w:lineRule="exact"/>
              <w:rPr>
                <w:sz w:val="20"/>
                <w:szCs w:val="20"/>
                <w:color w:val="auto"/>
              </w:rPr>
            </w:pPr>
            <w:r>
              <w:rPr>
                <w:rFonts w:ascii="Arial" w:cs="Arial" w:eastAsia="Arial" w:hAnsi="Arial"/>
                <w:sz w:val="31"/>
                <w:szCs w:val="31"/>
                <w:color w:val="auto"/>
                <w:w w:val="86"/>
                <w:vertAlign w:val="subscript"/>
              </w:rPr>
              <w:t>.726</w:t>
            </w:r>
            <w:r>
              <w:rPr>
                <w:rFonts w:ascii="Arial" w:cs="Arial" w:eastAsia="Arial" w:hAnsi="Arial"/>
                <w:sz w:val="13"/>
                <w:szCs w:val="13"/>
                <w:color w:val="auto"/>
                <w:w w:val="86"/>
              </w:rPr>
              <w:t>(3)(5)(6)</w:t>
            </w:r>
          </w:p>
        </w:tc>
        <w:tc>
          <w:tcPr>
            <w:tcW w:w="860" w:type="dxa"/>
            <w:vAlign w:val="bottom"/>
            <w:tcBorders>
              <w:bottom w:val="single" w:sz="8" w:color="6D8CC3"/>
            </w:tcBorders>
          </w:tcPr>
          <w:p>
            <w:pPr>
              <w:jc w:val="right"/>
              <w:ind w:right="361"/>
              <w:spacing w:after="0"/>
              <w:rPr>
                <w:sz w:val="20"/>
                <w:szCs w:val="20"/>
                <w:color w:val="auto"/>
              </w:rPr>
            </w:pPr>
            <w:r>
              <w:rPr>
                <w:rFonts w:ascii="Arial" w:cs="Arial" w:eastAsia="Arial" w:hAnsi="Arial"/>
                <w:sz w:val="16"/>
                <w:szCs w:val="16"/>
                <w:color w:val="auto"/>
              </w:rPr>
              <w:t>*</w:t>
            </w:r>
          </w:p>
        </w:tc>
      </w:tr>
    </w:tbl>
    <w:p>
      <w:pPr>
        <w:spacing w:after="0" w:line="69" w:lineRule="exact"/>
        <w:rPr>
          <w:sz w:val="20"/>
          <w:szCs w:val="20"/>
          <w:color w:val="auto"/>
        </w:rPr>
      </w:pPr>
    </w:p>
    <w:p>
      <w:pPr>
        <w:ind w:left="260" w:hanging="256"/>
        <w:spacing w:after="0"/>
        <w:tabs>
          <w:tab w:leader="none" w:pos="260" w:val="left"/>
        </w:tabs>
        <w:numPr>
          <w:ilvl w:val="0"/>
          <w:numId w:val="84"/>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62" w:lineRule="exact"/>
        <w:rPr>
          <w:sz w:val="20"/>
          <w:szCs w:val="20"/>
          <w:color w:val="auto"/>
        </w:rPr>
      </w:pPr>
    </w:p>
    <w:p>
      <w:pPr>
        <w:ind w:left="260" w:right="340" w:hanging="256"/>
        <w:spacing w:after="0" w:line="252" w:lineRule="auto"/>
        <w:tabs>
          <w:tab w:leader="none" w:pos="260" w:val="left"/>
        </w:tabs>
        <w:numPr>
          <w:ilvl w:val="0"/>
          <w:numId w:val="85"/>
        </w:numPr>
        <w:rPr>
          <w:rFonts w:ascii="Arial" w:cs="Arial" w:eastAsia="Arial" w:hAnsi="Arial"/>
          <w:sz w:val="14"/>
          <w:szCs w:val="14"/>
          <w:color w:val="auto"/>
        </w:rPr>
      </w:pPr>
      <w:r>
        <w:rPr>
          <w:rFonts w:ascii="Arial" w:cs="Arial" w:eastAsia="Arial" w:hAnsi="Arial"/>
          <w:sz w:val="14"/>
          <w:szCs w:val="14"/>
          <w:color w:val="auto"/>
        </w:rPr>
        <w:t>Unless otherwise indicated, each named person has voting and investment power over the listed shares and such voting and investment power is exercised solely by the named person or shared with a spouse. None of the listed shares have been pledged as security or otherwise deposited as collateral.</w:t>
      </w:r>
    </w:p>
    <w:p>
      <w:pPr>
        <w:spacing w:after="0" w:line="30" w:lineRule="exact"/>
        <w:rPr>
          <w:rFonts w:ascii="Arial" w:cs="Arial" w:eastAsia="Arial" w:hAnsi="Arial"/>
          <w:sz w:val="14"/>
          <w:szCs w:val="14"/>
          <w:color w:val="auto"/>
        </w:rPr>
      </w:pPr>
    </w:p>
    <w:p>
      <w:pPr>
        <w:ind w:left="260" w:hanging="256"/>
        <w:spacing w:after="0"/>
        <w:tabs>
          <w:tab w:leader="none" w:pos="260" w:val="left"/>
        </w:tabs>
        <w:numPr>
          <w:ilvl w:val="0"/>
          <w:numId w:val="85"/>
        </w:numPr>
        <w:rPr>
          <w:rFonts w:ascii="Arial" w:cs="Arial" w:eastAsia="Arial" w:hAnsi="Arial"/>
          <w:sz w:val="14"/>
          <w:szCs w:val="14"/>
          <w:color w:val="auto"/>
        </w:rPr>
      </w:pPr>
      <w:r>
        <w:rPr>
          <w:rFonts w:ascii="Arial" w:cs="Arial" w:eastAsia="Arial" w:hAnsi="Arial"/>
          <w:sz w:val="14"/>
          <w:szCs w:val="14"/>
          <w:color w:val="auto"/>
        </w:rPr>
        <w:t>Reflects beneficial ownership of shares of the Company’s common stock, and shares outstanding, as of April 14, 2026.</w:t>
      </w:r>
    </w:p>
    <w:p>
      <w:pPr>
        <w:spacing w:after="0" w:line="75" w:lineRule="exact"/>
        <w:rPr>
          <w:rFonts w:ascii="Arial" w:cs="Arial" w:eastAsia="Arial" w:hAnsi="Arial"/>
          <w:sz w:val="14"/>
          <w:szCs w:val="14"/>
          <w:color w:val="auto"/>
        </w:rPr>
      </w:pPr>
    </w:p>
    <w:p>
      <w:pPr>
        <w:ind w:left="260" w:right="140" w:hanging="256"/>
        <w:spacing w:after="0" w:line="246" w:lineRule="auto"/>
        <w:tabs>
          <w:tab w:leader="none" w:pos="260" w:val="left"/>
        </w:tabs>
        <w:numPr>
          <w:ilvl w:val="0"/>
          <w:numId w:val="85"/>
        </w:numPr>
        <w:rPr>
          <w:rFonts w:ascii="Arial" w:cs="Arial" w:eastAsia="Arial" w:hAnsi="Arial"/>
          <w:sz w:val="14"/>
          <w:szCs w:val="14"/>
          <w:color w:val="auto"/>
        </w:rPr>
      </w:pPr>
      <w:r>
        <w:rPr>
          <w:rFonts w:ascii="Arial" w:cs="Arial" w:eastAsia="Arial" w:hAnsi="Arial"/>
          <w:sz w:val="14"/>
          <w:szCs w:val="14"/>
          <w:color w:val="auto"/>
        </w:rPr>
        <w:t>Includes the following number of shares issuable within 60 days of April 14, 2026, upon the exercise or vesting of outstanding stock awards: Mr. Heaf, 24,777; Mr. Mazurek, 26,464 (which includes PSUs reflected at the target performance level (100%); the actual number of PSUs earned can range 0-200% of target); all non-employee directors (with the exception of Ms. Nash), 5,641; Ms. Nash, 9,402; and all directors and current executive officers as a group, 105,771.</w:t>
      </w:r>
    </w:p>
    <w:p>
      <w:pPr>
        <w:spacing w:after="0" w:line="34" w:lineRule="exact"/>
        <w:rPr>
          <w:rFonts w:ascii="Arial" w:cs="Arial" w:eastAsia="Arial" w:hAnsi="Arial"/>
          <w:sz w:val="14"/>
          <w:szCs w:val="14"/>
          <w:color w:val="auto"/>
        </w:rPr>
      </w:pPr>
    </w:p>
    <w:p>
      <w:pPr>
        <w:ind w:left="260" w:right="60" w:hanging="256"/>
        <w:spacing w:after="0" w:line="252" w:lineRule="auto"/>
        <w:tabs>
          <w:tab w:leader="none" w:pos="260" w:val="left"/>
        </w:tabs>
        <w:numPr>
          <w:ilvl w:val="0"/>
          <w:numId w:val="85"/>
        </w:numPr>
        <w:rPr>
          <w:rFonts w:ascii="Arial" w:cs="Arial" w:eastAsia="Arial" w:hAnsi="Arial"/>
          <w:sz w:val="14"/>
          <w:szCs w:val="14"/>
          <w:color w:val="auto"/>
        </w:rPr>
      </w:pPr>
      <w:r>
        <w:rPr>
          <w:rFonts w:ascii="Arial" w:cs="Arial" w:eastAsia="Arial" w:hAnsi="Arial"/>
          <w:sz w:val="14"/>
          <w:szCs w:val="14"/>
          <w:color w:val="auto"/>
        </w:rPr>
        <w:t>Includes the following number of shares issuable within 60 days of April 14, upon the vesting of outstanding stock awards (which includes PSUs reflected at the target performance level (100%); the actual number of PSUs earned can range 0-200% of target): Ms. Boswell, 78,764; and Mr. Wu 25,234.</w:t>
      </w:r>
    </w:p>
    <w:p>
      <w:pPr>
        <w:spacing w:after="0" w:line="30" w:lineRule="exact"/>
        <w:rPr>
          <w:rFonts w:ascii="Arial" w:cs="Arial" w:eastAsia="Arial" w:hAnsi="Arial"/>
          <w:sz w:val="14"/>
          <w:szCs w:val="14"/>
          <w:color w:val="auto"/>
        </w:rPr>
      </w:pPr>
    </w:p>
    <w:p>
      <w:pPr>
        <w:ind w:left="260" w:right="640" w:hanging="256"/>
        <w:spacing w:after="0" w:line="269" w:lineRule="auto"/>
        <w:tabs>
          <w:tab w:leader="none" w:pos="260" w:val="left"/>
        </w:tabs>
        <w:numPr>
          <w:ilvl w:val="0"/>
          <w:numId w:val="85"/>
        </w:numPr>
        <w:rPr>
          <w:rFonts w:ascii="Arial" w:cs="Arial" w:eastAsia="Arial" w:hAnsi="Arial"/>
          <w:sz w:val="14"/>
          <w:szCs w:val="14"/>
          <w:color w:val="auto"/>
        </w:rPr>
      </w:pPr>
      <w:r>
        <w:rPr>
          <w:rFonts w:ascii="Arial" w:cs="Arial" w:eastAsia="Arial" w:hAnsi="Arial"/>
          <w:sz w:val="14"/>
          <w:szCs w:val="14"/>
          <w:color w:val="auto"/>
        </w:rPr>
        <w:t>Includes 13,850 shares held in The Francis A. Hondal Living Trust, for which Ms. Hondal has sole voting and investment power, and 2,063 shares held in the L Brands Inc for Francis Hondal, for which Ms. Hondal has sole voting and investment power.</w:t>
      </w:r>
    </w:p>
    <w:p>
      <w:pPr>
        <w:spacing w:after="0" w:line="32" w:lineRule="exact"/>
        <w:rPr>
          <w:rFonts w:ascii="Arial" w:cs="Arial" w:eastAsia="Arial" w:hAnsi="Arial"/>
          <w:sz w:val="14"/>
          <w:szCs w:val="14"/>
          <w:color w:val="auto"/>
        </w:rPr>
      </w:pPr>
    </w:p>
    <w:p>
      <w:pPr>
        <w:ind w:left="260" w:right="60" w:hanging="256"/>
        <w:spacing w:after="0" w:line="252" w:lineRule="auto"/>
        <w:tabs>
          <w:tab w:leader="none" w:pos="260" w:val="left"/>
        </w:tabs>
        <w:numPr>
          <w:ilvl w:val="0"/>
          <w:numId w:val="85"/>
        </w:numPr>
        <w:rPr>
          <w:rFonts w:ascii="Arial" w:cs="Arial" w:eastAsia="Arial" w:hAnsi="Arial"/>
          <w:sz w:val="14"/>
          <w:szCs w:val="14"/>
          <w:color w:val="auto"/>
        </w:rPr>
      </w:pPr>
      <w:r>
        <w:rPr>
          <w:rFonts w:ascii="Arial" w:cs="Arial" w:eastAsia="Arial" w:hAnsi="Arial"/>
          <w:sz w:val="14"/>
          <w:szCs w:val="14"/>
          <w:color w:val="auto"/>
        </w:rPr>
        <w:t>Includes 9,900 shares held in the Patricia M. Steinour Legacy Trust, for which Mr. Steinour has shared voting and investment power, and 9,900 shares held in the Stephen D. Steinour Dynasty Trust, for which Mr. Steinour has shared voting and investment power. Includes 12,925 shares owned by Mr. Steinour’s spouse, as to which Mr. Steinour may be deemed to share voting and investment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116840</wp:posOffset>
            </wp:positionV>
            <wp:extent cx="573722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737225" cy="8255"/>
                    </a:xfrm>
                    <a:prstGeom prst="rect">
                      <a:avLst/>
                    </a:prstGeom>
                    <a:noFill/>
                  </pic:spPr>
                </pic:pic>
              </a:graphicData>
            </a:graphic>
          </wp:anchor>
        </w:drawing>
      </w: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b w:val="1"/>
          <w:bCs w:val="1"/>
          <w:color w:val="292F72"/>
        </w:rPr>
        <w:t>60</w:t>
      </w:r>
      <w:r>
        <w:rPr>
          <w:rFonts w:ascii="Arial" w:cs="Arial" w:eastAsia="Arial" w:hAnsi="Arial"/>
          <w:sz w:val="14"/>
          <w:szCs w:val="14"/>
          <w:color w:val="292F72"/>
        </w:rPr>
        <w:t xml:space="preserve">     Bath &amp; Body Works, Inc.</w:t>
      </w:r>
      <w:r>
        <w:rPr>
          <w:rFonts w:ascii="Arial" w:cs="Arial" w:eastAsia="Arial" w:hAnsi="Arial"/>
          <w:sz w:val="14"/>
          <w:szCs w:val="14"/>
          <w:color w:val="6D8CC3"/>
        </w:rPr>
        <w:t xml:space="preserve">   | </w:t>
      </w:r>
      <w:r>
        <w:rPr>
          <w:rFonts w:ascii="Arial" w:cs="Arial" w:eastAsia="Arial" w:hAnsi="Arial"/>
          <w:sz w:val="14"/>
          <w:szCs w:val="14"/>
          <w:b w:val="1"/>
          <w:bCs w:val="1"/>
          <w:color w:val="292F72"/>
        </w:rPr>
        <w:t xml:space="preserve">  </w:t>
      </w:r>
      <w:r>
        <w:rPr>
          <w:rFonts w:ascii="Arial" w:cs="Arial" w:eastAsia="Arial" w:hAnsi="Arial"/>
          <w:sz w:val="14"/>
          <w:szCs w:val="14"/>
          <w:color w:val="292F72"/>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170180</wp:posOffset>
            </wp:positionV>
            <wp:extent cx="6795135" cy="1651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795135" cy="16510"/>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2" w:lineRule="exact"/>
        <w:rPr>
          <w:sz w:val="20"/>
          <w:szCs w:val="20"/>
          <w:color w:val="auto"/>
        </w:rPr>
      </w:pPr>
    </w:p>
    <w:p>
      <w:pPr>
        <w:ind w:left="6240"/>
        <w:spacing w:after="0"/>
        <w:rPr>
          <w:sz w:val="20"/>
          <w:szCs w:val="20"/>
          <w:color w:val="auto"/>
        </w:rPr>
      </w:pPr>
      <w:r>
        <w:rPr>
          <w:rFonts w:ascii="Arial" w:cs="Arial" w:eastAsia="Arial" w:hAnsi="Arial"/>
          <w:sz w:val="15"/>
          <w:szCs w:val="15"/>
          <w:color w:val="292F72"/>
        </w:rPr>
        <w:t>Beneficial Ownership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3950970</wp:posOffset>
            </wp:positionH>
            <wp:positionV relativeFrom="paragraph">
              <wp:posOffset>48260</wp:posOffset>
            </wp:positionV>
            <wp:extent cx="1790065" cy="3302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790065" cy="33020"/>
                    </a:xfrm>
                    <a:prstGeom prst="rect">
                      <a:avLst/>
                    </a:prstGeom>
                    <a:noFill/>
                  </pic:spPr>
                </pic:pic>
              </a:graphicData>
            </a:graphic>
          </wp:anchor>
        </w:drawing>
      </w:r>
    </w:p>
    <w:p>
      <w:pPr>
        <w:spacing w:after="0" w:line="201" w:lineRule="exact"/>
        <w:rPr>
          <w:sz w:val="20"/>
          <w:szCs w:val="20"/>
          <w:color w:val="auto"/>
        </w:rPr>
      </w:pPr>
    </w:p>
    <w:p>
      <w:pPr>
        <w:jc w:val="both"/>
        <w:ind w:right="200"/>
        <w:spacing w:after="0" w:line="254" w:lineRule="auto"/>
        <w:rPr>
          <w:sz w:val="20"/>
          <w:szCs w:val="20"/>
          <w:color w:val="auto"/>
        </w:rPr>
      </w:pPr>
      <w:r>
        <w:rPr>
          <w:rFonts w:ascii="Arial" w:cs="Arial" w:eastAsia="Arial" w:hAnsi="Arial"/>
          <w:sz w:val="16"/>
          <w:szCs w:val="16"/>
          <w:color w:val="auto"/>
        </w:rPr>
        <w:t>The following table sets forth the names of all persons who, as of the dates indicated below, were known by the Company to be the beneficial owners (as defined in the rules of the Commission) of more than 5% of the outstanding shares of the Company’s common stock.</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2600" w:type="dxa"/>
            <w:vAlign w:val="bottom"/>
          </w:tcPr>
          <w:p>
            <w:pPr>
              <w:ind w:left="1820"/>
              <w:spacing w:after="0"/>
              <w:rPr>
                <w:sz w:val="20"/>
                <w:szCs w:val="20"/>
                <w:color w:val="auto"/>
              </w:rPr>
            </w:pPr>
            <w:r>
              <w:rPr>
                <w:rFonts w:ascii="Arial" w:cs="Arial" w:eastAsia="Arial" w:hAnsi="Arial"/>
                <w:sz w:val="14"/>
                <w:szCs w:val="14"/>
                <w:b w:val="1"/>
                <w:bCs w:val="1"/>
                <w:color w:val="292F72"/>
              </w:rPr>
              <w:t>AMOUNT</w:t>
            </w: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57"/>
        </w:trPr>
        <w:tc>
          <w:tcPr>
            <w:tcW w:w="4960" w:type="dxa"/>
            <w:vAlign w:val="bottom"/>
          </w:tcPr>
          <w:p>
            <w:pPr>
              <w:spacing w:after="0"/>
              <w:rPr>
                <w:sz w:val="13"/>
                <w:szCs w:val="13"/>
                <w:color w:val="auto"/>
              </w:rPr>
            </w:pPr>
          </w:p>
        </w:tc>
        <w:tc>
          <w:tcPr>
            <w:tcW w:w="2980" w:type="dxa"/>
            <w:vAlign w:val="bottom"/>
            <w:gridSpan w:val="2"/>
          </w:tcPr>
          <w:p>
            <w:pPr>
              <w:ind w:left="1820"/>
              <w:spacing w:after="0" w:line="157" w:lineRule="exact"/>
              <w:rPr>
                <w:sz w:val="20"/>
                <w:szCs w:val="20"/>
                <w:color w:val="auto"/>
              </w:rPr>
            </w:pPr>
            <w:r>
              <w:rPr>
                <w:rFonts w:ascii="Arial" w:cs="Arial" w:eastAsia="Arial" w:hAnsi="Arial"/>
                <w:sz w:val="14"/>
                <w:szCs w:val="14"/>
                <w:b w:val="1"/>
                <w:bCs w:val="1"/>
                <w:color w:val="292F72"/>
              </w:rPr>
              <w:t>BENEFICIALLY</w:t>
            </w:r>
          </w:p>
        </w:tc>
        <w:tc>
          <w:tcPr>
            <w:tcW w:w="1100" w:type="dxa"/>
            <w:vAlign w:val="bottom"/>
          </w:tcPr>
          <w:p>
            <w:pPr>
              <w:ind w:left="160"/>
              <w:spacing w:after="0" w:line="157" w:lineRule="exact"/>
              <w:rPr>
                <w:sz w:val="20"/>
                <w:szCs w:val="20"/>
                <w:color w:val="auto"/>
              </w:rPr>
            </w:pPr>
            <w:r>
              <w:rPr>
                <w:rFonts w:ascii="Arial" w:cs="Arial" w:eastAsia="Arial" w:hAnsi="Arial"/>
                <w:sz w:val="14"/>
                <w:szCs w:val="14"/>
                <w:b w:val="1"/>
                <w:bCs w:val="1"/>
                <w:color w:val="292F72"/>
              </w:rPr>
              <w:t>PERCENT OF</w:t>
            </w:r>
          </w:p>
        </w:tc>
      </w:tr>
      <w:tr>
        <w:trPr>
          <w:trHeight w:val="193"/>
        </w:trPr>
        <w:tc>
          <w:tcPr>
            <w:tcW w:w="4960" w:type="dxa"/>
            <w:vAlign w:val="bottom"/>
          </w:tcPr>
          <w:p>
            <w:pPr>
              <w:spacing w:after="0"/>
              <w:rPr>
                <w:sz w:val="20"/>
                <w:szCs w:val="20"/>
                <w:color w:val="auto"/>
              </w:rPr>
            </w:pPr>
            <w:r>
              <w:rPr>
                <w:rFonts w:ascii="Arial" w:cs="Arial" w:eastAsia="Arial" w:hAnsi="Arial"/>
                <w:sz w:val="14"/>
                <w:szCs w:val="14"/>
                <w:b w:val="1"/>
                <w:bCs w:val="1"/>
                <w:color w:val="292F72"/>
              </w:rPr>
              <w:t>NAME AND ADDRESS OF BENEFICIAL OWNER</w:t>
            </w:r>
          </w:p>
        </w:tc>
        <w:tc>
          <w:tcPr>
            <w:tcW w:w="2600" w:type="dxa"/>
            <w:vAlign w:val="bottom"/>
          </w:tcPr>
          <w:p>
            <w:pPr>
              <w:ind w:left="1820"/>
              <w:spacing w:after="0"/>
              <w:rPr>
                <w:sz w:val="20"/>
                <w:szCs w:val="20"/>
                <w:color w:val="auto"/>
              </w:rPr>
            </w:pPr>
            <w:r>
              <w:rPr>
                <w:rFonts w:ascii="Arial" w:cs="Arial" w:eastAsia="Arial" w:hAnsi="Arial"/>
                <w:sz w:val="14"/>
                <w:szCs w:val="14"/>
                <w:b w:val="1"/>
                <w:bCs w:val="1"/>
                <w:color w:val="292F72"/>
              </w:rPr>
              <w:t>OWNED</w:t>
            </w:r>
          </w:p>
        </w:tc>
        <w:tc>
          <w:tcPr>
            <w:tcW w:w="380" w:type="dxa"/>
            <w:vAlign w:val="bottom"/>
          </w:tcPr>
          <w:p>
            <w:pPr>
              <w:spacing w:after="0"/>
              <w:rPr>
                <w:sz w:val="16"/>
                <w:szCs w:val="16"/>
                <w:color w:val="auto"/>
              </w:rPr>
            </w:pPr>
          </w:p>
        </w:tc>
        <w:tc>
          <w:tcPr>
            <w:tcW w:w="1100" w:type="dxa"/>
            <w:vAlign w:val="bottom"/>
          </w:tcPr>
          <w:p>
            <w:pPr>
              <w:ind w:left="160"/>
              <w:spacing w:after="0"/>
              <w:rPr>
                <w:sz w:val="20"/>
                <w:szCs w:val="20"/>
                <w:color w:val="auto"/>
              </w:rPr>
            </w:pPr>
            <w:r>
              <w:rPr>
                <w:rFonts w:ascii="Arial" w:cs="Arial" w:eastAsia="Arial" w:hAnsi="Arial"/>
                <w:sz w:val="14"/>
                <w:szCs w:val="14"/>
                <w:b w:val="1"/>
                <w:bCs w:val="1"/>
                <w:color w:val="292F72"/>
              </w:rPr>
              <w:t>CLASS</w:t>
            </w:r>
          </w:p>
        </w:tc>
      </w:tr>
      <w:tr>
        <w:trPr>
          <w:trHeight w:val="40"/>
        </w:trPr>
        <w:tc>
          <w:tcPr>
            <w:tcW w:w="4960" w:type="dxa"/>
            <w:vAlign w:val="bottom"/>
            <w:tcBorders>
              <w:bottom w:val="single" w:sz="8" w:color="292F72"/>
            </w:tcBorders>
          </w:tcPr>
          <w:p>
            <w:pPr>
              <w:spacing w:after="0"/>
              <w:rPr>
                <w:sz w:val="3"/>
                <w:szCs w:val="3"/>
                <w:color w:val="auto"/>
              </w:rPr>
            </w:pPr>
          </w:p>
        </w:tc>
        <w:tc>
          <w:tcPr>
            <w:tcW w:w="2600" w:type="dxa"/>
            <w:vAlign w:val="bottom"/>
            <w:tcBorders>
              <w:bottom w:val="single" w:sz="8" w:color="292F72"/>
            </w:tcBorders>
          </w:tcPr>
          <w:p>
            <w:pPr>
              <w:spacing w:after="0"/>
              <w:rPr>
                <w:sz w:val="3"/>
                <w:szCs w:val="3"/>
                <w:color w:val="auto"/>
              </w:rPr>
            </w:pPr>
          </w:p>
        </w:tc>
        <w:tc>
          <w:tcPr>
            <w:tcW w:w="380" w:type="dxa"/>
            <w:vAlign w:val="bottom"/>
            <w:tcBorders>
              <w:bottom w:val="single" w:sz="8" w:color="292F72"/>
            </w:tcBorders>
          </w:tcPr>
          <w:p>
            <w:pPr>
              <w:spacing w:after="0"/>
              <w:rPr>
                <w:sz w:val="3"/>
                <w:szCs w:val="3"/>
                <w:color w:val="auto"/>
              </w:rPr>
            </w:pPr>
          </w:p>
        </w:tc>
        <w:tc>
          <w:tcPr>
            <w:tcW w:w="1100" w:type="dxa"/>
            <w:vAlign w:val="bottom"/>
            <w:tcBorders>
              <w:bottom w:val="single" w:sz="8" w:color="292F72"/>
            </w:tcBorders>
          </w:tcPr>
          <w:p>
            <w:pPr>
              <w:spacing w:after="0"/>
              <w:rPr>
                <w:sz w:val="3"/>
                <w:szCs w:val="3"/>
                <w:color w:val="auto"/>
              </w:rPr>
            </w:pPr>
          </w:p>
        </w:tc>
      </w:tr>
      <w:tr>
        <w:trPr>
          <w:trHeight w:val="269"/>
        </w:trPr>
        <w:tc>
          <w:tcPr>
            <w:tcW w:w="4960" w:type="dxa"/>
            <w:vAlign w:val="bottom"/>
          </w:tcPr>
          <w:p>
            <w:pPr>
              <w:spacing w:after="0" w:line="270" w:lineRule="exact"/>
              <w:rPr>
                <w:sz w:val="20"/>
                <w:szCs w:val="20"/>
                <w:color w:val="auto"/>
              </w:rPr>
            </w:pPr>
            <w:r>
              <w:rPr>
                <w:rFonts w:ascii="Arial" w:cs="Arial" w:eastAsia="Arial" w:hAnsi="Arial"/>
                <w:sz w:val="16"/>
                <w:szCs w:val="16"/>
                <w:color w:val="auto"/>
              </w:rPr>
              <w:t>AQR Capital Management, LLC</w:t>
            </w:r>
            <w:r>
              <w:rPr>
                <w:rFonts w:ascii="Arial" w:cs="Arial" w:eastAsia="Arial" w:hAnsi="Arial"/>
                <w:sz w:val="26"/>
                <w:szCs w:val="26"/>
                <w:color w:val="auto"/>
                <w:vertAlign w:val="superscript"/>
              </w:rPr>
              <w:t>(1)</w:t>
            </w:r>
          </w:p>
        </w:tc>
        <w:tc>
          <w:tcPr>
            <w:tcW w:w="26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184"/>
        </w:trPr>
        <w:tc>
          <w:tcPr>
            <w:tcW w:w="4960" w:type="dxa"/>
            <w:vAlign w:val="bottom"/>
          </w:tcPr>
          <w:p>
            <w:pPr>
              <w:spacing w:after="0"/>
              <w:rPr>
                <w:sz w:val="20"/>
                <w:szCs w:val="20"/>
                <w:color w:val="auto"/>
              </w:rPr>
            </w:pPr>
            <w:r>
              <w:rPr>
                <w:rFonts w:ascii="Arial" w:cs="Arial" w:eastAsia="Arial" w:hAnsi="Arial"/>
                <w:sz w:val="16"/>
                <w:szCs w:val="16"/>
                <w:color w:val="auto"/>
              </w:rPr>
              <w:t>One Greenwich Plaza Suite 130</w:t>
            </w:r>
          </w:p>
        </w:tc>
        <w:tc>
          <w:tcPr>
            <w:tcW w:w="2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6"/>
        </w:trPr>
        <w:tc>
          <w:tcPr>
            <w:tcW w:w="4960" w:type="dxa"/>
            <w:vAlign w:val="bottom"/>
          </w:tcPr>
          <w:p>
            <w:pPr>
              <w:spacing w:after="0"/>
              <w:rPr>
                <w:sz w:val="20"/>
                <w:szCs w:val="20"/>
                <w:color w:val="auto"/>
              </w:rPr>
            </w:pPr>
            <w:r>
              <w:rPr>
                <w:rFonts w:ascii="Arial" w:cs="Arial" w:eastAsia="Arial" w:hAnsi="Arial"/>
                <w:sz w:val="16"/>
                <w:szCs w:val="16"/>
                <w:color w:val="auto"/>
              </w:rPr>
              <w:t>Greenwich, CT 05830</w:t>
            </w:r>
          </w:p>
        </w:tc>
        <w:tc>
          <w:tcPr>
            <w:tcW w:w="2980" w:type="dxa"/>
            <w:vAlign w:val="bottom"/>
            <w:gridSpan w:val="2"/>
          </w:tcPr>
          <w:p>
            <w:pPr>
              <w:jc w:val="right"/>
              <w:ind w:right="81"/>
              <w:spacing w:after="0"/>
              <w:rPr>
                <w:sz w:val="20"/>
                <w:szCs w:val="20"/>
                <w:color w:val="auto"/>
              </w:rPr>
            </w:pPr>
            <w:r>
              <w:rPr>
                <w:rFonts w:ascii="Arial" w:cs="Arial" w:eastAsia="Arial" w:hAnsi="Arial"/>
                <w:sz w:val="16"/>
                <w:szCs w:val="16"/>
                <w:color w:val="auto"/>
              </w:rPr>
              <w:t>11,445,928</w:t>
            </w:r>
          </w:p>
        </w:tc>
        <w:tc>
          <w:tcPr>
            <w:tcW w:w="1100" w:type="dxa"/>
            <w:vAlign w:val="bottom"/>
          </w:tcPr>
          <w:p>
            <w:pPr>
              <w:jc w:val="right"/>
              <w:ind w:right="125"/>
              <w:spacing w:after="0"/>
              <w:rPr>
                <w:sz w:val="20"/>
                <w:szCs w:val="20"/>
                <w:color w:val="auto"/>
              </w:rPr>
            </w:pPr>
            <w:r>
              <w:rPr>
                <w:rFonts w:ascii="Arial" w:cs="Arial" w:eastAsia="Arial" w:hAnsi="Arial"/>
                <w:sz w:val="16"/>
                <w:szCs w:val="16"/>
                <w:color w:val="auto"/>
              </w:rPr>
              <w:t>5.59%</w:t>
            </w:r>
          </w:p>
        </w:tc>
      </w:tr>
      <w:tr>
        <w:trPr>
          <w:trHeight w:val="55"/>
        </w:trPr>
        <w:tc>
          <w:tcPr>
            <w:tcW w:w="4960" w:type="dxa"/>
            <w:vAlign w:val="bottom"/>
            <w:tcBorders>
              <w:bottom w:val="single" w:sz="8" w:color="6D8CC3"/>
            </w:tcBorders>
          </w:tcPr>
          <w:p>
            <w:pPr>
              <w:spacing w:after="0"/>
              <w:rPr>
                <w:sz w:val="4"/>
                <w:szCs w:val="4"/>
                <w:color w:val="auto"/>
              </w:rPr>
            </w:pPr>
          </w:p>
        </w:tc>
        <w:tc>
          <w:tcPr>
            <w:tcW w:w="2600" w:type="dxa"/>
            <w:vAlign w:val="bottom"/>
            <w:tcBorders>
              <w:bottom w:val="single" w:sz="8" w:color="6D8CC3"/>
            </w:tcBorders>
          </w:tcPr>
          <w:p>
            <w:pPr>
              <w:spacing w:after="0"/>
              <w:rPr>
                <w:sz w:val="4"/>
                <w:szCs w:val="4"/>
                <w:color w:val="auto"/>
              </w:rPr>
            </w:pPr>
          </w:p>
        </w:tc>
        <w:tc>
          <w:tcPr>
            <w:tcW w:w="380" w:type="dxa"/>
            <w:vAlign w:val="bottom"/>
            <w:tcBorders>
              <w:bottom w:val="single" w:sz="8" w:color="6D8CC3"/>
            </w:tcBorders>
          </w:tcPr>
          <w:p>
            <w:pPr>
              <w:spacing w:after="0"/>
              <w:rPr>
                <w:sz w:val="4"/>
                <w:szCs w:val="4"/>
                <w:color w:val="auto"/>
              </w:rPr>
            </w:pPr>
          </w:p>
        </w:tc>
        <w:tc>
          <w:tcPr>
            <w:tcW w:w="1100" w:type="dxa"/>
            <w:vAlign w:val="bottom"/>
            <w:tcBorders>
              <w:bottom w:val="single" w:sz="8" w:color="6D8CC3"/>
            </w:tcBorders>
          </w:tcPr>
          <w:p>
            <w:pPr>
              <w:spacing w:after="0"/>
              <w:rPr>
                <w:sz w:val="4"/>
                <w:szCs w:val="4"/>
                <w:color w:val="auto"/>
              </w:rPr>
            </w:pPr>
          </w:p>
        </w:tc>
      </w:tr>
      <w:tr>
        <w:trPr>
          <w:trHeight w:val="256"/>
        </w:trPr>
        <w:tc>
          <w:tcPr>
            <w:tcW w:w="4960" w:type="dxa"/>
            <w:vAlign w:val="bottom"/>
          </w:tcPr>
          <w:p>
            <w:pPr>
              <w:spacing w:after="0" w:line="256" w:lineRule="exact"/>
              <w:rPr>
                <w:sz w:val="20"/>
                <w:szCs w:val="20"/>
                <w:color w:val="auto"/>
              </w:rPr>
            </w:pPr>
            <w:r>
              <w:rPr>
                <w:rFonts w:ascii="Arial" w:cs="Arial" w:eastAsia="Arial" w:hAnsi="Arial"/>
                <w:sz w:val="16"/>
                <w:szCs w:val="16"/>
                <w:color w:val="auto"/>
              </w:rPr>
              <w:t>BlackRock, Inc.</w:t>
            </w:r>
            <w:r>
              <w:rPr>
                <w:rFonts w:ascii="Arial" w:cs="Arial" w:eastAsia="Arial" w:hAnsi="Arial"/>
                <w:sz w:val="26"/>
                <w:szCs w:val="26"/>
                <w:color w:val="auto"/>
                <w:vertAlign w:val="superscript"/>
              </w:rPr>
              <w:t>(2)</w:t>
            </w:r>
          </w:p>
        </w:tc>
        <w:tc>
          <w:tcPr>
            <w:tcW w:w="26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184"/>
        </w:trPr>
        <w:tc>
          <w:tcPr>
            <w:tcW w:w="4960" w:type="dxa"/>
            <w:vAlign w:val="bottom"/>
          </w:tcPr>
          <w:p>
            <w:pPr>
              <w:spacing w:after="0"/>
              <w:rPr>
                <w:sz w:val="20"/>
                <w:szCs w:val="20"/>
                <w:color w:val="auto"/>
              </w:rPr>
            </w:pPr>
            <w:r>
              <w:rPr>
                <w:rFonts w:ascii="Arial" w:cs="Arial" w:eastAsia="Arial" w:hAnsi="Arial"/>
                <w:sz w:val="16"/>
                <w:szCs w:val="16"/>
                <w:color w:val="auto"/>
              </w:rPr>
              <w:t>50 Hudson Yards</w:t>
            </w:r>
          </w:p>
        </w:tc>
        <w:tc>
          <w:tcPr>
            <w:tcW w:w="2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6"/>
        </w:trPr>
        <w:tc>
          <w:tcPr>
            <w:tcW w:w="4960" w:type="dxa"/>
            <w:vAlign w:val="bottom"/>
          </w:tcPr>
          <w:p>
            <w:pPr>
              <w:spacing w:after="0"/>
              <w:rPr>
                <w:sz w:val="20"/>
                <w:szCs w:val="20"/>
                <w:color w:val="auto"/>
              </w:rPr>
            </w:pPr>
            <w:r>
              <w:rPr>
                <w:rFonts w:ascii="Arial" w:cs="Arial" w:eastAsia="Arial" w:hAnsi="Arial"/>
                <w:sz w:val="16"/>
                <w:szCs w:val="16"/>
                <w:color w:val="auto"/>
              </w:rPr>
              <w:t>New York, NY 10001</w:t>
            </w:r>
          </w:p>
        </w:tc>
        <w:tc>
          <w:tcPr>
            <w:tcW w:w="2980" w:type="dxa"/>
            <w:vAlign w:val="bottom"/>
            <w:gridSpan w:val="2"/>
          </w:tcPr>
          <w:p>
            <w:pPr>
              <w:jc w:val="right"/>
              <w:ind w:right="81"/>
              <w:spacing w:after="0"/>
              <w:rPr>
                <w:sz w:val="20"/>
                <w:szCs w:val="20"/>
                <w:color w:val="auto"/>
              </w:rPr>
            </w:pPr>
            <w:r>
              <w:rPr>
                <w:rFonts w:ascii="Arial" w:cs="Arial" w:eastAsia="Arial" w:hAnsi="Arial"/>
                <w:sz w:val="16"/>
                <w:szCs w:val="16"/>
                <w:color w:val="auto"/>
              </w:rPr>
              <w:t>18,850,697</w:t>
            </w:r>
          </w:p>
        </w:tc>
        <w:tc>
          <w:tcPr>
            <w:tcW w:w="1100" w:type="dxa"/>
            <w:vAlign w:val="bottom"/>
          </w:tcPr>
          <w:p>
            <w:pPr>
              <w:jc w:val="right"/>
              <w:ind w:right="145"/>
              <w:spacing w:after="0"/>
              <w:rPr>
                <w:sz w:val="20"/>
                <w:szCs w:val="20"/>
                <w:color w:val="auto"/>
              </w:rPr>
            </w:pPr>
            <w:r>
              <w:rPr>
                <w:rFonts w:ascii="Arial" w:cs="Arial" w:eastAsia="Arial" w:hAnsi="Arial"/>
                <w:sz w:val="16"/>
                <w:szCs w:val="16"/>
                <w:color w:val="auto"/>
              </w:rPr>
              <w:t>8.8%</w:t>
            </w:r>
          </w:p>
        </w:tc>
      </w:tr>
      <w:tr>
        <w:trPr>
          <w:trHeight w:val="55"/>
        </w:trPr>
        <w:tc>
          <w:tcPr>
            <w:tcW w:w="4960" w:type="dxa"/>
            <w:vAlign w:val="bottom"/>
            <w:tcBorders>
              <w:bottom w:val="single" w:sz="8" w:color="6D8CC3"/>
            </w:tcBorders>
          </w:tcPr>
          <w:p>
            <w:pPr>
              <w:spacing w:after="0"/>
              <w:rPr>
                <w:sz w:val="4"/>
                <w:szCs w:val="4"/>
                <w:color w:val="auto"/>
              </w:rPr>
            </w:pPr>
          </w:p>
        </w:tc>
        <w:tc>
          <w:tcPr>
            <w:tcW w:w="2600" w:type="dxa"/>
            <w:vAlign w:val="bottom"/>
            <w:tcBorders>
              <w:bottom w:val="single" w:sz="8" w:color="6D8CC3"/>
            </w:tcBorders>
          </w:tcPr>
          <w:p>
            <w:pPr>
              <w:spacing w:after="0"/>
              <w:rPr>
                <w:sz w:val="4"/>
                <w:szCs w:val="4"/>
                <w:color w:val="auto"/>
              </w:rPr>
            </w:pPr>
          </w:p>
        </w:tc>
        <w:tc>
          <w:tcPr>
            <w:tcW w:w="380" w:type="dxa"/>
            <w:vAlign w:val="bottom"/>
            <w:tcBorders>
              <w:bottom w:val="single" w:sz="8" w:color="6D8CC3"/>
            </w:tcBorders>
          </w:tcPr>
          <w:p>
            <w:pPr>
              <w:spacing w:after="0"/>
              <w:rPr>
                <w:sz w:val="4"/>
                <w:szCs w:val="4"/>
                <w:color w:val="auto"/>
              </w:rPr>
            </w:pPr>
          </w:p>
        </w:tc>
        <w:tc>
          <w:tcPr>
            <w:tcW w:w="1100" w:type="dxa"/>
            <w:vAlign w:val="bottom"/>
            <w:tcBorders>
              <w:bottom w:val="single" w:sz="8" w:color="6D8CC3"/>
            </w:tcBorders>
          </w:tcPr>
          <w:p>
            <w:pPr>
              <w:spacing w:after="0"/>
              <w:rPr>
                <w:sz w:val="4"/>
                <w:szCs w:val="4"/>
                <w:color w:val="auto"/>
              </w:rPr>
            </w:pPr>
          </w:p>
        </w:tc>
      </w:tr>
      <w:tr>
        <w:trPr>
          <w:trHeight w:val="256"/>
        </w:trPr>
        <w:tc>
          <w:tcPr>
            <w:tcW w:w="4960" w:type="dxa"/>
            <w:vAlign w:val="bottom"/>
          </w:tcPr>
          <w:p>
            <w:pPr>
              <w:spacing w:after="0" w:line="256" w:lineRule="exact"/>
              <w:rPr>
                <w:sz w:val="20"/>
                <w:szCs w:val="20"/>
                <w:color w:val="auto"/>
              </w:rPr>
            </w:pPr>
            <w:r>
              <w:rPr>
                <w:rFonts w:ascii="Arial" w:cs="Arial" w:eastAsia="Arial" w:hAnsi="Arial"/>
                <w:sz w:val="16"/>
                <w:szCs w:val="16"/>
                <w:color w:val="auto"/>
              </w:rPr>
              <w:t>FMR, LLC</w:t>
            </w:r>
            <w:r>
              <w:rPr>
                <w:rFonts w:ascii="Arial" w:cs="Arial" w:eastAsia="Arial" w:hAnsi="Arial"/>
                <w:sz w:val="26"/>
                <w:szCs w:val="26"/>
                <w:color w:val="auto"/>
                <w:vertAlign w:val="superscript"/>
              </w:rPr>
              <w:t>(3)</w:t>
            </w:r>
          </w:p>
        </w:tc>
        <w:tc>
          <w:tcPr>
            <w:tcW w:w="26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184"/>
        </w:trPr>
        <w:tc>
          <w:tcPr>
            <w:tcW w:w="4960" w:type="dxa"/>
            <w:vAlign w:val="bottom"/>
          </w:tcPr>
          <w:p>
            <w:pPr>
              <w:spacing w:after="0"/>
              <w:rPr>
                <w:sz w:val="20"/>
                <w:szCs w:val="20"/>
                <w:color w:val="auto"/>
              </w:rPr>
            </w:pPr>
            <w:r>
              <w:rPr>
                <w:rFonts w:ascii="Arial" w:cs="Arial" w:eastAsia="Arial" w:hAnsi="Arial"/>
                <w:sz w:val="16"/>
                <w:szCs w:val="16"/>
                <w:color w:val="auto"/>
              </w:rPr>
              <w:t>245 Summer Street</w:t>
            </w:r>
          </w:p>
        </w:tc>
        <w:tc>
          <w:tcPr>
            <w:tcW w:w="2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6"/>
        </w:trPr>
        <w:tc>
          <w:tcPr>
            <w:tcW w:w="4960" w:type="dxa"/>
            <w:vAlign w:val="bottom"/>
          </w:tcPr>
          <w:p>
            <w:pPr>
              <w:spacing w:after="0"/>
              <w:rPr>
                <w:sz w:val="20"/>
                <w:szCs w:val="20"/>
                <w:color w:val="auto"/>
              </w:rPr>
            </w:pPr>
            <w:r>
              <w:rPr>
                <w:rFonts w:ascii="Arial" w:cs="Arial" w:eastAsia="Arial" w:hAnsi="Arial"/>
                <w:sz w:val="16"/>
                <w:szCs w:val="16"/>
                <w:color w:val="auto"/>
              </w:rPr>
              <w:t>Boston, MA 02210</w:t>
            </w:r>
          </w:p>
        </w:tc>
        <w:tc>
          <w:tcPr>
            <w:tcW w:w="2600" w:type="dxa"/>
            <w:vAlign w:val="bottom"/>
          </w:tcPr>
          <w:p>
            <w:pPr>
              <w:ind w:left="1820"/>
              <w:spacing w:after="0"/>
              <w:rPr>
                <w:sz w:val="20"/>
                <w:szCs w:val="20"/>
                <w:color w:val="auto"/>
              </w:rPr>
            </w:pPr>
            <w:r>
              <w:rPr>
                <w:rFonts w:ascii="Arial" w:cs="Arial" w:eastAsia="Arial" w:hAnsi="Arial"/>
                <w:sz w:val="16"/>
                <w:szCs w:val="16"/>
                <w:color w:val="auto"/>
                <w:w w:val="94"/>
              </w:rPr>
              <w:t>20,867,399​</w:t>
            </w:r>
          </w:p>
        </w:tc>
        <w:tc>
          <w:tcPr>
            <w:tcW w:w="380" w:type="dxa"/>
            <w:vAlign w:val="bottom"/>
          </w:tcPr>
          <w:p>
            <w:pPr>
              <w:jc w:val="right"/>
              <w:ind w:right="81"/>
              <w:spacing w:after="0"/>
              <w:rPr>
                <w:sz w:val="20"/>
                <w:szCs w:val="20"/>
                <w:color w:val="auto"/>
              </w:rPr>
            </w:pPr>
            <w:r>
              <w:rPr>
                <w:rFonts w:ascii="Arial" w:cs="Arial" w:eastAsia="Arial" w:hAnsi="Arial"/>
                <w:sz w:val="16"/>
                <w:szCs w:val="16"/>
                <w:color w:val="auto"/>
                <w:w w:val="89"/>
              </w:rPr>
              <w:t>.55</w:t>
            </w:r>
          </w:p>
        </w:tc>
        <w:tc>
          <w:tcPr>
            <w:tcW w:w="1100" w:type="dxa"/>
            <w:vAlign w:val="bottom"/>
          </w:tcPr>
          <w:p>
            <w:pPr>
              <w:jc w:val="right"/>
              <w:ind w:right="145"/>
              <w:spacing w:after="0"/>
              <w:rPr>
                <w:sz w:val="20"/>
                <w:szCs w:val="20"/>
                <w:color w:val="auto"/>
              </w:rPr>
            </w:pPr>
            <w:r>
              <w:rPr>
                <w:rFonts w:ascii="Arial" w:cs="Arial" w:eastAsia="Arial" w:hAnsi="Arial"/>
                <w:sz w:val="16"/>
                <w:szCs w:val="16"/>
                <w:color w:val="auto"/>
              </w:rPr>
              <w:t>8.3%</w:t>
            </w:r>
          </w:p>
        </w:tc>
      </w:tr>
      <w:tr>
        <w:trPr>
          <w:trHeight w:val="42"/>
        </w:trPr>
        <w:tc>
          <w:tcPr>
            <w:tcW w:w="4960" w:type="dxa"/>
            <w:vAlign w:val="bottom"/>
            <w:tcBorders>
              <w:bottom w:val="single" w:sz="8" w:color="6D8CC3"/>
            </w:tcBorders>
          </w:tcPr>
          <w:p>
            <w:pPr>
              <w:spacing w:after="0"/>
              <w:rPr>
                <w:sz w:val="3"/>
                <w:szCs w:val="3"/>
                <w:color w:val="auto"/>
              </w:rPr>
            </w:pPr>
          </w:p>
        </w:tc>
        <w:tc>
          <w:tcPr>
            <w:tcW w:w="2600" w:type="dxa"/>
            <w:vAlign w:val="bottom"/>
            <w:tcBorders>
              <w:bottom w:val="single" w:sz="8" w:color="6D8CC3"/>
            </w:tcBorders>
          </w:tcPr>
          <w:p>
            <w:pPr>
              <w:spacing w:after="0"/>
              <w:rPr>
                <w:sz w:val="3"/>
                <w:szCs w:val="3"/>
                <w:color w:val="auto"/>
              </w:rPr>
            </w:pPr>
          </w:p>
        </w:tc>
        <w:tc>
          <w:tcPr>
            <w:tcW w:w="380" w:type="dxa"/>
            <w:vAlign w:val="bottom"/>
            <w:tcBorders>
              <w:bottom w:val="single" w:sz="8" w:color="6D8CC3"/>
            </w:tcBorders>
          </w:tcPr>
          <w:p>
            <w:pPr>
              <w:spacing w:after="0"/>
              <w:rPr>
                <w:sz w:val="3"/>
                <w:szCs w:val="3"/>
                <w:color w:val="auto"/>
              </w:rPr>
            </w:pPr>
          </w:p>
        </w:tc>
        <w:tc>
          <w:tcPr>
            <w:tcW w:w="1100" w:type="dxa"/>
            <w:vAlign w:val="bottom"/>
            <w:tcBorders>
              <w:bottom w:val="single" w:sz="8" w:color="6D8CC3"/>
            </w:tcBorders>
          </w:tcPr>
          <w:p>
            <w:pPr>
              <w:spacing w:after="0"/>
              <w:rPr>
                <w:sz w:val="3"/>
                <w:szCs w:val="3"/>
                <w:color w:val="auto"/>
              </w:rPr>
            </w:pPr>
          </w:p>
        </w:tc>
      </w:tr>
    </w:tbl>
    <w:p>
      <w:pPr>
        <w:spacing w:after="0" w:line="69" w:lineRule="exact"/>
        <w:rPr>
          <w:sz w:val="20"/>
          <w:szCs w:val="20"/>
          <w:color w:val="auto"/>
        </w:rPr>
      </w:pPr>
    </w:p>
    <w:p>
      <w:pPr>
        <w:ind w:left="260" w:right="120" w:hanging="256"/>
        <w:spacing w:after="0" w:line="252" w:lineRule="auto"/>
        <w:tabs>
          <w:tab w:leader="none" w:pos="260" w:val="left"/>
        </w:tabs>
        <w:numPr>
          <w:ilvl w:val="0"/>
          <w:numId w:val="86"/>
        </w:numPr>
        <w:rPr>
          <w:rFonts w:ascii="Arial" w:cs="Arial" w:eastAsia="Arial" w:hAnsi="Arial"/>
          <w:sz w:val="14"/>
          <w:szCs w:val="14"/>
          <w:color w:val="auto"/>
        </w:rPr>
      </w:pPr>
      <w:r>
        <w:rPr>
          <w:rFonts w:ascii="Arial" w:cs="Arial" w:eastAsia="Arial" w:hAnsi="Arial"/>
          <w:sz w:val="14"/>
          <w:szCs w:val="14"/>
          <w:color w:val="auto"/>
        </w:rPr>
        <w:t>As of December 31, 2025, based solely on information set forth in the Schedule 13G filed on February 13, 2026, by AQR Capital Management, LLC and AQR Capital Management Holdings, LLC (each, an “AQR Reporting Person”). Each AQR Reporting Person reported having shared voting power over 11,445,928 shares and shared dispositive power over 11,445,928 shares.</w:t>
      </w:r>
    </w:p>
    <w:p>
      <w:pPr>
        <w:spacing w:after="0" w:line="30" w:lineRule="exact"/>
        <w:rPr>
          <w:rFonts w:ascii="Arial" w:cs="Arial" w:eastAsia="Arial" w:hAnsi="Arial"/>
          <w:sz w:val="14"/>
          <w:szCs w:val="14"/>
          <w:color w:val="auto"/>
        </w:rPr>
      </w:pPr>
    </w:p>
    <w:p>
      <w:pPr>
        <w:ind w:left="260" w:right="240" w:hanging="256"/>
        <w:spacing w:after="0" w:line="269" w:lineRule="auto"/>
        <w:tabs>
          <w:tab w:leader="none" w:pos="260" w:val="left"/>
        </w:tabs>
        <w:numPr>
          <w:ilvl w:val="0"/>
          <w:numId w:val="86"/>
        </w:numPr>
        <w:rPr>
          <w:rFonts w:ascii="Arial" w:cs="Arial" w:eastAsia="Arial" w:hAnsi="Arial"/>
          <w:sz w:val="14"/>
          <w:szCs w:val="14"/>
          <w:color w:val="auto"/>
        </w:rPr>
      </w:pPr>
      <w:r>
        <w:rPr>
          <w:rFonts w:ascii="Arial" w:cs="Arial" w:eastAsia="Arial" w:hAnsi="Arial"/>
          <w:sz w:val="14"/>
          <w:szCs w:val="14"/>
          <w:color w:val="auto"/>
        </w:rPr>
        <w:t>As of March 31, 2025, based solely on information set forth in the Schedule 13G/A filed on April 17, 2025, BlackRock, Inc. reported having sole voting power over 18,339,958 shares and sole dispositive power over 18,850,697 shares.</w:t>
      </w:r>
    </w:p>
    <w:p>
      <w:pPr>
        <w:spacing w:after="0" w:line="19" w:lineRule="exact"/>
        <w:rPr>
          <w:rFonts w:ascii="Arial" w:cs="Arial" w:eastAsia="Arial" w:hAnsi="Arial"/>
          <w:sz w:val="14"/>
          <w:szCs w:val="14"/>
          <w:color w:val="auto"/>
        </w:rPr>
      </w:pPr>
    </w:p>
    <w:p>
      <w:pPr>
        <w:ind w:left="260" w:right="20" w:hanging="256"/>
        <w:spacing w:after="0" w:line="252" w:lineRule="auto"/>
        <w:tabs>
          <w:tab w:leader="none" w:pos="260" w:val="left"/>
        </w:tabs>
        <w:numPr>
          <w:ilvl w:val="0"/>
          <w:numId w:val="86"/>
        </w:numPr>
        <w:rPr>
          <w:rFonts w:ascii="Arial" w:cs="Arial" w:eastAsia="Arial" w:hAnsi="Arial"/>
          <w:sz w:val="14"/>
          <w:szCs w:val="14"/>
          <w:color w:val="auto"/>
        </w:rPr>
      </w:pPr>
      <w:r>
        <w:rPr>
          <w:rFonts w:ascii="Arial" w:cs="Arial" w:eastAsia="Arial" w:hAnsi="Arial"/>
          <w:sz w:val="14"/>
          <w:szCs w:val="14"/>
          <w:color w:val="auto"/>
        </w:rPr>
        <w:t>As of March 31, 2026, based solely on information set forth in the Schedule 13G/A filed on April 7, 2026, by FMR, LLC and Abigail P. Johnson (each, an “FMR Reporting Person”). Each FMR Reporting Person reported having sole dispositive power over 20,867,399.55 shares, and FMR, LLC reported having sole voting power over 20,743,248.36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116840</wp:posOffset>
            </wp:positionV>
            <wp:extent cx="573722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737225" cy="8255"/>
                    </a:xfrm>
                    <a:prstGeom prst="rect">
                      <a:avLst/>
                    </a:prstGeom>
                    <a:noFill/>
                  </pic:spPr>
                </pic:pic>
              </a:graphicData>
            </a:graphic>
          </wp:anchor>
        </w:drawing>
      </w:r>
    </w:p>
    <w:p>
      <w:pPr>
        <w:spacing w:after="0" w:line="260" w:lineRule="exact"/>
        <w:rPr>
          <w:sz w:val="20"/>
          <w:szCs w:val="20"/>
          <w:color w:val="auto"/>
        </w:rPr>
      </w:pPr>
    </w:p>
    <w:p>
      <w:pPr>
        <w:ind w:left="5460"/>
        <w:spacing w:after="0"/>
        <w:rPr>
          <w:sz w:val="20"/>
          <w:szCs w:val="20"/>
          <w:color w:val="auto"/>
        </w:rPr>
      </w:pPr>
      <w:r>
        <w:rPr>
          <w:rFonts w:ascii="Arial" w:cs="Arial" w:eastAsia="Arial" w:hAnsi="Arial"/>
          <w:sz w:val="13"/>
          <w:szCs w:val="13"/>
          <w:color w:val="292F72"/>
        </w:rPr>
        <w:t>Bath &amp; Body Works, Inc.</w:t>
      </w:r>
      <w:r>
        <w:rPr>
          <w:rFonts w:ascii="Arial" w:cs="Arial" w:eastAsia="Arial" w:hAnsi="Arial"/>
          <w:sz w:val="13"/>
          <w:szCs w:val="13"/>
          <w:color w:val="6D8CC3"/>
        </w:rPr>
        <w:t xml:space="preserve">   | </w:t>
      </w:r>
      <w:r>
        <w:rPr>
          <w:rFonts w:ascii="Arial" w:cs="Arial" w:eastAsia="Arial" w:hAnsi="Arial"/>
          <w:sz w:val="13"/>
          <w:szCs w:val="13"/>
          <w:color w:val="292F72"/>
        </w:rPr>
        <w:t xml:space="preserve">  2026 Proxy Statement     </w:t>
      </w:r>
      <w:r>
        <w:rPr>
          <w:rFonts w:ascii="Arial" w:cs="Arial" w:eastAsia="Arial" w:hAnsi="Arial"/>
          <w:sz w:val="13"/>
          <w:szCs w:val="13"/>
          <w:b w:val="1"/>
          <w:bCs w:val="1"/>
          <w:color w:val="292F72"/>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160655</wp:posOffset>
            </wp:positionV>
            <wp:extent cx="6795135" cy="1651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795135" cy="16510"/>
                    </a:xfrm>
                    <a:prstGeom prst="rect">
                      <a:avLst/>
                    </a:prstGeom>
                    <a:noFill/>
                  </pic:spPr>
                </pic:pic>
              </a:graphicData>
            </a:graphic>
          </wp:anchor>
        </w:drawing>
      </w:r>
    </w:p>
    <w:p>
      <w:pPr>
        <w:sectPr>
          <w:pgSz w:w="11900" w:h="16838" w:orient="portrait"/>
          <w:cols w:equalWidth="0" w:num="1">
            <w:col w:w="9040"/>
          </w:cols>
          <w:pgMar w:left="1420" w:top="116" w:right="14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8" w:lineRule="exact"/>
        <w:rPr>
          <w:sz w:val="20"/>
          <w:szCs w:val="20"/>
          <w:color w:val="auto"/>
        </w:rPr>
      </w:pPr>
    </w:p>
    <w:p>
      <w:pPr>
        <w:ind w:right="2580"/>
        <w:spacing w:after="0" w:line="285" w:lineRule="auto"/>
        <w:rPr>
          <w:sz w:val="20"/>
          <w:szCs w:val="20"/>
          <w:color w:val="auto"/>
        </w:rPr>
      </w:pPr>
      <w:r>
        <w:rPr>
          <w:rFonts w:ascii="Arial" w:cs="Arial" w:eastAsia="Arial" w:hAnsi="Arial"/>
          <w:sz w:val="38"/>
          <w:szCs w:val="38"/>
          <w:color w:val="292F72"/>
        </w:rPr>
        <w:t>Information About the Annual Meeting and Voting</w:t>
      </w:r>
    </w:p>
    <w:p>
      <w:pPr>
        <w:spacing w:after="0" w:line="31"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The Board is soliciting your proxy to vote at our 2026 annual meeting of shareholders (or at any adjournment of the meeting). This proxy statement summarizes the information you need to know to vote at the meeting.</w:t>
      </w:r>
    </w:p>
    <w:p>
      <w:pPr>
        <w:spacing w:after="0" w:line="127" w:lineRule="exact"/>
        <w:rPr>
          <w:sz w:val="20"/>
          <w:szCs w:val="20"/>
          <w:color w:val="auto"/>
        </w:rPr>
      </w:pPr>
    </w:p>
    <w:p>
      <w:pPr>
        <w:jc w:val="both"/>
        <w:ind w:right="120"/>
        <w:spacing w:after="0" w:line="271" w:lineRule="auto"/>
        <w:rPr>
          <w:sz w:val="20"/>
          <w:szCs w:val="20"/>
          <w:color w:val="auto"/>
        </w:rPr>
      </w:pPr>
      <w:r>
        <w:rPr>
          <w:rFonts w:ascii="Arial" w:cs="Arial" w:eastAsia="Arial" w:hAnsi="Arial"/>
          <w:sz w:val="15"/>
          <w:szCs w:val="15"/>
          <w:color w:val="auto"/>
        </w:rPr>
        <w:t>We began mailing this proxy statement and the enclosed proxy card, or the Notice of Internet Availability of Proxy Materials (the “Notice”), on or about April 28, 2026 to all shareholders entitled to vote. The 2025 10-K, which includes our financial statements, is being sent with this proxy statement and is available in paper copy by request or in electronic form. You may request copies of such documents from: Bath &amp; Body Works, Inc., Three Limited Parkway, Columbus, Ohio 43230, Attention: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104140</wp:posOffset>
            </wp:positionV>
            <wp:extent cx="8255" cy="105727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255" cy="1057275"/>
                    </a:xfrm>
                    <a:prstGeom prst="rect">
                      <a:avLst/>
                    </a:prstGeom>
                    <a:noFill/>
                  </pic:spPr>
                </pic:pic>
              </a:graphicData>
            </a:graphic>
          </wp:anchor>
        </w:drawing>
        <w:drawing>
          <wp:anchor simplePos="0" relativeHeight="251657728" behindDoc="1" locked="0" layoutInCell="0" allowOverlap="1">
            <wp:simplePos x="0" y="0"/>
            <wp:positionH relativeFrom="column">
              <wp:posOffset>2851785</wp:posOffset>
            </wp:positionH>
            <wp:positionV relativeFrom="paragraph">
              <wp:posOffset>104140</wp:posOffset>
            </wp:positionV>
            <wp:extent cx="8255" cy="105727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255" cy="10572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137795</wp:posOffset>
            </wp:positionV>
            <wp:extent cx="324485" cy="32448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24485" cy="324485"/>
                    </a:xfrm>
                    <a:prstGeom prst="rect">
                      <a:avLst/>
                    </a:prstGeom>
                    <a:noFill/>
                  </pic:spPr>
                </pic:pic>
              </a:graphicData>
            </a:graphic>
          </wp:anchor>
        </w:drawing>
        <w:drawing>
          <wp:anchor simplePos="0" relativeHeight="251657728" behindDoc="1" locked="0" layoutInCell="0" allowOverlap="1">
            <wp:simplePos x="0" y="0"/>
            <wp:positionH relativeFrom="column">
              <wp:posOffset>1461135</wp:posOffset>
            </wp:positionH>
            <wp:positionV relativeFrom="paragraph">
              <wp:posOffset>137795</wp:posOffset>
            </wp:positionV>
            <wp:extent cx="324485" cy="32448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24485" cy="32448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137795</wp:posOffset>
            </wp:positionV>
            <wp:extent cx="324485" cy="32448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2448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200" w:type="dxa"/>
            <w:vAlign w:val="bottom"/>
          </w:tcPr>
          <w:p>
            <w:pPr>
              <w:spacing w:after="0"/>
              <w:rPr>
                <w:sz w:val="20"/>
                <w:szCs w:val="20"/>
                <w:color w:val="auto"/>
              </w:rPr>
            </w:pPr>
            <w:r>
              <w:rPr>
                <w:rFonts w:ascii="Arial" w:cs="Arial" w:eastAsia="Arial" w:hAnsi="Arial"/>
                <w:sz w:val="16"/>
                <w:szCs w:val="16"/>
                <w:color w:val="auto"/>
              </w:rPr>
              <w:t xml:space="preserve">  </w:t>
            </w:r>
          </w:p>
        </w:tc>
        <w:tc>
          <w:tcPr>
            <w:tcW w:w="2500" w:type="dxa"/>
            <w:vAlign w:val="bottom"/>
          </w:tcPr>
          <w:p>
            <w:pPr>
              <w:ind w:left="1100"/>
              <w:spacing w:after="0"/>
              <w:rPr>
                <w:sz w:val="20"/>
                <w:szCs w:val="20"/>
                <w:color w:val="auto"/>
              </w:rPr>
            </w:pPr>
            <w:r>
              <w:rPr>
                <w:rFonts w:ascii="Arial" w:cs="Arial" w:eastAsia="Arial" w:hAnsi="Arial"/>
                <w:sz w:val="16"/>
                <w:szCs w:val="16"/>
                <w:color w:val="auto"/>
              </w:rPr>
              <w:t xml:space="preserve">  </w:t>
            </w:r>
          </w:p>
        </w:tc>
        <w:tc>
          <w:tcPr>
            <w:tcW w:w="1400" w:type="dxa"/>
            <w:vAlign w:val="bottom"/>
          </w:tcPr>
          <w:p>
            <w:pPr>
              <w:ind w:left="1320"/>
              <w:spacing w:after="0"/>
              <w:rPr>
                <w:sz w:val="20"/>
                <w:szCs w:val="20"/>
                <w:color w:val="auto"/>
              </w:rPr>
            </w:pPr>
            <w:r>
              <w:rPr>
                <w:rFonts w:ascii="Arial" w:cs="Arial" w:eastAsia="Arial" w:hAnsi="Arial"/>
                <w:sz w:val="16"/>
                <w:szCs w:val="16"/>
                <w:color w:val="auto"/>
              </w:rPr>
              <w:t xml:space="preserve">  </w:t>
            </w:r>
          </w:p>
        </w:tc>
      </w:tr>
    </w:tbl>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312"/>
        </w:trPr>
        <w:tc>
          <w:tcPr>
            <w:tcW w:w="1640" w:type="dxa"/>
            <w:vAlign w:val="bottom"/>
          </w:tcPr>
          <w:p>
            <w:pPr>
              <w:spacing w:after="0"/>
              <w:rPr>
                <w:sz w:val="20"/>
                <w:szCs w:val="20"/>
                <w:color w:val="auto"/>
              </w:rPr>
            </w:pPr>
            <w:r>
              <w:rPr>
                <w:rFonts w:ascii="Arial" w:cs="Arial" w:eastAsia="Arial" w:hAnsi="Arial"/>
                <w:sz w:val="23"/>
                <w:szCs w:val="23"/>
                <w:b w:val="1"/>
                <w:bCs w:val="1"/>
                <w:color w:val="6D8CC3"/>
              </w:rPr>
              <w:t>DATE:</w:t>
            </w:r>
          </w:p>
        </w:tc>
        <w:tc>
          <w:tcPr>
            <w:tcW w:w="2480" w:type="dxa"/>
            <w:vAlign w:val="bottom"/>
          </w:tcPr>
          <w:p>
            <w:pPr>
              <w:ind w:left="660"/>
              <w:spacing w:after="0"/>
              <w:rPr>
                <w:sz w:val="20"/>
                <w:szCs w:val="20"/>
                <w:color w:val="auto"/>
              </w:rPr>
            </w:pPr>
            <w:r>
              <w:rPr>
                <w:rFonts w:ascii="Arial" w:cs="Arial" w:eastAsia="Arial" w:hAnsi="Arial"/>
                <w:sz w:val="23"/>
                <w:szCs w:val="23"/>
                <w:b w:val="1"/>
                <w:bCs w:val="1"/>
                <w:color w:val="6D8CC3"/>
              </w:rPr>
              <w:t>TIME:</w:t>
            </w:r>
          </w:p>
        </w:tc>
        <w:tc>
          <w:tcPr>
            <w:tcW w:w="4460" w:type="dxa"/>
            <w:vAlign w:val="bottom"/>
          </w:tcPr>
          <w:p>
            <w:pPr>
              <w:ind w:left="900"/>
              <w:spacing w:after="0"/>
              <w:rPr>
                <w:sz w:val="20"/>
                <w:szCs w:val="20"/>
                <w:color w:val="auto"/>
              </w:rPr>
            </w:pPr>
            <w:r>
              <w:rPr>
                <w:rFonts w:ascii="Arial" w:cs="Arial" w:eastAsia="Arial" w:hAnsi="Arial"/>
                <w:sz w:val="23"/>
                <w:szCs w:val="23"/>
                <w:b w:val="1"/>
                <w:bCs w:val="1"/>
                <w:color w:val="6D8CC3"/>
              </w:rPr>
              <w:t>PLACE:</w:t>
            </w:r>
          </w:p>
        </w:tc>
      </w:tr>
      <w:tr>
        <w:trPr>
          <w:trHeight w:val="243"/>
        </w:trPr>
        <w:tc>
          <w:tcPr>
            <w:tcW w:w="1640" w:type="dxa"/>
            <w:vAlign w:val="bottom"/>
          </w:tcPr>
          <w:p>
            <w:pPr>
              <w:spacing w:after="0"/>
              <w:rPr>
                <w:sz w:val="20"/>
                <w:szCs w:val="20"/>
                <w:color w:val="auto"/>
              </w:rPr>
            </w:pPr>
            <w:r>
              <w:rPr>
                <w:rFonts w:ascii="Arial" w:cs="Arial" w:eastAsia="Arial" w:hAnsi="Arial"/>
                <w:sz w:val="16"/>
                <w:szCs w:val="16"/>
                <w:color w:val="auto"/>
              </w:rPr>
              <w:t>June 11, 2026</w:t>
            </w:r>
          </w:p>
        </w:tc>
        <w:tc>
          <w:tcPr>
            <w:tcW w:w="2480" w:type="dxa"/>
            <w:vAlign w:val="bottom"/>
          </w:tcPr>
          <w:p>
            <w:pPr>
              <w:ind w:left="660"/>
              <w:spacing w:after="0"/>
              <w:rPr>
                <w:sz w:val="20"/>
                <w:szCs w:val="20"/>
                <w:color w:val="auto"/>
              </w:rPr>
            </w:pPr>
            <w:r>
              <w:rPr>
                <w:rFonts w:ascii="Arial" w:cs="Arial" w:eastAsia="Arial" w:hAnsi="Arial"/>
                <w:sz w:val="16"/>
                <w:szCs w:val="16"/>
                <w:color w:val="auto"/>
              </w:rPr>
              <w:t>8:30 a.m.</w:t>
            </w:r>
          </w:p>
        </w:tc>
        <w:tc>
          <w:tcPr>
            <w:tcW w:w="4460" w:type="dxa"/>
            <w:vAlign w:val="bottom"/>
          </w:tcPr>
          <w:p>
            <w:pPr>
              <w:ind w:left="900"/>
              <w:spacing w:after="0"/>
              <w:rPr>
                <w:sz w:val="20"/>
                <w:szCs w:val="20"/>
                <w:color w:val="auto"/>
              </w:rPr>
            </w:pPr>
            <w:r>
              <w:rPr>
                <w:rFonts w:ascii="Arial" w:cs="Arial" w:eastAsia="Arial" w:hAnsi="Arial"/>
                <w:sz w:val="16"/>
                <w:szCs w:val="16"/>
                <w:color w:val="auto"/>
              </w:rPr>
              <w:t>Meeting will be held virtually at</w:t>
            </w:r>
          </w:p>
        </w:tc>
      </w:tr>
      <w:tr>
        <w:trPr>
          <w:trHeight w:val="216"/>
        </w:trPr>
        <w:tc>
          <w:tcPr>
            <w:tcW w:w="1640" w:type="dxa"/>
            <w:vAlign w:val="bottom"/>
          </w:tcPr>
          <w:p>
            <w:pPr>
              <w:spacing w:after="0"/>
              <w:rPr>
                <w:sz w:val="18"/>
                <w:szCs w:val="18"/>
                <w:color w:val="auto"/>
              </w:rPr>
            </w:pPr>
          </w:p>
        </w:tc>
        <w:tc>
          <w:tcPr>
            <w:tcW w:w="2480" w:type="dxa"/>
            <w:vAlign w:val="bottom"/>
          </w:tcPr>
          <w:p>
            <w:pPr>
              <w:ind w:left="660"/>
              <w:spacing w:after="0"/>
              <w:rPr>
                <w:sz w:val="20"/>
                <w:szCs w:val="20"/>
                <w:color w:val="auto"/>
              </w:rPr>
            </w:pPr>
            <w:r>
              <w:rPr>
                <w:rFonts w:ascii="Arial" w:cs="Arial" w:eastAsia="Arial" w:hAnsi="Arial"/>
                <w:sz w:val="16"/>
                <w:szCs w:val="16"/>
                <w:color w:val="auto"/>
              </w:rPr>
              <w:t>Eastern Time</w:t>
            </w:r>
          </w:p>
        </w:tc>
        <w:tc>
          <w:tcPr>
            <w:tcW w:w="4460" w:type="dxa"/>
            <w:vAlign w:val="bottom"/>
          </w:tcPr>
          <w:p>
            <w:pPr>
              <w:ind w:left="900"/>
              <w:spacing w:after="0"/>
              <w:rPr>
                <w:sz w:val="20"/>
                <w:szCs w:val="20"/>
                <w:color w:val="auto"/>
              </w:rPr>
            </w:pPr>
            <w:r>
              <w:rPr>
                <w:rFonts w:ascii="Arial" w:cs="Arial" w:eastAsia="Arial" w:hAnsi="Arial"/>
                <w:sz w:val="16"/>
                <w:szCs w:val="16"/>
                <w:b w:val="1"/>
                <w:bCs w:val="1"/>
                <w:color w:val="292F72"/>
                <w:w w:val="97"/>
              </w:rPr>
              <w:t>www.virtualshareholdermeeting.com/BBWI2026</w:t>
            </w:r>
          </w:p>
        </w:tc>
      </w:tr>
    </w:tbl>
    <w:p>
      <w:pPr>
        <w:spacing w:after="0" w:line="331" w:lineRule="exact"/>
        <w:rPr>
          <w:sz w:val="20"/>
          <w:szCs w:val="20"/>
          <w:color w:val="auto"/>
        </w:rPr>
      </w:pPr>
    </w:p>
    <w:p>
      <w:pPr>
        <w:spacing w:after="0"/>
        <w:rPr>
          <w:sz w:val="20"/>
          <w:szCs w:val="20"/>
          <w:color w:val="auto"/>
        </w:rPr>
      </w:pPr>
      <w:r>
        <w:rPr>
          <w:rFonts w:ascii="Arial" w:cs="Arial" w:eastAsia="Arial" w:hAnsi="Arial"/>
          <w:sz w:val="23"/>
          <w:szCs w:val="23"/>
          <w:b w:val="1"/>
          <w:bCs w:val="1"/>
          <w:color w:val="292F72"/>
        </w:rPr>
        <w:t>Attending the Meeting</w:t>
      </w:r>
    </w:p>
    <w:p>
      <w:pPr>
        <w:spacing w:after="0" w:line="135"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This year’s annual meeting will be held in a virtual format only. There will be no physical location for the meeting. We adopted a virtual format to make participation more convenient, safe and accessible for our shareholders regardless of their location. You will be able to attend the annual meeting, vote and submit your questions during the meeting by visiting www.virtualshareholdermeeting.com/BBWI2026.</w:t>
      </w:r>
    </w:p>
    <w:p>
      <w:pPr>
        <w:spacing w:after="0" w:line="141" w:lineRule="exact"/>
        <w:rPr>
          <w:sz w:val="20"/>
          <w:szCs w:val="20"/>
          <w:color w:val="auto"/>
        </w:rPr>
      </w:pPr>
    </w:p>
    <w:p>
      <w:pPr>
        <w:ind w:right="220"/>
        <w:spacing w:after="0" w:line="254" w:lineRule="auto"/>
        <w:rPr>
          <w:sz w:val="20"/>
          <w:szCs w:val="20"/>
          <w:color w:val="auto"/>
        </w:rPr>
      </w:pPr>
      <w:r>
        <w:rPr>
          <w:rFonts w:ascii="Arial" w:cs="Arial" w:eastAsia="Arial" w:hAnsi="Arial"/>
          <w:sz w:val="16"/>
          <w:szCs w:val="16"/>
          <w:color w:val="auto"/>
        </w:rPr>
        <w:t>By your attendance, you acknowledge that you have agreed to abide by the rules of conduct for our annual meeting that will be made available at the virtual meeting site. Only questions that comply with the rules of conduct of our annual meeting will be answered.</w:t>
      </w:r>
    </w:p>
    <w:p>
      <w:pPr>
        <w:spacing w:after="0" w:line="315" w:lineRule="exact"/>
        <w:rPr>
          <w:sz w:val="20"/>
          <w:szCs w:val="20"/>
          <w:color w:val="auto"/>
        </w:rPr>
      </w:pPr>
    </w:p>
    <w:p>
      <w:pPr>
        <w:spacing w:after="0"/>
        <w:rPr>
          <w:sz w:val="20"/>
          <w:szCs w:val="20"/>
          <w:color w:val="auto"/>
        </w:rPr>
      </w:pPr>
      <w:r>
        <w:rPr>
          <w:rFonts w:ascii="Arial" w:cs="Arial" w:eastAsia="Arial" w:hAnsi="Arial"/>
          <w:sz w:val="23"/>
          <w:szCs w:val="23"/>
          <w:b w:val="1"/>
          <w:bCs w:val="1"/>
          <w:color w:val="292F72"/>
        </w:rPr>
        <w:t>Shares Entitled to Vote</w:t>
      </w:r>
    </w:p>
    <w:p>
      <w:pPr>
        <w:spacing w:after="0" w:line="135" w:lineRule="exact"/>
        <w:rPr>
          <w:sz w:val="20"/>
          <w:szCs w:val="20"/>
          <w:color w:val="auto"/>
        </w:rPr>
      </w:pPr>
    </w:p>
    <w:p>
      <w:pPr>
        <w:jc w:val="both"/>
        <w:ind w:right="160"/>
        <w:spacing w:after="0" w:line="254" w:lineRule="auto"/>
        <w:rPr>
          <w:sz w:val="20"/>
          <w:szCs w:val="20"/>
          <w:color w:val="auto"/>
        </w:rPr>
      </w:pPr>
      <w:r>
        <w:rPr>
          <w:rFonts w:ascii="Arial" w:cs="Arial" w:eastAsia="Arial" w:hAnsi="Arial"/>
          <w:sz w:val="16"/>
          <w:szCs w:val="16"/>
          <w:color w:val="auto"/>
        </w:rPr>
        <w:t>Shareholders entitled to vote are those who owned Company common stock (“Common Stock”) at the close of business on the record date, April 14, 2026. As of the record date, there were 201,382,518 shares of Common Stock outstanding. Each share of Common Stock that you own entitles you to one vote.</w:t>
      </w:r>
    </w:p>
    <w:p>
      <w:pPr>
        <w:spacing w:after="0" w:line="315" w:lineRule="exact"/>
        <w:rPr>
          <w:sz w:val="20"/>
          <w:szCs w:val="20"/>
          <w:color w:val="auto"/>
        </w:rPr>
      </w:pPr>
    </w:p>
    <w:p>
      <w:pPr>
        <w:spacing w:after="0"/>
        <w:rPr>
          <w:sz w:val="20"/>
          <w:szCs w:val="20"/>
          <w:color w:val="auto"/>
        </w:rPr>
      </w:pPr>
      <w:r>
        <w:rPr>
          <w:rFonts w:ascii="Arial" w:cs="Arial" w:eastAsia="Arial" w:hAnsi="Arial"/>
          <w:sz w:val="23"/>
          <w:szCs w:val="23"/>
          <w:b w:val="1"/>
          <w:bCs w:val="1"/>
          <w:color w:val="292F72"/>
        </w:rPr>
        <w:t>Voting Your Shares</w:t>
      </w:r>
    </w:p>
    <w:p>
      <w:pPr>
        <w:spacing w:after="0" w:line="135" w:lineRule="exact"/>
        <w:rPr>
          <w:sz w:val="20"/>
          <w:szCs w:val="20"/>
          <w:color w:val="auto"/>
        </w:rPr>
      </w:pPr>
    </w:p>
    <w:p>
      <w:pPr>
        <w:ind w:right="200"/>
        <w:spacing w:after="0" w:line="268" w:lineRule="auto"/>
        <w:rPr>
          <w:sz w:val="20"/>
          <w:szCs w:val="20"/>
          <w:color w:val="auto"/>
        </w:rPr>
      </w:pPr>
      <w:r>
        <w:rPr>
          <w:rFonts w:ascii="Arial" w:cs="Arial" w:eastAsia="Arial" w:hAnsi="Arial"/>
          <w:sz w:val="16"/>
          <w:szCs w:val="16"/>
          <w:color w:val="auto"/>
        </w:rPr>
        <w:t>Whether or not you plan to virtually attend the annual meeting, we urge you to vote. Shareholders of record can give proxies by calling a toll-free telephone number, by using the Internet or by mailing their signed proxy cards.</w:t>
      </w:r>
    </w:p>
    <w:p>
      <w:pPr>
        <w:spacing w:after="0" w:line="140" w:lineRule="exact"/>
        <w:rPr>
          <w:sz w:val="20"/>
          <w:szCs w:val="20"/>
          <w:color w:val="auto"/>
        </w:rPr>
      </w:pPr>
    </w:p>
    <w:p>
      <w:pPr>
        <w:ind w:right="80"/>
        <w:spacing w:after="0" w:line="267" w:lineRule="auto"/>
        <w:rPr>
          <w:sz w:val="20"/>
          <w:szCs w:val="20"/>
          <w:color w:val="auto"/>
        </w:rPr>
      </w:pPr>
      <w:r>
        <w:rPr>
          <w:rFonts w:ascii="Arial" w:cs="Arial" w:eastAsia="Arial" w:hAnsi="Arial"/>
          <w:sz w:val="15"/>
          <w:szCs w:val="15"/>
          <w:color w:val="auto"/>
        </w:rPr>
        <w:t>The telephone and Internet voting procedures are designed to authenticate shareholders’ identities, to allow shareholders to give their voting instructions and to confirm that shareholders’ instructions have been recorded properly. If you are voting by mail, please complete, sign and date the enclosed proxy card and return it promptly in the envelope provided. If you are voting by telephone or via the Internet, please use the telephone or Internet voting procedures set forth on the enclosed proxy card. Returning the proxy card or voting via telephone or the Internet will not affect your right to virtually attend the meeting and vote.</w:t>
      </w:r>
    </w:p>
    <w:p>
      <w:pPr>
        <w:spacing w:after="0" w:line="129" w:lineRule="exact"/>
        <w:rPr>
          <w:sz w:val="20"/>
          <w:szCs w:val="20"/>
          <w:color w:val="auto"/>
        </w:rPr>
      </w:pPr>
    </w:p>
    <w:p>
      <w:pPr>
        <w:ind w:right="100"/>
        <w:spacing w:after="0" w:line="246" w:lineRule="auto"/>
        <w:rPr>
          <w:sz w:val="20"/>
          <w:szCs w:val="20"/>
          <w:color w:val="auto"/>
        </w:rPr>
      </w:pPr>
      <w:r>
        <w:rPr>
          <w:rFonts w:ascii="Arial" w:cs="Arial" w:eastAsia="Arial" w:hAnsi="Arial"/>
          <w:sz w:val="16"/>
          <w:szCs w:val="16"/>
          <w:color w:val="auto"/>
        </w:rPr>
        <w:t>The enclosed proxy card indicates the number of shares that you own. Voting instructions are included on your proxy card. If you properly fill in your proxy card and send it to us or vote via telephone or the Internet in time to vote, one of the individuals named on your proxy card (your “proxy”) will vote your shares as you have directed. If you sign the proxy card or vote via telephone or the Internet but do not make specific choices, your proxy will follow the Board’s recommendations and vote your shares in the following manner:</w:t>
      </w:r>
    </w:p>
    <w:p>
      <w:pPr>
        <w:spacing w:after="0" w:line="80" w:lineRule="exact"/>
        <w:rPr>
          <w:sz w:val="20"/>
          <w:szCs w:val="20"/>
          <w:color w:val="auto"/>
        </w:rPr>
      </w:pPr>
    </w:p>
    <w:p>
      <w:pPr>
        <w:ind w:left="180" w:hanging="176"/>
        <w:spacing w:after="0"/>
        <w:tabs>
          <w:tab w:leader="none" w:pos="180" w:val="left"/>
        </w:tabs>
        <w:numPr>
          <w:ilvl w:val="0"/>
          <w:numId w:val="87"/>
        </w:numPr>
        <w:rPr>
          <w:rFonts w:ascii="Arial" w:cs="Arial" w:eastAsia="Arial" w:hAnsi="Arial"/>
          <w:sz w:val="16"/>
          <w:szCs w:val="16"/>
          <w:color w:val="6D8CC3"/>
        </w:rPr>
      </w:pPr>
      <w:r>
        <w:rPr>
          <w:rFonts w:ascii="Arial" w:cs="Arial" w:eastAsia="Arial" w:hAnsi="Arial"/>
          <w:sz w:val="16"/>
          <w:szCs w:val="16"/>
          <w:color w:val="auto"/>
        </w:rPr>
        <w:t xml:space="preserve">“FOR” the election of the Board’s ten nominees for director (as described on page </w:t>
      </w:r>
      <w:r>
        <w:rPr>
          <w:rFonts w:ascii="Arial" w:cs="Arial" w:eastAsia="Arial" w:hAnsi="Arial"/>
          <w:sz w:val="16"/>
          <w:szCs w:val="16"/>
          <w:u w:val="single" w:color="auto"/>
          <w:color w:val="0000EE"/>
        </w:rPr>
        <w:t>6</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140970</wp:posOffset>
            </wp:positionV>
            <wp:extent cx="573722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737225" cy="8255"/>
                    </a:xfrm>
                    <a:prstGeom prst="rect">
                      <a:avLst/>
                    </a:prstGeom>
                    <a:noFill/>
                  </pic:spPr>
                </pic:pic>
              </a:graphicData>
            </a:graphic>
          </wp:anchor>
        </w:drawing>
      </w:r>
    </w:p>
    <w:p>
      <w:pPr>
        <w:spacing w:after="0" w:line="297" w:lineRule="exact"/>
        <w:rPr>
          <w:sz w:val="20"/>
          <w:szCs w:val="20"/>
          <w:color w:val="auto"/>
        </w:rPr>
      </w:pPr>
    </w:p>
    <w:p>
      <w:pPr>
        <w:spacing w:after="0"/>
        <w:rPr>
          <w:sz w:val="20"/>
          <w:szCs w:val="20"/>
          <w:color w:val="auto"/>
        </w:rPr>
      </w:pPr>
      <w:r>
        <w:rPr>
          <w:rFonts w:ascii="Arial" w:cs="Arial" w:eastAsia="Arial" w:hAnsi="Arial"/>
          <w:sz w:val="14"/>
          <w:szCs w:val="14"/>
          <w:b w:val="1"/>
          <w:bCs w:val="1"/>
          <w:color w:val="292F72"/>
        </w:rPr>
        <w:t>62</w:t>
      </w:r>
      <w:r>
        <w:rPr>
          <w:rFonts w:ascii="Arial" w:cs="Arial" w:eastAsia="Arial" w:hAnsi="Arial"/>
          <w:sz w:val="14"/>
          <w:szCs w:val="14"/>
          <w:color w:val="292F72"/>
        </w:rPr>
        <w:t xml:space="preserve">     Bath &amp; Body Works, Inc.</w:t>
      </w:r>
      <w:r>
        <w:rPr>
          <w:rFonts w:ascii="Arial" w:cs="Arial" w:eastAsia="Arial" w:hAnsi="Arial"/>
          <w:sz w:val="14"/>
          <w:szCs w:val="14"/>
          <w:color w:val="6D8CC3"/>
        </w:rPr>
        <w:t xml:space="preserve">   | </w:t>
      </w:r>
      <w:r>
        <w:rPr>
          <w:rFonts w:ascii="Arial" w:cs="Arial" w:eastAsia="Arial" w:hAnsi="Arial"/>
          <w:sz w:val="14"/>
          <w:szCs w:val="14"/>
          <w:b w:val="1"/>
          <w:bCs w:val="1"/>
          <w:color w:val="292F72"/>
        </w:rPr>
        <w:t xml:space="preserve">  </w:t>
      </w:r>
      <w:r>
        <w:rPr>
          <w:rFonts w:ascii="Arial" w:cs="Arial" w:eastAsia="Arial" w:hAnsi="Arial"/>
          <w:sz w:val="14"/>
          <w:szCs w:val="14"/>
          <w:color w:val="292F72"/>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170180</wp:posOffset>
            </wp:positionV>
            <wp:extent cx="6795135" cy="1651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795135" cy="16510"/>
                    </a:xfrm>
                    <a:prstGeom prst="rect">
                      <a:avLst/>
                    </a:prstGeom>
                    <a:noFill/>
                  </pic:spPr>
                </pic:pic>
              </a:graphicData>
            </a:graphic>
          </wp:anchor>
        </w:drawing>
      </w:r>
    </w:p>
    <w:p>
      <w:pPr>
        <w:sectPr>
          <w:pgSz w:w="11900" w:h="16838" w:orient="portrait"/>
          <w:cols w:equalWidth="0" w:num="1">
            <w:col w:w="9040"/>
          </w:cols>
          <w:pgMar w:left="1420" w:top="116" w:right="14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2" w:lineRule="exact"/>
        <w:rPr>
          <w:sz w:val="20"/>
          <w:szCs w:val="20"/>
          <w:color w:val="auto"/>
        </w:rPr>
      </w:pPr>
    </w:p>
    <w:p>
      <w:pPr>
        <w:ind w:left="5580"/>
        <w:spacing w:after="0"/>
        <w:rPr>
          <w:sz w:val="20"/>
          <w:szCs w:val="20"/>
          <w:color w:val="auto"/>
        </w:rPr>
      </w:pPr>
      <w:r>
        <w:rPr>
          <w:rFonts w:ascii="Arial" w:cs="Arial" w:eastAsia="Arial" w:hAnsi="Arial"/>
          <w:sz w:val="15"/>
          <w:szCs w:val="15"/>
          <w:color w:val="292F72"/>
        </w:rPr>
        <w:t>Information About the Annual Meeting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3535045</wp:posOffset>
            </wp:positionH>
            <wp:positionV relativeFrom="paragraph">
              <wp:posOffset>48260</wp:posOffset>
            </wp:positionV>
            <wp:extent cx="2206625" cy="3302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206625" cy="33020"/>
                    </a:xfrm>
                    <a:prstGeom prst="rect">
                      <a:avLst/>
                    </a:prstGeom>
                    <a:noFill/>
                  </pic:spPr>
                </pic:pic>
              </a:graphicData>
            </a:graphic>
          </wp:anchor>
        </w:drawing>
      </w:r>
    </w:p>
    <w:p>
      <w:pPr>
        <w:spacing w:after="0" w:line="201" w:lineRule="exact"/>
        <w:rPr>
          <w:sz w:val="20"/>
          <w:szCs w:val="20"/>
          <w:color w:val="auto"/>
        </w:rPr>
      </w:pPr>
    </w:p>
    <w:p>
      <w:pPr>
        <w:ind w:left="180" w:hanging="176"/>
        <w:spacing w:after="0"/>
        <w:tabs>
          <w:tab w:leader="none" w:pos="180" w:val="left"/>
        </w:tabs>
        <w:numPr>
          <w:ilvl w:val="0"/>
          <w:numId w:val="88"/>
        </w:numPr>
        <w:rPr>
          <w:rFonts w:ascii="Arial" w:cs="Arial" w:eastAsia="Arial" w:hAnsi="Arial"/>
          <w:sz w:val="16"/>
          <w:szCs w:val="16"/>
          <w:color w:val="6D8CC3"/>
        </w:rPr>
      </w:pPr>
      <w:r>
        <w:rPr>
          <w:rFonts w:ascii="Arial" w:cs="Arial" w:eastAsia="Arial" w:hAnsi="Arial"/>
          <w:sz w:val="16"/>
          <w:szCs w:val="16"/>
          <w:color w:val="auto"/>
        </w:rPr>
        <w:t xml:space="preserve">“FOR” the ratification of the appointment of our independent registered public accounting firm (as described on page </w:t>
      </w:r>
      <w:r>
        <w:rPr>
          <w:rFonts w:ascii="Arial" w:cs="Arial" w:eastAsia="Arial" w:hAnsi="Arial"/>
          <w:sz w:val="16"/>
          <w:szCs w:val="16"/>
          <w:u w:val="single" w:color="auto"/>
          <w:color w:val="0000EE"/>
        </w:rPr>
        <w:t>23</w:t>
      </w:r>
      <w:r>
        <w:rPr>
          <w:rFonts w:ascii="Arial" w:cs="Arial" w:eastAsia="Arial" w:hAnsi="Arial"/>
          <w:sz w:val="16"/>
          <w:szCs w:val="16"/>
          <w:color w:val="auto"/>
        </w:rPr>
        <w:t>); and</w:t>
      </w:r>
    </w:p>
    <w:p>
      <w:pPr>
        <w:spacing w:after="0" w:line="104" w:lineRule="exact"/>
        <w:rPr>
          <w:rFonts w:ascii="Arial" w:cs="Arial" w:eastAsia="Arial" w:hAnsi="Arial"/>
          <w:sz w:val="16"/>
          <w:szCs w:val="16"/>
          <w:color w:val="6D8CC3"/>
        </w:rPr>
      </w:pPr>
    </w:p>
    <w:p>
      <w:pPr>
        <w:ind w:left="180" w:hanging="176"/>
        <w:spacing w:after="0"/>
        <w:tabs>
          <w:tab w:leader="none" w:pos="180" w:val="left"/>
        </w:tabs>
        <w:numPr>
          <w:ilvl w:val="0"/>
          <w:numId w:val="88"/>
        </w:numPr>
        <w:rPr>
          <w:rFonts w:ascii="Arial" w:cs="Arial" w:eastAsia="Arial" w:hAnsi="Arial"/>
          <w:sz w:val="16"/>
          <w:szCs w:val="16"/>
          <w:color w:val="6D8CC3"/>
        </w:rPr>
      </w:pPr>
      <w:r>
        <w:rPr>
          <w:rFonts w:ascii="Arial" w:cs="Arial" w:eastAsia="Arial" w:hAnsi="Arial"/>
          <w:sz w:val="16"/>
          <w:szCs w:val="16"/>
          <w:color w:val="auto"/>
        </w:rPr>
        <w:t xml:space="preserve">“FOR” the advisory vote to approve named executive officer compensation (as described on page </w:t>
      </w:r>
      <w:r>
        <w:rPr>
          <w:rFonts w:ascii="Arial" w:cs="Arial" w:eastAsia="Arial" w:hAnsi="Arial"/>
          <w:sz w:val="16"/>
          <w:szCs w:val="16"/>
          <w:u w:val="single" w:color="auto"/>
          <w:color w:val="0000EE"/>
        </w:rPr>
        <w:t>27</w:t>
      </w:r>
      <w:r>
        <w:rPr>
          <w:rFonts w:ascii="Arial" w:cs="Arial" w:eastAsia="Arial" w:hAnsi="Arial"/>
          <w:sz w:val="16"/>
          <w:szCs w:val="16"/>
          <w:color w:val="auto"/>
        </w:rPr>
        <w:t>).</w:t>
      </w:r>
    </w:p>
    <w:p>
      <w:pPr>
        <w:spacing w:after="0" w:line="170" w:lineRule="exact"/>
        <w:rPr>
          <w:sz w:val="20"/>
          <w:szCs w:val="20"/>
          <w:color w:val="auto"/>
        </w:rPr>
      </w:pPr>
    </w:p>
    <w:p>
      <w:pPr>
        <w:ind w:right="200"/>
        <w:spacing w:after="0" w:line="254" w:lineRule="auto"/>
        <w:rPr>
          <w:sz w:val="20"/>
          <w:szCs w:val="20"/>
          <w:color w:val="auto"/>
        </w:rPr>
      </w:pPr>
      <w:r>
        <w:rPr>
          <w:rFonts w:ascii="Arial" w:cs="Arial" w:eastAsia="Arial" w:hAnsi="Arial"/>
          <w:sz w:val="16"/>
          <w:szCs w:val="16"/>
          <w:color w:val="auto"/>
        </w:rPr>
        <w:t>If any other matter is properly presented at the meeting, your proxy will vote in accordance with his or her best judgment. At the time this proxy statement was filed, we knew of no other matters to be acted on at the meeting. See “—Vote Necessary to Approve Proposals” below for a discussion of the votes required to approve these items.</w:t>
      </w:r>
    </w:p>
    <w:p>
      <w:pPr>
        <w:spacing w:after="0" w:line="137" w:lineRule="exact"/>
        <w:rPr>
          <w:sz w:val="20"/>
          <w:szCs w:val="20"/>
          <w:color w:val="auto"/>
        </w:rPr>
      </w:pPr>
    </w:p>
    <w:p>
      <w:pPr>
        <w:ind w:right="140"/>
        <w:spacing w:after="0" w:line="268" w:lineRule="auto"/>
        <w:rPr>
          <w:sz w:val="20"/>
          <w:szCs w:val="20"/>
          <w:color w:val="auto"/>
        </w:rPr>
      </w:pPr>
      <w:r>
        <w:rPr>
          <w:rFonts w:ascii="Arial" w:cs="Arial" w:eastAsia="Arial" w:hAnsi="Arial"/>
          <w:sz w:val="16"/>
          <w:szCs w:val="16"/>
          <w:color w:val="auto"/>
        </w:rPr>
        <w:t>Certain shareholders received a Notice containing instructions on how to access this proxy statement and our 2025 10-K via the Internet. Those shareholders should refer to the Notice for instructions regarding how to vote.</w:t>
      </w:r>
    </w:p>
    <w:p>
      <w:pPr>
        <w:spacing w:after="0" w:line="318" w:lineRule="exact"/>
        <w:rPr>
          <w:sz w:val="20"/>
          <w:szCs w:val="20"/>
          <w:color w:val="auto"/>
        </w:rPr>
      </w:pPr>
    </w:p>
    <w:p>
      <w:pPr>
        <w:spacing w:after="0"/>
        <w:rPr>
          <w:sz w:val="20"/>
          <w:szCs w:val="20"/>
          <w:color w:val="auto"/>
        </w:rPr>
      </w:pPr>
      <w:r>
        <w:rPr>
          <w:rFonts w:ascii="Arial" w:cs="Arial" w:eastAsia="Arial" w:hAnsi="Arial"/>
          <w:sz w:val="23"/>
          <w:szCs w:val="23"/>
          <w:b w:val="1"/>
          <w:bCs w:val="1"/>
          <w:color w:val="292F72"/>
        </w:rPr>
        <w:t>Revoking Your Proxy</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You may revoke your proxy by:</w:t>
      </w:r>
    </w:p>
    <w:p>
      <w:pPr>
        <w:spacing w:after="0" w:line="105" w:lineRule="exact"/>
        <w:rPr>
          <w:sz w:val="20"/>
          <w:szCs w:val="20"/>
          <w:color w:val="auto"/>
        </w:rPr>
      </w:pPr>
    </w:p>
    <w:p>
      <w:pPr>
        <w:ind w:left="180" w:hanging="176"/>
        <w:spacing w:after="0"/>
        <w:tabs>
          <w:tab w:leader="none" w:pos="180" w:val="left"/>
        </w:tabs>
        <w:numPr>
          <w:ilvl w:val="0"/>
          <w:numId w:val="89"/>
        </w:numPr>
        <w:rPr>
          <w:rFonts w:ascii="Arial" w:cs="Arial" w:eastAsia="Arial" w:hAnsi="Arial"/>
          <w:sz w:val="16"/>
          <w:szCs w:val="16"/>
          <w:color w:val="6D8CC3"/>
        </w:rPr>
      </w:pPr>
      <w:r>
        <w:rPr>
          <w:rFonts w:ascii="Arial" w:cs="Arial" w:eastAsia="Arial" w:hAnsi="Arial"/>
          <w:sz w:val="16"/>
          <w:szCs w:val="16"/>
          <w:color w:val="auto"/>
        </w:rPr>
        <w:t>submitting a later dated proxy (including a proxy via telephone or the Internet);</w:t>
      </w:r>
    </w:p>
    <w:p>
      <w:pPr>
        <w:spacing w:after="0" w:line="104" w:lineRule="exact"/>
        <w:rPr>
          <w:rFonts w:ascii="Arial" w:cs="Arial" w:eastAsia="Arial" w:hAnsi="Arial"/>
          <w:sz w:val="16"/>
          <w:szCs w:val="16"/>
          <w:color w:val="6D8CC3"/>
        </w:rPr>
      </w:pPr>
    </w:p>
    <w:p>
      <w:pPr>
        <w:ind w:left="180" w:hanging="176"/>
        <w:spacing w:after="0" w:line="268" w:lineRule="auto"/>
        <w:tabs>
          <w:tab w:leader="none" w:pos="180" w:val="left"/>
        </w:tabs>
        <w:numPr>
          <w:ilvl w:val="0"/>
          <w:numId w:val="89"/>
        </w:numPr>
        <w:rPr>
          <w:rFonts w:ascii="Arial" w:cs="Arial" w:eastAsia="Arial" w:hAnsi="Arial"/>
          <w:sz w:val="16"/>
          <w:szCs w:val="16"/>
          <w:color w:val="6D8CC3"/>
        </w:rPr>
      </w:pPr>
      <w:r>
        <w:rPr>
          <w:rFonts w:ascii="Arial" w:cs="Arial" w:eastAsia="Arial" w:hAnsi="Arial"/>
          <w:sz w:val="16"/>
          <w:szCs w:val="16"/>
          <w:color w:val="auto"/>
        </w:rPr>
        <w:t>notifying our Corporate Secretary at our principal executive offices at Three Limited Parkway, Columbus, Ohio 43230, Attention: Corporate Secretary, in writing before the meeting that you have revoked your proxy; or</w:t>
      </w:r>
    </w:p>
    <w:p>
      <w:pPr>
        <w:spacing w:after="0" w:line="61" w:lineRule="exact"/>
        <w:rPr>
          <w:rFonts w:ascii="Arial" w:cs="Arial" w:eastAsia="Arial" w:hAnsi="Arial"/>
          <w:sz w:val="16"/>
          <w:szCs w:val="16"/>
          <w:color w:val="6D8CC3"/>
        </w:rPr>
      </w:pPr>
    </w:p>
    <w:p>
      <w:pPr>
        <w:ind w:left="180" w:hanging="176"/>
        <w:spacing w:after="0"/>
        <w:tabs>
          <w:tab w:leader="none" w:pos="180" w:val="left"/>
        </w:tabs>
        <w:numPr>
          <w:ilvl w:val="0"/>
          <w:numId w:val="89"/>
        </w:numPr>
        <w:rPr>
          <w:rFonts w:ascii="Arial" w:cs="Arial" w:eastAsia="Arial" w:hAnsi="Arial"/>
          <w:sz w:val="16"/>
          <w:szCs w:val="16"/>
          <w:color w:val="6D8CC3"/>
        </w:rPr>
      </w:pPr>
      <w:r>
        <w:rPr>
          <w:rFonts w:ascii="Arial" w:cs="Arial" w:eastAsia="Arial" w:hAnsi="Arial"/>
          <w:sz w:val="16"/>
          <w:szCs w:val="16"/>
          <w:color w:val="auto"/>
        </w:rPr>
        <w:t>voting virtually at the meeting.</w:t>
      </w:r>
    </w:p>
    <w:p>
      <w:pPr>
        <w:spacing w:after="0" w:line="361" w:lineRule="exact"/>
        <w:rPr>
          <w:sz w:val="20"/>
          <w:szCs w:val="20"/>
          <w:color w:val="auto"/>
        </w:rPr>
      </w:pPr>
    </w:p>
    <w:p>
      <w:pPr>
        <w:spacing w:after="0"/>
        <w:rPr>
          <w:sz w:val="20"/>
          <w:szCs w:val="20"/>
          <w:color w:val="auto"/>
        </w:rPr>
      </w:pPr>
      <w:r>
        <w:rPr>
          <w:rFonts w:ascii="Arial" w:cs="Arial" w:eastAsia="Arial" w:hAnsi="Arial"/>
          <w:sz w:val="23"/>
          <w:szCs w:val="23"/>
          <w:b w:val="1"/>
          <w:bCs w:val="1"/>
          <w:color w:val="292F72"/>
        </w:rPr>
        <w:t>Voting at the Annual Meeting</w:t>
      </w:r>
    </w:p>
    <w:p>
      <w:pPr>
        <w:spacing w:after="0" w:line="135"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color w:val="auto"/>
        </w:rPr>
        <w:t>If you own common stock of record, you may virtually attend the annual meeting and vote, regardless of whether you previously voted by proxy card, via the Internet, or by telephone. If your shares are held in the name of your broker, bank or other nominee, you may virtually attend the annual meeting, but in order to vote your shares at the annual meeting you must provide your 16-digit control number provided in your Notice or proxy card (if you received a printed copy of the proxy materials). We encourage you to vote your shares in advance of the annual meeting.</w:t>
      </w:r>
    </w:p>
    <w:p>
      <w:pPr>
        <w:spacing w:after="0" w:line="145" w:lineRule="exact"/>
        <w:rPr>
          <w:sz w:val="20"/>
          <w:szCs w:val="20"/>
          <w:color w:val="auto"/>
        </w:rPr>
      </w:pPr>
    </w:p>
    <w:p>
      <w:pPr>
        <w:ind w:right="200"/>
        <w:spacing w:after="0" w:line="254" w:lineRule="auto"/>
        <w:rPr>
          <w:sz w:val="20"/>
          <w:szCs w:val="20"/>
          <w:color w:val="auto"/>
        </w:rPr>
      </w:pPr>
      <w:r>
        <w:rPr>
          <w:rFonts w:ascii="Arial" w:cs="Arial" w:eastAsia="Arial" w:hAnsi="Arial"/>
          <w:sz w:val="16"/>
          <w:szCs w:val="16"/>
          <w:color w:val="auto"/>
        </w:rPr>
        <w:t>Our virtual meeting platform vendor will have technicians ready to assist you with any technical difficulties you may have accessing the virtual meeting or submitting questions. If you encounter any difficulties accessing the virtual meeting, please call the technical support number that will be posted on the meeting login page.</w:t>
      </w:r>
    </w:p>
    <w:p>
      <w:pPr>
        <w:spacing w:after="0" w:line="315" w:lineRule="exact"/>
        <w:rPr>
          <w:sz w:val="20"/>
          <w:szCs w:val="20"/>
          <w:color w:val="auto"/>
        </w:rPr>
      </w:pPr>
    </w:p>
    <w:p>
      <w:pPr>
        <w:spacing w:after="0"/>
        <w:rPr>
          <w:sz w:val="20"/>
          <w:szCs w:val="20"/>
          <w:color w:val="auto"/>
        </w:rPr>
      </w:pPr>
      <w:r>
        <w:rPr>
          <w:rFonts w:ascii="Arial" w:cs="Arial" w:eastAsia="Arial" w:hAnsi="Arial"/>
          <w:sz w:val="23"/>
          <w:szCs w:val="23"/>
          <w:b w:val="1"/>
          <w:bCs w:val="1"/>
          <w:color w:val="292F72"/>
        </w:rPr>
        <w:t>Appointing Your Own Proxy</w:t>
      </w:r>
    </w:p>
    <w:p>
      <w:pPr>
        <w:spacing w:after="0" w:line="135" w:lineRule="exact"/>
        <w:rPr>
          <w:sz w:val="20"/>
          <w:szCs w:val="20"/>
          <w:color w:val="auto"/>
        </w:rPr>
      </w:pPr>
    </w:p>
    <w:p>
      <w:pPr>
        <w:ind w:right="160"/>
        <w:spacing w:after="0" w:line="249" w:lineRule="auto"/>
        <w:rPr>
          <w:sz w:val="20"/>
          <w:szCs w:val="20"/>
          <w:color w:val="auto"/>
        </w:rPr>
      </w:pPr>
      <w:r>
        <w:rPr>
          <w:rFonts w:ascii="Arial" w:cs="Arial" w:eastAsia="Arial" w:hAnsi="Arial"/>
          <w:sz w:val="16"/>
          <w:szCs w:val="16"/>
          <w:color w:val="auto"/>
        </w:rPr>
        <w:t>If you want to give your proxy to someone other than the individuals named as proxies on the proxy card, you may cross out the names of those individuals and insert the name of the individual you are authorizing to vote. If you appoint your own proxy, the individual you appoint must provide your 16-digit control number provided in your Notice or proxy card (if you received a printed copy of the proxy materials) to virtually attend and vote at the meeting.</w:t>
      </w:r>
    </w:p>
    <w:p>
      <w:pPr>
        <w:spacing w:after="0" w:line="319" w:lineRule="exact"/>
        <w:rPr>
          <w:sz w:val="20"/>
          <w:szCs w:val="20"/>
          <w:color w:val="auto"/>
        </w:rPr>
      </w:pPr>
    </w:p>
    <w:p>
      <w:pPr>
        <w:spacing w:after="0"/>
        <w:rPr>
          <w:sz w:val="20"/>
          <w:szCs w:val="20"/>
          <w:color w:val="auto"/>
        </w:rPr>
      </w:pPr>
      <w:r>
        <w:rPr>
          <w:rFonts w:ascii="Arial" w:cs="Arial" w:eastAsia="Arial" w:hAnsi="Arial"/>
          <w:sz w:val="23"/>
          <w:szCs w:val="23"/>
          <w:b w:val="1"/>
          <w:bCs w:val="1"/>
          <w:color w:val="292F72"/>
        </w:rPr>
        <w:t>Quorum Requirement</w:t>
      </w:r>
    </w:p>
    <w:p>
      <w:pPr>
        <w:spacing w:after="0" w:line="135" w:lineRule="exact"/>
        <w:rPr>
          <w:sz w:val="20"/>
          <w:szCs w:val="20"/>
          <w:color w:val="auto"/>
        </w:rPr>
      </w:pPr>
    </w:p>
    <w:p>
      <w:pPr>
        <w:jc w:val="both"/>
        <w:ind w:right="180"/>
        <w:spacing w:after="0" w:line="271" w:lineRule="auto"/>
        <w:rPr>
          <w:sz w:val="20"/>
          <w:szCs w:val="20"/>
          <w:color w:val="auto"/>
        </w:rPr>
      </w:pPr>
      <w:r>
        <w:rPr>
          <w:rFonts w:ascii="Arial" w:cs="Arial" w:eastAsia="Arial" w:hAnsi="Arial"/>
          <w:sz w:val="15"/>
          <w:szCs w:val="15"/>
          <w:color w:val="auto"/>
        </w:rPr>
        <w:t>A quorum of shareholders is necessary to hold a valid meeting. The presence in person or by proxy at the meeting of holders of shares representing at least one-third of the votes of the Common Stock entitled to vote constitutes a quorum. Abstentions and “broker non-votes” are counted as present for establishing a quorum. A broker non-vote occurs on an item when a broker is not permitted to vote on that item absent instruction from the beneficial owner of the shares and no instruction is given.</w:t>
      </w:r>
    </w:p>
    <w:p>
      <w:pPr>
        <w:spacing w:after="0" w:line="304" w:lineRule="exact"/>
        <w:rPr>
          <w:sz w:val="20"/>
          <w:szCs w:val="20"/>
          <w:color w:val="auto"/>
        </w:rPr>
      </w:pPr>
    </w:p>
    <w:p>
      <w:pPr>
        <w:spacing w:after="0"/>
        <w:rPr>
          <w:sz w:val="20"/>
          <w:szCs w:val="20"/>
          <w:color w:val="auto"/>
        </w:rPr>
      </w:pPr>
      <w:r>
        <w:rPr>
          <w:rFonts w:ascii="Arial" w:cs="Arial" w:eastAsia="Arial" w:hAnsi="Arial"/>
          <w:sz w:val="23"/>
          <w:szCs w:val="23"/>
          <w:b w:val="1"/>
          <w:bCs w:val="1"/>
          <w:color w:val="292F72"/>
        </w:rPr>
        <w:t>Vote Necessary to Approve Proposals</w:t>
      </w:r>
    </w:p>
    <w:p>
      <w:pPr>
        <w:spacing w:after="0" w:line="121" w:lineRule="exact"/>
        <w:rPr>
          <w:sz w:val="20"/>
          <w:szCs w:val="20"/>
          <w:color w:val="auto"/>
        </w:rPr>
      </w:pPr>
    </w:p>
    <w:p>
      <w:pPr>
        <w:ind w:left="180" w:right="80" w:hanging="176"/>
        <w:spacing w:after="0" w:line="262" w:lineRule="auto"/>
        <w:tabs>
          <w:tab w:leader="none" w:pos="180" w:val="left"/>
        </w:tabs>
        <w:numPr>
          <w:ilvl w:val="0"/>
          <w:numId w:val="90"/>
        </w:numPr>
        <w:rPr>
          <w:rFonts w:ascii="Arial" w:cs="Arial" w:eastAsia="Arial" w:hAnsi="Arial"/>
          <w:sz w:val="15"/>
          <w:szCs w:val="15"/>
          <w:color w:val="6D8CC3"/>
        </w:rPr>
      </w:pPr>
      <w:r>
        <w:rPr>
          <w:rFonts w:ascii="Arial" w:cs="Arial" w:eastAsia="Arial" w:hAnsi="Arial"/>
          <w:sz w:val="15"/>
          <w:szCs w:val="15"/>
          <w:color w:val="auto"/>
        </w:rPr>
        <w:t>Pursuant to the Company’s Bylaws, each director will be elected by a majority of the votes cast with respect to such director. A majority of the votes cast means that the number of votes “for” a director’s election must exceed 50% of the votes cast with respect to that director’s election. Any “against” votes will count as a vote cast, but “abstentions” and broker non-votes will not count as a vote cast with respect to that director’s election. Under Delaware law, if the director is not elected at the annual meeting, the director will continue to serve on the Board as a “holdover director.” As required by the Bylaws, each director has submitted an irrevocable letter of resignation as director that becomes effective if the director does not receive a majority of votes cast in an election and the Board accepts the resignation. If a director is not elected, the Nominating &amp; Governance Committee will consider the director’s resignation and recommend to the Board whether to accept or reject the resignation.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116840</wp:posOffset>
            </wp:positionV>
            <wp:extent cx="573722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737225" cy="8255"/>
                    </a:xfrm>
                    <a:prstGeom prst="rect">
                      <a:avLst/>
                    </a:prstGeom>
                    <a:noFill/>
                  </pic:spPr>
                </pic:pic>
              </a:graphicData>
            </a:graphic>
          </wp:anchor>
        </w:drawing>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14"/>
          <w:szCs w:val="14"/>
          <w:color w:val="292F72"/>
        </w:rPr>
        <w:t>Bath &amp; Body Works, Inc.</w:t>
      </w:r>
      <w:r>
        <w:rPr>
          <w:rFonts w:ascii="Arial" w:cs="Arial" w:eastAsia="Arial" w:hAnsi="Arial"/>
          <w:sz w:val="14"/>
          <w:szCs w:val="14"/>
          <w:color w:val="6D8CC3"/>
        </w:rPr>
        <w:t xml:space="preserve">   | </w:t>
      </w:r>
      <w:r>
        <w:rPr>
          <w:rFonts w:ascii="Arial" w:cs="Arial" w:eastAsia="Arial" w:hAnsi="Arial"/>
          <w:sz w:val="14"/>
          <w:szCs w:val="14"/>
          <w:color w:val="292F72"/>
        </w:rPr>
        <w:t xml:space="preserve">  2026 Proxy Statement     </w:t>
      </w:r>
      <w:r>
        <w:rPr>
          <w:rFonts w:ascii="Arial" w:cs="Arial" w:eastAsia="Arial" w:hAnsi="Arial"/>
          <w:sz w:val="14"/>
          <w:szCs w:val="14"/>
          <w:b w:val="1"/>
          <w:bCs w:val="1"/>
          <w:color w:val="292F72"/>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145415</wp:posOffset>
            </wp:positionV>
            <wp:extent cx="6795135" cy="1651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795135" cy="16510"/>
                    </a:xfrm>
                    <a:prstGeom prst="rect">
                      <a:avLst/>
                    </a:prstGeom>
                    <a:noFill/>
                  </pic:spPr>
                </pic:pic>
              </a:graphicData>
            </a:graphic>
          </wp:anchor>
        </w:drawing>
      </w:r>
    </w:p>
    <w:p>
      <w:pPr>
        <w:sectPr>
          <w:pgSz w:w="11900" w:h="16838" w:orient="portrait"/>
          <w:cols w:equalWidth="0" w:num="1">
            <w:col w:w="9040"/>
          </w:cols>
          <w:pgMar w:left="1420" w:top="116" w:right="14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6"/>
          <w:szCs w:val="16"/>
          <w:color w:val="292F72"/>
        </w:rPr>
        <w:t>Information About the Annual Meeting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40640</wp:posOffset>
            </wp:positionV>
            <wp:extent cx="2206625" cy="3302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206625" cy="33020"/>
                    </a:xfrm>
                    <a:prstGeom prst="rect">
                      <a:avLst/>
                    </a:prstGeom>
                    <a:noFill/>
                  </pic:spPr>
                </pic:pic>
              </a:graphicData>
            </a:graphic>
          </wp:anchor>
        </w:drawing>
      </w:r>
    </w:p>
    <w:p>
      <w:pPr>
        <w:spacing w:after="0" w:line="189" w:lineRule="exact"/>
        <w:rPr>
          <w:sz w:val="20"/>
          <w:szCs w:val="20"/>
          <w:color w:val="auto"/>
        </w:rPr>
      </w:pPr>
    </w:p>
    <w:p>
      <w:pPr>
        <w:ind w:left="180" w:right="300" w:hanging="176"/>
        <w:spacing w:after="0" w:line="268" w:lineRule="auto"/>
        <w:tabs>
          <w:tab w:leader="none" w:pos="180" w:val="left"/>
        </w:tabs>
        <w:numPr>
          <w:ilvl w:val="0"/>
          <w:numId w:val="91"/>
        </w:numPr>
        <w:rPr>
          <w:rFonts w:ascii="Arial" w:cs="Arial" w:eastAsia="Arial" w:hAnsi="Arial"/>
          <w:sz w:val="16"/>
          <w:szCs w:val="16"/>
          <w:color w:val="6D8CC3"/>
        </w:rPr>
      </w:pPr>
      <w:r>
        <w:rPr>
          <w:rFonts w:ascii="Arial" w:cs="Arial" w:eastAsia="Arial" w:hAnsi="Arial"/>
          <w:sz w:val="16"/>
          <w:szCs w:val="16"/>
          <w:color w:val="auto"/>
        </w:rPr>
        <w:t>The ratification of Ernst &amp; Young LLP as our independent registered public accounting firm requires the affirmative vote of a majority of the votes present in person or by proxy and voting thereon.</w:t>
      </w:r>
    </w:p>
    <w:p>
      <w:pPr>
        <w:spacing w:after="0" w:line="61" w:lineRule="exact"/>
        <w:rPr>
          <w:rFonts w:ascii="Arial" w:cs="Arial" w:eastAsia="Arial" w:hAnsi="Arial"/>
          <w:sz w:val="16"/>
          <w:szCs w:val="16"/>
          <w:color w:val="6D8CC3"/>
        </w:rPr>
      </w:pPr>
    </w:p>
    <w:p>
      <w:pPr>
        <w:ind w:left="180" w:right="180" w:hanging="176"/>
        <w:spacing w:after="0" w:line="267" w:lineRule="auto"/>
        <w:tabs>
          <w:tab w:leader="none" w:pos="180" w:val="left"/>
        </w:tabs>
        <w:numPr>
          <w:ilvl w:val="0"/>
          <w:numId w:val="91"/>
        </w:numPr>
        <w:rPr>
          <w:rFonts w:ascii="Arial" w:cs="Arial" w:eastAsia="Arial" w:hAnsi="Arial"/>
          <w:sz w:val="15"/>
          <w:szCs w:val="15"/>
          <w:color w:val="6D8CC3"/>
        </w:rPr>
      </w:pPr>
      <w:r>
        <w:rPr>
          <w:rFonts w:ascii="Arial" w:cs="Arial" w:eastAsia="Arial" w:hAnsi="Arial"/>
          <w:sz w:val="15"/>
          <w:szCs w:val="15"/>
          <w:color w:val="auto"/>
        </w:rPr>
        <w:t>The advisory vote to approve named executive officer compensation requires the affirmative vote of a majority of the votes present in person or by proxy and voting thereon. While this vote is required by law, it will neither be binding on the Company nor the Board, nor will it create or imply any change in the fiduciary or other duties of, or impose any additional fiduciary or other duties on, the Company or the Board. However, the HCC Committee will carefully consider the shareholder vote, along with all other expressions of shareholders’ views on this matter, when considering future executive compensation decisions.</w:t>
      </w:r>
    </w:p>
    <w:p>
      <w:pPr>
        <w:spacing w:after="0" w:line="294" w:lineRule="exact"/>
        <w:rPr>
          <w:sz w:val="20"/>
          <w:szCs w:val="20"/>
          <w:color w:val="auto"/>
        </w:rPr>
      </w:pPr>
    </w:p>
    <w:p>
      <w:pPr>
        <w:spacing w:after="0"/>
        <w:rPr>
          <w:sz w:val="20"/>
          <w:szCs w:val="20"/>
          <w:color w:val="auto"/>
        </w:rPr>
      </w:pPr>
      <w:r>
        <w:rPr>
          <w:rFonts w:ascii="Arial" w:cs="Arial" w:eastAsia="Arial" w:hAnsi="Arial"/>
          <w:sz w:val="23"/>
          <w:szCs w:val="23"/>
          <w:b w:val="1"/>
          <w:bCs w:val="1"/>
          <w:color w:val="292F72"/>
        </w:rPr>
        <w:t>Impact of Abstentions and Broker Non-votes</w:t>
      </w:r>
    </w:p>
    <w:p>
      <w:pPr>
        <w:spacing w:after="0" w:line="148"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You may “abstain” from voting for any nominee in the election of directors and on the other proposals. Abstentions with respect to the election of directors, the ratification of Ernst &amp; Young LLP as our independent registered public accounting firm, and the advisory vote to approve named executive officer compensation will be excluded entirely from the vote and will have no effect.</w:t>
      </w:r>
    </w:p>
    <w:p>
      <w:pPr>
        <w:spacing w:after="0" w:line="137" w:lineRule="exact"/>
        <w:rPr>
          <w:sz w:val="20"/>
          <w:szCs w:val="20"/>
          <w:color w:val="auto"/>
        </w:rPr>
      </w:pPr>
    </w:p>
    <w:p>
      <w:pPr>
        <w:ind w:right="40"/>
        <w:spacing w:after="0" w:line="245" w:lineRule="auto"/>
        <w:rPr>
          <w:sz w:val="20"/>
          <w:szCs w:val="20"/>
          <w:color w:val="auto"/>
        </w:rPr>
      </w:pPr>
      <w:r>
        <w:rPr>
          <w:rFonts w:ascii="Arial" w:cs="Arial" w:eastAsia="Arial" w:hAnsi="Arial"/>
          <w:sz w:val="16"/>
          <w:szCs w:val="16"/>
          <w:color w:val="auto"/>
        </w:rPr>
        <w:t>In addition, under NYSE rules, if your broker holds your shares in its name, your broker is permitted to vote your shares on the proposal to ratify Ernst &amp; Young LLP as our independent registered public accounting firm, even if it did not receive voting instructions from you. Your broker may not vote your shares on any of the other matters without specific instruction. A “broker non-vote” occurs when a broker submits a proxy but refrains from voting. Shares represented by broker non-votes are counted as present or represented for purposes of determining the presence of a quorum but are not counted as otherwise present or represented.</w:t>
      </w:r>
    </w:p>
    <w:p>
      <w:pPr>
        <w:spacing w:after="0" w:line="323" w:lineRule="exact"/>
        <w:rPr>
          <w:sz w:val="20"/>
          <w:szCs w:val="20"/>
          <w:color w:val="auto"/>
        </w:rPr>
      </w:pPr>
    </w:p>
    <w:p>
      <w:pPr>
        <w:spacing w:after="0"/>
        <w:rPr>
          <w:sz w:val="20"/>
          <w:szCs w:val="20"/>
          <w:color w:val="auto"/>
        </w:rPr>
      </w:pPr>
      <w:r>
        <w:rPr>
          <w:rFonts w:ascii="Arial" w:cs="Arial" w:eastAsia="Arial" w:hAnsi="Arial"/>
          <w:sz w:val="23"/>
          <w:szCs w:val="23"/>
          <w:b w:val="1"/>
          <w:bCs w:val="1"/>
          <w:color w:val="292F72"/>
        </w:rPr>
        <w:t>Obtaining Additional Copies of the Proxy Materials</w:t>
      </w:r>
    </w:p>
    <w:p>
      <w:pPr>
        <w:spacing w:after="0" w:line="135" w:lineRule="exact"/>
        <w:rPr>
          <w:sz w:val="20"/>
          <w:szCs w:val="20"/>
          <w:color w:val="auto"/>
        </w:rPr>
      </w:pPr>
    </w:p>
    <w:p>
      <w:pPr>
        <w:ind w:right="160"/>
        <w:spacing w:after="0" w:line="246" w:lineRule="auto"/>
        <w:rPr>
          <w:sz w:val="20"/>
          <w:szCs w:val="20"/>
          <w:color w:val="auto"/>
        </w:rPr>
      </w:pPr>
      <w:r>
        <w:rPr>
          <w:rFonts w:ascii="Arial" w:cs="Arial" w:eastAsia="Arial" w:hAnsi="Arial"/>
          <w:sz w:val="16"/>
          <w:szCs w:val="16"/>
          <w:color w:val="auto"/>
        </w:rPr>
        <w:t>We have adopted a procedure called “householding.” Under this procedure, shareholders who share the same last name and reside at the same mailing address will receive one Notice or one set of proxy materials (if they have elected to receive hard copies of the proxy materials), unless one of the shareholders at that address has notified us that they wish to receive individual copies. Shareholders who participate in householding continue to receive separate control numbers for voting. Householding does not in any way affect dividend check mailings.</w:t>
      </w:r>
    </w:p>
    <w:p>
      <w:pPr>
        <w:spacing w:after="0" w:line="145"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If you hold Common Stock and currently are subject to householding, but prefer to receive separate copies of proxy materials and other shareholder communications from the Company, or if you are sharing an address with another shareholder and would like to consent to householding, you may revoke or grant your consent to householding as appropriate at any time by calling (866) 540-7095 or sending the request to Householding Department, 51 Mercedes Way, Edgewood, New York 11717. We will promptly deliver separate copies of the proxy materials upon request.</w:t>
      </w:r>
    </w:p>
    <w:p>
      <w:pPr>
        <w:spacing w:after="0" w:line="159" w:lineRule="exact"/>
        <w:rPr>
          <w:sz w:val="20"/>
          <w:szCs w:val="20"/>
          <w:color w:val="auto"/>
        </w:rPr>
      </w:pPr>
    </w:p>
    <w:p>
      <w:pPr>
        <w:jc w:val="both"/>
        <w:ind w:right="600"/>
        <w:spacing w:after="0" w:line="254" w:lineRule="auto"/>
        <w:rPr>
          <w:sz w:val="20"/>
          <w:szCs w:val="20"/>
          <w:color w:val="auto"/>
        </w:rPr>
      </w:pPr>
      <w:r>
        <w:rPr>
          <w:rFonts w:ascii="Arial" w:cs="Arial" w:eastAsia="Arial" w:hAnsi="Arial"/>
          <w:sz w:val="16"/>
          <w:szCs w:val="16"/>
          <w:color w:val="auto"/>
        </w:rPr>
        <w:t>A number of brokerages and other institutional holders of record have implemented householding. If you hold your shares beneficially in street name, please contact your broker or other intermediary holder of record to request information about householding.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120015</wp:posOffset>
            </wp:positionV>
            <wp:extent cx="573722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737225"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b w:val="1"/>
          <w:bCs w:val="1"/>
          <w:color w:val="292F72"/>
        </w:rPr>
        <w:t>64</w:t>
      </w:r>
      <w:r>
        <w:rPr>
          <w:rFonts w:ascii="Arial" w:cs="Arial" w:eastAsia="Arial" w:hAnsi="Arial"/>
          <w:sz w:val="14"/>
          <w:szCs w:val="14"/>
          <w:color w:val="292F72"/>
        </w:rPr>
        <w:t xml:space="preserve">     Bath &amp; Body Works, Inc.</w:t>
      </w:r>
      <w:r>
        <w:rPr>
          <w:rFonts w:ascii="Arial" w:cs="Arial" w:eastAsia="Arial" w:hAnsi="Arial"/>
          <w:sz w:val="14"/>
          <w:szCs w:val="14"/>
          <w:color w:val="6D8CC3"/>
        </w:rPr>
        <w:t xml:space="preserve">   | </w:t>
      </w:r>
      <w:r>
        <w:rPr>
          <w:rFonts w:ascii="Arial" w:cs="Arial" w:eastAsia="Arial" w:hAnsi="Arial"/>
          <w:sz w:val="14"/>
          <w:szCs w:val="14"/>
          <w:b w:val="1"/>
          <w:bCs w:val="1"/>
          <w:color w:val="292F72"/>
        </w:rPr>
        <w:t xml:space="preserve">  </w:t>
      </w:r>
      <w:r>
        <w:rPr>
          <w:rFonts w:ascii="Arial" w:cs="Arial" w:eastAsia="Arial" w:hAnsi="Arial"/>
          <w:sz w:val="14"/>
          <w:szCs w:val="14"/>
          <w:color w:val="292F72"/>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170180</wp:posOffset>
            </wp:positionV>
            <wp:extent cx="6795135" cy="1651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795135" cy="16510"/>
                    </a:xfrm>
                    <a:prstGeom prst="rect">
                      <a:avLst/>
                    </a:prstGeom>
                    <a:noFill/>
                  </pic:spPr>
                </pic:pic>
              </a:graphicData>
            </a:graphic>
          </wp:anchor>
        </w:drawing>
      </w:r>
    </w:p>
    <w:p>
      <w:pPr>
        <w:sectPr>
          <w:pgSz w:w="11900" w:h="16838" w:orient="portrait"/>
          <w:cols w:equalWidth="0" w:num="1">
            <w:col w:w="9040"/>
          </w:cols>
          <w:pgMar w:left="1420" w:top="116" w:right="14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7" w:lineRule="exact"/>
        <w:rPr>
          <w:sz w:val="20"/>
          <w:szCs w:val="20"/>
          <w:color w:val="auto"/>
        </w:rPr>
      </w:pPr>
    </w:p>
    <w:p>
      <w:pPr>
        <w:spacing w:after="0"/>
        <w:rPr>
          <w:sz w:val="20"/>
          <w:szCs w:val="20"/>
          <w:color w:val="auto"/>
        </w:rPr>
      </w:pPr>
      <w:r>
        <w:rPr>
          <w:rFonts w:ascii="Arial" w:cs="Arial" w:eastAsia="Arial" w:hAnsi="Arial"/>
          <w:sz w:val="38"/>
          <w:szCs w:val="38"/>
          <w:color w:val="292F72"/>
        </w:rPr>
        <w:t>General Matters</w:t>
      </w:r>
    </w:p>
    <w:p>
      <w:pPr>
        <w:spacing w:after="0" w:line="259" w:lineRule="exact"/>
        <w:rPr>
          <w:sz w:val="20"/>
          <w:szCs w:val="20"/>
          <w:color w:val="auto"/>
        </w:rPr>
      </w:pPr>
    </w:p>
    <w:p>
      <w:pPr>
        <w:spacing w:after="0"/>
        <w:rPr>
          <w:sz w:val="20"/>
          <w:szCs w:val="20"/>
          <w:color w:val="auto"/>
        </w:rPr>
      </w:pPr>
      <w:r>
        <w:rPr>
          <w:rFonts w:ascii="Arial" w:cs="Arial" w:eastAsia="Arial" w:hAnsi="Arial"/>
          <w:sz w:val="23"/>
          <w:szCs w:val="23"/>
          <w:b w:val="1"/>
          <w:bCs w:val="1"/>
          <w:color w:val="292F72"/>
        </w:rPr>
        <w:t>Delinquent Section 16(a) Reports</w:t>
      </w:r>
    </w:p>
    <w:p>
      <w:pPr>
        <w:spacing w:after="0" w:line="148" w:lineRule="exact"/>
        <w:rPr>
          <w:sz w:val="20"/>
          <w:szCs w:val="20"/>
          <w:color w:val="auto"/>
        </w:rPr>
      </w:pPr>
    </w:p>
    <w:p>
      <w:pPr>
        <w:ind w:right="20"/>
        <w:spacing w:after="0" w:line="262" w:lineRule="auto"/>
        <w:rPr>
          <w:sz w:val="20"/>
          <w:szCs w:val="20"/>
          <w:color w:val="auto"/>
        </w:rPr>
      </w:pPr>
      <w:r>
        <w:rPr>
          <w:rFonts w:ascii="Arial" w:cs="Arial" w:eastAsia="Arial" w:hAnsi="Arial"/>
          <w:sz w:val="15"/>
          <w:szCs w:val="15"/>
          <w:color w:val="auto"/>
        </w:rPr>
        <w:t>Our common stock is registered pursuant to Section 12(b) of the Exchange Act. The officers and directors of the Company and beneficial owners of greater than 10% of our shares of common stock (the “10% Beneficial Owners”) are required to file reports on Forms 3, 4 and 5 with the Securities and Exchange Commission disclosing beneficial ownership and changes in beneficial ownership. Securities and Exchange Commission rules require disclosure in our Proxy Statement and Annual Report on Form 10-K of the failure of an officer, director or 10% Beneficial Owner of the shares of common stock to file a Form 3, 4 or 5 on a timely basis. Based on our review of such ownership reports and written representations from reporting persons, all required filings were made on a timely basis for fiscal 2025, except for Mr. Heaf’s Form 3 in connection with his hiring due to inadvertent administrative delays in obtaining his EDGAR access credentials. The filings were made promptly after his credentials were issued.</w:t>
      </w:r>
    </w:p>
    <w:p>
      <w:pPr>
        <w:spacing w:after="0" w:line="298" w:lineRule="exact"/>
        <w:rPr>
          <w:sz w:val="20"/>
          <w:szCs w:val="20"/>
          <w:color w:val="auto"/>
        </w:rPr>
      </w:pPr>
    </w:p>
    <w:p>
      <w:pPr>
        <w:spacing w:after="0"/>
        <w:rPr>
          <w:sz w:val="20"/>
          <w:szCs w:val="20"/>
          <w:color w:val="auto"/>
        </w:rPr>
      </w:pPr>
      <w:r>
        <w:rPr>
          <w:rFonts w:ascii="Arial" w:cs="Arial" w:eastAsia="Arial" w:hAnsi="Arial"/>
          <w:sz w:val="23"/>
          <w:szCs w:val="23"/>
          <w:b w:val="1"/>
          <w:bCs w:val="1"/>
          <w:color w:val="292F72"/>
        </w:rPr>
        <w:t>Shareholder Proposals or Director Nominations for the 2027 Annual Meeting</w:t>
      </w:r>
    </w:p>
    <w:p>
      <w:pPr>
        <w:spacing w:after="0" w:line="254" w:lineRule="exact"/>
        <w:rPr>
          <w:sz w:val="20"/>
          <w:szCs w:val="20"/>
          <w:color w:val="auto"/>
        </w:rPr>
      </w:pPr>
    </w:p>
    <w:p>
      <w:pPr>
        <w:spacing w:after="0"/>
        <w:rPr>
          <w:sz w:val="20"/>
          <w:szCs w:val="20"/>
          <w:color w:val="auto"/>
        </w:rPr>
      </w:pPr>
      <w:r>
        <w:rPr>
          <w:rFonts w:ascii="Arial" w:cs="Arial" w:eastAsia="Arial" w:hAnsi="Arial"/>
          <w:sz w:val="19"/>
          <w:szCs w:val="19"/>
          <w:b w:val="1"/>
          <w:bCs w:val="1"/>
          <w:color w:val="6D8CC3"/>
        </w:rPr>
        <w:t>SHAREHOLDER PROPOSALS PURSUANT TO RULE 14A-8</w:t>
      </w:r>
    </w:p>
    <w:p>
      <w:pPr>
        <w:spacing w:after="0" w:line="55" w:lineRule="exact"/>
        <w:rPr>
          <w:sz w:val="20"/>
          <w:szCs w:val="20"/>
          <w:color w:val="auto"/>
        </w:rPr>
      </w:pPr>
    </w:p>
    <w:p>
      <w:pPr>
        <w:ind w:right="280"/>
        <w:spacing w:after="0" w:line="268" w:lineRule="auto"/>
        <w:rPr>
          <w:sz w:val="20"/>
          <w:szCs w:val="20"/>
          <w:color w:val="auto"/>
        </w:rPr>
      </w:pPr>
      <w:r>
        <w:rPr>
          <w:rFonts w:ascii="Arial" w:cs="Arial" w:eastAsia="Arial" w:hAnsi="Arial"/>
          <w:sz w:val="16"/>
          <w:szCs w:val="16"/>
          <w:color w:val="auto"/>
        </w:rPr>
        <w:t>Proposals submitted for inclusion in the proxy statement for our 2027 annual meeting of shareholders must be received by the Company’s Corporate Secretary at our principal executive offices on or before December 29, 2026.</w:t>
      </w:r>
    </w:p>
    <w:p>
      <w:pPr>
        <w:spacing w:after="0" w:line="299" w:lineRule="exact"/>
        <w:rPr>
          <w:sz w:val="20"/>
          <w:szCs w:val="20"/>
          <w:color w:val="auto"/>
        </w:rPr>
      </w:pPr>
    </w:p>
    <w:p>
      <w:pPr>
        <w:spacing w:after="0"/>
        <w:rPr>
          <w:sz w:val="20"/>
          <w:szCs w:val="20"/>
          <w:color w:val="auto"/>
        </w:rPr>
      </w:pPr>
      <w:r>
        <w:rPr>
          <w:rFonts w:ascii="Arial" w:cs="Arial" w:eastAsia="Arial" w:hAnsi="Arial"/>
          <w:sz w:val="19"/>
          <w:szCs w:val="19"/>
          <w:b w:val="1"/>
          <w:bCs w:val="1"/>
          <w:color w:val="6D8CC3"/>
        </w:rPr>
        <w:t xml:space="preserve">SHAREHOLDER DIRECTOR NOMINATIONS FOR INCLUSION IN OUR 2027 PROXY STATEMENT    </w:t>
      </w:r>
    </w:p>
    <w:p>
      <w:pPr>
        <w:spacing w:after="0" w:line="55"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Written notice of shareholder nominations of persons for election as a director at our 2027 annual meeting of shareholders that are to be included in our proxy statement for the 2027 annual meeting pursuant to the proxy access provisions in Section 2.05 of our Bylaws must be received by the Company’s Corporate Secretary at our principal executive offices no earlier than November 29, 2026, and no later than December 29, 2026. The notice must contain the information required by our Bylaws.</w:t>
      </w:r>
    </w:p>
    <w:p>
      <w:pPr>
        <w:spacing w:after="0" w:line="300" w:lineRule="exact"/>
        <w:rPr>
          <w:sz w:val="20"/>
          <w:szCs w:val="20"/>
          <w:color w:val="auto"/>
        </w:rPr>
      </w:pPr>
    </w:p>
    <w:p>
      <w:pPr>
        <w:spacing w:after="0"/>
        <w:rPr>
          <w:sz w:val="20"/>
          <w:szCs w:val="20"/>
          <w:color w:val="auto"/>
        </w:rPr>
      </w:pPr>
      <w:r>
        <w:rPr>
          <w:rFonts w:ascii="Arial" w:cs="Arial" w:eastAsia="Arial" w:hAnsi="Arial"/>
          <w:sz w:val="19"/>
          <w:szCs w:val="19"/>
          <w:b w:val="1"/>
          <w:bCs w:val="1"/>
          <w:color w:val="6D8CC3"/>
        </w:rPr>
        <w:t>OTHER SHAREHOLDER PROPOSALS</w:t>
      </w:r>
    </w:p>
    <w:p>
      <w:pPr>
        <w:spacing w:after="0" w:line="55"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color w:val="auto"/>
        </w:rPr>
        <w:t>If a shareholder intends to present a proposal or nominate a person for election as a director at the 2027 annual meeting other than as described above, the shareholder must comply with the requirements set forth in Section 2.04 of our Bylaws. The Bylaws require, among other things, that the Company’s Corporate Secretary receive written notice of the intent to present a proposal or nomination no earlier than February 11, 2027, and no later than March 13, 2027. The notice must contain the information required by our Bylaws.</w:t>
      </w:r>
    </w:p>
    <w:p>
      <w:pPr>
        <w:spacing w:after="0" w:line="323" w:lineRule="exact"/>
        <w:rPr>
          <w:sz w:val="20"/>
          <w:szCs w:val="20"/>
          <w:color w:val="auto"/>
        </w:rPr>
      </w:pPr>
    </w:p>
    <w:p>
      <w:pPr>
        <w:spacing w:after="0"/>
        <w:rPr>
          <w:sz w:val="20"/>
          <w:szCs w:val="20"/>
          <w:color w:val="auto"/>
        </w:rPr>
      </w:pPr>
      <w:r>
        <w:rPr>
          <w:rFonts w:ascii="Arial" w:cs="Arial" w:eastAsia="Arial" w:hAnsi="Arial"/>
          <w:sz w:val="23"/>
          <w:szCs w:val="23"/>
          <w:b w:val="1"/>
          <w:bCs w:val="1"/>
          <w:color w:val="292F72"/>
        </w:rPr>
        <w:t>Other Proposed Actions</w:t>
      </w:r>
    </w:p>
    <w:p>
      <w:pPr>
        <w:spacing w:after="0" w:line="135" w:lineRule="exact"/>
        <w:rPr>
          <w:sz w:val="20"/>
          <w:szCs w:val="20"/>
          <w:color w:val="auto"/>
        </w:rPr>
      </w:pPr>
    </w:p>
    <w:p>
      <w:pPr>
        <w:ind w:right="80"/>
        <w:spacing w:after="0" w:line="302" w:lineRule="auto"/>
        <w:rPr>
          <w:sz w:val="20"/>
          <w:szCs w:val="20"/>
          <w:color w:val="auto"/>
        </w:rPr>
      </w:pPr>
      <w:r>
        <w:rPr>
          <w:rFonts w:ascii="Arial" w:cs="Arial" w:eastAsia="Arial" w:hAnsi="Arial"/>
          <w:sz w:val="15"/>
          <w:szCs w:val="15"/>
          <w:color w:val="auto"/>
        </w:rPr>
        <w:t>The Board knows of no other matters to be brought before the annual meeting. However, if other matters should come before the meeting, each of the persons named as a proxy intends to vote in accordance with such person’s judgment on such matters.</w:t>
      </w:r>
    </w:p>
    <w:p>
      <w:pPr>
        <w:spacing w:after="0" w:line="281" w:lineRule="exact"/>
        <w:rPr>
          <w:sz w:val="20"/>
          <w:szCs w:val="20"/>
          <w:color w:val="auto"/>
        </w:rPr>
      </w:pPr>
    </w:p>
    <w:p>
      <w:pPr>
        <w:spacing w:after="0"/>
        <w:rPr>
          <w:sz w:val="20"/>
          <w:szCs w:val="20"/>
          <w:color w:val="auto"/>
        </w:rPr>
      </w:pPr>
      <w:r>
        <w:rPr>
          <w:rFonts w:ascii="Arial" w:cs="Arial" w:eastAsia="Arial" w:hAnsi="Arial"/>
          <w:sz w:val="23"/>
          <w:szCs w:val="23"/>
          <w:b w:val="1"/>
          <w:bCs w:val="1"/>
          <w:color w:val="292F72"/>
        </w:rPr>
        <w:t>Solicitation of Proxies</w:t>
      </w:r>
    </w:p>
    <w:p>
      <w:pPr>
        <w:spacing w:after="0" w:line="135" w:lineRule="exact"/>
        <w:rPr>
          <w:sz w:val="20"/>
          <w:szCs w:val="20"/>
          <w:color w:val="auto"/>
        </w:rPr>
      </w:pPr>
    </w:p>
    <w:p>
      <w:pPr>
        <w:ind w:right="140"/>
        <w:spacing w:after="0" w:line="246" w:lineRule="auto"/>
        <w:rPr>
          <w:sz w:val="20"/>
          <w:szCs w:val="20"/>
          <w:color w:val="auto"/>
        </w:rPr>
      </w:pPr>
      <w:r>
        <w:rPr>
          <w:rFonts w:ascii="Arial" w:cs="Arial" w:eastAsia="Arial" w:hAnsi="Arial"/>
          <w:sz w:val="16"/>
          <w:szCs w:val="16"/>
          <w:color w:val="auto"/>
        </w:rPr>
        <w:t>We are soliciting proxies primarily by the use of the mail. However, we may also solicit proxies by telephone, email and personal solicitation, in addition to the use of the mail. To the extent our directors or associates participate in this solicitation, they will not receive compensation for their participation, other than their normal compensation. We will, upon request, reimburse banks, brokerage houses and other institutions, nominees and fiduciaries for their expenses in forwarding proxy materials to beneficial owners. We bear all costs associated with this proxy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125095</wp:posOffset>
            </wp:positionV>
            <wp:extent cx="573722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737225" cy="8255"/>
                    </a:xfrm>
                    <a:prstGeom prst="rect">
                      <a:avLst/>
                    </a:prstGeom>
                    <a:noFill/>
                  </pic:spPr>
                </pic:pic>
              </a:graphicData>
            </a:graphic>
          </wp:anchor>
        </w:drawing>
      </w:r>
    </w:p>
    <w:p>
      <w:pPr>
        <w:spacing w:after="0" w:line="273" w:lineRule="exact"/>
        <w:rPr>
          <w:sz w:val="20"/>
          <w:szCs w:val="20"/>
          <w:color w:val="auto"/>
        </w:rPr>
      </w:pPr>
    </w:p>
    <w:p>
      <w:pPr>
        <w:jc w:val="right"/>
        <w:spacing w:after="0"/>
        <w:rPr>
          <w:sz w:val="20"/>
          <w:szCs w:val="20"/>
          <w:color w:val="auto"/>
        </w:rPr>
      </w:pPr>
      <w:r>
        <w:rPr>
          <w:rFonts w:ascii="Arial" w:cs="Arial" w:eastAsia="Arial" w:hAnsi="Arial"/>
          <w:sz w:val="14"/>
          <w:szCs w:val="14"/>
          <w:color w:val="292F72"/>
        </w:rPr>
        <w:t>Bath &amp; Body Works, Inc.</w:t>
      </w:r>
      <w:r>
        <w:rPr>
          <w:rFonts w:ascii="Arial" w:cs="Arial" w:eastAsia="Arial" w:hAnsi="Arial"/>
          <w:sz w:val="14"/>
          <w:szCs w:val="14"/>
          <w:color w:val="6D8CC3"/>
        </w:rPr>
        <w:t xml:space="preserve">   | </w:t>
      </w:r>
      <w:r>
        <w:rPr>
          <w:rFonts w:ascii="Arial" w:cs="Arial" w:eastAsia="Arial" w:hAnsi="Arial"/>
          <w:sz w:val="14"/>
          <w:szCs w:val="14"/>
          <w:color w:val="292F72"/>
        </w:rPr>
        <w:t xml:space="preserve">  2026 Proxy Statement     </w:t>
      </w:r>
      <w:r>
        <w:rPr>
          <w:rFonts w:ascii="Arial" w:cs="Arial" w:eastAsia="Arial" w:hAnsi="Arial"/>
          <w:sz w:val="14"/>
          <w:szCs w:val="14"/>
          <w:b w:val="1"/>
          <w:bCs w:val="1"/>
          <w:color w:val="292F72"/>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153670</wp:posOffset>
            </wp:positionV>
            <wp:extent cx="6795135" cy="1651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795135" cy="16510"/>
                    </a:xfrm>
                    <a:prstGeom prst="rect">
                      <a:avLst/>
                    </a:prstGeom>
                    <a:noFill/>
                  </pic:spPr>
                </pic:pic>
              </a:graphicData>
            </a:graphic>
          </wp:anchor>
        </w:drawing>
      </w:r>
    </w:p>
    <w:p>
      <w:pPr>
        <w:sectPr>
          <w:pgSz w:w="11900" w:h="16838" w:orient="portrait"/>
          <w:cols w:equalWidth="0" w:num="1">
            <w:col w:w="9040"/>
          </w:cols>
          <w:pgMar w:left="1420" w:top="116" w:right="14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7" w:lineRule="exact"/>
        <w:rPr>
          <w:sz w:val="20"/>
          <w:szCs w:val="20"/>
          <w:color w:val="auto"/>
        </w:rPr>
      </w:pPr>
    </w:p>
    <w:p>
      <w:pPr>
        <w:spacing w:after="0"/>
        <w:rPr>
          <w:sz w:val="20"/>
          <w:szCs w:val="20"/>
          <w:color w:val="auto"/>
        </w:rPr>
      </w:pPr>
      <w:r>
        <w:rPr>
          <w:rFonts w:ascii="Arial" w:cs="Arial" w:eastAsia="Arial" w:hAnsi="Arial"/>
          <w:sz w:val="38"/>
          <w:szCs w:val="38"/>
          <w:color w:val="292F72"/>
        </w:rPr>
        <w:t>Appendix A</w:t>
      </w:r>
    </w:p>
    <w:p>
      <w:pPr>
        <w:spacing w:after="0" w:line="272" w:lineRule="exact"/>
        <w:rPr>
          <w:sz w:val="20"/>
          <w:szCs w:val="20"/>
          <w:color w:val="auto"/>
        </w:rPr>
      </w:pPr>
    </w:p>
    <w:p>
      <w:pPr>
        <w:spacing w:after="0"/>
        <w:rPr>
          <w:sz w:val="20"/>
          <w:szCs w:val="20"/>
          <w:color w:val="auto"/>
        </w:rPr>
      </w:pPr>
      <w:r>
        <w:rPr>
          <w:rFonts w:ascii="Arial" w:cs="Arial" w:eastAsia="Arial" w:hAnsi="Arial"/>
          <w:sz w:val="23"/>
          <w:szCs w:val="23"/>
          <w:b w:val="1"/>
          <w:bCs w:val="1"/>
          <w:color w:val="292F72"/>
        </w:rPr>
        <w:t>Non-GAAP Financial Measures</w:t>
      </w:r>
    </w:p>
    <w:p>
      <w:pPr>
        <w:spacing w:after="0" w:line="135"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color w:val="auto"/>
        </w:rPr>
        <w:t>The Company uses certain adjusted financial information in this proxy statement, including adjusted operating income, adjusted operating income margin, adjusted net income per diluted share, and free cash flow. The adjusted financial information should not be construed as an alternative to the results determined in accordance with GAAP. Further, the Company’s definitions of adjusted financial information may differ from similarly titled measures used by other companies. Management believes that the presentation of the adjusted financial information provides additional information to investors to facilitate the comparison of past and present operations. Further, the Human Capital &amp; Compensation Committee uses adjusted operating income and adjusted operating income margin because it is a performance measure over which the Company’s executives can have significant impact and is also directly linked to the Company’s long-term growth plan and performance that drive shareholder value. While it is not possible to predict future results, management believes the adjusted financial information is useful for the assessment of the operations of the Company because the adjusted items are not indicative of the Company’s ongoing operations due to their size and nature. Additionally, management uses adjusted financial information as key performance measures for the purpose of evaluating performance internally. The adjusted financial information should be read in conjunction with the Company’s historical financial statements and notes thereto contained in the Company’s Quarterly Reports on Form 10-Q and Annual Reports on Form 10-K.</w:t>
      </w:r>
    </w:p>
    <w:p>
      <w:pPr>
        <w:spacing w:after="0" w:line="167" w:lineRule="exact"/>
        <w:rPr>
          <w:sz w:val="20"/>
          <w:szCs w:val="20"/>
          <w:color w:val="auto"/>
        </w:rPr>
      </w:pPr>
    </w:p>
    <w:p>
      <w:pPr>
        <w:ind w:right="40"/>
        <w:spacing w:after="0" w:line="246" w:lineRule="auto"/>
        <w:rPr>
          <w:sz w:val="20"/>
          <w:szCs w:val="20"/>
          <w:color w:val="auto"/>
        </w:rPr>
      </w:pPr>
      <w:r>
        <w:rPr>
          <w:rFonts w:ascii="Arial" w:cs="Arial" w:eastAsia="Arial" w:hAnsi="Arial"/>
          <w:sz w:val="16"/>
          <w:szCs w:val="16"/>
          <w:color w:val="auto"/>
        </w:rPr>
        <w:t>The table below reconciles the adjusted operating income and margin of the Company for fiscal 2025 to the Company’s operating income and margin, the most comparable GAAP financial measure. The table also reconciles the adjusted operating income of the Company for fiscal 2021 to the Company’s operating income. For fiscal 2024, 2023, 2022, the Company did not make any adjustments to operating income; therefore, for fiscal 2024, 2023 and 2022, adjusted operating income is equal to the Company’s fiscal 2024, 2023 and 2022 GAAP operating income, respectively.</w:t>
      </w:r>
    </w:p>
    <w:p>
      <w:pPr>
        <w:spacing w:after="0" w:line="278" w:lineRule="exact"/>
        <w:rPr>
          <w:sz w:val="20"/>
          <w:szCs w:val="20"/>
          <w:color w:val="auto"/>
        </w:rPr>
      </w:pPr>
    </w:p>
    <w:p>
      <w:pPr>
        <w:ind w:right="300"/>
        <w:spacing w:after="0" w:line="282" w:lineRule="auto"/>
        <w:rPr>
          <w:sz w:val="20"/>
          <w:szCs w:val="20"/>
          <w:color w:val="auto"/>
        </w:rPr>
      </w:pPr>
      <w:r>
        <w:rPr>
          <w:rFonts w:ascii="Arial" w:cs="Arial" w:eastAsia="Arial" w:hAnsi="Arial"/>
          <w:sz w:val="19"/>
          <w:szCs w:val="19"/>
          <w:b w:val="1"/>
          <w:bCs w:val="1"/>
          <w:color w:val="6D8CC3"/>
        </w:rPr>
        <w:t>RECONCILIATIONS OF REPORTED OPERATING INCOME RESULTS TO ADJUSTED OPERATING INCOME RESULTS ($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jc w:val="right"/>
              <w:ind w:right="25"/>
              <w:spacing w:after="0"/>
              <w:rPr>
                <w:sz w:val="20"/>
                <w:szCs w:val="20"/>
                <w:color w:val="auto"/>
              </w:rPr>
            </w:pPr>
            <w:r>
              <w:rPr>
                <w:rFonts w:ascii="Arial" w:cs="Arial" w:eastAsia="Arial" w:hAnsi="Arial"/>
                <w:sz w:val="14"/>
                <w:szCs w:val="14"/>
                <w:b w:val="1"/>
                <w:bCs w:val="1"/>
                <w:color w:val="292F72"/>
              </w:rPr>
              <w:t>FIRST HALF</w:t>
            </w: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57"/>
        </w:trPr>
        <w:tc>
          <w:tcPr>
            <w:tcW w:w="2780" w:type="dxa"/>
            <w:vAlign w:val="bottom"/>
          </w:tcPr>
          <w:p>
            <w:pPr>
              <w:spacing w:after="0"/>
              <w:rPr>
                <w:sz w:val="13"/>
                <w:szCs w:val="13"/>
                <w:color w:val="auto"/>
              </w:rPr>
            </w:pPr>
          </w:p>
        </w:tc>
        <w:tc>
          <w:tcPr>
            <w:tcW w:w="1420" w:type="dxa"/>
            <w:vAlign w:val="bottom"/>
            <w:gridSpan w:val="2"/>
          </w:tcPr>
          <w:p>
            <w:pPr>
              <w:jc w:val="right"/>
              <w:ind w:right="443"/>
              <w:spacing w:after="0" w:line="157" w:lineRule="exact"/>
              <w:rPr>
                <w:sz w:val="20"/>
                <w:szCs w:val="20"/>
                <w:color w:val="auto"/>
              </w:rPr>
            </w:pPr>
            <w:r>
              <w:rPr>
                <w:rFonts w:ascii="Arial" w:cs="Arial" w:eastAsia="Arial" w:hAnsi="Arial"/>
                <w:sz w:val="14"/>
                <w:szCs w:val="14"/>
                <w:b w:val="1"/>
                <w:bCs w:val="1"/>
                <w:color w:val="292F72"/>
              </w:rPr>
              <w:t>2025</w:t>
            </w:r>
          </w:p>
        </w:tc>
        <w:tc>
          <w:tcPr>
            <w:tcW w:w="1000" w:type="dxa"/>
            <w:vAlign w:val="bottom"/>
          </w:tcPr>
          <w:p>
            <w:pPr>
              <w:jc w:val="right"/>
              <w:ind w:right="285"/>
              <w:spacing w:after="0" w:line="157" w:lineRule="exact"/>
              <w:rPr>
                <w:sz w:val="20"/>
                <w:szCs w:val="20"/>
                <w:color w:val="auto"/>
              </w:rPr>
            </w:pPr>
            <w:r>
              <w:rPr>
                <w:rFonts w:ascii="Arial" w:cs="Arial" w:eastAsia="Arial" w:hAnsi="Arial"/>
                <w:sz w:val="14"/>
                <w:szCs w:val="14"/>
                <w:b w:val="1"/>
                <w:bCs w:val="1"/>
                <w:color w:val="292F72"/>
              </w:rPr>
              <w:t>2025</w:t>
            </w:r>
          </w:p>
        </w:tc>
        <w:tc>
          <w:tcPr>
            <w:tcW w:w="980" w:type="dxa"/>
            <w:vAlign w:val="bottom"/>
          </w:tcPr>
          <w:p>
            <w:pPr>
              <w:jc w:val="right"/>
              <w:ind w:right="265"/>
              <w:spacing w:after="0" w:line="157" w:lineRule="exact"/>
              <w:rPr>
                <w:sz w:val="20"/>
                <w:szCs w:val="20"/>
                <w:color w:val="auto"/>
              </w:rPr>
            </w:pPr>
            <w:r>
              <w:rPr>
                <w:rFonts w:ascii="Arial" w:cs="Arial" w:eastAsia="Arial" w:hAnsi="Arial"/>
                <w:sz w:val="14"/>
                <w:szCs w:val="14"/>
                <w:b w:val="1"/>
                <w:bCs w:val="1"/>
                <w:color w:val="292F72"/>
              </w:rPr>
              <w:t>2024</w:t>
            </w:r>
          </w:p>
        </w:tc>
        <w:tc>
          <w:tcPr>
            <w:tcW w:w="980" w:type="dxa"/>
            <w:vAlign w:val="bottom"/>
          </w:tcPr>
          <w:p>
            <w:pPr>
              <w:jc w:val="right"/>
              <w:ind w:right="265"/>
              <w:spacing w:after="0" w:line="157" w:lineRule="exact"/>
              <w:rPr>
                <w:sz w:val="20"/>
                <w:szCs w:val="20"/>
                <w:color w:val="auto"/>
              </w:rPr>
            </w:pPr>
            <w:r>
              <w:rPr>
                <w:rFonts w:ascii="Arial" w:cs="Arial" w:eastAsia="Arial" w:hAnsi="Arial"/>
                <w:sz w:val="14"/>
                <w:szCs w:val="14"/>
                <w:b w:val="1"/>
                <w:bCs w:val="1"/>
                <w:color w:val="292F72"/>
              </w:rPr>
              <w:t>2023</w:t>
            </w:r>
          </w:p>
        </w:tc>
        <w:tc>
          <w:tcPr>
            <w:tcW w:w="980" w:type="dxa"/>
            <w:vAlign w:val="bottom"/>
          </w:tcPr>
          <w:p>
            <w:pPr>
              <w:jc w:val="right"/>
              <w:ind w:right="245"/>
              <w:spacing w:after="0" w:line="157" w:lineRule="exact"/>
              <w:rPr>
                <w:sz w:val="20"/>
                <w:szCs w:val="20"/>
                <w:color w:val="auto"/>
              </w:rPr>
            </w:pPr>
            <w:r>
              <w:rPr>
                <w:rFonts w:ascii="Arial" w:cs="Arial" w:eastAsia="Arial" w:hAnsi="Arial"/>
                <w:sz w:val="14"/>
                <w:szCs w:val="14"/>
                <w:b w:val="1"/>
                <w:bCs w:val="1"/>
                <w:color w:val="292F72"/>
              </w:rPr>
              <w:t>2022</w:t>
            </w:r>
          </w:p>
        </w:tc>
        <w:tc>
          <w:tcPr>
            <w:tcW w:w="900" w:type="dxa"/>
            <w:vAlign w:val="bottom"/>
          </w:tcPr>
          <w:p>
            <w:pPr>
              <w:jc w:val="right"/>
              <w:ind w:right="165"/>
              <w:spacing w:after="0" w:line="157" w:lineRule="exact"/>
              <w:rPr>
                <w:sz w:val="20"/>
                <w:szCs w:val="20"/>
                <w:color w:val="auto"/>
              </w:rPr>
            </w:pPr>
            <w:r>
              <w:rPr>
                <w:rFonts w:ascii="Arial" w:cs="Arial" w:eastAsia="Arial" w:hAnsi="Arial"/>
                <w:sz w:val="14"/>
                <w:szCs w:val="14"/>
                <w:b w:val="1"/>
                <w:bCs w:val="1"/>
                <w:color w:val="292F72"/>
              </w:rPr>
              <w:t>2021</w:t>
            </w:r>
          </w:p>
        </w:tc>
      </w:tr>
      <w:tr>
        <w:trPr>
          <w:trHeight w:val="193"/>
        </w:trPr>
        <w:tc>
          <w:tcPr>
            <w:tcW w:w="2780" w:type="dxa"/>
            <w:vAlign w:val="bottom"/>
          </w:tcPr>
          <w:p>
            <w:pPr>
              <w:spacing w:after="0"/>
              <w:rPr>
                <w:sz w:val="16"/>
                <w:szCs w:val="16"/>
                <w:color w:val="auto"/>
              </w:rPr>
            </w:pPr>
          </w:p>
        </w:tc>
        <w:tc>
          <w:tcPr>
            <w:tcW w:w="1420" w:type="dxa"/>
            <w:vAlign w:val="bottom"/>
            <w:gridSpan w:val="2"/>
          </w:tcPr>
          <w:p>
            <w:pPr>
              <w:jc w:val="right"/>
              <w:ind w:right="183"/>
              <w:spacing w:after="0"/>
              <w:rPr>
                <w:sz w:val="20"/>
                <w:szCs w:val="20"/>
                <w:color w:val="auto"/>
              </w:rPr>
            </w:pPr>
            <w:r>
              <w:rPr>
                <w:rFonts w:ascii="Arial" w:cs="Arial" w:eastAsia="Arial" w:hAnsi="Arial"/>
                <w:sz w:val="14"/>
                <w:szCs w:val="14"/>
                <w:b w:val="1"/>
                <w:bCs w:val="1"/>
                <w:color w:val="292F72"/>
              </w:rPr>
              <w:t>(52 WEEKS)</w:t>
            </w:r>
          </w:p>
        </w:tc>
        <w:tc>
          <w:tcPr>
            <w:tcW w:w="1000" w:type="dxa"/>
            <w:vAlign w:val="bottom"/>
          </w:tcPr>
          <w:p>
            <w:pPr>
              <w:jc w:val="right"/>
              <w:ind w:right="25"/>
              <w:spacing w:after="0"/>
              <w:rPr>
                <w:sz w:val="20"/>
                <w:szCs w:val="20"/>
                <w:color w:val="auto"/>
              </w:rPr>
            </w:pPr>
            <w:r>
              <w:rPr>
                <w:rFonts w:ascii="Arial" w:cs="Arial" w:eastAsia="Arial" w:hAnsi="Arial"/>
                <w:sz w:val="14"/>
                <w:szCs w:val="14"/>
                <w:b w:val="1"/>
                <w:bCs w:val="1"/>
                <w:color w:val="292F72"/>
              </w:rPr>
              <w:t>(26 WEEKS)</w:t>
            </w:r>
          </w:p>
        </w:tc>
        <w:tc>
          <w:tcPr>
            <w:tcW w:w="980" w:type="dxa"/>
            <w:vAlign w:val="bottom"/>
          </w:tcPr>
          <w:p>
            <w:pPr>
              <w:jc w:val="right"/>
              <w:ind w:right="5"/>
              <w:spacing w:after="0"/>
              <w:rPr>
                <w:sz w:val="20"/>
                <w:szCs w:val="20"/>
                <w:color w:val="auto"/>
              </w:rPr>
            </w:pPr>
            <w:r>
              <w:rPr>
                <w:rFonts w:ascii="Arial" w:cs="Arial" w:eastAsia="Arial" w:hAnsi="Arial"/>
                <w:sz w:val="14"/>
                <w:szCs w:val="14"/>
                <w:b w:val="1"/>
                <w:bCs w:val="1"/>
                <w:color w:val="292F72"/>
              </w:rPr>
              <w:t>(52 WEEKS)</w:t>
            </w:r>
          </w:p>
        </w:tc>
        <w:tc>
          <w:tcPr>
            <w:tcW w:w="980" w:type="dxa"/>
            <w:vAlign w:val="bottom"/>
          </w:tcPr>
          <w:p>
            <w:pPr>
              <w:jc w:val="right"/>
              <w:ind w:right="5"/>
              <w:spacing w:after="0"/>
              <w:rPr>
                <w:sz w:val="20"/>
                <w:szCs w:val="20"/>
                <w:color w:val="auto"/>
              </w:rPr>
            </w:pPr>
            <w:r>
              <w:rPr>
                <w:rFonts w:ascii="Arial" w:cs="Arial" w:eastAsia="Arial" w:hAnsi="Arial"/>
                <w:sz w:val="14"/>
                <w:szCs w:val="14"/>
                <w:b w:val="1"/>
                <w:bCs w:val="1"/>
                <w:color w:val="292F72"/>
              </w:rPr>
              <w:t>(53 WEEKS)</w:t>
            </w:r>
          </w:p>
        </w:tc>
        <w:tc>
          <w:tcPr>
            <w:tcW w:w="980" w:type="dxa"/>
            <w:vAlign w:val="bottom"/>
          </w:tcPr>
          <w:p>
            <w:pPr>
              <w:jc w:val="right"/>
              <w:ind w:right="5"/>
              <w:spacing w:after="0"/>
              <w:rPr>
                <w:sz w:val="20"/>
                <w:szCs w:val="20"/>
                <w:color w:val="auto"/>
              </w:rPr>
            </w:pPr>
            <w:r>
              <w:rPr>
                <w:rFonts w:ascii="Arial" w:cs="Arial" w:eastAsia="Arial" w:hAnsi="Arial"/>
                <w:sz w:val="14"/>
                <w:szCs w:val="14"/>
                <w:b w:val="1"/>
                <w:bCs w:val="1"/>
                <w:color w:val="292F72"/>
              </w:rPr>
              <w:t>(52 WEEKS)</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292F72"/>
              </w:rPr>
              <w:t>(52 WEEKS)</w:t>
            </w:r>
          </w:p>
        </w:tc>
      </w:tr>
      <w:tr>
        <w:trPr>
          <w:trHeight w:val="40"/>
        </w:trPr>
        <w:tc>
          <w:tcPr>
            <w:tcW w:w="2780" w:type="dxa"/>
            <w:vAlign w:val="bottom"/>
            <w:tcBorders>
              <w:bottom w:val="single" w:sz="8" w:color="292F72"/>
            </w:tcBorders>
          </w:tcPr>
          <w:p>
            <w:pPr>
              <w:spacing w:after="0"/>
              <w:rPr>
                <w:sz w:val="3"/>
                <w:szCs w:val="3"/>
                <w:color w:val="auto"/>
              </w:rPr>
            </w:pPr>
          </w:p>
        </w:tc>
        <w:tc>
          <w:tcPr>
            <w:tcW w:w="760" w:type="dxa"/>
            <w:vAlign w:val="bottom"/>
            <w:tcBorders>
              <w:bottom w:val="single" w:sz="8" w:color="292F72"/>
            </w:tcBorders>
          </w:tcPr>
          <w:p>
            <w:pPr>
              <w:spacing w:after="0"/>
              <w:rPr>
                <w:sz w:val="3"/>
                <w:szCs w:val="3"/>
                <w:color w:val="auto"/>
              </w:rPr>
            </w:pPr>
          </w:p>
        </w:tc>
        <w:tc>
          <w:tcPr>
            <w:tcW w:w="660" w:type="dxa"/>
            <w:vAlign w:val="bottom"/>
            <w:tcBorders>
              <w:bottom w:val="single" w:sz="8" w:color="292F72"/>
            </w:tcBorders>
          </w:tcPr>
          <w:p>
            <w:pPr>
              <w:spacing w:after="0"/>
              <w:rPr>
                <w:sz w:val="3"/>
                <w:szCs w:val="3"/>
                <w:color w:val="auto"/>
              </w:rPr>
            </w:pPr>
          </w:p>
        </w:tc>
        <w:tc>
          <w:tcPr>
            <w:tcW w:w="1000" w:type="dxa"/>
            <w:vAlign w:val="bottom"/>
            <w:tcBorders>
              <w:bottom w:val="single" w:sz="8" w:color="292F72"/>
            </w:tcBorders>
          </w:tcPr>
          <w:p>
            <w:pPr>
              <w:spacing w:after="0"/>
              <w:rPr>
                <w:sz w:val="3"/>
                <w:szCs w:val="3"/>
                <w:color w:val="auto"/>
              </w:rPr>
            </w:pPr>
          </w:p>
        </w:tc>
        <w:tc>
          <w:tcPr>
            <w:tcW w:w="980" w:type="dxa"/>
            <w:vAlign w:val="bottom"/>
            <w:tcBorders>
              <w:bottom w:val="single" w:sz="8" w:color="292F72"/>
            </w:tcBorders>
          </w:tcPr>
          <w:p>
            <w:pPr>
              <w:spacing w:after="0"/>
              <w:rPr>
                <w:sz w:val="3"/>
                <w:szCs w:val="3"/>
                <w:color w:val="auto"/>
              </w:rPr>
            </w:pPr>
          </w:p>
        </w:tc>
        <w:tc>
          <w:tcPr>
            <w:tcW w:w="980" w:type="dxa"/>
            <w:vAlign w:val="bottom"/>
            <w:tcBorders>
              <w:bottom w:val="single" w:sz="8" w:color="292F72"/>
            </w:tcBorders>
          </w:tcPr>
          <w:p>
            <w:pPr>
              <w:spacing w:after="0"/>
              <w:rPr>
                <w:sz w:val="3"/>
                <w:szCs w:val="3"/>
                <w:color w:val="auto"/>
              </w:rPr>
            </w:pPr>
          </w:p>
        </w:tc>
        <w:tc>
          <w:tcPr>
            <w:tcW w:w="980" w:type="dxa"/>
            <w:vAlign w:val="bottom"/>
            <w:tcBorders>
              <w:bottom w:val="single" w:sz="8" w:color="292F72"/>
            </w:tcBorders>
          </w:tcPr>
          <w:p>
            <w:pPr>
              <w:spacing w:after="0"/>
              <w:rPr>
                <w:sz w:val="3"/>
                <w:szCs w:val="3"/>
                <w:color w:val="auto"/>
              </w:rPr>
            </w:pPr>
          </w:p>
        </w:tc>
        <w:tc>
          <w:tcPr>
            <w:tcW w:w="900" w:type="dxa"/>
            <w:vAlign w:val="bottom"/>
            <w:tcBorders>
              <w:bottom w:val="single" w:sz="8" w:color="292F72"/>
            </w:tcBorders>
          </w:tcPr>
          <w:p>
            <w:pPr>
              <w:spacing w:after="0"/>
              <w:rPr>
                <w:sz w:val="3"/>
                <w:szCs w:val="3"/>
                <w:color w:val="auto"/>
              </w:rPr>
            </w:pPr>
          </w:p>
        </w:tc>
      </w:tr>
      <w:tr>
        <w:trPr>
          <w:trHeight w:val="229"/>
        </w:trPr>
        <w:tc>
          <w:tcPr>
            <w:tcW w:w="2780" w:type="dxa"/>
            <w:vAlign w:val="bottom"/>
          </w:tcPr>
          <w:p>
            <w:pPr>
              <w:spacing w:after="0"/>
              <w:rPr>
                <w:sz w:val="19"/>
                <w:szCs w:val="19"/>
                <w:color w:val="auto"/>
              </w:rPr>
            </w:pPr>
          </w:p>
        </w:tc>
        <w:tc>
          <w:tcPr>
            <w:tcW w:w="760" w:type="dxa"/>
            <w:vAlign w:val="bottom"/>
          </w:tcPr>
          <w:p>
            <w:pPr>
              <w:jc w:val="right"/>
              <w:ind w:right="205"/>
              <w:spacing w:after="0"/>
              <w:rPr>
                <w:sz w:val="20"/>
                <w:szCs w:val="20"/>
                <w:color w:val="auto"/>
              </w:rPr>
            </w:pPr>
            <w:r>
              <w:rPr>
                <w:rFonts w:ascii="Arial" w:cs="Arial" w:eastAsia="Arial" w:hAnsi="Arial"/>
                <w:sz w:val="14"/>
                <w:szCs w:val="14"/>
                <w:b w:val="1"/>
                <w:bCs w:val="1"/>
                <w:color w:val="292F72"/>
              </w:rPr>
              <w:t>$</w:t>
            </w:r>
          </w:p>
        </w:tc>
        <w:tc>
          <w:tcPr>
            <w:tcW w:w="660" w:type="dxa"/>
            <w:vAlign w:val="bottom"/>
          </w:tcPr>
          <w:p>
            <w:pPr>
              <w:jc w:val="right"/>
              <w:ind w:right="23"/>
              <w:spacing w:after="0"/>
              <w:rPr>
                <w:sz w:val="20"/>
                <w:szCs w:val="20"/>
                <w:color w:val="auto"/>
              </w:rPr>
            </w:pPr>
            <w:r>
              <w:rPr>
                <w:rFonts w:ascii="Arial" w:cs="Arial" w:eastAsia="Arial" w:hAnsi="Arial"/>
                <w:sz w:val="14"/>
                <w:szCs w:val="14"/>
                <w:b w:val="1"/>
                <w:bCs w:val="1"/>
                <w:color w:val="292F72"/>
              </w:rPr>
              <w:t>Margin</w:t>
            </w:r>
          </w:p>
        </w:tc>
        <w:tc>
          <w:tcPr>
            <w:tcW w:w="1000" w:type="dxa"/>
            <w:vAlign w:val="bottom"/>
          </w:tcPr>
          <w:p>
            <w:pPr>
              <w:jc w:val="right"/>
              <w:ind w:right="385"/>
              <w:spacing w:after="0"/>
              <w:rPr>
                <w:sz w:val="20"/>
                <w:szCs w:val="20"/>
                <w:color w:val="auto"/>
              </w:rPr>
            </w:pPr>
            <w:r>
              <w:rPr>
                <w:rFonts w:ascii="Arial" w:cs="Arial" w:eastAsia="Arial" w:hAnsi="Arial"/>
                <w:sz w:val="14"/>
                <w:szCs w:val="14"/>
                <w:b w:val="1"/>
                <w:bCs w:val="1"/>
                <w:color w:val="292F72"/>
              </w:rPr>
              <w:t>$</w:t>
            </w:r>
          </w:p>
        </w:tc>
        <w:tc>
          <w:tcPr>
            <w:tcW w:w="980" w:type="dxa"/>
            <w:vAlign w:val="bottom"/>
          </w:tcPr>
          <w:p>
            <w:pPr>
              <w:jc w:val="right"/>
              <w:ind w:right="385"/>
              <w:spacing w:after="0"/>
              <w:rPr>
                <w:sz w:val="20"/>
                <w:szCs w:val="20"/>
                <w:color w:val="auto"/>
              </w:rPr>
            </w:pPr>
            <w:r>
              <w:rPr>
                <w:rFonts w:ascii="Arial" w:cs="Arial" w:eastAsia="Arial" w:hAnsi="Arial"/>
                <w:sz w:val="14"/>
                <w:szCs w:val="14"/>
                <w:b w:val="1"/>
                <w:bCs w:val="1"/>
                <w:color w:val="292F72"/>
              </w:rPr>
              <w:t>$</w:t>
            </w:r>
          </w:p>
        </w:tc>
        <w:tc>
          <w:tcPr>
            <w:tcW w:w="980" w:type="dxa"/>
            <w:vAlign w:val="bottom"/>
          </w:tcPr>
          <w:p>
            <w:pPr>
              <w:jc w:val="right"/>
              <w:ind w:right="365"/>
              <w:spacing w:after="0"/>
              <w:rPr>
                <w:sz w:val="20"/>
                <w:szCs w:val="20"/>
                <w:color w:val="auto"/>
              </w:rPr>
            </w:pPr>
            <w:r>
              <w:rPr>
                <w:rFonts w:ascii="Arial" w:cs="Arial" w:eastAsia="Arial" w:hAnsi="Arial"/>
                <w:sz w:val="14"/>
                <w:szCs w:val="14"/>
                <w:b w:val="1"/>
                <w:bCs w:val="1"/>
                <w:color w:val="292F72"/>
              </w:rPr>
              <w:t>$</w:t>
            </w:r>
          </w:p>
        </w:tc>
        <w:tc>
          <w:tcPr>
            <w:tcW w:w="980" w:type="dxa"/>
            <w:vAlign w:val="bottom"/>
          </w:tcPr>
          <w:p>
            <w:pPr>
              <w:jc w:val="right"/>
              <w:ind w:right="365"/>
              <w:spacing w:after="0"/>
              <w:rPr>
                <w:sz w:val="20"/>
                <w:szCs w:val="20"/>
                <w:color w:val="auto"/>
              </w:rPr>
            </w:pPr>
            <w:r>
              <w:rPr>
                <w:rFonts w:ascii="Arial" w:cs="Arial" w:eastAsia="Arial" w:hAnsi="Arial"/>
                <w:sz w:val="14"/>
                <w:szCs w:val="14"/>
                <w:b w:val="1"/>
                <w:bCs w:val="1"/>
                <w:color w:val="292F72"/>
              </w:rPr>
              <w:t>$</w:t>
            </w:r>
          </w:p>
        </w:tc>
        <w:tc>
          <w:tcPr>
            <w:tcW w:w="900" w:type="dxa"/>
            <w:vAlign w:val="bottom"/>
          </w:tcPr>
          <w:p>
            <w:pPr>
              <w:jc w:val="right"/>
              <w:ind w:right="285"/>
              <w:spacing w:after="0"/>
              <w:rPr>
                <w:sz w:val="20"/>
                <w:szCs w:val="20"/>
                <w:color w:val="auto"/>
              </w:rPr>
            </w:pPr>
            <w:r>
              <w:rPr>
                <w:rFonts w:ascii="Arial" w:cs="Arial" w:eastAsia="Arial" w:hAnsi="Arial"/>
                <w:sz w:val="14"/>
                <w:szCs w:val="14"/>
                <w:b w:val="1"/>
                <w:bCs w:val="1"/>
                <w:color w:val="292F72"/>
              </w:rPr>
              <w:t>$</w:t>
            </w:r>
          </w:p>
        </w:tc>
      </w:tr>
      <w:tr>
        <w:trPr>
          <w:trHeight w:val="40"/>
        </w:trPr>
        <w:tc>
          <w:tcPr>
            <w:tcW w:w="2780" w:type="dxa"/>
            <w:vAlign w:val="bottom"/>
            <w:tcBorders>
              <w:bottom w:val="single" w:sz="8" w:color="292F72"/>
            </w:tcBorders>
          </w:tcPr>
          <w:p>
            <w:pPr>
              <w:spacing w:after="0"/>
              <w:rPr>
                <w:sz w:val="3"/>
                <w:szCs w:val="3"/>
                <w:color w:val="auto"/>
              </w:rPr>
            </w:pPr>
          </w:p>
        </w:tc>
        <w:tc>
          <w:tcPr>
            <w:tcW w:w="760" w:type="dxa"/>
            <w:vAlign w:val="bottom"/>
            <w:tcBorders>
              <w:bottom w:val="single" w:sz="8" w:color="292F72"/>
            </w:tcBorders>
          </w:tcPr>
          <w:p>
            <w:pPr>
              <w:spacing w:after="0"/>
              <w:rPr>
                <w:sz w:val="3"/>
                <w:szCs w:val="3"/>
                <w:color w:val="auto"/>
              </w:rPr>
            </w:pPr>
          </w:p>
        </w:tc>
        <w:tc>
          <w:tcPr>
            <w:tcW w:w="660" w:type="dxa"/>
            <w:vAlign w:val="bottom"/>
            <w:tcBorders>
              <w:bottom w:val="single" w:sz="8" w:color="292F72"/>
            </w:tcBorders>
          </w:tcPr>
          <w:p>
            <w:pPr>
              <w:spacing w:after="0"/>
              <w:rPr>
                <w:sz w:val="3"/>
                <w:szCs w:val="3"/>
                <w:color w:val="auto"/>
              </w:rPr>
            </w:pPr>
          </w:p>
        </w:tc>
        <w:tc>
          <w:tcPr>
            <w:tcW w:w="1000" w:type="dxa"/>
            <w:vAlign w:val="bottom"/>
            <w:tcBorders>
              <w:bottom w:val="single" w:sz="8" w:color="292F72"/>
            </w:tcBorders>
          </w:tcPr>
          <w:p>
            <w:pPr>
              <w:spacing w:after="0"/>
              <w:rPr>
                <w:sz w:val="3"/>
                <w:szCs w:val="3"/>
                <w:color w:val="auto"/>
              </w:rPr>
            </w:pPr>
          </w:p>
        </w:tc>
        <w:tc>
          <w:tcPr>
            <w:tcW w:w="980" w:type="dxa"/>
            <w:vAlign w:val="bottom"/>
            <w:tcBorders>
              <w:bottom w:val="single" w:sz="8" w:color="292F72"/>
            </w:tcBorders>
          </w:tcPr>
          <w:p>
            <w:pPr>
              <w:spacing w:after="0"/>
              <w:rPr>
                <w:sz w:val="3"/>
                <w:szCs w:val="3"/>
                <w:color w:val="auto"/>
              </w:rPr>
            </w:pPr>
          </w:p>
        </w:tc>
        <w:tc>
          <w:tcPr>
            <w:tcW w:w="980" w:type="dxa"/>
            <w:vAlign w:val="bottom"/>
            <w:tcBorders>
              <w:bottom w:val="single" w:sz="8" w:color="292F72"/>
            </w:tcBorders>
          </w:tcPr>
          <w:p>
            <w:pPr>
              <w:spacing w:after="0"/>
              <w:rPr>
                <w:sz w:val="3"/>
                <w:szCs w:val="3"/>
                <w:color w:val="auto"/>
              </w:rPr>
            </w:pPr>
          </w:p>
        </w:tc>
        <w:tc>
          <w:tcPr>
            <w:tcW w:w="980" w:type="dxa"/>
            <w:vAlign w:val="bottom"/>
            <w:tcBorders>
              <w:bottom w:val="single" w:sz="8" w:color="292F72"/>
            </w:tcBorders>
          </w:tcPr>
          <w:p>
            <w:pPr>
              <w:spacing w:after="0"/>
              <w:rPr>
                <w:sz w:val="3"/>
                <w:szCs w:val="3"/>
                <w:color w:val="auto"/>
              </w:rPr>
            </w:pPr>
          </w:p>
        </w:tc>
        <w:tc>
          <w:tcPr>
            <w:tcW w:w="900" w:type="dxa"/>
            <w:vAlign w:val="bottom"/>
            <w:tcBorders>
              <w:bottom w:val="single" w:sz="8" w:color="292F72"/>
            </w:tcBorders>
          </w:tcPr>
          <w:p>
            <w:pPr>
              <w:spacing w:after="0"/>
              <w:rPr>
                <w:sz w:val="3"/>
                <w:szCs w:val="3"/>
                <w:color w:val="auto"/>
              </w:rPr>
            </w:pPr>
          </w:p>
        </w:tc>
      </w:tr>
      <w:tr>
        <w:trPr>
          <w:trHeight w:val="287"/>
        </w:trPr>
        <w:tc>
          <w:tcPr>
            <w:tcW w:w="2780" w:type="dxa"/>
            <w:vAlign w:val="bottom"/>
            <w:tcBorders>
              <w:bottom w:val="single" w:sz="8" w:color="F0F5FE"/>
            </w:tcBorders>
            <w:shd w:val="clear" w:color="auto" w:fill="F0F5FE"/>
          </w:tcPr>
          <w:p>
            <w:pPr>
              <w:spacing w:after="0"/>
              <w:rPr>
                <w:sz w:val="20"/>
                <w:szCs w:val="20"/>
                <w:color w:val="auto"/>
              </w:rPr>
            </w:pPr>
            <w:r>
              <w:rPr>
                <w:rFonts w:ascii="Arial" w:cs="Arial" w:eastAsia="Arial" w:hAnsi="Arial"/>
                <w:sz w:val="16"/>
                <w:szCs w:val="16"/>
                <w:color w:val="auto"/>
              </w:rPr>
              <w:t>Reported Operating Income</w:t>
            </w:r>
          </w:p>
        </w:tc>
        <w:tc>
          <w:tcPr>
            <w:tcW w:w="760" w:type="dxa"/>
            <w:vAlign w:val="bottom"/>
            <w:tcBorders>
              <w:bottom w:val="single" w:sz="8" w:color="F0F5FE"/>
            </w:tcBorders>
            <w:shd w:val="clear" w:color="auto" w:fill="F0F5FE"/>
          </w:tcPr>
          <w:p>
            <w:pPr>
              <w:jc w:val="right"/>
              <w:ind w:right="5"/>
              <w:spacing w:after="0"/>
              <w:rPr>
                <w:sz w:val="20"/>
                <w:szCs w:val="20"/>
                <w:color w:val="auto"/>
              </w:rPr>
            </w:pPr>
            <w:r>
              <w:rPr>
                <w:rFonts w:ascii="Arial" w:cs="Arial" w:eastAsia="Arial" w:hAnsi="Arial"/>
                <w:sz w:val="16"/>
                <w:szCs w:val="16"/>
                <w:color w:val="auto"/>
              </w:rPr>
              <w:t>$1,126</w:t>
            </w:r>
          </w:p>
        </w:tc>
        <w:tc>
          <w:tcPr>
            <w:tcW w:w="660" w:type="dxa"/>
            <w:vAlign w:val="bottom"/>
            <w:tcBorders>
              <w:bottom w:val="single" w:sz="8" w:color="F0F5FE"/>
            </w:tcBorders>
            <w:shd w:val="clear" w:color="auto" w:fill="F0F5FE"/>
          </w:tcPr>
          <w:p>
            <w:pPr>
              <w:jc w:val="right"/>
              <w:ind w:right="23"/>
              <w:spacing w:after="0"/>
              <w:rPr>
                <w:sz w:val="20"/>
                <w:szCs w:val="20"/>
                <w:color w:val="auto"/>
              </w:rPr>
            </w:pPr>
            <w:r>
              <w:rPr>
                <w:rFonts w:ascii="Arial" w:cs="Arial" w:eastAsia="Arial" w:hAnsi="Arial"/>
                <w:sz w:val="16"/>
                <w:szCs w:val="16"/>
                <w:color w:val="auto"/>
              </w:rPr>
              <w:t>15.4%</w:t>
            </w:r>
          </w:p>
        </w:tc>
        <w:tc>
          <w:tcPr>
            <w:tcW w:w="1000" w:type="dxa"/>
            <w:vAlign w:val="bottom"/>
            <w:tcBorders>
              <w:bottom w:val="single" w:sz="8" w:color="F0F5FE"/>
            </w:tcBorders>
            <w:shd w:val="clear" w:color="auto" w:fill="F0F5FE"/>
          </w:tcPr>
          <w:p>
            <w:pPr>
              <w:jc w:val="right"/>
              <w:ind w:right="25"/>
              <w:spacing w:after="0"/>
              <w:rPr>
                <w:sz w:val="20"/>
                <w:szCs w:val="20"/>
                <w:color w:val="auto"/>
              </w:rPr>
            </w:pPr>
            <w:r>
              <w:rPr>
                <w:rFonts w:ascii="Arial" w:cs="Arial" w:eastAsia="Arial" w:hAnsi="Arial"/>
                <w:sz w:val="16"/>
                <w:szCs w:val="16"/>
                <w:color w:val="auto"/>
              </w:rPr>
              <w:t>$367</w:t>
            </w:r>
          </w:p>
        </w:tc>
        <w:tc>
          <w:tcPr>
            <w:tcW w:w="980" w:type="dxa"/>
            <w:vAlign w:val="bottom"/>
            <w:tcBorders>
              <w:bottom w:val="single" w:sz="8" w:color="F0F5FE"/>
            </w:tcBorders>
            <w:shd w:val="clear" w:color="auto" w:fill="F0F5FE"/>
          </w:tcPr>
          <w:p>
            <w:pPr>
              <w:jc w:val="right"/>
              <w:ind w:right="5"/>
              <w:spacing w:after="0"/>
              <w:rPr>
                <w:sz w:val="20"/>
                <w:szCs w:val="20"/>
                <w:color w:val="auto"/>
              </w:rPr>
            </w:pPr>
            <w:r>
              <w:rPr>
                <w:rFonts w:ascii="Arial" w:cs="Arial" w:eastAsia="Arial" w:hAnsi="Arial"/>
                <w:sz w:val="16"/>
                <w:szCs w:val="16"/>
                <w:color w:val="auto"/>
              </w:rPr>
              <w:t>$1,266</w:t>
            </w:r>
          </w:p>
        </w:tc>
        <w:tc>
          <w:tcPr>
            <w:tcW w:w="980" w:type="dxa"/>
            <w:vAlign w:val="bottom"/>
            <w:tcBorders>
              <w:bottom w:val="single" w:sz="8" w:color="F0F5FE"/>
            </w:tcBorders>
            <w:shd w:val="clear" w:color="auto" w:fill="F0F5FE"/>
          </w:tcPr>
          <w:p>
            <w:pPr>
              <w:jc w:val="right"/>
              <w:ind w:right="5"/>
              <w:spacing w:after="0"/>
              <w:rPr>
                <w:sz w:val="20"/>
                <w:szCs w:val="20"/>
                <w:color w:val="auto"/>
              </w:rPr>
            </w:pPr>
            <w:r>
              <w:rPr>
                <w:rFonts w:ascii="Arial" w:cs="Arial" w:eastAsia="Arial" w:hAnsi="Arial"/>
                <w:sz w:val="16"/>
                <w:szCs w:val="16"/>
                <w:color w:val="auto"/>
              </w:rPr>
              <w:t>$1,285</w:t>
            </w:r>
          </w:p>
        </w:tc>
        <w:tc>
          <w:tcPr>
            <w:tcW w:w="980" w:type="dxa"/>
            <w:vAlign w:val="bottom"/>
            <w:tcBorders>
              <w:bottom w:val="single" w:sz="8" w:color="F0F5FE"/>
            </w:tcBorders>
            <w:shd w:val="clear" w:color="auto" w:fill="F0F5FE"/>
          </w:tcPr>
          <w:p>
            <w:pPr>
              <w:jc w:val="right"/>
              <w:ind w:right="5"/>
              <w:spacing w:after="0"/>
              <w:rPr>
                <w:sz w:val="20"/>
                <w:szCs w:val="20"/>
                <w:color w:val="auto"/>
              </w:rPr>
            </w:pPr>
            <w:r>
              <w:rPr>
                <w:rFonts w:ascii="Arial" w:cs="Arial" w:eastAsia="Arial" w:hAnsi="Arial"/>
                <w:sz w:val="16"/>
                <w:szCs w:val="16"/>
                <w:color w:val="auto"/>
              </w:rPr>
              <w:t>$1,376</w:t>
            </w:r>
          </w:p>
        </w:tc>
        <w:tc>
          <w:tcPr>
            <w:tcW w:w="900" w:type="dxa"/>
            <w:vAlign w:val="bottom"/>
            <w:tcBorders>
              <w:bottom w:val="single" w:sz="8" w:color="F0F5FE"/>
            </w:tcBorders>
            <w:shd w:val="clear" w:color="auto" w:fill="F0F5FE"/>
          </w:tcPr>
          <w:p>
            <w:pPr>
              <w:jc w:val="right"/>
              <w:spacing w:after="0"/>
              <w:rPr>
                <w:sz w:val="20"/>
                <w:szCs w:val="20"/>
                <w:color w:val="auto"/>
              </w:rPr>
            </w:pPr>
            <w:r>
              <w:rPr>
                <w:rFonts w:ascii="Arial" w:cs="Arial" w:eastAsia="Arial" w:hAnsi="Arial"/>
                <w:sz w:val="16"/>
                <w:szCs w:val="16"/>
                <w:color w:val="auto"/>
              </w:rPr>
              <w:t>$2,009</w:t>
            </w:r>
          </w:p>
        </w:tc>
      </w:tr>
      <w:tr>
        <w:trPr>
          <w:trHeight w:val="321"/>
        </w:trPr>
        <w:tc>
          <w:tcPr>
            <w:tcW w:w="2780" w:type="dxa"/>
            <w:vAlign w:val="bottom"/>
            <w:tcBorders>
              <w:top w:val="single" w:sz="8" w:color="6D8CC3"/>
              <w:bottom w:val="single" w:sz="8" w:color="6D8CC3"/>
            </w:tcBorders>
          </w:tcPr>
          <w:p>
            <w:pPr>
              <w:spacing w:after="0"/>
              <w:rPr>
                <w:sz w:val="20"/>
                <w:szCs w:val="20"/>
                <w:color w:val="auto"/>
              </w:rPr>
            </w:pPr>
            <w:r>
              <w:rPr>
                <w:rFonts w:ascii="Arial" w:cs="Arial" w:eastAsia="Arial" w:hAnsi="Arial"/>
                <w:sz w:val="16"/>
                <w:szCs w:val="16"/>
                <w:color w:val="auto"/>
              </w:rPr>
              <w:t>Business Transformation Activities</w:t>
            </w:r>
            <w:r>
              <w:rPr>
                <w:rFonts w:ascii="Arial" w:cs="Arial" w:eastAsia="Arial" w:hAnsi="Arial"/>
                <w:sz w:val="26"/>
                <w:szCs w:val="26"/>
                <w:color w:val="auto"/>
                <w:vertAlign w:val="superscript"/>
              </w:rPr>
              <w:t>(1)</w:t>
            </w:r>
          </w:p>
        </w:tc>
        <w:tc>
          <w:tcPr>
            <w:tcW w:w="760" w:type="dxa"/>
            <w:vAlign w:val="bottom"/>
            <w:tcBorders>
              <w:top w:val="single" w:sz="8" w:color="6D8CC3"/>
              <w:bottom w:val="single" w:sz="8" w:color="6D8CC3"/>
            </w:tcBorders>
          </w:tcPr>
          <w:p>
            <w:pPr>
              <w:jc w:val="right"/>
              <w:ind w:right="5"/>
              <w:spacing w:after="0"/>
              <w:rPr>
                <w:sz w:val="20"/>
                <w:szCs w:val="20"/>
                <w:color w:val="auto"/>
              </w:rPr>
            </w:pPr>
            <w:r>
              <w:rPr>
                <w:rFonts w:ascii="Arial" w:cs="Arial" w:eastAsia="Arial" w:hAnsi="Arial"/>
                <w:sz w:val="16"/>
                <w:szCs w:val="16"/>
                <w:color w:val="auto"/>
              </w:rPr>
              <w:t>15</w:t>
            </w:r>
          </w:p>
        </w:tc>
        <w:tc>
          <w:tcPr>
            <w:tcW w:w="660" w:type="dxa"/>
            <w:vAlign w:val="bottom"/>
            <w:tcBorders>
              <w:top w:val="single" w:sz="8" w:color="6D8CC3"/>
              <w:bottom w:val="single" w:sz="8" w:color="6D8CC3"/>
            </w:tcBorders>
          </w:tcPr>
          <w:p>
            <w:pPr>
              <w:jc w:val="right"/>
              <w:ind w:right="23"/>
              <w:spacing w:after="0"/>
              <w:rPr>
                <w:sz w:val="20"/>
                <w:szCs w:val="20"/>
                <w:color w:val="auto"/>
              </w:rPr>
            </w:pPr>
            <w:r>
              <w:rPr>
                <w:rFonts w:ascii="Arial" w:cs="Arial" w:eastAsia="Arial" w:hAnsi="Arial"/>
                <w:sz w:val="16"/>
                <w:szCs w:val="16"/>
                <w:color w:val="auto"/>
              </w:rPr>
              <w:t>0.2</w:t>
            </w:r>
          </w:p>
        </w:tc>
        <w:tc>
          <w:tcPr>
            <w:tcW w:w="1000" w:type="dxa"/>
            <w:vAlign w:val="bottom"/>
            <w:tcBorders>
              <w:top w:val="single" w:sz="8" w:color="6D8CC3"/>
              <w:bottom w:val="single" w:sz="8" w:color="6D8CC3"/>
            </w:tcBorders>
          </w:tcPr>
          <w:p>
            <w:pPr>
              <w:jc w:val="right"/>
              <w:ind w:right="25"/>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6D8CC3"/>
              <w:bottom w:val="single" w:sz="8" w:color="6D8CC3"/>
            </w:tcBorders>
          </w:tcPr>
          <w:p>
            <w:pPr>
              <w:jc w:val="right"/>
              <w:ind w:right="5"/>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6D8CC3"/>
              <w:bottom w:val="single" w:sz="8" w:color="6D8CC3"/>
            </w:tcBorders>
          </w:tcPr>
          <w:p>
            <w:pPr>
              <w:jc w:val="right"/>
              <w:ind w:right="5"/>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6D8CC3"/>
              <w:bottom w:val="single" w:sz="8" w:color="6D8CC3"/>
            </w:tcBorders>
          </w:tcPr>
          <w:p>
            <w:pPr>
              <w:jc w:val="right"/>
              <w:ind w:right="5"/>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6D8CC3"/>
              <w:bottom w:val="single" w:sz="8" w:color="6D8CC3"/>
            </w:tcBorders>
          </w:tcPr>
          <w:p>
            <w:pPr>
              <w:jc w:val="right"/>
              <w:spacing w:after="0"/>
              <w:rPr>
                <w:sz w:val="20"/>
                <w:szCs w:val="20"/>
                <w:color w:val="auto"/>
              </w:rPr>
            </w:pPr>
            <w:r>
              <w:rPr>
                <w:rFonts w:ascii="Arial" w:cs="Arial" w:eastAsia="Arial" w:hAnsi="Arial"/>
                <w:sz w:val="16"/>
                <w:szCs w:val="16"/>
                <w:color w:val="auto"/>
              </w:rPr>
              <w:t>—</w:t>
            </w:r>
          </w:p>
        </w:tc>
      </w:tr>
      <w:tr>
        <w:trPr>
          <w:trHeight w:val="321"/>
        </w:trPr>
        <w:tc>
          <w:tcPr>
            <w:tcW w:w="2780" w:type="dxa"/>
            <w:vAlign w:val="bottom"/>
            <w:tcBorders>
              <w:bottom w:val="single" w:sz="8" w:color="6D8CC3"/>
            </w:tcBorders>
            <w:shd w:val="clear" w:color="auto" w:fill="F0F5FE"/>
          </w:tcPr>
          <w:p>
            <w:pPr>
              <w:spacing w:after="0"/>
              <w:rPr>
                <w:sz w:val="20"/>
                <w:szCs w:val="20"/>
                <w:color w:val="auto"/>
              </w:rPr>
            </w:pPr>
            <w:r>
              <w:rPr>
                <w:rFonts w:ascii="Arial" w:cs="Arial" w:eastAsia="Arial" w:hAnsi="Arial"/>
                <w:sz w:val="16"/>
                <w:szCs w:val="16"/>
                <w:color w:val="auto"/>
              </w:rPr>
              <w:t>Leadership Transition Costs</w:t>
            </w:r>
            <w:r>
              <w:rPr>
                <w:rFonts w:ascii="Arial" w:cs="Arial" w:eastAsia="Arial" w:hAnsi="Arial"/>
                <w:sz w:val="26"/>
                <w:szCs w:val="26"/>
                <w:color w:val="auto"/>
                <w:vertAlign w:val="superscript"/>
              </w:rPr>
              <w:t>(2)</w:t>
            </w:r>
          </w:p>
        </w:tc>
        <w:tc>
          <w:tcPr>
            <w:tcW w:w="760" w:type="dxa"/>
            <w:vAlign w:val="bottom"/>
            <w:tcBorders>
              <w:bottom w:val="single" w:sz="8" w:color="6D8CC3"/>
            </w:tcBorders>
            <w:shd w:val="clear" w:color="auto" w:fill="F0F5FE"/>
          </w:tcPr>
          <w:p>
            <w:pPr>
              <w:jc w:val="right"/>
              <w:ind w:right="5"/>
              <w:spacing w:after="0"/>
              <w:rPr>
                <w:sz w:val="20"/>
                <w:szCs w:val="20"/>
                <w:color w:val="auto"/>
              </w:rPr>
            </w:pPr>
            <w:r>
              <w:rPr>
                <w:rFonts w:ascii="Arial" w:cs="Arial" w:eastAsia="Arial" w:hAnsi="Arial"/>
                <w:sz w:val="16"/>
                <w:szCs w:val="16"/>
                <w:color w:val="auto"/>
              </w:rPr>
              <w:t>15</w:t>
            </w:r>
          </w:p>
        </w:tc>
        <w:tc>
          <w:tcPr>
            <w:tcW w:w="660" w:type="dxa"/>
            <w:vAlign w:val="bottom"/>
            <w:tcBorders>
              <w:bottom w:val="single" w:sz="8" w:color="6D8CC3"/>
            </w:tcBorders>
            <w:shd w:val="clear" w:color="auto" w:fill="F0F5FE"/>
          </w:tcPr>
          <w:p>
            <w:pPr>
              <w:jc w:val="right"/>
              <w:ind w:right="23"/>
              <w:spacing w:after="0"/>
              <w:rPr>
                <w:sz w:val="20"/>
                <w:szCs w:val="20"/>
                <w:color w:val="auto"/>
              </w:rPr>
            </w:pPr>
            <w:r>
              <w:rPr>
                <w:rFonts w:ascii="Arial" w:cs="Arial" w:eastAsia="Arial" w:hAnsi="Arial"/>
                <w:sz w:val="16"/>
                <w:szCs w:val="16"/>
                <w:color w:val="auto"/>
              </w:rPr>
              <w:t>0.2</w:t>
            </w:r>
          </w:p>
        </w:tc>
        <w:tc>
          <w:tcPr>
            <w:tcW w:w="1000" w:type="dxa"/>
            <w:vAlign w:val="bottom"/>
            <w:tcBorders>
              <w:bottom w:val="single" w:sz="8" w:color="6D8CC3"/>
            </w:tcBorders>
            <w:shd w:val="clear" w:color="auto" w:fill="F0F5FE"/>
          </w:tcPr>
          <w:p>
            <w:pPr>
              <w:jc w:val="right"/>
              <w:ind w:right="25"/>
              <w:spacing w:after="0"/>
              <w:rPr>
                <w:sz w:val="20"/>
                <w:szCs w:val="20"/>
                <w:color w:val="auto"/>
              </w:rPr>
            </w:pPr>
            <w:r>
              <w:rPr>
                <w:rFonts w:ascii="Arial" w:cs="Arial" w:eastAsia="Arial" w:hAnsi="Arial"/>
                <w:sz w:val="16"/>
                <w:szCs w:val="16"/>
                <w:color w:val="auto"/>
              </w:rPr>
              <w:t>15</w:t>
            </w:r>
          </w:p>
        </w:tc>
        <w:tc>
          <w:tcPr>
            <w:tcW w:w="980" w:type="dxa"/>
            <w:vAlign w:val="bottom"/>
            <w:tcBorders>
              <w:bottom w:val="single" w:sz="8" w:color="6D8CC3"/>
            </w:tcBorders>
            <w:shd w:val="clear" w:color="auto" w:fill="F0F5FE"/>
          </w:tcPr>
          <w:p>
            <w:pPr>
              <w:jc w:val="right"/>
              <w:ind w:right="5"/>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6D8CC3"/>
            </w:tcBorders>
            <w:shd w:val="clear" w:color="auto" w:fill="F0F5FE"/>
          </w:tcPr>
          <w:p>
            <w:pPr>
              <w:jc w:val="right"/>
              <w:ind w:right="5"/>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6D8CC3"/>
            </w:tcBorders>
            <w:shd w:val="clear" w:color="auto" w:fill="F0F5FE"/>
          </w:tcPr>
          <w:p>
            <w:pPr>
              <w:jc w:val="right"/>
              <w:ind w:right="5"/>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6D8CC3"/>
            </w:tcBorders>
            <w:shd w:val="clear" w:color="auto" w:fill="F0F5FE"/>
          </w:tcPr>
          <w:p>
            <w:pPr>
              <w:jc w:val="right"/>
              <w:spacing w:after="0"/>
              <w:rPr>
                <w:sz w:val="20"/>
                <w:szCs w:val="20"/>
                <w:color w:val="auto"/>
              </w:rPr>
            </w:pPr>
            <w:r>
              <w:rPr>
                <w:rFonts w:ascii="Arial" w:cs="Arial" w:eastAsia="Arial" w:hAnsi="Arial"/>
                <w:sz w:val="16"/>
                <w:szCs w:val="16"/>
                <w:color w:val="auto"/>
              </w:rPr>
              <w:t>—</w:t>
            </w:r>
          </w:p>
        </w:tc>
      </w:tr>
      <w:tr>
        <w:trPr>
          <w:trHeight w:val="321"/>
        </w:trPr>
        <w:tc>
          <w:tcPr>
            <w:tcW w:w="2780" w:type="dxa"/>
            <w:vAlign w:val="bottom"/>
            <w:tcBorders>
              <w:bottom w:val="single" w:sz="8" w:color="6D8CC3"/>
            </w:tcBorders>
          </w:tcPr>
          <w:p>
            <w:pPr>
              <w:spacing w:after="0"/>
              <w:rPr>
                <w:sz w:val="20"/>
                <w:szCs w:val="20"/>
                <w:color w:val="auto"/>
              </w:rPr>
            </w:pPr>
            <w:r>
              <w:rPr>
                <w:rFonts w:ascii="Arial" w:cs="Arial" w:eastAsia="Arial" w:hAnsi="Arial"/>
                <w:sz w:val="16"/>
                <w:szCs w:val="16"/>
                <w:color w:val="auto"/>
                <w:w w:val="97"/>
              </w:rPr>
              <w:t>Write-off of Inventory due to Tornado</w:t>
            </w:r>
            <w:r>
              <w:rPr>
                <w:rFonts w:ascii="Arial" w:cs="Arial" w:eastAsia="Arial" w:hAnsi="Arial"/>
                <w:sz w:val="26"/>
                <w:szCs w:val="26"/>
                <w:color w:val="auto"/>
                <w:w w:val="97"/>
                <w:vertAlign w:val="superscript"/>
              </w:rPr>
              <w:t>(3)</w:t>
            </w:r>
          </w:p>
        </w:tc>
        <w:tc>
          <w:tcPr>
            <w:tcW w:w="760" w:type="dxa"/>
            <w:vAlign w:val="bottom"/>
            <w:tcBorders>
              <w:bottom w:val="single" w:sz="8" w:color="6D8CC3"/>
            </w:tcBorders>
          </w:tcPr>
          <w:p>
            <w:pPr>
              <w:jc w:val="right"/>
              <w:ind w:right="5"/>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6D8CC3"/>
            </w:tcBorders>
          </w:tcPr>
          <w:p>
            <w:pPr>
              <w:jc w:val="right"/>
              <w:ind w:right="23"/>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6D8CC3"/>
            </w:tcBorders>
          </w:tcPr>
          <w:p>
            <w:pPr>
              <w:jc w:val="right"/>
              <w:ind w:right="25"/>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6D8CC3"/>
            </w:tcBorders>
          </w:tcPr>
          <w:p>
            <w:pPr>
              <w:jc w:val="right"/>
              <w:ind w:right="5"/>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6D8CC3"/>
            </w:tcBorders>
          </w:tcPr>
          <w:p>
            <w:pPr>
              <w:jc w:val="right"/>
              <w:ind w:right="5"/>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6D8CC3"/>
            </w:tcBorders>
          </w:tcPr>
          <w:p>
            <w:pPr>
              <w:jc w:val="right"/>
              <w:ind w:right="5"/>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6D8CC3"/>
            </w:tcBorders>
          </w:tcPr>
          <w:p>
            <w:pPr>
              <w:jc w:val="right"/>
              <w:spacing w:after="0"/>
              <w:rPr>
                <w:sz w:val="20"/>
                <w:szCs w:val="20"/>
                <w:color w:val="auto"/>
              </w:rPr>
            </w:pPr>
            <w:r>
              <w:rPr>
                <w:rFonts w:ascii="Arial" w:cs="Arial" w:eastAsia="Arial" w:hAnsi="Arial"/>
                <w:sz w:val="16"/>
                <w:szCs w:val="16"/>
                <w:color w:val="auto"/>
              </w:rPr>
              <w:t>9</w:t>
            </w:r>
          </w:p>
        </w:tc>
      </w:tr>
      <w:tr>
        <w:trPr>
          <w:trHeight w:val="262"/>
        </w:trPr>
        <w:tc>
          <w:tcPr>
            <w:tcW w:w="2780" w:type="dxa"/>
            <w:vAlign w:val="bottom"/>
            <w:tcBorders>
              <w:bottom w:val="single" w:sz="8" w:color="F0F5FE"/>
            </w:tcBorders>
            <w:shd w:val="clear" w:color="auto" w:fill="F0F5FE"/>
          </w:tcPr>
          <w:p>
            <w:pPr>
              <w:spacing w:after="0"/>
              <w:rPr>
                <w:sz w:val="20"/>
                <w:szCs w:val="20"/>
                <w:color w:val="auto"/>
              </w:rPr>
            </w:pPr>
            <w:r>
              <w:rPr>
                <w:rFonts w:ascii="Arial" w:cs="Arial" w:eastAsia="Arial" w:hAnsi="Arial"/>
                <w:sz w:val="16"/>
                <w:szCs w:val="16"/>
                <w:color w:val="auto"/>
              </w:rPr>
              <w:t>Adjusted Operating Income</w:t>
            </w:r>
          </w:p>
        </w:tc>
        <w:tc>
          <w:tcPr>
            <w:tcW w:w="760" w:type="dxa"/>
            <w:vAlign w:val="bottom"/>
            <w:tcBorders>
              <w:bottom w:val="single" w:sz="8" w:color="F0F5FE"/>
            </w:tcBorders>
            <w:shd w:val="clear" w:color="auto" w:fill="F0F5FE"/>
          </w:tcPr>
          <w:p>
            <w:pPr>
              <w:jc w:val="right"/>
              <w:ind w:right="5"/>
              <w:spacing w:after="0"/>
              <w:rPr>
                <w:sz w:val="20"/>
                <w:szCs w:val="20"/>
                <w:color w:val="auto"/>
              </w:rPr>
            </w:pPr>
            <w:r>
              <w:rPr>
                <w:rFonts w:ascii="Arial" w:cs="Arial" w:eastAsia="Arial" w:hAnsi="Arial"/>
                <w:sz w:val="16"/>
                <w:szCs w:val="16"/>
                <w:color w:val="auto"/>
              </w:rPr>
              <w:t>$1,156</w:t>
            </w:r>
          </w:p>
        </w:tc>
        <w:tc>
          <w:tcPr>
            <w:tcW w:w="660" w:type="dxa"/>
            <w:vAlign w:val="bottom"/>
            <w:tcBorders>
              <w:bottom w:val="single" w:sz="8" w:color="F0F5FE"/>
            </w:tcBorders>
            <w:shd w:val="clear" w:color="auto" w:fill="F0F5FE"/>
          </w:tcPr>
          <w:p>
            <w:pPr>
              <w:jc w:val="right"/>
              <w:ind w:right="23"/>
              <w:spacing w:after="0"/>
              <w:rPr>
                <w:sz w:val="20"/>
                <w:szCs w:val="20"/>
                <w:color w:val="auto"/>
              </w:rPr>
            </w:pPr>
            <w:r>
              <w:rPr>
                <w:rFonts w:ascii="Arial" w:cs="Arial" w:eastAsia="Arial" w:hAnsi="Arial"/>
                <w:sz w:val="16"/>
                <w:szCs w:val="16"/>
                <w:color w:val="auto"/>
              </w:rPr>
              <w:t>15.9%</w:t>
            </w:r>
          </w:p>
        </w:tc>
        <w:tc>
          <w:tcPr>
            <w:tcW w:w="1000" w:type="dxa"/>
            <w:vAlign w:val="bottom"/>
            <w:tcBorders>
              <w:bottom w:val="single" w:sz="8" w:color="F0F5FE"/>
            </w:tcBorders>
            <w:shd w:val="clear" w:color="auto" w:fill="F0F5FE"/>
          </w:tcPr>
          <w:p>
            <w:pPr>
              <w:jc w:val="right"/>
              <w:ind w:right="25"/>
              <w:spacing w:after="0"/>
              <w:rPr>
                <w:sz w:val="20"/>
                <w:szCs w:val="20"/>
                <w:color w:val="auto"/>
              </w:rPr>
            </w:pPr>
            <w:r>
              <w:rPr>
                <w:rFonts w:ascii="Arial" w:cs="Arial" w:eastAsia="Arial" w:hAnsi="Arial"/>
                <w:sz w:val="16"/>
                <w:szCs w:val="16"/>
                <w:color w:val="auto"/>
              </w:rPr>
              <w:t>$382</w:t>
            </w:r>
          </w:p>
        </w:tc>
        <w:tc>
          <w:tcPr>
            <w:tcW w:w="980" w:type="dxa"/>
            <w:vAlign w:val="bottom"/>
            <w:tcBorders>
              <w:bottom w:val="single" w:sz="8" w:color="F0F5FE"/>
            </w:tcBorders>
            <w:shd w:val="clear" w:color="auto" w:fill="F0F5FE"/>
          </w:tcPr>
          <w:p>
            <w:pPr>
              <w:jc w:val="right"/>
              <w:ind w:right="5"/>
              <w:spacing w:after="0"/>
              <w:rPr>
                <w:sz w:val="20"/>
                <w:szCs w:val="20"/>
                <w:color w:val="auto"/>
              </w:rPr>
            </w:pPr>
            <w:r>
              <w:rPr>
                <w:rFonts w:ascii="Arial" w:cs="Arial" w:eastAsia="Arial" w:hAnsi="Arial"/>
                <w:sz w:val="16"/>
                <w:szCs w:val="16"/>
                <w:color w:val="auto"/>
              </w:rPr>
              <w:t>$1,266</w:t>
            </w:r>
          </w:p>
        </w:tc>
        <w:tc>
          <w:tcPr>
            <w:tcW w:w="980" w:type="dxa"/>
            <w:vAlign w:val="bottom"/>
            <w:tcBorders>
              <w:bottom w:val="single" w:sz="8" w:color="F0F5FE"/>
            </w:tcBorders>
            <w:shd w:val="clear" w:color="auto" w:fill="F0F5FE"/>
          </w:tcPr>
          <w:p>
            <w:pPr>
              <w:jc w:val="right"/>
              <w:ind w:right="5"/>
              <w:spacing w:after="0"/>
              <w:rPr>
                <w:sz w:val="20"/>
                <w:szCs w:val="20"/>
                <w:color w:val="auto"/>
              </w:rPr>
            </w:pPr>
            <w:r>
              <w:rPr>
                <w:rFonts w:ascii="Arial" w:cs="Arial" w:eastAsia="Arial" w:hAnsi="Arial"/>
                <w:sz w:val="16"/>
                <w:szCs w:val="16"/>
                <w:color w:val="auto"/>
              </w:rPr>
              <w:t>$1,285</w:t>
            </w:r>
          </w:p>
        </w:tc>
        <w:tc>
          <w:tcPr>
            <w:tcW w:w="980" w:type="dxa"/>
            <w:vAlign w:val="bottom"/>
            <w:tcBorders>
              <w:bottom w:val="single" w:sz="8" w:color="F0F5FE"/>
            </w:tcBorders>
            <w:shd w:val="clear" w:color="auto" w:fill="F0F5FE"/>
          </w:tcPr>
          <w:p>
            <w:pPr>
              <w:jc w:val="right"/>
              <w:ind w:right="5"/>
              <w:spacing w:after="0"/>
              <w:rPr>
                <w:sz w:val="20"/>
                <w:szCs w:val="20"/>
                <w:color w:val="auto"/>
              </w:rPr>
            </w:pPr>
            <w:r>
              <w:rPr>
                <w:rFonts w:ascii="Arial" w:cs="Arial" w:eastAsia="Arial" w:hAnsi="Arial"/>
                <w:sz w:val="16"/>
                <w:szCs w:val="16"/>
                <w:color w:val="auto"/>
              </w:rPr>
              <w:t>$1,376</w:t>
            </w:r>
          </w:p>
        </w:tc>
        <w:tc>
          <w:tcPr>
            <w:tcW w:w="900" w:type="dxa"/>
            <w:vAlign w:val="bottom"/>
            <w:tcBorders>
              <w:bottom w:val="single" w:sz="8" w:color="F0F5FE"/>
            </w:tcBorders>
            <w:shd w:val="clear" w:color="auto" w:fill="F0F5FE"/>
          </w:tcPr>
          <w:p>
            <w:pPr>
              <w:jc w:val="right"/>
              <w:spacing w:after="0"/>
              <w:rPr>
                <w:sz w:val="20"/>
                <w:szCs w:val="20"/>
                <w:color w:val="auto"/>
              </w:rPr>
            </w:pPr>
            <w:r>
              <w:rPr>
                <w:rFonts w:ascii="Arial" w:cs="Arial" w:eastAsia="Arial" w:hAnsi="Arial"/>
                <w:sz w:val="16"/>
                <w:szCs w:val="16"/>
                <w:color w:val="auto"/>
              </w:rPr>
              <w:t>$2,019</w:t>
            </w:r>
          </w:p>
        </w:tc>
      </w:tr>
      <w:tr>
        <w:trPr>
          <w:trHeight w:val="20"/>
        </w:trPr>
        <w:tc>
          <w:tcPr>
            <w:tcW w:w="2780" w:type="dxa"/>
            <w:vAlign w:val="bottom"/>
            <w:shd w:val="clear" w:color="auto" w:fill="6D8CC3"/>
          </w:tcPr>
          <w:p>
            <w:pPr>
              <w:spacing w:after="0" w:line="20" w:lineRule="exact"/>
              <w:rPr>
                <w:sz w:val="1"/>
                <w:szCs w:val="1"/>
                <w:color w:val="auto"/>
              </w:rPr>
            </w:pPr>
          </w:p>
        </w:tc>
        <w:tc>
          <w:tcPr>
            <w:tcW w:w="760" w:type="dxa"/>
            <w:vAlign w:val="bottom"/>
            <w:shd w:val="clear" w:color="auto" w:fill="6D8CC3"/>
          </w:tcPr>
          <w:p>
            <w:pPr>
              <w:spacing w:after="0" w:line="20" w:lineRule="exact"/>
              <w:rPr>
                <w:sz w:val="1"/>
                <w:szCs w:val="1"/>
                <w:color w:val="auto"/>
              </w:rPr>
            </w:pPr>
          </w:p>
        </w:tc>
        <w:tc>
          <w:tcPr>
            <w:tcW w:w="660" w:type="dxa"/>
            <w:vAlign w:val="bottom"/>
            <w:shd w:val="clear" w:color="auto" w:fill="6D8CC3"/>
          </w:tcPr>
          <w:p>
            <w:pPr>
              <w:spacing w:after="0" w:line="20" w:lineRule="exact"/>
              <w:rPr>
                <w:sz w:val="1"/>
                <w:szCs w:val="1"/>
                <w:color w:val="auto"/>
              </w:rPr>
            </w:pPr>
          </w:p>
        </w:tc>
        <w:tc>
          <w:tcPr>
            <w:tcW w:w="1000" w:type="dxa"/>
            <w:vAlign w:val="bottom"/>
            <w:shd w:val="clear" w:color="auto" w:fill="6D8CC3"/>
          </w:tcPr>
          <w:p>
            <w:pPr>
              <w:spacing w:after="0" w:line="20" w:lineRule="exact"/>
              <w:rPr>
                <w:sz w:val="1"/>
                <w:szCs w:val="1"/>
                <w:color w:val="auto"/>
              </w:rPr>
            </w:pPr>
          </w:p>
        </w:tc>
        <w:tc>
          <w:tcPr>
            <w:tcW w:w="980" w:type="dxa"/>
            <w:vAlign w:val="bottom"/>
            <w:shd w:val="clear" w:color="auto" w:fill="6D8CC3"/>
          </w:tcPr>
          <w:p>
            <w:pPr>
              <w:spacing w:after="0" w:line="20" w:lineRule="exact"/>
              <w:rPr>
                <w:sz w:val="1"/>
                <w:szCs w:val="1"/>
                <w:color w:val="auto"/>
              </w:rPr>
            </w:pPr>
          </w:p>
        </w:tc>
        <w:tc>
          <w:tcPr>
            <w:tcW w:w="980" w:type="dxa"/>
            <w:vAlign w:val="bottom"/>
            <w:shd w:val="clear" w:color="auto" w:fill="6D8CC3"/>
          </w:tcPr>
          <w:p>
            <w:pPr>
              <w:spacing w:after="0" w:line="20" w:lineRule="exact"/>
              <w:rPr>
                <w:sz w:val="1"/>
                <w:szCs w:val="1"/>
                <w:color w:val="auto"/>
              </w:rPr>
            </w:pPr>
          </w:p>
        </w:tc>
        <w:tc>
          <w:tcPr>
            <w:tcW w:w="980" w:type="dxa"/>
            <w:vAlign w:val="bottom"/>
            <w:shd w:val="clear" w:color="auto" w:fill="6D8CC3"/>
          </w:tcPr>
          <w:p>
            <w:pPr>
              <w:spacing w:after="0" w:line="20" w:lineRule="exact"/>
              <w:rPr>
                <w:sz w:val="1"/>
                <w:szCs w:val="1"/>
                <w:color w:val="auto"/>
              </w:rPr>
            </w:pPr>
          </w:p>
        </w:tc>
        <w:tc>
          <w:tcPr>
            <w:tcW w:w="900" w:type="dxa"/>
            <w:vAlign w:val="bottom"/>
            <w:shd w:val="clear" w:color="auto" w:fill="6D8CC3"/>
          </w:tcPr>
          <w:p>
            <w:pPr>
              <w:spacing w:after="0" w:line="20" w:lineRule="exact"/>
              <w:rPr>
                <w:sz w:val="1"/>
                <w:szCs w:val="1"/>
                <w:color w:val="auto"/>
              </w:rPr>
            </w:pPr>
          </w:p>
        </w:tc>
      </w:tr>
    </w:tbl>
    <w:p>
      <w:pPr>
        <w:spacing w:after="0" w:line="69" w:lineRule="exact"/>
        <w:rPr>
          <w:sz w:val="20"/>
          <w:szCs w:val="20"/>
          <w:color w:val="auto"/>
        </w:rPr>
      </w:pPr>
    </w:p>
    <w:p>
      <w:pPr>
        <w:ind w:left="260" w:right="600" w:hanging="256"/>
        <w:spacing w:after="0" w:line="269" w:lineRule="auto"/>
        <w:tabs>
          <w:tab w:leader="none" w:pos="260" w:val="left"/>
        </w:tabs>
        <w:numPr>
          <w:ilvl w:val="0"/>
          <w:numId w:val="92"/>
        </w:numPr>
        <w:rPr>
          <w:rFonts w:ascii="Arial" w:cs="Arial" w:eastAsia="Arial" w:hAnsi="Arial"/>
          <w:sz w:val="14"/>
          <w:szCs w:val="14"/>
          <w:color w:val="auto"/>
        </w:rPr>
      </w:pPr>
      <w:r>
        <w:rPr>
          <w:rFonts w:ascii="Arial" w:cs="Arial" w:eastAsia="Arial" w:hAnsi="Arial"/>
          <w:sz w:val="14"/>
          <w:szCs w:val="14"/>
          <w:color w:val="auto"/>
        </w:rPr>
        <w:t>In 2025, we recognized aggregate pre-tax costs of $15 million resulting from business transformation activities in connection with the Consumer First Formula. These costs primarily related to severance benefits.</w:t>
      </w:r>
    </w:p>
    <w:p>
      <w:pPr>
        <w:spacing w:after="0" w:line="19" w:lineRule="exact"/>
        <w:rPr>
          <w:rFonts w:ascii="Arial" w:cs="Arial" w:eastAsia="Arial" w:hAnsi="Arial"/>
          <w:sz w:val="14"/>
          <w:szCs w:val="14"/>
          <w:color w:val="auto"/>
        </w:rPr>
      </w:pPr>
    </w:p>
    <w:p>
      <w:pPr>
        <w:ind w:left="260" w:right="80" w:hanging="256"/>
        <w:spacing w:after="0" w:line="269" w:lineRule="auto"/>
        <w:tabs>
          <w:tab w:leader="none" w:pos="260" w:val="left"/>
        </w:tabs>
        <w:numPr>
          <w:ilvl w:val="0"/>
          <w:numId w:val="92"/>
        </w:numPr>
        <w:rPr>
          <w:rFonts w:ascii="Arial" w:cs="Arial" w:eastAsia="Arial" w:hAnsi="Arial"/>
          <w:sz w:val="14"/>
          <w:szCs w:val="14"/>
          <w:color w:val="auto"/>
        </w:rPr>
      </w:pPr>
      <w:r>
        <w:rPr>
          <w:rFonts w:ascii="Arial" w:cs="Arial" w:eastAsia="Arial" w:hAnsi="Arial"/>
          <w:sz w:val="14"/>
          <w:szCs w:val="14"/>
          <w:color w:val="auto"/>
        </w:rPr>
        <w:t>In the first half of 2025, we recognized aggregate pre-tax costs of $15 million due to the transition of certain members of the leadership team, primarily related to severance benefits.</w:t>
      </w:r>
    </w:p>
    <w:p>
      <w:pPr>
        <w:spacing w:after="0" w:line="19" w:lineRule="exact"/>
        <w:rPr>
          <w:rFonts w:ascii="Arial" w:cs="Arial" w:eastAsia="Arial" w:hAnsi="Arial"/>
          <w:sz w:val="14"/>
          <w:szCs w:val="14"/>
          <w:color w:val="auto"/>
        </w:rPr>
      </w:pPr>
    </w:p>
    <w:p>
      <w:pPr>
        <w:ind w:left="260" w:hanging="256"/>
        <w:spacing w:after="0"/>
        <w:tabs>
          <w:tab w:leader="none" w:pos="260" w:val="left"/>
        </w:tabs>
        <w:numPr>
          <w:ilvl w:val="0"/>
          <w:numId w:val="92"/>
        </w:numPr>
        <w:rPr>
          <w:rFonts w:ascii="Arial" w:cs="Arial" w:eastAsia="Arial" w:hAnsi="Arial"/>
          <w:sz w:val="14"/>
          <w:szCs w:val="14"/>
          <w:color w:val="auto"/>
        </w:rPr>
      </w:pPr>
      <w:r>
        <w:rPr>
          <w:rFonts w:ascii="Arial" w:cs="Arial" w:eastAsia="Arial" w:hAnsi="Arial"/>
          <w:sz w:val="14"/>
          <w:szCs w:val="14"/>
          <w:color w:val="auto"/>
        </w:rPr>
        <w:t>In 2021, we recognized a pre-tax loss of $9 million related to the write-off of inventory that was destroyed by a tornado at a vendor’s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573722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737225" cy="8255"/>
                    </a:xfrm>
                    <a:prstGeom prst="rect">
                      <a:avLst/>
                    </a:prstGeom>
                    <a:noFill/>
                  </pic:spPr>
                </pic:pic>
              </a:graphicData>
            </a:graphic>
          </wp:anchor>
        </w:drawing>
      </w:r>
    </w:p>
    <w:p>
      <w:pPr>
        <w:spacing w:after="0" w:line="291" w:lineRule="exact"/>
        <w:rPr>
          <w:sz w:val="20"/>
          <w:szCs w:val="20"/>
          <w:color w:val="auto"/>
        </w:rPr>
      </w:pPr>
    </w:p>
    <w:p>
      <w:pPr>
        <w:jc w:val="right"/>
        <w:spacing w:after="0"/>
        <w:rPr>
          <w:sz w:val="20"/>
          <w:szCs w:val="20"/>
          <w:color w:val="auto"/>
        </w:rPr>
      </w:pPr>
      <w:r>
        <w:rPr>
          <w:rFonts w:ascii="Arial" w:cs="Arial" w:eastAsia="Arial" w:hAnsi="Arial"/>
          <w:sz w:val="14"/>
          <w:szCs w:val="14"/>
          <w:color w:val="292F72"/>
        </w:rPr>
        <w:t>Bath &amp; Body Works, Inc.</w:t>
      </w:r>
      <w:r>
        <w:rPr>
          <w:rFonts w:ascii="Arial" w:cs="Arial" w:eastAsia="Arial" w:hAnsi="Arial"/>
          <w:sz w:val="14"/>
          <w:szCs w:val="14"/>
          <w:color w:val="6D8CC3"/>
        </w:rPr>
        <w:t xml:space="preserve">   | </w:t>
      </w:r>
      <w:r>
        <w:rPr>
          <w:rFonts w:ascii="Arial" w:cs="Arial" w:eastAsia="Arial" w:hAnsi="Arial"/>
          <w:sz w:val="14"/>
          <w:szCs w:val="14"/>
          <w:color w:val="292F72"/>
        </w:rPr>
        <w:t xml:space="preserve">  2026 Proxy Statement     </w:t>
      </w:r>
      <w:r>
        <w:rPr>
          <w:rFonts w:ascii="Arial" w:cs="Arial" w:eastAsia="Arial" w:hAnsi="Arial"/>
          <w:sz w:val="14"/>
          <w:szCs w:val="14"/>
          <w:b w:val="1"/>
          <w:bCs w:val="1"/>
          <w:color w:val="292F72"/>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153670</wp:posOffset>
            </wp:positionV>
            <wp:extent cx="6795135" cy="1651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795135" cy="16510"/>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6"/>
          <w:szCs w:val="16"/>
          <w:color w:val="292F72"/>
        </w:rPr>
        <w:t>Appendix</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6"/>
          <w:szCs w:val="16"/>
          <w:color w:val="292F72"/>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524510" cy="3302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24510" cy="33020"/>
                    </a:xfrm>
                    <a:prstGeom prst="rect">
                      <a:avLst/>
                    </a:prstGeom>
                    <a:noFill/>
                  </pic:spPr>
                </pic:pic>
              </a:graphicData>
            </a:graphic>
          </wp:anchor>
        </w:drawing>
      </w:r>
    </w:p>
    <w:p>
      <w:pPr>
        <w:spacing w:after="0" w:line="175" w:lineRule="exact"/>
        <w:rPr>
          <w:sz w:val="20"/>
          <w:szCs w:val="20"/>
          <w:color w:val="auto"/>
        </w:rPr>
      </w:pPr>
    </w:p>
    <w:p>
      <w:pPr>
        <w:ind w:right="300"/>
        <w:spacing w:after="0" w:line="268" w:lineRule="auto"/>
        <w:rPr>
          <w:sz w:val="20"/>
          <w:szCs w:val="20"/>
          <w:color w:val="auto"/>
        </w:rPr>
      </w:pPr>
      <w:r>
        <w:rPr>
          <w:rFonts w:ascii="Arial" w:cs="Arial" w:eastAsia="Arial" w:hAnsi="Arial"/>
          <w:sz w:val="16"/>
          <w:szCs w:val="16"/>
          <w:color w:val="auto"/>
        </w:rPr>
        <w:t>The table below reconciles the Company’s fiscal 2025 adjusted net income per diluted share to the Company’s fiscal 2025 net income per diluted share, the most comparable GAAP financial measure.</w:t>
      </w:r>
    </w:p>
    <w:p>
      <w:pPr>
        <w:spacing w:after="0" w:line="260" w:lineRule="exact"/>
        <w:rPr>
          <w:sz w:val="20"/>
          <w:szCs w:val="20"/>
          <w:color w:val="auto"/>
        </w:rPr>
      </w:pPr>
    </w:p>
    <w:p>
      <w:pPr>
        <w:ind w:right="780"/>
        <w:spacing w:after="0" w:line="282" w:lineRule="auto"/>
        <w:rPr>
          <w:sz w:val="20"/>
          <w:szCs w:val="20"/>
          <w:color w:val="auto"/>
        </w:rPr>
      </w:pPr>
      <w:r>
        <w:rPr>
          <w:rFonts w:ascii="Arial" w:cs="Arial" w:eastAsia="Arial" w:hAnsi="Arial"/>
          <w:sz w:val="19"/>
          <w:szCs w:val="19"/>
          <w:b w:val="1"/>
          <w:bCs w:val="1"/>
          <w:color w:val="6D8CC3"/>
        </w:rPr>
        <w:t>RECONCILIATION OF REPORTED NET INCOME PER DILUTED SHARE TO ADJUSTED NET INCOME PER DILUTED SHARE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660" w:type="dxa"/>
            <w:vAlign w:val="bottom"/>
          </w:tcPr>
          <w:p>
            <w:pPr>
              <w:spacing w:after="0"/>
              <w:rPr>
                <w:sz w:val="16"/>
                <w:szCs w:val="16"/>
                <w:color w:val="auto"/>
              </w:rPr>
            </w:pPr>
          </w:p>
        </w:tc>
        <w:tc>
          <w:tcPr>
            <w:tcW w:w="3380" w:type="dxa"/>
            <w:vAlign w:val="bottom"/>
          </w:tcPr>
          <w:p>
            <w:pPr>
              <w:jc w:val="right"/>
              <w:ind w:right="123"/>
              <w:spacing w:after="0"/>
              <w:rPr>
                <w:sz w:val="20"/>
                <w:szCs w:val="20"/>
                <w:color w:val="auto"/>
              </w:rPr>
            </w:pPr>
            <w:r>
              <w:rPr>
                <w:rFonts w:ascii="Arial" w:cs="Arial" w:eastAsia="Arial" w:hAnsi="Arial"/>
                <w:sz w:val="14"/>
                <w:szCs w:val="14"/>
                <w:b w:val="1"/>
                <w:bCs w:val="1"/>
                <w:color w:val="292F72"/>
              </w:rPr>
              <w:t>2025</w:t>
            </w:r>
          </w:p>
        </w:tc>
      </w:tr>
      <w:tr>
        <w:trPr>
          <w:trHeight w:val="40"/>
        </w:trPr>
        <w:tc>
          <w:tcPr>
            <w:tcW w:w="5660" w:type="dxa"/>
            <w:vAlign w:val="bottom"/>
            <w:tcBorders>
              <w:bottom w:val="single" w:sz="8" w:color="292F72"/>
            </w:tcBorders>
          </w:tcPr>
          <w:p>
            <w:pPr>
              <w:spacing w:after="0"/>
              <w:rPr>
                <w:sz w:val="3"/>
                <w:szCs w:val="3"/>
                <w:color w:val="auto"/>
              </w:rPr>
            </w:pPr>
          </w:p>
        </w:tc>
        <w:tc>
          <w:tcPr>
            <w:tcW w:w="3380" w:type="dxa"/>
            <w:vAlign w:val="bottom"/>
            <w:tcBorders>
              <w:bottom w:val="single" w:sz="8" w:color="292F72"/>
            </w:tcBorders>
          </w:tcPr>
          <w:p>
            <w:pPr>
              <w:spacing w:after="0"/>
              <w:rPr>
                <w:sz w:val="3"/>
                <w:szCs w:val="3"/>
                <w:color w:val="auto"/>
              </w:rPr>
            </w:pPr>
          </w:p>
        </w:tc>
      </w:tr>
      <w:tr>
        <w:trPr>
          <w:trHeight w:val="287"/>
        </w:trPr>
        <w:tc>
          <w:tcPr>
            <w:tcW w:w="5660" w:type="dxa"/>
            <w:vAlign w:val="bottom"/>
            <w:tcBorders>
              <w:bottom w:val="single" w:sz="8" w:color="F0F5FE"/>
            </w:tcBorders>
            <w:shd w:val="clear" w:color="auto" w:fill="F0F5FE"/>
          </w:tcPr>
          <w:p>
            <w:pPr>
              <w:spacing w:after="0"/>
              <w:rPr>
                <w:sz w:val="20"/>
                <w:szCs w:val="20"/>
                <w:color w:val="auto"/>
              </w:rPr>
            </w:pPr>
            <w:r>
              <w:rPr>
                <w:rFonts w:ascii="Arial" w:cs="Arial" w:eastAsia="Arial" w:hAnsi="Arial"/>
                <w:sz w:val="16"/>
                <w:szCs w:val="16"/>
                <w:color w:val="auto"/>
              </w:rPr>
              <w:t>Reported Net Income per Diluted Share</w:t>
            </w:r>
          </w:p>
        </w:tc>
        <w:tc>
          <w:tcPr>
            <w:tcW w:w="3380" w:type="dxa"/>
            <w:vAlign w:val="bottom"/>
            <w:tcBorders>
              <w:bottom w:val="single" w:sz="8" w:color="F0F5FE"/>
            </w:tcBorders>
            <w:shd w:val="clear" w:color="auto" w:fill="F0F5FE"/>
          </w:tcPr>
          <w:p>
            <w:pPr>
              <w:jc w:val="right"/>
              <w:ind w:right="3"/>
              <w:spacing w:after="0"/>
              <w:rPr>
                <w:sz w:val="20"/>
                <w:szCs w:val="20"/>
                <w:color w:val="auto"/>
              </w:rPr>
            </w:pPr>
            <w:r>
              <w:rPr>
                <w:rFonts w:ascii="Arial" w:cs="Arial" w:eastAsia="Arial" w:hAnsi="Arial"/>
                <w:sz w:val="16"/>
                <w:szCs w:val="16"/>
                <w:color w:val="auto"/>
              </w:rPr>
              <w:t>$ 3.11</w:t>
            </w:r>
          </w:p>
        </w:tc>
      </w:tr>
      <w:tr>
        <w:trPr>
          <w:trHeight w:val="321"/>
        </w:trPr>
        <w:tc>
          <w:tcPr>
            <w:tcW w:w="5660" w:type="dxa"/>
            <w:vAlign w:val="bottom"/>
            <w:tcBorders>
              <w:top w:val="single" w:sz="8" w:color="6D8CC3"/>
              <w:bottom w:val="single" w:sz="8" w:color="6D8CC3"/>
            </w:tcBorders>
          </w:tcPr>
          <w:p>
            <w:pPr>
              <w:spacing w:after="0"/>
              <w:rPr>
                <w:sz w:val="20"/>
                <w:szCs w:val="20"/>
                <w:color w:val="auto"/>
              </w:rPr>
            </w:pPr>
            <w:r>
              <w:rPr>
                <w:rFonts w:ascii="Arial" w:cs="Arial" w:eastAsia="Arial" w:hAnsi="Arial"/>
                <w:sz w:val="16"/>
                <w:szCs w:val="16"/>
                <w:color w:val="auto"/>
              </w:rPr>
              <w:t>Business Transformation Activities</w:t>
            </w:r>
            <w:r>
              <w:rPr>
                <w:rFonts w:ascii="Arial" w:cs="Arial" w:eastAsia="Arial" w:hAnsi="Arial"/>
                <w:sz w:val="26"/>
                <w:szCs w:val="26"/>
                <w:color w:val="auto"/>
                <w:vertAlign w:val="superscript"/>
              </w:rPr>
              <w:t>(1)</w:t>
            </w:r>
          </w:p>
        </w:tc>
        <w:tc>
          <w:tcPr>
            <w:tcW w:w="3380" w:type="dxa"/>
            <w:vAlign w:val="bottom"/>
            <w:tcBorders>
              <w:top w:val="single" w:sz="8" w:color="6D8CC3"/>
              <w:bottom w:val="single" w:sz="8" w:color="6D8CC3"/>
            </w:tcBorders>
          </w:tcPr>
          <w:p>
            <w:pPr>
              <w:jc w:val="right"/>
              <w:ind w:right="3"/>
              <w:spacing w:after="0"/>
              <w:rPr>
                <w:sz w:val="20"/>
                <w:szCs w:val="20"/>
                <w:color w:val="auto"/>
              </w:rPr>
            </w:pPr>
            <w:r>
              <w:rPr>
                <w:rFonts w:ascii="Arial" w:cs="Arial" w:eastAsia="Arial" w:hAnsi="Arial"/>
                <w:sz w:val="16"/>
                <w:szCs w:val="16"/>
                <w:color w:val="auto"/>
              </w:rPr>
              <w:t>0.06</w:t>
            </w:r>
          </w:p>
        </w:tc>
      </w:tr>
      <w:tr>
        <w:trPr>
          <w:trHeight w:val="321"/>
        </w:trPr>
        <w:tc>
          <w:tcPr>
            <w:tcW w:w="5660" w:type="dxa"/>
            <w:vAlign w:val="bottom"/>
            <w:tcBorders>
              <w:bottom w:val="single" w:sz="8" w:color="6D8CC3"/>
            </w:tcBorders>
            <w:shd w:val="clear" w:color="auto" w:fill="F0F5FE"/>
          </w:tcPr>
          <w:p>
            <w:pPr>
              <w:spacing w:after="0"/>
              <w:rPr>
                <w:sz w:val="20"/>
                <w:szCs w:val="20"/>
                <w:color w:val="auto"/>
              </w:rPr>
            </w:pPr>
            <w:r>
              <w:rPr>
                <w:rFonts w:ascii="Arial" w:cs="Arial" w:eastAsia="Arial" w:hAnsi="Arial"/>
                <w:sz w:val="16"/>
                <w:szCs w:val="16"/>
                <w:color w:val="auto"/>
              </w:rPr>
              <w:t>Leadership Transition Costs</w:t>
            </w:r>
            <w:r>
              <w:rPr>
                <w:rFonts w:ascii="Arial" w:cs="Arial" w:eastAsia="Arial" w:hAnsi="Arial"/>
                <w:sz w:val="26"/>
                <w:szCs w:val="26"/>
                <w:color w:val="auto"/>
                <w:vertAlign w:val="superscript"/>
              </w:rPr>
              <w:t>(2)</w:t>
            </w:r>
          </w:p>
        </w:tc>
        <w:tc>
          <w:tcPr>
            <w:tcW w:w="3380" w:type="dxa"/>
            <w:vAlign w:val="bottom"/>
            <w:tcBorders>
              <w:bottom w:val="single" w:sz="8" w:color="6D8CC3"/>
            </w:tcBorders>
            <w:shd w:val="clear" w:color="auto" w:fill="F0F5FE"/>
          </w:tcPr>
          <w:p>
            <w:pPr>
              <w:jc w:val="right"/>
              <w:ind w:right="3"/>
              <w:spacing w:after="0"/>
              <w:rPr>
                <w:sz w:val="20"/>
                <w:szCs w:val="20"/>
                <w:color w:val="auto"/>
              </w:rPr>
            </w:pPr>
            <w:r>
              <w:rPr>
                <w:rFonts w:ascii="Arial" w:cs="Arial" w:eastAsia="Arial" w:hAnsi="Arial"/>
                <w:sz w:val="16"/>
                <w:szCs w:val="16"/>
                <w:color w:val="auto"/>
              </w:rPr>
              <w:t>0.07</w:t>
            </w:r>
          </w:p>
        </w:tc>
      </w:tr>
      <w:tr>
        <w:trPr>
          <w:trHeight w:val="321"/>
        </w:trPr>
        <w:tc>
          <w:tcPr>
            <w:tcW w:w="5660" w:type="dxa"/>
            <w:vAlign w:val="bottom"/>
            <w:tcBorders>
              <w:bottom w:val="single" w:sz="8" w:color="6D8CC3"/>
            </w:tcBorders>
          </w:tcPr>
          <w:p>
            <w:pPr>
              <w:spacing w:after="0"/>
              <w:rPr>
                <w:sz w:val="20"/>
                <w:szCs w:val="20"/>
                <w:color w:val="auto"/>
              </w:rPr>
            </w:pPr>
            <w:r>
              <w:rPr>
                <w:rFonts w:ascii="Arial" w:cs="Arial" w:eastAsia="Arial" w:hAnsi="Arial"/>
                <w:sz w:val="16"/>
                <w:szCs w:val="16"/>
                <w:color w:val="auto"/>
              </w:rPr>
              <w:t>Gain on Sale of Non-Core Asset</w:t>
            </w:r>
            <w:r>
              <w:rPr>
                <w:rFonts w:ascii="Arial" w:cs="Arial" w:eastAsia="Arial" w:hAnsi="Arial"/>
                <w:sz w:val="26"/>
                <w:szCs w:val="26"/>
                <w:color w:val="auto"/>
                <w:vertAlign w:val="superscript"/>
              </w:rPr>
              <w:t>(3)</w:t>
            </w:r>
          </w:p>
        </w:tc>
        <w:tc>
          <w:tcPr>
            <w:tcW w:w="3380" w:type="dxa"/>
            <w:vAlign w:val="bottom"/>
            <w:tcBorders>
              <w:bottom w:val="single" w:sz="8" w:color="6D8CC3"/>
            </w:tcBorders>
          </w:tcPr>
          <w:p>
            <w:pPr>
              <w:jc w:val="right"/>
              <w:spacing w:after="0"/>
              <w:rPr>
                <w:sz w:val="20"/>
                <w:szCs w:val="20"/>
                <w:color w:val="auto"/>
              </w:rPr>
            </w:pPr>
            <w:r>
              <w:rPr>
                <w:rFonts w:ascii="Arial" w:cs="Arial" w:eastAsia="Arial" w:hAnsi="Arial"/>
                <w:sz w:val="16"/>
                <w:szCs w:val="16"/>
                <w:color w:val="auto"/>
              </w:rPr>
              <w:t>(0.03)</w:t>
            </w:r>
          </w:p>
        </w:tc>
      </w:tr>
      <w:tr>
        <w:trPr>
          <w:trHeight w:val="240"/>
        </w:trPr>
        <w:tc>
          <w:tcPr>
            <w:tcW w:w="5660" w:type="dxa"/>
            <w:vAlign w:val="bottom"/>
          </w:tcPr>
          <w:p>
            <w:pPr>
              <w:spacing w:after="0"/>
              <w:rPr>
                <w:sz w:val="20"/>
                <w:szCs w:val="20"/>
                <w:color w:val="auto"/>
              </w:rPr>
            </w:pPr>
            <w:r>
              <w:rPr>
                <w:rFonts w:ascii="Arial" w:cs="Arial" w:eastAsia="Arial" w:hAnsi="Arial"/>
                <w:sz w:val="16"/>
                <w:szCs w:val="16"/>
                <w:color w:val="auto"/>
              </w:rPr>
              <w:t>Adjusted Net Income per Diluted Share</w:t>
            </w:r>
          </w:p>
        </w:tc>
        <w:tc>
          <w:tcPr>
            <w:tcW w:w="3380" w:type="dxa"/>
            <w:vAlign w:val="bottom"/>
          </w:tcPr>
          <w:p>
            <w:pPr>
              <w:jc w:val="right"/>
              <w:ind w:right="3"/>
              <w:spacing w:after="0"/>
              <w:rPr>
                <w:sz w:val="20"/>
                <w:szCs w:val="20"/>
                <w:color w:val="auto"/>
              </w:rPr>
            </w:pPr>
            <w:r>
              <w:rPr>
                <w:rFonts w:ascii="Arial" w:cs="Arial" w:eastAsia="Arial" w:hAnsi="Arial"/>
                <w:sz w:val="16"/>
                <w:szCs w:val="16"/>
                <w:color w:val="auto"/>
              </w:rPr>
              <w:t>$ 3.21</w:t>
            </w:r>
          </w:p>
        </w:tc>
      </w:tr>
      <w:tr>
        <w:trPr>
          <w:trHeight w:val="42"/>
        </w:trPr>
        <w:tc>
          <w:tcPr>
            <w:tcW w:w="5660" w:type="dxa"/>
            <w:vAlign w:val="bottom"/>
            <w:tcBorders>
              <w:bottom w:val="single" w:sz="8" w:color="6D8CC3"/>
            </w:tcBorders>
          </w:tcPr>
          <w:p>
            <w:pPr>
              <w:spacing w:after="0"/>
              <w:rPr>
                <w:sz w:val="3"/>
                <w:szCs w:val="3"/>
                <w:color w:val="auto"/>
              </w:rPr>
            </w:pPr>
          </w:p>
        </w:tc>
        <w:tc>
          <w:tcPr>
            <w:tcW w:w="3380" w:type="dxa"/>
            <w:vAlign w:val="bottom"/>
            <w:tcBorders>
              <w:bottom w:val="single" w:sz="8" w:color="6D8CC3"/>
            </w:tcBorders>
          </w:tcPr>
          <w:p>
            <w:pPr>
              <w:spacing w:after="0"/>
              <w:rPr>
                <w:sz w:val="3"/>
                <w:szCs w:val="3"/>
                <w:color w:val="auto"/>
              </w:rPr>
            </w:pPr>
          </w:p>
        </w:tc>
      </w:tr>
    </w:tbl>
    <w:p>
      <w:pPr>
        <w:spacing w:after="0" w:line="69" w:lineRule="exact"/>
        <w:rPr>
          <w:sz w:val="20"/>
          <w:szCs w:val="20"/>
          <w:color w:val="auto"/>
        </w:rPr>
      </w:pPr>
    </w:p>
    <w:p>
      <w:pPr>
        <w:ind w:left="260" w:right="480" w:hanging="256"/>
        <w:spacing w:after="0" w:line="269" w:lineRule="auto"/>
        <w:tabs>
          <w:tab w:leader="none" w:pos="260" w:val="left"/>
        </w:tabs>
        <w:numPr>
          <w:ilvl w:val="0"/>
          <w:numId w:val="93"/>
        </w:numPr>
        <w:rPr>
          <w:rFonts w:ascii="Arial" w:cs="Arial" w:eastAsia="Arial" w:hAnsi="Arial"/>
          <w:sz w:val="14"/>
          <w:szCs w:val="14"/>
          <w:color w:val="auto"/>
        </w:rPr>
      </w:pPr>
      <w:r>
        <w:rPr>
          <w:rFonts w:ascii="Arial" w:cs="Arial" w:eastAsia="Arial" w:hAnsi="Arial"/>
          <w:sz w:val="14"/>
          <w:szCs w:val="14"/>
          <w:color w:val="auto"/>
        </w:rPr>
        <w:t>In 2025, we recognized aggregate pre-tax costs of $15 million ($12 million after tax) resulting from business transformation activities in connection with the Consumer First Formula. These costs primarily related to severance benefits.</w:t>
      </w:r>
    </w:p>
    <w:p>
      <w:pPr>
        <w:spacing w:after="0" w:line="19" w:lineRule="exact"/>
        <w:rPr>
          <w:rFonts w:ascii="Arial" w:cs="Arial" w:eastAsia="Arial" w:hAnsi="Arial"/>
          <w:sz w:val="14"/>
          <w:szCs w:val="14"/>
          <w:color w:val="auto"/>
        </w:rPr>
      </w:pPr>
    </w:p>
    <w:p>
      <w:pPr>
        <w:ind w:left="260" w:right="40" w:hanging="256"/>
        <w:spacing w:after="0" w:line="269" w:lineRule="auto"/>
        <w:tabs>
          <w:tab w:leader="none" w:pos="260" w:val="left"/>
        </w:tabs>
        <w:numPr>
          <w:ilvl w:val="0"/>
          <w:numId w:val="93"/>
        </w:numPr>
        <w:rPr>
          <w:rFonts w:ascii="Arial" w:cs="Arial" w:eastAsia="Arial" w:hAnsi="Arial"/>
          <w:sz w:val="14"/>
          <w:szCs w:val="14"/>
          <w:color w:val="auto"/>
        </w:rPr>
      </w:pPr>
      <w:r>
        <w:rPr>
          <w:rFonts w:ascii="Arial" w:cs="Arial" w:eastAsia="Arial" w:hAnsi="Arial"/>
          <w:sz w:val="14"/>
          <w:szCs w:val="14"/>
          <w:color w:val="auto"/>
        </w:rPr>
        <w:t>In 2025, we recognized aggregate pre-tax costs of $15 million ($14 million after tax) due to the transition of certain members of the leadership team, primarily related to severance benefits.</w:t>
      </w:r>
    </w:p>
    <w:p>
      <w:pPr>
        <w:spacing w:after="0" w:line="19" w:lineRule="exact"/>
        <w:rPr>
          <w:rFonts w:ascii="Arial" w:cs="Arial" w:eastAsia="Arial" w:hAnsi="Arial"/>
          <w:sz w:val="14"/>
          <w:szCs w:val="14"/>
          <w:color w:val="auto"/>
        </w:rPr>
      </w:pPr>
    </w:p>
    <w:p>
      <w:pPr>
        <w:ind w:left="260" w:hanging="256"/>
        <w:spacing w:after="0"/>
        <w:tabs>
          <w:tab w:leader="none" w:pos="260" w:val="left"/>
        </w:tabs>
        <w:numPr>
          <w:ilvl w:val="0"/>
          <w:numId w:val="93"/>
        </w:numPr>
        <w:rPr>
          <w:rFonts w:ascii="Arial" w:cs="Arial" w:eastAsia="Arial" w:hAnsi="Arial"/>
          <w:sz w:val="14"/>
          <w:szCs w:val="14"/>
          <w:color w:val="auto"/>
        </w:rPr>
      </w:pPr>
      <w:r>
        <w:rPr>
          <w:rFonts w:ascii="Arial" w:cs="Arial" w:eastAsia="Arial" w:hAnsi="Arial"/>
          <w:sz w:val="14"/>
          <w:szCs w:val="14"/>
          <w:color w:val="auto"/>
        </w:rPr>
        <w:t>In 2025, we recognized an $8 million pre-tax gain ($6 million after tax) related to the sale of a non-core asset.</w:t>
      </w:r>
    </w:p>
    <w:p>
      <w:pPr>
        <w:spacing w:after="0" w:line="177"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The table below reconciles the Company’s fiscal 2025 free cash flow to the Company’s fiscal 2025 net cash provided by operating activities, the most comparable GAAP financial measure.</w:t>
      </w:r>
    </w:p>
    <w:p>
      <w:pPr>
        <w:spacing w:after="0" w:line="260" w:lineRule="exact"/>
        <w:rPr>
          <w:sz w:val="20"/>
          <w:szCs w:val="20"/>
          <w:color w:val="auto"/>
        </w:rPr>
      </w:pPr>
    </w:p>
    <w:p>
      <w:pPr>
        <w:ind w:right="360"/>
        <w:spacing w:after="0" w:line="282" w:lineRule="auto"/>
        <w:rPr>
          <w:sz w:val="20"/>
          <w:szCs w:val="20"/>
          <w:color w:val="auto"/>
        </w:rPr>
      </w:pPr>
      <w:r>
        <w:rPr>
          <w:rFonts w:ascii="Arial" w:cs="Arial" w:eastAsia="Arial" w:hAnsi="Arial"/>
          <w:sz w:val="19"/>
          <w:szCs w:val="19"/>
          <w:b w:val="1"/>
          <w:bCs w:val="1"/>
          <w:color w:val="6D8CC3"/>
        </w:rPr>
        <w:t>RECONCILIATION OF REPORTED NET CASH PROVIDED BY OPERATING ACTIVITIES TO FREE CASH FLOW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160" w:type="dxa"/>
            <w:vAlign w:val="bottom"/>
          </w:tcPr>
          <w:p>
            <w:pPr>
              <w:spacing w:after="0"/>
              <w:rPr>
                <w:sz w:val="16"/>
                <w:szCs w:val="16"/>
                <w:color w:val="auto"/>
              </w:rPr>
            </w:pPr>
          </w:p>
        </w:tc>
        <w:tc>
          <w:tcPr>
            <w:tcW w:w="4880" w:type="dxa"/>
            <w:vAlign w:val="bottom"/>
            <w:gridSpan w:val="2"/>
          </w:tcPr>
          <w:p>
            <w:pPr>
              <w:ind w:left="4340"/>
              <w:spacing w:after="0"/>
              <w:rPr>
                <w:sz w:val="20"/>
                <w:szCs w:val="20"/>
                <w:color w:val="auto"/>
              </w:rPr>
            </w:pPr>
            <w:r>
              <w:rPr>
                <w:rFonts w:ascii="Arial" w:cs="Arial" w:eastAsia="Arial" w:hAnsi="Arial"/>
                <w:sz w:val="14"/>
                <w:szCs w:val="14"/>
                <w:b w:val="1"/>
                <w:bCs w:val="1"/>
                <w:color w:val="292F72"/>
              </w:rPr>
              <w:t>2025</w:t>
            </w:r>
          </w:p>
        </w:tc>
      </w:tr>
      <w:tr>
        <w:trPr>
          <w:trHeight w:val="40"/>
        </w:trPr>
        <w:tc>
          <w:tcPr>
            <w:tcW w:w="4160" w:type="dxa"/>
            <w:vAlign w:val="bottom"/>
            <w:tcBorders>
              <w:bottom w:val="single" w:sz="8" w:color="292F72"/>
            </w:tcBorders>
          </w:tcPr>
          <w:p>
            <w:pPr>
              <w:spacing w:after="0"/>
              <w:rPr>
                <w:sz w:val="3"/>
                <w:szCs w:val="3"/>
                <w:color w:val="auto"/>
              </w:rPr>
            </w:pPr>
          </w:p>
        </w:tc>
        <w:tc>
          <w:tcPr>
            <w:tcW w:w="4440" w:type="dxa"/>
            <w:vAlign w:val="bottom"/>
            <w:tcBorders>
              <w:bottom w:val="single" w:sz="8" w:color="292F72"/>
            </w:tcBorders>
          </w:tcPr>
          <w:p>
            <w:pPr>
              <w:spacing w:after="0"/>
              <w:rPr>
                <w:sz w:val="3"/>
                <w:szCs w:val="3"/>
                <w:color w:val="auto"/>
              </w:rPr>
            </w:pPr>
          </w:p>
        </w:tc>
        <w:tc>
          <w:tcPr>
            <w:tcW w:w="440" w:type="dxa"/>
            <w:vAlign w:val="bottom"/>
            <w:tcBorders>
              <w:bottom w:val="single" w:sz="8" w:color="292F72"/>
            </w:tcBorders>
          </w:tcPr>
          <w:p>
            <w:pPr>
              <w:spacing w:after="0"/>
              <w:rPr>
                <w:sz w:val="3"/>
                <w:szCs w:val="3"/>
                <w:color w:val="auto"/>
              </w:rPr>
            </w:pPr>
          </w:p>
        </w:tc>
      </w:tr>
      <w:tr>
        <w:trPr>
          <w:trHeight w:val="287"/>
        </w:trPr>
        <w:tc>
          <w:tcPr>
            <w:tcW w:w="4160" w:type="dxa"/>
            <w:vAlign w:val="bottom"/>
            <w:tcBorders>
              <w:bottom w:val="single" w:sz="8" w:color="F0F5FE"/>
            </w:tcBorders>
            <w:shd w:val="clear" w:color="auto" w:fill="F0F5FE"/>
          </w:tcPr>
          <w:p>
            <w:pPr>
              <w:spacing w:after="0"/>
              <w:rPr>
                <w:sz w:val="20"/>
                <w:szCs w:val="20"/>
                <w:color w:val="auto"/>
              </w:rPr>
            </w:pPr>
            <w:r>
              <w:rPr>
                <w:rFonts w:ascii="Arial" w:cs="Arial" w:eastAsia="Arial" w:hAnsi="Arial"/>
                <w:sz w:val="16"/>
                <w:szCs w:val="16"/>
                <w:color w:val="auto"/>
              </w:rPr>
              <w:t>Reported Net Cash Provided by Operating Activities</w:t>
            </w:r>
          </w:p>
        </w:tc>
        <w:tc>
          <w:tcPr>
            <w:tcW w:w="4440" w:type="dxa"/>
            <w:vAlign w:val="bottom"/>
            <w:tcBorders>
              <w:bottom w:val="single" w:sz="8" w:color="F0F5FE"/>
            </w:tcBorders>
            <w:shd w:val="clear" w:color="auto" w:fill="F0F5FE"/>
          </w:tcPr>
          <w:p>
            <w:pPr>
              <w:ind w:left="4340"/>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F0F5FE"/>
            </w:tcBorders>
            <w:shd w:val="clear" w:color="auto" w:fill="F0F5FE"/>
          </w:tcPr>
          <w:p>
            <w:pPr>
              <w:jc w:val="right"/>
              <w:spacing w:after="0"/>
              <w:rPr>
                <w:sz w:val="20"/>
                <w:szCs w:val="20"/>
                <w:color w:val="auto"/>
              </w:rPr>
            </w:pPr>
            <w:r>
              <w:rPr>
                <w:rFonts w:ascii="Arial" w:cs="Arial" w:eastAsia="Arial" w:hAnsi="Arial"/>
                <w:sz w:val="16"/>
                <w:szCs w:val="16"/>
                <w:color w:val="auto"/>
                <w:w w:val="99"/>
              </w:rPr>
              <w:t>1,102</w:t>
            </w:r>
          </w:p>
        </w:tc>
      </w:tr>
      <w:tr>
        <w:trPr>
          <w:trHeight w:val="240"/>
        </w:trPr>
        <w:tc>
          <w:tcPr>
            <w:tcW w:w="4160" w:type="dxa"/>
            <w:vAlign w:val="bottom"/>
            <w:tcBorders>
              <w:top w:val="single" w:sz="8" w:color="6D8CC3"/>
            </w:tcBorders>
          </w:tcPr>
          <w:p>
            <w:pPr>
              <w:spacing w:after="0"/>
              <w:rPr>
                <w:sz w:val="20"/>
                <w:szCs w:val="20"/>
                <w:color w:val="auto"/>
              </w:rPr>
            </w:pPr>
            <w:r>
              <w:rPr>
                <w:rFonts w:ascii="Arial" w:cs="Arial" w:eastAsia="Arial" w:hAnsi="Arial"/>
                <w:sz w:val="16"/>
                <w:szCs w:val="16"/>
                <w:color w:val="auto"/>
              </w:rPr>
              <w:t>Capital Expenditures</w:t>
            </w:r>
          </w:p>
        </w:tc>
        <w:tc>
          <w:tcPr>
            <w:tcW w:w="4440" w:type="dxa"/>
            <w:vAlign w:val="bottom"/>
            <w:tcBorders>
              <w:top w:val="single" w:sz="8" w:color="6D8CC3"/>
            </w:tcBorders>
          </w:tcPr>
          <w:p>
            <w:pPr>
              <w:spacing w:after="0"/>
              <w:rPr>
                <w:sz w:val="20"/>
                <w:szCs w:val="20"/>
                <w:color w:val="auto"/>
              </w:rPr>
            </w:pPr>
          </w:p>
        </w:tc>
        <w:tc>
          <w:tcPr>
            <w:tcW w:w="440" w:type="dxa"/>
            <w:vAlign w:val="bottom"/>
            <w:tcBorders>
              <w:top w:val="single" w:sz="8" w:color="6D8CC3"/>
            </w:tcBorders>
          </w:tcPr>
          <w:p>
            <w:pPr>
              <w:jc w:val="right"/>
              <w:spacing w:after="0"/>
              <w:rPr>
                <w:sz w:val="20"/>
                <w:szCs w:val="20"/>
                <w:color w:val="auto"/>
              </w:rPr>
            </w:pPr>
            <w:r>
              <w:rPr>
                <w:rFonts w:ascii="Arial" w:cs="Arial" w:eastAsia="Arial" w:hAnsi="Arial"/>
                <w:sz w:val="16"/>
                <w:szCs w:val="16"/>
                <w:color w:val="auto"/>
              </w:rPr>
              <w:t>(237)</w:t>
            </w:r>
          </w:p>
        </w:tc>
      </w:tr>
      <w:tr>
        <w:trPr>
          <w:trHeight w:val="42"/>
        </w:trPr>
        <w:tc>
          <w:tcPr>
            <w:tcW w:w="4160" w:type="dxa"/>
            <w:vAlign w:val="bottom"/>
            <w:tcBorders>
              <w:bottom w:val="single" w:sz="8" w:color="6D8CC3"/>
            </w:tcBorders>
          </w:tcPr>
          <w:p>
            <w:pPr>
              <w:spacing w:after="0"/>
              <w:rPr>
                <w:sz w:val="3"/>
                <w:szCs w:val="3"/>
                <w:color w:val="auto"/>
              </w:rPr>
            </w:pPr>
          </w:p>
        </w:tc>
        <w:tc>
          <w:tcPr>
            <w:tcW w:w="4440" w:type="dxa"/>
            <w:vAlign w:val="bottom"/>
            <w:tcBorders>
              <w:bottom w:val="single" w:sz="8" w:color="6D8CC3"/>
            </w:tcBorders>
          </w:tcPr>
          <w:p>
            <w:pPr>
              <w:spacing w:after="0"/>
              <w:rPr>
                <w:sz w:val="3"/>
                <w:szCs w:val="3"/>
                <w:color w:val="auto"/>
              </w:rPr>
            </w:pPr>
          </w:p>
        </w:tc>
        <w:tc>
          <w:tcPr>
            <w:tcW w:w="440" w:type="dxa"/>
            <w:vAlign w:val="bottom"/>
            <w:tcBorders>
              <w:bottom w:val="single" w:sz="8" w:color="6D8CC3"/>
            </w:tcBorders>
          </w:tcPr>
          <w:p>
            <w:pPr>
              <w:spacing w:after="0"/>
              <w:rPr>
                <w:sz w:val="3"/>
                <w:szCs w:val="3"/>
                <w:color w:val="auto"/>
              </w:rPr>
            </w:pPr>
          </w:p>
        </w:tc>
      </w:tr>
      <w:tr>
        <w:trPr>
          <w:trHeight w:val="287"/>
        </w:trPr>
        <w:tc>
          <w:tcPr>
            <w:tcW w:w="4160" w:type="dxa"/>
            <w:vAlign w:val="bottom"/>
            <w:tcBorders>
              <w:bottom w:val="single" w:sz="8" w:color="F0F5FE"/>
            </w:tcBorders>
            <w:shd w:val="clear" w:color="auto" w:fill="F0F5FE"/>
          </w:tcPr>
          <w:p>
            <w:pPr>
              <w:spacing w:after="0"/>
              <w:rPr>
                <w:sz w:val="20"/>
                <w:szCs w:val="20"/>
                <w:color w:val="auto"/>
              </w:rPr>
            </w:pPr>
            <w:r>
              <w:rPr>
                <w:rFonts w:ascii="Arial" w:cs="Arial" w:eastAsia="Arial" w:hAnsi="Arial"/>
                <w:sz w:val="16"/>
                <w:szCs w:val="16"/>
                <w:color w:val="auto"/>
              </w:rPr>
              <w:t>Free Cash Flow</w:t>
            </w:r>
          </w:p>
        </w:tc>
        <w:tc>
          <w:tcPr>
            <w:tcW w:w="4440" w:type="dxa"/>
            <w:vAlign w:val="bottom"/>
            <w:tcBorders>
              <w:bottom w:val="single" w:sz="8" w:color="F0F5FE"/>
            </w:tcBorders>
            <w:shd w:val="clear" w:color="auto" w:fill="F0F5FE"/>
          </w:tcPr>
          <w:p>
            <w:pPr>
              <w:ind w:left="4340"/>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F0F5FE"/>
            </w:tcBorders>
            <w:shd w:val="clear" w:color="auto" w:fill="F0F5FE"/>
          </w:tcPr>
          <w:p>
            <w:pPr>
              <w:jc w:val="right"/>
              <w:spacing w:after="0"/>
              <w:rPr>
                <w:sz w:val="20"/>
                <w:szCs w:val="20"/>
                <w:color w:val="auto"/>
              </w:rPr>
            </w:pPr>
            <w:r>
              <w:rPr>
                <w:rFonts w:ascii="Arial" w:cs="Arial" w:eastAsia="Arial" w:hAnsi="Arial"/>
                <w:sz w:val="16"/>
                <w:szCs w:val="16"/>
                <w:color w:val="auto"/>
              </w:rPr>
              <w:t>865</w:t>
            </w:r>
          </w:p>
        </w:tc>
      </w:tr>
      <w:tr>
        <w:trPr>
          <w:trHeight w:val="203"/>
        </w:trPr>
        <w:tc>
          <w:tcPr>
            <w:tcW w:w="4160" w:type="dxa"/>
            <w:vAlign w:val="bottom"/>
            <w:tcBorders>
              <w:top w:val="single" w:sz="8" w:color="6D8CC3"/>
              <w:bottom w:val="single" w:sz="8" w:color="6D8CC3"/>
            </w:tcBorders>
          </w:tcPr>
          <w:p>
            <w:pPr>
              <w:spacing w:after="0"/>
              <w:rPr>
                <w:sz w:val="17"/>
                <w:szCs w:val="17"/>
                <w:color w:val="auto"/>
              </w:rPr>
            </w:pPr>
          </w:p>
        </w:tc>
        <w:tc>
          <w:tcPr>
            <w:tcW w:w="4440" w:type="dxa"/>
            <w:vAlign w:val="bottom"/>
            <w:tcBorders>
              <w:top w:val="single" w:sz="8" w:color="6D8CC3"/>
              <w:bottom w:val="single" w:sz="8" w:color="6D8CC3"/>
            </w:tcBorders>
          </w:tcPr>
          <w:p>
            <w:pPr>
              <w:spacing w:after="0"/>
              <w:rPr>
                <w:sz w:val="17"/>
                <w:szCs w:val="17"/>
                <w:color w:val="auto"/>
              </w:rPr>
            </w:pPr>
          </w:p>
        </w:tc>
        <w:tc>
          <w:tcPr>
            <w:tcW w:w="440" w:type="dxa"/>
            <w:vAlign w:val="bottom"/>
            <w:tcBorders>
              <w:top w:val="single" w:sz="8" w:color="6D8CC3"/>
              <w:bottom w:val="single" w:sz="8" w:color="6D8CC3"/>
            </w:tcBorders>
          </w:tcPr>
          <w:p>
            <w:pPr>
              <w:spacing w:after="0"/>
              <w:rPr>
                <w:sz w:val="17"/>
                <w:szCs w:val="17"/>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color w:val="292F72"/>
        </w:rPr>
        <w:t>A-2</w:t>
      </w:r>
      <w:r>
        <w:rPr>
          <w:rFonts w:ascii="Arial" w:cs="Arial" w:eastAsia="Arial" w:hAnsi="Arial"/>
          <w:sz w:val="14"/>
          <w:szCs w:val="14"/>
          <w:color w:val="292F72"/>
        </w:rPr>
        <w:t xml:space="preserve">     Bath &amp; Body Works, Inc.</w:t>
      </w:r>
      <w:r>
        <w:rPr>
          <w:rFonts w:ascii="Arial" w:cs="Arial" w:eastAsia="Arial" w:hAnsi="Arial"/>
          <w:sz w:val="14"/>
          <w:szCs w:val="14"/>
          <w:color w:val="6D8CC3"/>
        </w:rPr>
        <w:t xml:space="preserve">   | </w:t>
      </w:r>
      <w:r>
        <w:rPr>
          <w:rFonts w:ascii="Arial" w:cs="Arial" w:eastAsia="Arial" w:hAnsi="Arial"/>
          <w:sz w:val="14"/>
          <w:szCs w:val="14"/>
          <w:b w:val="1"/>
          <w:bCs w:val="1"/>
          <w:color w:val="292F72"/>
        </w:rPr>
        <w:t xml:space="preserve">  </w:t>
      </w:r>
      <w:r>
        <w:rPr>
          <w:rFonts w:ascii="Arial" w:cs="Arial" w:eastAsia="Arial" w:hAnsi="Arial"/>
          <w:sz w:val="14"/>
          <w:szCs w:val="14"/>
          <w:color w:val="292F72"/>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178435</wp:posOffset>
            </wp:positionV>
            <wp:extent cx="6795135" cy="1651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795135" cy="16510"/>
                    </a:xfrm>
                    <a:prstGeom prst="rect">
                      <a:avLst/>
                    </a:prstGeom>
                    <a:noFill/>
                  </pic:spPr>
                </pic:pic>
              </a:graphicData>
            </a:graphic>
          </wp:anchor>
        </w:drawing>
      </w:r>
    </w:p>
    <w:p>
      <w:pPr>
        <w:sectPr>
          <w:pgSz w:w="11900" w:h="16838" w:orient="portrait"/>
          <w:cols w:equalWidth="0" w:num="1">
            <w:col w:w="9040"/>
          </w:cols>
          <w:pgMar w:left="1420" w:top="116" w:right="14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wp:posOffset>
            </wp:positionH>
            <wp:positionV relativeFrom="paragraph">
              <wp:posOffset>103505</wp:posOffset>
            </wp:positionV>
            <wp:extent cx="6994525" cy="911796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994525" cy="9117965"/>
                    </a:xfrm>
                    <a:prstGeom prst="rect">
                      <a:avLst/>
                    </a:prstGeom>
                    <a:noFill/>
                  </pic:spPr>
                </pic:pic>
              </a:graphicData>
            </a:graphic>
          </wp:anchor>
        </w:drawing>
      </w:r>
    </w:p>
    <w:p>
      <w:pPr>
        <w:sectPr>
          <w:pgSz w:w="11900" w:h="16838" w:orient="portrait"/>
          <w:cols w:equalWidth="0" w:num="1">
            <w:col w:w="10139"/>
          </w:cols>
          <w:pgMar w:left="320" w:top="115" w:right="1440"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103505</wp:posOffset>
            </wp:positionV>
            <wp:extent cx="7094855" cy="93179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094855" cy="9317990"/>
                    </a:xfrm>
                    <a:prstGeom prst="rect">
                      <a:avLst/>
                    </a:prstGeom>
                    <a:noFill/>
                  </pic:spPr>
                </pic:pic>
              </a:graphicData>
            </a:graphic>
          </wp:anchor>
        </w:drawing>
      </w:r>
    </w:p>
    <w:p>
      <w:pPr>
        <w:sectPr>
          <w:pgSz w:w="11900" w:h="16838" w:orient="portrait"/>
          <w:cols w:equalWidth="0" w:num="1">
            <w:col w:w="10139"/>
          </w:cols>
          <w:pgMar w:left="320" w:top="115" w:right="1440"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103505</wp:posOffset>
            </wp:positionV>
            <wp:extent cx="6795135" cy="839343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795135" cy="8393430"/>
                    </a:xfrm>
                    <a:prstGeom prst="rect">
                      <a:avLst/>
                    </a:prstGeom>
                    <a:noFill/>
                  </pic:spPr>
                </pic:pic>
              </a:graphicData>
            </a:graphic>
          </wp:anchor>
        </w:drawing>
      </w:r>
    </w:p>
    <w:p>
      <w:pPr>
        <w:sectPr>
          <w:pgSz w:w="11900" w:h="16838" w:orient="portrait"/>
          <w:cols w:equalWidth="0" w:num="1">
            <w:col w:w="10139"/>
          </w:cols>
          <w:pgMar w:left="320" w:top="115" w:right="1440"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103505</wp:posOffset>
            </wp:positionV>
            <wp:extent cx="6386830" cy="826897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386830" cy="8268970"/>
                    </a:xfrm>
                    <a:prstGeom prst="rect">
                      <a:avLst/>
                    </a:prstGeom>
                    <a:noFill/>
                  </pic:spPr>
                </pic:pic>
              </a:graphicData>
            </a:graphic>
          </wp:anchor>
        </w:drawing>
      </w:r>
    </w:p>
    <w:sectPr>
      <w:pgSz w:w="11900" w:h="16838" w:orient="portrait"/>
      <w:cols w:equalWidth="0" w:num="1">
        <w:col w:w="10139"/>
      </w:cols>
      <w:pgMar w:left="320" w:top="1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DE91B18"/>
    <w:multiLevelType w:val="hybridMultilevel"/>
    <w:lvl w:ilvl="0">
      <w:lvlJc w:val="left"/>
      <w:lvlText w:val="☒"/>
      <w:numFmt w:val="bullet"/>
      <w:start w:val="1"/>
    </w:lvl>
    <w:lvl w:ilvl="1">
      <w:lvlJc w:val="left"/>
      <w:lvlText w:val="☐"/>
      <w:numFmt w:val="bullet"/>
      <w:start w:val="1"/>
    </w:lvl>
  </w:abstractNum>
  <w:abstractNum w:abstractNumId="1">
    <w:nsid w:val="38437FDB"/>
    <w:multiLevelType w:val="hybridMultilevel"/>
    <w:lvl w:ilvl="0">
      <w:lvlJc w:val="left"/>
      <w:lvlText w:val="☒"/>
      <w:numFmt w:val="bullet"/>
      <w:start w:val="1"/>
    </w:lvl>
    <w:lvl w:ilvl="1">
      <w:lvlJc w:val="left"/>
      <w:lvlText w:val="☐"/>
      <w:numFmt w:val="bullet"/>
      <w:start w:val="1"/>
    </w:lvl>
  </w:abstractNum>
  <w:abstractNum w:abstractNumId="2">
    <w:nsid w:val="7644A45C"/>
    <w:multiLevelType w:val="hybridMultilevel"/>
    <w:lvl w:ilvl="0">
      <w:lvlJc w:val="left"/>
      <w:lvlText w:val="&amp;"/>
      <w:numFmt w:val="bullet"/>
      <w:start w:val="1"/>
    </w:lvl>
  </w:abstractNum>
  <w:abstractNum w:abstractNumId="3">
    <w:nsid w:val="32FFF902"/>
    <w:multiLevelType w:val="hybridMultilevel"/>
    <w:lvl w:ilvl="0">
      <w:lvlJc w:val="left"/>
      <w:lvlText w:val="1"/>
      <w:numFmt w:val="bullet"/>
      <w:start w:val="1"/>
    </w:lvl>
  </w:abstractNum>
  <w:abstractNum w:abstractNumId="4">
    <w:nsid w:val="684A481A"/>
    <w:multiLevelType w:val="hybridMultilevel"/>
    <w:lvl w:ilvl="0">
      <w:lvlJc w:val="left"/>
      <w:lvlText w:val="2"/>
      <w:numFmt w:val="bullet"/>
      <w:start w:val="1"/>
    </w:lvl>
  </w:abstractNum>
  <w:abstractNum w:abstractNumId="5">
    <w:nsid w:val="579478FE"/>
    <w:multiLevelType w:val="hybridMultilevel"/>
    <w:lvl w:ilvl="0">
      <w:lvlJc w:val="left"/>
      <w:lvlText w:val="3"/>
      <w:numFmt w:val="bullet"/>
      <w:start w:val="1"/>
    </w:lvl>
  </w:abstractNum>
  <w:abstractNum w:abstractNumId="6">
    <w:nsid w:val="749ABB43"/>
    <w:multiLevelType w:val="hybridMultilevel"/>
    <w:lvl w:ilvl="0">
      <w:lvlJc w:val="left"/>
      <w:lvlText w:val="4"/>
      <w:numFmt w:val="bullet"/>
      <w:start w:val="1"/>
    </w:lvl>
  </w:abstractNum>
  <w:abstractNum w:abstractNumId="7">
    <w:nsid w:val="3DC240FB"/>
    <w:multiLevelType w:val="hybridMultilevel"/>
    <w:lvl w:ilvl="0">
      <w:lvlJc w:val="left"/>
      <w:lvlText w:val="4"/>
      <w:numFmt w:val="bullet"/>
      <w:start w:val="1"/>
    </w:lvl>
  </w:abstractNum>
  <w:abstractNum w:abstractNumId="8">
    <w:nsid w:val="1BA026FA"/>
    <w:multiLevelType w:val="hybridMultilevel"/>
    <w:lvl w:ilvl="0">
      <w:lvlJc w:val="left"/>
      <w:lvlText w:val="6"/>
      <w:numFmt w:val="bullet"/>
      <w:start w:val="1"/>
    </w:lvl>
  </w:abstractNum>
  <w:abstractNum w:abstractNumId="9">
    <w:nsid w:val="79A1DEAA"/>
    <w:multiLevelType w:val="hybridMultilevel"/>
    <w:lvl w:ilvl="0">
      <w:lvlJc w:val="left"/>
      <w:lvlText w:val="%1"/>
      <w:numFmt w:val="decimal"/>
      <w:start w:val="13"/>
    </w:lvl>
  </w:abstractNum>
  <w:abstractNum w:abstractNumId="10">
    <w:nsid w:val="75C6C33A"/>
    <w:multiLevelType w:val="hybridMultilevel"/>
    <w:lvl w:ilvl="0">
      <w:lvlJc w:val="left"/>
      <w:lvlText w:val="%1"/>
      <w:numFmt w:val="decimal"/>
      <w:start w:val="16"/>
    </w:lvl>
  </w:abstractNum>
  <w:abstractNum w:abstractNumId="11">
    <w:nsid w:val="12E685FB"/>
    <w:multiLevelType w:val="hybridMultilevel"/>
    <w:lvl w:ilvl="0">
      <w:lvlJc w:val="left"/>
      <w:lvlText w:val="%1"/>
      <w:numFmt w:val="decimal"/>
      <w:start w:val="19"/>
    </w:lvl>
  </w:abstractNum>
  <w:abstractNum w:abstractNumId="12">
    <w:nsid w:val="70C6A529"/>
    <w:multiLevelType w:val="hybridMultilevel"/>
    <w:lvl w:ilvl="0">
      <w:lvlJc w:val="left"/>
      <w:lvlText w:val="%1"/>
      <w:numFmt w:val="decimal"/>
      <w:start w:val="19"/>
    </w:lvl>
  </w:abstractNum>
  <w:abstractNum w:abstractNumId="13">
    <w:nsid w:val="520EEDD1"/>
    <w:multiLevelType w:val="hybridMultilevel"/>
    <w:lvl w:ilvl="0">
      <w:lvlJc w:val="left"/>
      <w:lvlText w:val="%1"/>
      <w:numFmt w:val="decimal"/>
      <w:start w:val="19"/>
    </w:lvl>
  </w:abstractNum>
  <w:abstractNum w:abstractNumId="14">
    <w:nsid w:val="374A3FE6"/>
    <w:multiLevelType w:val="hybridMultilevel"/>
    <w:lvl w:ilvl="0">
      <w:lvlJc w:val="left"/>
      <w:lvlText w:val="%1"/>
      <w:numFmt w:val="decimal"/>
      <w:start w:val="21"/>
    </w:lvl>
  </w:abstractNum>
  <w:abstractNum w:abstractNumId="15">
    <w:nsid w:val="4F4EF005"/>
    <w:multiLevelType w:val="hybridMultilevel"/>
    <w:lvl w:ilvl="0">
      <w:lvlJc w:val="left"/>
      <w:lvlText w:val="%1"/>
      <w:numFmt w:val="decimal"/>
      <w:start w:val="21"/>
    </w:lvl>
  </w:abstractNum>
  <w:abstractNum w:abstractNumId="16">
    <w:nsid w:val="23F9C13C"/>
    <w:multiLevelType w:val="hybridMultilevel"/>
    <w:lvl w:ilvl="0">
      <w:lvlJc w:val="left"/>
      <w:lvlText w:val="%1"/>
      <w:numFmt w:val="decimal"/>
      <w:start w:val="21"/>
    </w:lvl>
  </w:abstractNum>
  <w:abstractNum w:abstractNumId="17">
    <w:nsid w:val="649BB77C"/>
    <w:multiLevelType w:val="hybridMultilevel"/>
    <w:lvl w:ilvl="0">
      <w:lvlJc w:val="left"/>
      <w:lvlText w:val="%1"/>
      <w:numFmt w:val="decimal"/>
      <w:start w:val="23"/>
    </w:lvl>
  </w:abstractNum>
  <w:abstractNum w:abstractNumId="18">
    <w:nsid w:val="275AC794"/>
    <w:multiLevelType w:val="hybridMultilevel"/>
    <w:lvl w:ilvl="0">
      <w:lvlJc w:val="left"/>
      <w:lvlText w:val="%1"/>
      <w:numFmt w:val="decimal"/>
      <w:start w:val="24"/>
    </w:lvl>
  </w:abstractNum>
  <w:abstractNum w:abstractNumId="19">
    <w:nsid w:val="39386575"/>
    <w:multiLevelType w:val="hybridMultilevel"/>
    <w:lvl w:ilvl="0">
      <w:lvlJc w:val="left"/>
      <w:lvlText w:val="%1"/>
      <w:numFmt w:val="decimal"/>
      <w:start w:val="26"/>
    </w:lvl>
  </w:abstractNum>
  <w:abstractNum w:abstractNumId="20">
    <w:nsid w:val="1CF10FD8"/>
    <w:multiLevelType w:val="hybridMultilevel"/>
    <w:lvl w:ilvl="0">
      <w:lvlJc w:val="left"/>
      <w:lvlText w:val="%1"/>
      <w:numFmt w:val="decimal"/>
      <w:start w:val="29"/>
    </w:lvl>
  </w:abstractNum>
  <w:abstractNum w:abstractNumId="21">
    <w:nsid w:val="180115BE"/>
    <w:multiLevelType w:val="hybridMultilevel"/>
    <w:lvl w:ilvl="0">
      <w:lvlJc w:val="left"/>
      <w:lvlText w:val="%1"/>
      <w:numFmt w:val="decimal"/>
      <w:start w:val="45"/>
    </w:lvl>
  </w:abstractNum>
  <w:abstractNum w:abstractNumId="22">
    <w:nsid w:val="235BA861"/>
    <w:multiLevelType w:val="hybridMultilevel"/>
    <w:lvl w:ilvl="0">
      <w:lvlJc w:val="left"/>
      <w:lvlText w:val="%1"/>
      <w:numFmt w:val="decimal"/>
      <w:start w:val="47"/>
    </w:lvl>
  </w:abstractNum>
  <w:abstractNum w:abstractNumId="23">
    <w:nsid w:val="47398C89"/>
    <w:multiLevelType w:val="hybridMultilevel"/>
    <w:lvl w:ilvl="0">
      <w:lvlJc w:val="left"/>
      <w:lvlText w:val="%1"/>
      <w:numFmt w:val="decimal"/>
      <w:start w:val="48"/>
    </w:lvl>
  </w:abstractNum>
  <w:abstractNum w:abstractNumId="24">
    <w:nsid w:val="354FE9F9"/>
    <w:multiLevelType w:val="hybridMultilevel"/>
    <w:lvl w:ilvl="0">
      <w:lvlJc w:val="left"/>
      <w:lvlText w:val="%1"/>
      <w:numFmt w:val="decimal"/>
      <w:start w:val="54"/>
    </w:lvl>
  </w:abstractNum>
  <w:abstractNum w:abstractNumId="25">
    <w:nsid w:val="15B5AF5C"/>
    <w:multiLevelType w:val="hybridMultilevel"/>
    <w:lvl w:ilvl="0">
      <w:lvlJc w:val="left"/>
      <w:lvlText w:val="%1"/>
      <w:numFmt w:val="decimal"/>
      <w:start w:val="62"/>
    </w:lvl>
  </w:abstractNum>
  <w:abstractNum w:abstractNumId="26">
    <w:nsid w:val="741226BB"/>
    <w:multiLevelType w:val="hybridMultilevel"/>
    <w:lvl w:ilvl="0">
      <w:lvlJc w:val="left"/>
      <w:lvlText w:val="%1"/>
      <w:numFmt w:val="decimal"/>
      <w:start w:val="65"/>
    </w:lvl>
  </w:abstractNum>
  <w:abstractNum w:abstractNumId="27">
    <w:nsid w:val="D34B6A8"/>
    <w:multiLevelType w:val="hybridMultilevel"/>
    <w:lvl w:ilvl="0">
      <w:lvlJc w:val="left"/>
      <w:lvlText w:val="%1"/>
      <w:numFmt w:val="decimal"/>
      <w:start w:val="65"/>
    </w:lvl>
  </w:abstractNum>
  <w:abstractNum w:abstractNumId="28">
    <w:nsid w:val="10233C99"/>
    <w:multiLevelType w:val="hybridMultilevel"/>
    <w:lvl w:ilvl="0">
      <w:lvlJc w:val="left"/>
      <w:lvlText w:val="%1"/>
      <w:numFmt w:val="decimal"/>
      <w:start w:val="65"/>
    </w:lvl>
  </w:abstractNum>
  <w:abstractNum w:abstractNumId="29">
    <w:nsid w:val="3F6AB60F"/>
    <w:multiLevelType w:val="hybridMultilevel"/>
    <w:lvl w:ilvl="0">
      <w:lvlJc w:val="left"/>
      <w:lvlText w:val="6"/>
      <w:numFmt w:val="bullet"/>
      <w:start w:val="1"/>
    </w:lvl>
  </w:abstractNum>
  <w:abstractNum w:abstractNumId="30">
    <w:nsid w:val="61574095"/>
    <w:multiLevelType w:val="hybridMultilevel"/>
    <w:lvl w:ilvl="0">
      <w:lvlJc w:val="left"/>
      <w:lvlText w:val="%1"/>
      <w:numFmt w:val="decimal"/>
      <w:start w:val="13"/>
    </w:lvl>
  </w:abstractNum>
  <w:abstractNum w:abstractNumId="31">
    <w:nsid w:val="7E0C57B1"/>
    <w:multiLevelType w:val="hybridMultilevel"/>
    <w:lvl w:ilvl="0">
      <w:lvlJc w:val="left"/>
      <w:lvlText w:val=" "/>
      <w:numFmt w:val="bullet"/>
      <w:start w:val="1"/>
    </w:lvl>
  </w:abstractNum>
  <w:abstractNum w:abstractNumId="32">
    <w:nsid w:val="77AE35EB"/>
    <w:multiLevelType w:val="hybridMultilevel"/>
    <w:lvl w:ilvl="0">
      <w:lvlJc w:val="left"/>
      <w:lvlText w:val=" "/>
      <w:numFmt w:val="bullet"/>
      <w:start w:val="1"/>
    </w:lvl>
  </w:abstractNum>
  <w:abstractNum w:abstractNumId="33">
    <w:nsid w:val="579BE4F1"/>
    <w:multiLevelType w:val="hybridMultilevel"/>
    <w:lvl w:ilvl="0">
      <w:lvlJc w:val="left"/>
      <w:lvlText w:val="%1"/>
      <w:numFmt w:val="decimal"/>
      <w:start w:val="16"/>
    </w:lvl>
  </w:abstractNum>
  <w:abstractNum w:abstractNumId="34">
    <w:nsid w:val="310C50B3"/>
    <w:multiLevelType w:val="hybridMultilevel"/>
    <w:lvl w:ilvl="0">
      <w:lvlJc w:val="left"/>
      <w:lvlText w:val="%1"/>
      <w:numFmt w:val="decimal"/>
      <w:start w:val="19"/>
    </w:lvl>
  </w:abstractNum>
  <w:abstractNum w:abstractNumId="35">
    <w:nsid w:val="5FF87E05"/>
    <w:multiLevelType w:val="hybridMultilevel"/>
    <w:lvl w:ilvl="0">
      <w:lvlJc w:val="left"/>
      <w:lvlText w:val="%1"/>
      <w:numFmt w:val="decimal"/>
      <w:start w:val="19"/>
    </w:lvl>
  </w:abstractNum>
  <w:abstractNum w:abstractNumId="36">
    <w:nsid w:val="2F305DEF"/>
    <w:multiLevelType w:val="hybridMultilevel"/>
    <w:lvl w:ilvl="0">
      <w:lvlJc w:val="left"/>
      <w:lvlText w:val="%1"/>
      <w:numFmt w:val="decimal"/>
      <w:start w:val="19"/>
    </w:lvl>
  </w:abstractNum>
  <w:abstractNum w:abstractNumId="37">
    <w:nsid w:val="25A70BF7"/>
    <w:multiLevelType w:val="hybridMultilevel"/>
    <w:lvl w:ilvl="0">
      <w:lvlJc w:val="left"/>
      <w:lvlText w:val="%1"/>
      <w:numFmt w:val="decimal"/>
      <w:start w:val="21"/>
    </w:lvl>
  </w:abstractNum>
  <w:abstractNum w:abstractNumId="38">
    <w:nsid w:val="1DBABF00"/>
    <w:multiLevelType w:val="hybridMultilevel"/>
    <w:lvl w:ilvl="0">
      <w:lvlJc w:val="left"/>
      <w:lvlText w:val="%1"/>
      <w:numFmt w:val="decimal"/>
      <w:start w:val="21"/>
    </w:lvl>
  </w:abstractNum>
  <w:abstractNum w:abstractNumId="39">
    <w:nsid w:val="4AD084E9"/>
    <w:multiLevelType w:val="hybridMultilevel"/>
    <w:lvl w:ilvl="0">
      <w:lvlJc w:val="left"/>
      <w:lvlText w:val="%1"/>
      <w:numFmt w:val="decimal"/>
      <w:start w:val="21"/>
    </w:lvl>
  </w:abstractNum>
  <w:abstractNum w:abstractNumId="40">
    <w:nsid w:val="1F48EAA1"/>
    <w:multiLevelType w:val="hybridMultilevel"/>
    <w:lvl w:ilvl="0">
      <w:lvlJc w:val="left"/>
      <w:lvlText w:val="•"/>
      <w:numFmt w:val="bullet"/>
      <w:start w:val="1"/>
    </w:lvl>
  </w:abstractNum>
  <w:abstractNum w:abstractNumId="41">
    <w:nsid w:val="1381823A"/>
    <w:multiLevelType w:val="hybridMultilevel"/>
    <w:lvl w:ilvl="0">
      <w:lvlJc w:val="left"/>
      <w:lvlText w:val="(%1)"/>
      <w:numFmt w:val="decimal"/>
      <w:start w:val="1"/>
    </w:lvl>
  </w:abstractNum>
  <w:abstractNum w:abstractNumId="42">
    <w:nsid w:val="5DB70AE5"/>
    <w:multiLevelType w:val="hybridMultilevel"/>
    <w:lvl w:ilvl="0">
      <w:lvlJc w:val="left"/>
      <w:lvlText w:val=" "/>
      <w:numFmt w:val="bullet"/>
      <w:start w:val="1"/>
    </w:lvl>
  </w:abstractNum>
  <w:abstractNum w:abstractNumId="43">
    <w:nsid w:val="100F8FCA"/>
    <w:multiLevelType w:val="hybridMultilevel"/>
    <w:lvl w:ilvl="0">
      <w:lvlJc w:val="left"/>
      <w:lvlText w:val="(%1)"/>
      <w:numFmt w:val="decimal"/>
      <w:start w:val="1"/>
    </w:lvl>
  </w:abstractNum>
  <w:abstractNum w:abstractNumId="44">
    <w:nsid w:val="6590700B"/>
    <w:multiLevelType w:val="hybridMultilevel"/>
    <w:lvl w:ilvl="0">
      <w:lvlJc w:val="left"/>
      <w:lvlText w:val=" "/>
      <w:numFmt w:val="bullet"/>
      <w:start w:val="1"/>
    </w:lvl>
  </w:abstractNum>
  <w:abstractNum w:abstractNumId="45">
    <w:nsid w:val="15014ACB"/>
    <w:multiLevelType w:val="hybridMultilevel"/>
    <w:lvl w:ilvl="0">
      <w:lvlJc w:val="left"/>
      <w:lvlText w:val="%1"/>
      <w:numFmt w:val="decimal"/>
      <w:start w:val="29"/>
    </w:lvl>
  </w:abstractNum>
  <w:abstractNum w:abstractNumId="46">
    <w:nsid w:val="5F5E7FD0"/>
    <w:multiLevelType w:val="hybridMultilevel"/>
    <w:lvl w:ilvl="0">
      <w:lvlJc w:val="left"/>
      <w:lvlText w:val="%1"/>
      <w:numFmt w:val="decimal"/>
      <w:start w:val="47"/>
    </w:lvl>
  </w:abstractNum>
  <w:abstractNum w:abstractNumId="47">
    <w:nsid w:val="98A3148"/>
    <w:multiLevelType w:val="hybridMultilevel"/>
    <w:lvl w:ilvl="0">
      <w:lvlJc w:val="left"/>
      <w:lvlText w:val="%1"/>
      <w:numFmt w:val="decimal"/>
      <w:start w:val="54"/>
    </w:lvl>
  </w:abstractNum>
  <w:abstractNum w:abstractNumId="48">
    <w:nsid w:val="799D0247"/>
    <w:multiLevelType w:val="hybridMultilevel"/>
    <w:lvl w:ilvl="0">
      <w:lvlJc w:val="left"/>
      <w:lvlText w:val="(%1)"/>
      <w:numFmt w:val="decimal"/>
      <w:start w:val="1"/>
    </w:lvl>
  </w:abstractNum>
  <w:abstractNum w:abstractNumId="49">
    <w:nsid w:val="6B94764"/>
    <w:multiLevelType w:val="hybridMultilevel"/>
    <w:lvl w:ilvl="0">
      <w:lvlJc w:val="left"/>
      <w:lvlText w:val="(%1)"/>
      <w:numFmt w:val="decimal"/>
      <w:start w:val="1"/>
    </w:lvl>
  </w:abstractNum>
  <w:abstractNum w:abstractNumId="50">
    <w:nsid w:val="42C296BD"/>
    <w:multiLevelType w:val="hybridMultilevel"/>
    <w:lvl w:ilvl="0">
      <w:lvlJc w:val="left"/>
      <w:lvlText w:val="•"/>
      <w:numFmt w:val="bullet"/>
      <w:start w:val="1"/>
    </w:lvl>
  </w:abstractNum>
  <w:abstractNum w:abstractNumId="51">
    <w:nsid w:val="168E121F"/>
    <w:multiLevelType w:val="hybridMultilevel"/>
    <w:lvl w:ilvl="0">
      <w:lvlJc w:val="left"/>
      <w:lvlText w:val="(%1)"/>
      <w:numFmt w:val="decimal"/>
      <w:start w:val="1"/>
    </w:lvl>
  </w:abstractNum>
  <w:abstractNum w:abstractNumId="52">
    <w:nsid w:val="1EBA5D23"/>
    <w:multiLevelType w:val="hybridMultilevel"/>
    <w:lvl w:ilvl="0">
      <w:lvlJc w:val="left"/>
      <w:lvlText w:val="•"/>
      <w:numFmt w:val="bullet"/>
      <w:start w:val="1"/>
    </w:lvl>
  </w:abstractNum>
  <w:abstractNum w:abstractNumId="53">
    <w:nsid w:val="661E3F1E"/>
    <w:multiLevelType w:val="hybridMultilevel"/>
    <w:lvl w:ilvl="0">
      <w:lvlJc w:val="left"/>
      <w:lvlText w:val="(%1)"/>
      <w:numFmt w:val="decimal"/>
      <w:start w:val="1"/>
    </w:lvl>
  </w:abstractNum>
  <w:abstractNum w:abstractNumId="54">
    <w:nsid w:val="5DC79EA8"/>
    <w:multiLevelType w:val="hybridMultilevel"/>
    <w:lvl w:ilvl="0">
      <w:lvlJc w:val="left"/>
      <w:lvlText w:val="•"/>
      <w:numFmt w:val="bullet"/>
      <w:start w:val="1"/>
    </w:lvl>
  </w:abstractNum>
  <w:abstractNum w:abstractNumId="55">
    <w:nsid w:val="540A471C"/>
    <w:multiLevelType w:val="hybridMultilevel"/>
    <w:lvl w:ilvl="0">
      <w:lvlJc w:val="left"/>
      <w:lvlText w:val="(%1)"/>
      <w:numFmt w:val="decimal"/>
      <w:start w:val="1"/>
    </w:lvl>
  </w:abstractNum>
  <w:abstractNum w:abstractNumId="56">
    <w:nsid w:val="7BD3EE7B"/>
    <w:multiLevelType w:val="hybridMultilevel"/>
    <w:lvl w:ilvl="0">
      <w:lvlJc w:val="left"/>
      <w:lvlText w:val="(%1)"/>
      <w:numFmt w:val="decimal"/>
      <w:start w:val="1"/>
    </w:lvl>
  </w:abstractNum>
  <w:abstractNum w:abstractNumId="57">
    <w:nsid w:val="51D9C564"/>
    <w:multiLevelType w:val="hybridMultilevel"/>
    <w:lvl w:ilvl="0">
      <w:lvlJc w:val="left"/>
      <w:lvlText w:val="(%1)"/>
      <w:numFmt w:val="decimal"/>
      <w:start w:val="1"/>
    </w:lvl>
  </w:abstractNum>
  <w:abstractNum w:abstractNumId="58">
    <w:nsid w:val="613EFDC5"/>
    <w:multiLevelType w:val="hybridMultilevel"/>
    <w:lvl w:ilvl="0">
      <w:lvlJc w:val="left"/>
      <w:lvlText w:val="(%1)"/>
      <w:numFmt w:val="decimal"/>
      <w:start w:val="1"/>
    </w:lvl>
  </w:abstractNum>
  <w:abstractNum w:abstractNumId="59">
    <w:nsid w:val="BF72B14"/>
    <w:multiLevelType w:val="hybridMultilevel"/>
    <w:lvl w:ilvl="0">
      <w:lvlJc w:val="left"/>
      <w:lvlText w:val="(%1)"/>
      <w:numFmt w:val="decimal"/>
      <w:start w:val="1"/>
    </w:lvl>
  </w:abstractNum>
  <w:abstractNum w:abstractNumId="60">
    <w:nsid w:val="11447B73"/>
    <w:multiLevelType w:val="hybridMultilevel"/>
    <w:lvl w:ilvl="0">
      <w:lvlJc w:val="left"/>
      <w:lvlText w:val="•"/>
      <w:numFmt w:val="bullet"/>
      <w:start w:val="1"/>
    </w:lvl>
  </w:abstractNum>
  <w:abstractNum w:abstractNumId="61">
    <w:nsid w:val="42963E5A"/>
    <w:multiLevelType w:val="hybridMultilevel"/>
    <w:lvl w:ilvl="0">
      <w:lvlJc w:val="left"/>
      <w:lvlText w:val="(%1)"/>
      <w:numFmt w:val="decimal"/>
      <w:start w:val="1"/>
    </w:lvl>
  </w:abstractNum>
  <w:abstractNum w:abstractNumId="62">
    <w:nsid w:val="A0382C5"/>
    <w:multiLevelType w:val="hybridMultilevel"/>
    <w:lvl w:ilvl="0">
      <w:lvlJc w:val="left"/>
      <w:lvlText w:val="(%1)"/>
      <w:numFmt w:val="decimal"/>
      <w:start w:val="1"/>
    </w:lvl>
  </w:abstractNum>
  <w:abstractNum w:abstractNumId="63">
    <w:nsid w:val="8F2B15E"/>
    <w:multiLevelType w:val="hybridMultilevel"/>
    <w:lvl w:ilvl="0">
      <w:lvlJc w:val="left"/>
      <w:lvlText w:val="(%1)"/>
      <w:numFmt w:val="lowerRoman"/>
      <w:start w:val="1"/>
    </w:lvl>
  </w:abstractNum>
  <w:abstractNum w:abstractNumId="64">
    <w:nsid w:val="1A32234B"/>
    <w:multiLevelType w:val="hybridMultilevel"/>
    <w:lvl w:ilvl="0">
      <w:lvlJc w:val="left"/>
      <w:lvlText w:val="•"/>
      <w:numFmt w:val="bullet"/>
      <w:start w:val="1"/>
    </w:lvl>
  </w:abstractNum>
  <w:abstractNum w:abstractNumId="65">
    <w:nsid w:val="3B0FD379"/>
    <w:multiLevelType w:val="hybridMultilevel"/>
    <w:lvl w:ilvl="0">
      <w:lvlJc w:val="left"/>
      <w:lvlText w:val="(%1)"/>
      <w:numFmt w:val="lowerRoman"/>
      <w:start w:val="3"/>
    </w:lvl>
  </w:abstractNum>
  <w:abstractNum w:abstractNumId="66">
    <w:nsid w:val="68EB2F63"/>
    <w:multiLevelType w:val="hybridMultilevel"/>
    <w:lvl w:ilvl="0">
      <w:lvlJc w:val="left"/>
      <w:lvlText w:val="•"/>
      <w:numFmt w:val="bullet"/>
      <w:start w:val="1"/>
    </w:lvl>
  </w:abstractNum>
  <w:abstractNum w:abstractNumId="67">
    <w:nsid w:val="4962813B"/>
    <w:multiLevelType w:val="hybridMultilevel"/>
    <w:lvl w:ilvl="0">
      <w:lvlJc w:val="left"/>
      <w:lvlText w:val="(%1)"/>
      <w:numFmt w:val="decimal"/>
      <w:start w:val="1"/>
    </w:lvl>
  </w:abstractNum>
  <w:abstractNum w:abstractNumId="68">
    <w:nsid w:val="60B6DF70"/>
    <w:multiLevelType w:val="hybridMultilevel"/>
    <w:lvl w:ilvl="0">
      <w:lvlJc w:val="left"/>
      <w:lvlText w:val=" "/>
      <w:numFmt w:val="bullet"/>
      <w:start w:val="1"/>
    </w:lvl>
  </w:abstractNum>
  <w:abstractNum w:abstractNumId="69">
    <w:nsid w:val="6A5EE64"/>
    <w:multiLevelType w:val="hybridMultilevel"/>
    <w:lvl w:ilvl="0">
      <w:lvlJc w:val="left"/>
      <w:lvlText w:val="(%1)"/>
      <w:numFmt w:val="decimal"/>
      <w:start w:val="2"/>
    </w:lvl>
  </w:abstractNum>
  <w:abstractNum w:abstractNumId="70">
    <w:nsid w:val="14330624"/>
    <w:multiLevelType w:val="hybridMultilevel"/>
    <w:lvl w:ilvl="0">
      <w:lvlJc w:val="left"/>
      <w:lvlText w:val="%1"/>
      <w:numFmt w:val="decimal"/>
      <w:start w:val="1"/>
    </w:lvl>
    <w:lvl w:ilvl="1">
      <w:lvlJc w:val="left"/>
      <w:lvlText w:val="(%2)"/>
      <w:numFmt w:val="lowerLetter"/>
      <w:start w:val="1"/>
    </w:lvl>
  </w:abstractNum>
  <w:abstractNum w:abstractNumId="71">
    <w:nsid w:val="7FFFCA11"/>
    <w:multiLevelType w:val="hybridMultilevel"/>
    <w:lvl w:ilvl="0">
      <w:lvlJc w:val="left"/>
      <w:lvlText w:val="(%1)"/>
      <w:numFmt w:val="decimal"/>
      <w:start w:val="4"/>
    </w:lvl>
    <w:lvl w:ilvl="1">
      <w:lvlJc w:val="left"/>
      <w:lvlText w:val="%2"/>
      <w:numFmt w:val="lowerLetter"/>
      <w:start w:val="1"/>
    </w:lvl>
  </w:abstractNum>
  <w:abstractNum w:abstractNumId="72">
    <w:nsid w:val="1A27709E"/>
    <w:multiLevelType w:val="hybridMultilevel"/>
    <w:lvl w:ilvl="0">
      <w:lvlJc w:val="left"/>
      <w:lvlText w:val="(%1)"/>
      <w:numFmt w:val="decimal"/>
      <w:start w:val="1"/>
    </w:lvl>
  </w:abstractNum>
  <w:abstractNum w:abstractNumId="73">
    <w:nsid w:val="71EA1109"/>
    <w:multiLevelType w:val="hybridMultilevel"/>
    <w:lvl w:ilvl="0">
      <w:lvlJc w:val="left"/>
      <w:lvlText w:val="(%1)"/>
      <w:numFmt w:val="decimal"/>
      <w:start w:val="1"/>
    </w:lvl>
  </w:abstractNum>
  <w:abstractNum w:abstractNumId="74">
    <w:nsid w:val="100F59DC"/>
    <w:multiLevelType w:val="hybridMultilevel"/>
    <w:lvl w:ilvl="0">
      <w:lvlJc w:val="left"/>
      <w:lvlText w:val="(%1)"/>
      <w:numFmt w:val="decimal"/>
      <w:start w:val="1"/>
    </w:lvl>
  </w:abstractNum>
  <w:abstractNum w:abstractNumId="75">
    <w:nsid w:val="7FB7E0AA"/>
    <w:multiLevelType w:val="hybridMultilevel"/>
    <w:lvl w:ilvl="0">
      <w:lvlJc w:val="left"/>
      <w:lvlText w:val="(%1)"/>
      <w:numFmt w:val="decimal"/>
      <w:start w:val="3"/>
    </w:lvl>
  </w:abstractNum>
  <w:abstractNum w:abstractNumId="76">
    <w:nsid w:val="6EB5BD4"/>
    <w:multiLevelType w:val="hybridMultilevel"/>
    <w:lvl w:ilvl="0">
      <w:lvlJc w:val="left"/>
      <w:lvlText w:val="(%1)"/>
      <w:numFmt w:val="lowerRoman"/>
      <w:start w:val="5"/>
    </w:lvl>
  </w:abstractNum>
  <w:abstractNum w:abstractNumId="77">
    <w:nsid w:val="6F6DD9AC"/>
    <w:multiLevelType w:val="hybridMultilevel"/>
    <w:lvl w:ilvl="0">
      <w:lvlJc w:val="left"/>
      <w:lvlText w:val="(%1)"/>
      <w:numFmt w:val="lowerLetter"/>
      <w:start w:val="1"/>
    </w:lvl>
  </w:abstractNum>
  <w:abstractNum w:abstractNumId="78">
    <w:nsid w:val="94211F2"/>
    <w:multiLevelType w:val="hybridMultilevel"/>
    <w:lvl w:ilvl="0">
      <w:lvlJc w:val="left"/>
      <w:lvlText w:val="•"/>
      <w:numFmt w:val="bullet"/>
      <w:start w:val="1"/>
    </w:lvl>
  </w:abstractNum>
  <w:abstractNum w:abstractNumId="79">
    <w:nsid w:val="885E1B"/>
    <w:multiLevelType w:val="hybridMultilevel"/>
    <w:lvl w:ilvl="0">
      <w:lvlJc w:val="left"/>
      <w:lvlText w:val="(%1)"/>
      <w:numFmt w:val="decimal"/>
      <w:start w:val="1"/>
    </w:lvl>
  </w:abstractNum>
  <w:abstractNum w:abstractNumId="80">
    <w:nsid w:val="76272110"/>
    <w:multiLevelType w:val="hybridMultilevel"/>
    <w:lvl w:ilvl="0">
      <w:lvlJc w:val="left"/>
      <w:lvlText w:val="(%1)"/>
      <w:numFmt w:val="lowerLetter"/>
      <w:start w:val="1"/>
    </w:lvl>
  </w:abstractNum>
  <w:abstractNum w:abstractNumId="81">
    <w:nsid w:val="4C04A8AF"/>
    <w:multiLevelType w:val="hybridMultilevel"/>
    <w:lvl w:ilvl="0">
      <w:lvlJc w:val="left"/>
      <w:lvlText w:val="(%1)"/>
      <w:numFmt w:val="decimal"/>
      <w:start w:val="2"/>
    </w:lvl>
    <w:lvl w:ilvl="1">
      <w:lvlJc w:val="left"/>
      <w:lvlText w:val=" "/>
      <w:numFmt w:val="bullet"/>
      <w:start w:val="1"/>
    </w:lvl>
  </w:abstractNum>
  <w:abstractNum w:abstractNumId="82">
    <w:nsid w:val="1716703B"/>
    <w:multiLevelType w:val="hybridMultilevel"/>
    <w:lvl w:ilvl="0">
      <w:lvlJc w:val="left"/>
      <w:lvlText w:val="(%1)"/>
      <w:numFmt w:val="decimal"/>
      <w:start w:val="5"/>
    </w:lvl>
  </w:abstractNum>
  <w:abstractNum w:abstractNumId="83">
    <w:nsid w:val="14E17E33"/>
    <w:multiLevelType w:val="hybridMultilevel"/>
    <w:lvl w:ilvl="0">
      <w:lvlJc w:val="left"/>
      <w:lvlText w:val="*"/>
      <w:numFmt w:val="bullet"/>
      <w:start w:val="1"/>
    </w:lvl>
  </w:abstractNum>
  <w:abstractNum w:abstractNumId="84">
    <w:nsid w:val="3222E7CD"/>
    <w:multiLevelType w:val="hybridMultilevel"/>
    <w:lvl w:ilvl="0">
      <w:lvlJc w:val="left"/>
      <w:lvlText w:val="(%1)"/>
      <w:numFmt w:val="decimal"/>
      <w:start w:val="1"/>
    </w:lvl>
  </w:abstractNum>
  <w:abstractNum w:abstractNumId="85">
    <w:nsid w:val="74DE0EE3"/>
    <w:multiLevelType w:val="hybridMultilevel"/>
    <w:lvl w:ilvl="0">
      <w:lvlJc w:val="left"/>
      <w:lvlText w:val="(%1)"/>
      <w:numFmt w:val="decimal"/>
      <w:start w:val="1"/>
    </w:lvl>
  </w:abstractNum>
  <w:abstractNum w:abstractNumId="86">
    <w:nsid w:val="68EBC550"/>
    <w:multiLevelType w:val="hybridMultilevel"/>
    <w:lvl w:ilvl="0">
      <w:lvlJc w:val="left"/>
      <w:lvlText w:val="•"/>
      <w:numFmt w:val="bullet"/>
      <w:start w:val="1"/>
    </w:lvl>
  </w:abstractNum>
  <w:abstractNum w:abstractNumId="87">
    <w:nsid w:val="2DF6D648"/>
    <w:multiLevelType w:val="hybridMultilevel"/>
    <w:lvl w:ilvl="0">
      <w:lvlJc w:val="left"/>
      <w:lvlText w:val="•"/>
      <w:numFmt w:val="bullet"/>
      <w:start w:val="1"/>
    </w:lvl>
  </w:abstractNum>
  <w:abstractNum w:abstractNumId="88">
    <w:nsid w:val="46B7D447"/>
    <w:multiLevelType w:val="hybridMultilevel"/>
    <w:lvl w:ilvl="0">
      <w:lvlJc w:val="left"/>
      <w:lvlText w:val="•"/>
      <w:numFmt w:val="bullet"/>
      <w:start w:val="1"/>
    </w:lvl>
  </w:abstractNum>
  <w:abstractNum w:abstractNumId="89">
    <w:nsid w:val="4A2AC315"/>
    <w:multiLevelType w:val="hybridMultilevel"/>
    <w:lvl w:ilvl="0">
      <w:lvlJc w:val="left"/>
      <w:lvlText w:val="•"/>
      <w:numFmt w:val="bullet"/>
      <w:start w:val="1"/>
    </w:lvl>
  </w:abstractNum>
  <w:abstractNum w:abstractNumId="90">
    <w:nsid w:val="39EE015C"/>
    <w:multiLevelType w:val="hybridMultilevel"/>
    <w:lvl w:ilvl="0">
      <w:lvlJc w:val="left"/>
      <w:lvlText w:val="•"/>
      <w:numFmt w:val="bullet"/>
      <w:start w:val="1"/>
    </w:lvl>
  </w:abstractNum>
  <w:abstractNum w:abstractNumId="91">
    <w:nsid w:val="57FC4FBB"/>
    <w:multiLevelType w:val="hybridMultilevel"/>
    <w:lvl w:ilvl="0">
      <w:lvlJc w:val="left"/>
      <w:lvlText w:val="(%1)"/>
      <w:numFmt w:val="decimal"/>
      <w:start w:val="1"/>
    </w:lvl>
  </w:abstractNum>
  <w:abstractNum w:abstractNumId="92">
    <w:nsid w:val="CC1016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jpeg"/><Relationship Id="rId355" Type="http://schemas.openxmlformats.org/officeDocument/2006/relationships/image" Target="media/image348.jpeg"/><Relationship Id="rId356" Type="http://schemas.openxmlformats.org/officeDocument/2006/relationships/image" Target="media/image349.jpe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2026-04-28T16:56:25Z</dcterms:created>
  <dcterms:modified xsi:type="dcterms:W3CDTF">2026-04-28T16:56:25Z</dcterms:modified>
</cp:coreProperties>
</file>