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March 4, 2026</w:t>
      </w:r>
    </w:p>
    <w:p>
      <w:pPr>
        <w:spacing w:after="0" w:line="126" w:lineRule="exact"/>
        <w:rPr>
          <w:sz w:val="24"/>
          <w:szCs w:val="24"/>
          <w:color w:val="auto"/>
        </w:rPr>
      </w:pPr>
    </w:p>
    <w:tbl>
      <w:tblPr>
        <w:tblLayout w:type="fixed"/>
        <w:tblInd w:w="1060" w:type="dxa"/>
        <w:tblCellMar>
          <w:top w:w="0" w:type="dxa"/>
          <w:left w:w="0" w:type="dxa"/>
          <w:bottom w:w="0" w:type="dxa"/>
          <w:right w:w="0" w:type="dxa"/>
        </w:tblCellMar>
      </w:tblPr>
      <w:tr>
        <w:trPr>
          <w:trHeight w:val="297"/>
        </w:trPr>
        <w:tc>
          <w:tcPr>
            <w:tcW w:w="2540" w:type="dxa"/>
            <w:vAlign w:val="bottom"/>
          </w:tcPr>
          <w:p>
            <w:pPr>
              <w:spacing w:after="0"/>
              <w:rPr>
                <w:sz w:val="24"/>
                <w:szCs w:val="24"/>
                <w:color w:val="auto"/>
              </w:rPr>
            </w:pPr>
          </w:p>
        </w:tc>
        <w:tc>
          <w:tcPr>
            <w:tcW w:w="6400" w:type="dxa"/>
            <w:vAlign w:val="bottom"/>
          </w:tcPr>
          <w:p>
            <w:pPr>
              <w:jc w:val="center"/>
              <w:ind w:right="2336"/>
              <w:spacing w:after="0"/>
              <w:rPr>
                <w:sz w:val="20"/>
                <w:szCs w:val="20"/>
                <w:color w:val="auto"/>
              </w:rPr>
            </w:pPr>
            <w:r>
              <w:rPr>
                <w:rFonts w:ascii="Times New Roman" w:cs="Times New Roman" w:eastAsia="Times New Roman" w:hAnsi="Times New Roman"/>
                <w:sz w:val="23"/>
                <w:szCs w:val="23"/>
                <w:b w:val="1"/>
                <w:bCs w:val="1"/>
                <w:color w:val="auto"/>
              </w:rPr>
              <w:t>Bath &amp; Body Works, Inc.</w:t>
            </w:r>
          </w:p>
        </w:tc>
      </w:tr>
      <w:tr>
        <w:trPr>
          <w:trHeight w:val="144"/>
        </w:trPr>
        <w:tc>
          <w:tcPr>
            <w:tcW w:w="2540" w:type="dxa"/>
            <w:vAlign w:val="bottom"/>
          </w:tcPr>
          <w:p>
            <w:pPr>
              <w:spacing w:after="0"/>
              <w:rPr>
                <w:sz w:val="12"/>
                <w:szCs w:val="12"/>
                <w:color w:val="auto"/>
              </w:rPr>
            </w:pPr>
          </w:p>
        </w:tc>
        <w:tc>
          <w:tcPr>
            <w:tcW w:w="6400" w:type="dxa"/>
            <w:vAlign w:val="bottom"/>
          </w:tcPr>
          <w:p>
            <w:pPr>
              <w:jc w:val="center"/>
              <w:ind w:right="2336"/>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400" w:type="dxa"/>
            <w:vAlign w:val="bottom"/>
          </w:tcPr>
          <w:p>
            <w:pPr>
              <w:jc w:val="center"/>
              <w:ind w:right="2356"/>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40" w:type="dxa"/>
            <w:vAlign w:val="bottom"/>
          </w:tcPr>
          <w:p>
            <w:pPr>
              <w:spacing w:after="0"/>
              <w:rPr>
                <w:sz w:val="24"/>
                <w:szCs w:val="24"/>
                <w:color w:val="auto"/>
              </w:rPr>
            </w:pPr>
          </w:p>
        </w:tc>
        <w:tc>
          <w:tcPr>
            <w:tcW w:w="6400" w:type="dxa"/>
            <w:vAlign w:val="bottom"/>
          </w:tcPr>
          <w:p>
            <w:pPr>
              <w:jc w:val="center"/>
              <w:ind w:right="2336"/>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400" w:type="dxa"/>
            <w:vAlign w:val="bottom"/>
          </w:tcPr>
          <w:p>
            <w:pPr>
              <w:jc w:val="center"/>
              <w:ind w:right="2356"/>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4"/>
        </w:trPr>
        <w:tc>
          <w:tcPr>
            <w:tcW w:w="2540" w:type="dxa"/>
            <w:vAlign w:val="bottom"/>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rPr>
              <w:t>1-8344</w:t>
            </w:r>
          </w:p>
        </w:tc>
        <w:tc>
          <w:tcPr>
            <w:tcW w:w="6400" w:type="dxa"/>
            <w:vAlign w:val="bottom"/>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188"/>
        </w:trPr>
        <w:tc>
          <w:tcPr>
            <w:tcW w:w="25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(Commission File Number)</w:t>
            </w:r>
          </w:p>
        </w:tc>
        <w:tc>
          <w:tcPr>
            <w:tcW w:w="6400" w:type="dxa"/>
            <w:vAlign w:val="bottom"/>
          </w:tcPr>
          <w:p>
            <w:pPr>
              <w:jc w:val="center"/>
              <w:ind w:left="433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14"/>
        </w:trPr>
        <w:tc>
          <w:tcPr>
            <w:tcW w:w="2540" w:type="dxa"/>
            <w:vAlign w:val="bottom"/>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w w:val="99"/>
              </w:rPr>
              <w:t>Three Limited Parkway</w:t>
            </w:r>
          </w:p>
        </w:tc>
        <w:tc>
          <w:tcPr>
            <w:tcW w:w="6400" w:type="dxa"/>
            <w:vAlign w:val="bottom"/>
          </w:tcPr>
          <w:p>
            <w:pPr>
              <w:spacing w:after="0"/>
              <w:rPr>
                <w:sz w:val="24"/>
                <w:szCs w:val="24"/>
                <w:color w:val="auto"/>
              </w:rPr>
            </w:pPr>
          </w:p>
        </w:tc>
      </w:tr>
      <w:tr>
        <w:trPr>
          <w:trHeight w:val="229"/>
        </w:trPr>
        <w:tc>
          <w:tcPr>
            <w:tcW w:w="2540" w:type="dxa"/>
            <w:vAlign w:val="bottom"/>
          </w:tcPr>
          <w:p>
            <w:pPr>
              <w:jc w:val="center"/>
              <w:ind w:right="157"/>
              <w:spacing w:after="0"/>
              <w:rPr>
                <w:sz w:val="20"/>
                <w:szCs w:val="20"/>
                <w:color w:val="auto"/>
              </w:rPr>
            </w:pPr>
            <w:r>
              <w:rPr>
                <w:rFonts w:ascii="Times New Roman" w:cs="Times New Roman" w:eastAsia="Times New Roman" w:hAnsi="Times New Roman"/>
                <w:sz w:val="18"/>
                <w:szCs w:val="18"/>
                <w:b w:val="1"/>
                <w:bCs w:val="1"/>
                <w:color w:val="auto"/>
                <w:w w:val="98"/>
              </w:rPr>
              <w:t>Columbus, OH</w:t>
            </w:r>
          </w:p>
        </w:tc>
        <w:tc>
          <w:tcPr>
            <w:tcW w:w="640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43230</w:t>
            </w:r>
          </w:p>
        </w:tc>
      </w:tr>
      <w:tr>
        <w:trPr>
          <w:trHeight w:val="188"/>
        </w:trPr>
        <w:tc>
          <w:tcPr>
            <w:tcW w:w="25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400" w:type="dxa"/>
            <w:vAlign w:val="bottom"/>
          </w:tcPr>
          <w:p>
            <w:pPr>
              <w:jc w:val="center"/>
              <w:ind w:left="4356"/>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40" w:type="dxa"/>
            <w:vAlign w:val="bottom"/>
          </w:tcPr>
          <w:p>
            <w:pPr>
              <w:spacing w:after="0"/>
              <w:rPr>
                <w:sz w:val="24"/>
                <w:szCs w:val="24"/>
                <w:color w:val="auto"/>
              </w:rPr>
            </w:pPr>
          </w:p>
        </w:tc>
        <w:tc>
          <w:tcPr>
            <w:tcW w:w="6400" w:type="dxa"/>
            <w:vAlign w:val="bottom"/>
          </w:tcPr>
          <w:p>
            <w:pPr>
              <w:jc w:val="center"/>
              <w:ind w:right="2276"/>
              <w:spacing w:after="0"/>
              <w:rPr>
                <w:sz w:val="20"/>
                <w:szCs w:val="20"/>
                <w:color w:val="auto"/>
              </w:rPr>
            </w:pPr>
            <w:r>
              <w:rPr>
                <w:rFonts w:ascii="Times New Roman" w:cs="Times New Roman" w:eastAsia="Times New Roman" w:hAnsi="Times New Roman"/>
                <w:sz w:val="18"/>
                <w:szCs w:val="18"/>
                <w:b w:val="1"/>
                <w:bCs w:val="1"/>
                <w:color w:val="auto"/>
                <w:w w:val="99"/>
              </w:rPr>
              <w:t>(614) 415-7000</w:t>
            </w:r>
          </w:p>
        </w:tc>
      </w:tr>
      <w:tr>
        <w:trPr>
          <w:trHeight w:val="188"/>
        </w:trPr>
        <w:tc>
          <w:tcPr>
            <w:tcW w:w="2540" w:type="dxa"/>
            <w:vAlign w:val="bottom"/>
          </w:tcPr>
          <w:p>
            <w:pPr>
              <w:spacing w:after="0"/>
              <w:rPr>
                <w:sz w:val="16"/>
                <w:szCs w:val="16"/>
                <w:color w:val="auto"/>
              </w:rPr>
            </w:pPr>
          </w:p>
        </w:tc>
        <w:tc>
          <w:tcPr>
            <w:tcW w:w="6400" w:type="dxa"/>
            <w:vAlign w:val="bottom"/>
          </w:tcPr>
          <w:p>
            <w:pPr>
              <w:jc w:val="center"/>
              <w:ind w:right="225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400" w:type="dxa"/>
            <w:vAlign w:val="bottom"/>
          </w:tcPr>
          <w:p>
            <w:pPr>
              <w:jc w:val="center"/>
              <w:ind w:right="2276"/>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400" w:type="dxa"/>
            <w:vAlign w:val="bottom"/>
          </w:tcPr>
          <w:p>
            <w:pPr>
              <w:jc w:val="center"/>
              <w:ind w:right="2256"/>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$0.50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BBWI</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information, including Exhibit 99.1,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4, 2026, Bath &amp; Body Works, Inc. issued a press release setting forth its unaudited financial results for the fourth quarter and full-year 2025. In addition, the press release provides first quarter and full-year 2026 earnings guidance. A copy of the press release is attached hereto as Exhibit 99.1 and is hereby incorporated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Bath &amp; Body Works, Inc., dated March 4, 2026.</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4040" w:val="left"/>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Eva C. Boratto</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166370</wp:posOffset>
            </wp:positionV>
            <wp:extent cx="60178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78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0" w:right="520" w:hanging="13"/>
        <w:spacing w:after="0" w:line="297" w:lineRule="auto"/>
        <w:rPr>
          <w:sz w:val="20"/>
          <w:szCs w:val="20"/>
          <w:color w:val="auto"/>
        </w:rPr>
      </w:pPr>
      <w:r>
        <w:rPr>
          <w:rFonts w:ascii="Arial" w:cs="Arial" w:eastAsia="Arial" w:hAnsi="Arial"/>
          <w:sz w:val="19"/>
          <w:szCs w:val="19"/>
          <w:b w:val="1"/>
          <w:bCs w:val="1"/>
          <w:color w:val="auto"/>
        </w:rPr>
        <w:t>Bath &amp; Body Works Drives progress on the Consumer First Formula across innovation, brand elevation, and marketplace expansion and Reports Fourth Quarter and Full-Year 2025 Results and Provides 2026 Guidance</w:t>
      </w:r>
    </w:p>
    <w:p>
      <w:pPr>
        <w:spacing w:after="0" w:line="15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Delivers Q4 net sales and earnings per share results above guidance</w:t>
      </w:r>
    </w:p>
    <w:p>
      <w:pPr>
        <w:spacing w:after="0" w:line="4" w:lineRule="exact"/>
        <w:rPr>
          <w:rFonts w:ascii="Arial" w:cs="Arial" w:eastAsia="Arial" w:hAnsi="Arial"/>
          <w:sz w:val="20"/>
          <w:szCs w:val="20"/>
          <w:color w:val="auto"/>
        </w:rPr>
      </w:pPr>
    </w:p>
    <w:p>
      <w:pPr>
        <w:ind w:left="300" w:hanging="292"/>
        <w:spacing w:after="0"/>
        <w:tabs>
          <w:tab w:leader="none" w:pos="30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Fourth quarter net sales of $2.7 billion, down 2%. Earnings per diluted share of $1.99; Adjusted earnings per diluted share of</w:t>
      </w:r>
    </w:p>
    <w:p>
      <w:pPr>
        <w:ind w:left="340"/>
        <w:spacing w:after="0" w:line="236" w:lineRule="auto"/>
        <w:rPr>
          <w:sz w:val="20"/>
          <w:szCs w:val="20"/>
          <w:color w:val="auto"/>
        </w:rPr>
      </w:pPr>
      <w:r>
        <w:rPr>
          <w:rFonts w:ascii="Arial" w:cs="Arial" w:eastAsia="Arial" w:hAnsi="Arial"/>
          <w:sz w:val="20"/>
          <w:szCs w:val="20"/>
          <w:i w:val="1"/>
          <w:iCs w:val="1"/>
          <w:color w:val="auto"/>
        </w:rPr>
        <w:t>$2.05</w:t>
      </w:r>
    </w:p>
    <w:p>
      <w:pPr>
        <w:spacing w:after="0" w:line="1" w:lineRule="exact"/>
        <w:rPr>
          <w:sz w:val="20"/>
          <w:szCs w:val="20"/>
          <w:color w:val="auto"/>
        </w:rPr>
      </w:pPr>
    </w:p>
    <w:p>
      <w:pPr>
        <w:ind w:left="340" w:right="340" w:hanging="332"/>
        <w:spacing w:after="0" w:line="239" w:lineRule="auto"/>
        <w:tabs>
          <w:tab w:leader="none" w:pos="301"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Provides full-year 2026 guidance of net sales down 4.5% to down 2.5%, earnings per diluted share of $3.00 to $3.25; and adjusted earnings per diluted share of $2.40 to $2.65</w:t>
      </w:r>
    </w:p>
    <w:p>
      <w:pPr>
        <w:spacing w:after="0" w:line="212"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COLUMBUS, Ohio –March 4, 2026 – Bath &amp; Body Works, Inc. (NYSE: BBWI) today reported fourth quarter and full-year 2025 results.</w:t>
      </w:r>
    </w:p>
    <w:p>
      <w:pPr>
        <w:spacing w:after="0" w:line="18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Daniel Heaf, chief executive officer of Bath &amp; Body Works, commented, “Our fourth quarter results exceeded the guidance we provided. Since launching the Consumer First Formula in the third quarter, we have moved with urgency to accelerate</w:t>
      </w:r>
    </w:p>
    <w:p>
      <w:pPr>
        <w:spacing w:after="0" w:line="226" w:lineRule="auto"/>
        <w:rPr>
          <w:sz w:val="20"/>
          <w:szCs w:val="20"/>
          <w:color w:val="auto"/>
        </w:rPr>
      </w:pPr>
      <w:r>
        <w:rPr>
          <w:rFonts w:ascii="Arial" w:cs="Arial" w:eastAsia="Arial" w:hAnsi="Arial"/>
          <w:sz w:val="20"/>
          <w:szCs w:val="20"/>
          <w:color w:val="auto"/>
        </w:rPr>
        <w:t>innovation in our hero categories, refresh and modernize our brand, expand distribution, and simplify our operating model. The</w:t>
      </w:r>
    </w:p>
    <w:p>
      <w:pPr>
        <w:spacing w:after="0" w:line="1" w:lineRule="exact"/>
        <w:rPr>
          <w:sz w:val="20"/>
          <w:szCs w:val="20"/>
          <w:color w:val="auto"/>
        </w:rPr>
      </w:pPr>
    </w:p>
    <w:p>
      <w:pPr>
        <w:ind w:right="560"/>
        <w:spacing w:after="0" w:line="232" w:lineRule="auto"/>
        <w:rPr>
          <w:sz w:val="20"/>
          <w:szCs w:val="20"/>
          <w:color w:val="auto"/>
        </w:rPr>
      </w:pPr>
      <w:r>
        <w:rPr>
          <w:rFonts w:ascii="Arial" w:cs="Arial" w:eastAsia="Arial" w:hAnsi="Arial"/>
          <w:sz w:val="20"/>
          <w:szCs w:val="20"/>
          <w:color w:val="auto"/>
        </w:rPr>
        <w:t>earlier-than-planned launch on Amazon and the rollout of our new brand identity are clear examples of our team’s focused execution.”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Heaf continued, “We are making progress, but transformations of this scale take time. We are undertaking a comprehensive,</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end-to-end evolution of our business - building a Bath &amp; Body Works that is more innovative, more relevant, and easier to shop. This work lays the foundation for sustained, long-term growth as we reposition the company from a specialty retailer to a premier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global brand.”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2025 Results</w:t>
      </w:r>
    </w:p>
    <w:p>
      <w:pPr>
        <w:spacing w:after="0" w:line="231"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The company reported net sales of $2,724 million for the quarter ended January 31, 2026, a decrease of 2% compared to net sales of $2,788 million for the quarter ended February 1, 2025.</w:t>
      </w:r>
    </w:p>
    <w:p>
      <w:pPr>
        <w:spacing w:after="0" w:line="169" w:lineRule="exact"/>
        <w:rPr>
          <w:sz w:val="20"/>
          <w:szCs w:val="20"/>
          <w:color w:val="auto"/>
        </w:rPr>
      </w:pPr>
    </w:p>
    <w:p>
      <w:pPr>
        <w:ind w:right="400"/>
        <w:spacing w:after="0" w:line="248" w:lineRule="auto"/>
        <w:rPr>
          <w:sz w:val="20"/>
          <w:szCs w:val="20"/>
          <w:color w:val="auto"/>
        </w:rPr>
      </w:pPr>
      <w:r>
        <w:rPr>
          <w:rFonts w:ascii="Arial" w:cs="Arial" w:eastAsia="Arial" w:hAnsi="Arial"/>
          <w:sz w:val="20"/>
          <w:szCs w:val="20"/>
          <w:color w:val="auto"/>
        </w:rPr>
        <w:t>Earnings per diluted share were $1.99 for the fourth quarter of 2025, compared to $2.09 last year. Fourth quarter operating income was $599 million compared to $678 million last year, and net income was $403 million compared to $453 million last year.</w:t>
      </w:r>
    </w:p>
    <w:p>
      <w:pPr>
        <w:spacing w:after="0" w:line="192" w:lineRule="exact"/>
        <w:rPr>
          <w:sz w:val="20"/>
          <w:szCs w:val="20"/>
          <w:color w:val="auto"/>
        </w:rPr>
      </w:pPr>
    </w:p>
    <w:p>
      <w:pPr>
        <w:jc w:val="both"/>
        <w:ind w:right="600"/>
        <w:spacing w:after="0" w:line="248" w:lineRule="auto"/>
        <w:rPr>
          <w:sz w:val="20"/>
          <w:szCs w:val="20"/>
          <w:color w:val="auto"/>
        </w:rPr>
      </w:pPr>
      <w:r>
        <w:rPr>
          <w:rFonts w:ascii="Arial" w:cs="Arial" w:eastAsia="Arial" w:hAnsi="Arial"/>
          <w:sz w:val="20"/>
          <w:szCs w:val="20"/>
          <w:color w:val="auto"/>
        </w:rPr>
        <w:t>Reported fourth quarter 2025 results included pre-tax costs of $ 15 million ($12 million after tax) associated with business transformation activities. Excluding this item, adjusted earnings per diluted share for the fourth quarter of 2025 was $2.05, adjusted operating income was $614 million and adjusted net income was $415 million.</w:t>
      </w:r>
    </w:p>
    <w:p>
      <w:pPr>
        <w:spacing w:after="0" w:line="159" w:lineRule="exact"/>
        <w:rPr>
          <w:sz w:val="20"/>
          <w:szCs w:val="20"/>
          <w:color w:val="auto"/>
        </w:rPr>
      </w:pPr>
    </w:p>
    <w:p>
      <w:pPr>
        <w:ind w:right="200"/>
        <w:spacing w:after="0" w:line="262" w:lineRule="exact"/>
        <w:rPr>
          <w:sz w:val="20"/>
          <w:szCs w:val="20"/>
          <w:color w:val="auto"/>
        </w:rPr>
      </w:pPr>
      <w:r>
        <w:rPr>
          <w:rFonts w:ascii="Arial" w:cs="Arial" w:eastAsia="Arial" w:hAnsi="Arial"/>
          <w:sz w:val="20"/>
          <w:szCs w:val="20"/>
          <w:color w:val="auto"/>
        </w:rPr>
        <w:t>At the conclusion of this press release is a reconciliation of reported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adjusted results, including a description of the adjusted items.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2025 Results</w:t>
      </w:r>
    </w:p>
    <w:p>
      <w:pPr>
        <w:spacing w:after="0" w:line="245"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The company reported net sales of $7,291 million for the year ended January 31, 2026, a decrease of 0.2% compared to net sales of $7,307 million for the year ended February 1, 2025.</w:t>
      </w:r>
    </w:p>
    <w:p>
      <w:pPr>
        <w:spacing w:after="0" w:line="196" w:lineRule="exact"/>
        <w:rPr>
          <w:sz w:val="20"/>
          <w:szCs w:val="20"/>
          <w:color w:val="auto"/>
        </w:rPr>
      </w:pPr>
    </w:p>
    <w:p>
      <w:pPr>
        <w:jc w:val="both"/>
        <w:ind w:right="260"/>
        <w:spacing w:after="0" w:line="248" w:lineRule="auto"/>
        <w:rPr>
          <w:sz w:val="20"/>
          <w:szCs w:val="20"/>
          <w:color w:val="auto"/>
        </w:rPr>
      </w:pPr>
      <w:r>
        <w:rPr>
          <w:rFonts w:ascii="Arial" w:cs="Arial" w:eastAsia="Arial" w:hAnsi="Arial"/>
          <w:sz w:val="20"/>
          <w:szCs w:val="20"/>
          <w:color w:val="auto"/>
        </w:rPr>
        <w:t>Earnings per diluted share were $3.11 for the year, compared to $3.61 in 2024. Full-year operating income was $1,126 million compared to $1,266 million last year, and net income was $649 million compared to $798 million last year. In fiscal 2025, the company repurchased 15.1 million shares of common stock for $400 million.</w:t>
      </w:r>
    </w:p>
    <w:p>
      <w:pPr>
        <w:spacing w:after="0" w:line="178"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auto"/>
        </w:rPr>
        <w:t>Reported full-year 2025 results included pre-tax costs of $15 million ($14 million after tax) associated with the transition of certain members of the leadership team, an $8 million pre-tax gain ($6 million after tax) associated with</w:t>
      </w:r>
    </w:p>
    <w:p>
      <w:pPr>
        <w:sectPr>
          <w:pgSz w:w="11900" w:h="16838" w:orient="portrait"/>
          <w:cols w:equalWidth="0" w:num="1">
            <w:col w:w="11240"/>
          </w:cols>
          <w:pgMar w:left="320" w:top="894" w:right="339" w:bottom="1440" w:gutter="0" w:footer="0" w:header="0"/>
        </w:sectPr>
      </w:pPr>
    </w:p>
    <w:bookmarkStart w:id="4" w:name="page5"/>
    <w:bookmarkEnd w:id="4"/>
    <w:p>
      <w:pPr>
        <w:ind w:right="460"/>
        <w:spacing w:after="0" w:line="257" w:lineRule="auto"/>
        <w:rPr>
          <w:sz w:val="20"/>
          <w:szCs w:val="20"/>
          <w:color w:val="auto"/>
        </w:rPr>
      </w:pPr>
      <w:r>
        <w:rPr>
          <w:rFonts w:ascii="Arial" w:cs="Arial" w:eastAsia="Arial" w:hAnsi="Arial"/>
          <w:sz w:val="20"/>
          <w:szCs w:val="20"/>
          <w:color w:val="auto"/>
        </w:rPr>
        <w:t>the sale of a non-core asset and pre-tax costs of $15 million ($12 million after tax) associated with business transformation activities.</w:t>
      </w:r>
    </w:p>
    <w:p>
      <w:pPr>
        <w:spacing w:after="0" w:line="169"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Reported full-year 2024 results include a $39 million pre-tax gain ($ 25 million after tax) related to the sales of certain Easton investments and a $44 million tax benefit related to the release of a valuation allowance on a deferred tax asset.</w:t>
      </w:r>
    </w:p>
    <w:p>
      <w:pPr>
        <w:spacing w:after="0" w:line="196" w:lineRule="exact"/>
        <w:rPr>
          <w:sz w:val="20"/>
          <w:szCs w:val="20"/>
          <w:color w:val="auto"/>
        </w:rPr>
      </w:pPr>
    </w:p>
    <w:p>
      <w:pPr>
        <w:jc w:val="both"/>
        <w:ind w:right="260"/>
        <w:spacing w:after="0" w:line="248" w:lineRule="auto"/>
        <w:rPr>
          <w:sz w:val="20"/>
          <w:szCs w:val="20"/>
          <w:color w:val="auto"/>
        </w:rPr>
      </w:pPr>
      <w:r>
        <w:rPr>
          <w:rFonts w:ascii="Arial" w:cs="Arial" w:eastAsia="Arial" w:hAnsi="Arial"/>
          <w:sz w:val="20"/>
          <w:szCs w:val="20"/>
          <w:color w:val="auto"/>
        </w:rPr>
        <w:t>Excluding these items, adjusted full-year earnings per diluted share was $3.21 in 2025 compared to $3.29 last year, adjusted full-year operating income of $1,156 million compared to $1,266 million last year and adjusted full-year net income was $669 million in 2025 compared to $729 million last year.</w:t>
      </w:r>
    </w:p>
    <w:p>
      <w:pPr>
        <w:spacing w:after="0" w:line="145" w:lineRule="exact"/>
        <w:rPr>
          <w:sz w:val="20"/>
          <w:szCs w:val="20"/>
          <w:color w:val="auto"/>
        </w:rPr>
      </w:pPr>
    </w:p>
    <w:p>
      <w:pPr>
        <w:ind w:right="120"/>
        <w:spacing w:after="0" w:line="262" w:lineRule="exact"/>
        <w:rPr>
          <w:sz w:val="20"/>
          <w:szCs w:val="20"/>
          <w:color w:val="auto"/>
        </w:rPr>
      </w:pPr>
      <w:r>
        <w:rPr>
          <w:rFonts w:ascii="Arial" w:cs="Arial" w:eastAsia="Arial" w:hAnsi="Arial"/>
          <w:sz w:val="20"/>
          <w:szCs w:val="20"/>
          <w:color w:val="auto"/>
        </w:rPr>
        <w:t>At the conclusion of this press release is a reconciliation of reported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adjusted results, including a description of the adjusted items.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2026 Guidance</w:t>
      </w:r>
    </w:p>
    <w:p>
      <w:pPr>
        <w:spacing w:after="0" w:line="231"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For fiscal 2026, the company is forecasting net sales to decline between 4.5% to 2.5% compared to $7,291 million in fiscal 2025. Full-year 2026 earnings per diluted share is expected to be between $3.00 and $3.25 compared to $3.11 in fiscal 2025. The company’s full-year outlook includes the interest savings from the redemption of the remaining $284 million outstanding notional of our January 2027 bonds. There are no share repurchases assumed in our outlook. In fiscal 2026, we expect to generate free cash flow of approximately $600 million.</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expect that our 2026 results will include an $88 million pre-tax gain ($65 million after tax) related to cash proceeds received, net of legal fees, for a favorable settlement of payment card interchange fee litigation, a $62 million tax benefit associated with the resolution of certain tax matters, and a $9 million pre-tax loss ($7 million after tax) associated with the anticipated redemption of our January 2027 bonds.</w:t>
      </w:r>
    </w:p>
    <w:p>
      <w:pPr>
        <w:spacing w:after="0" w:line="19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Excluding these items, forecasted adjusted earnings per diluted share for the full-year 2026 is expected to be between $2.40 and $2.65, compared to adjusted earnings per share of $3.21 in full-year 2025.</w:t>
      </w:r>
    </w:p>
    <w:p>
      <w:pPr>
        <w:spacing w:after="0" w:line="169"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For the first quarter of fiscal 2026, the company is forecasting net sales to decline between 6% to 4% compared to $1,424 million in the first quarter of 2025. First quarter 2026 earnings per diluted share is expected to be between $0.84 and $0.90 compared to $0.49 in the first quarter of 2025. Excluding the items referenced above, forecasted adjusted earnings per diluted share for the first quarter of 2026 is expected to be between $0.24 and $0.30, compared to earnings per diluted share of $0.49 in the first quarter of 2025.</w:t>
      </w:r>
    </w:p>
    <w:p>
      <w:pPr>
        <w:spacing w:after="0" w:line="200"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At the conclusion of this press release is a reconciliation of our guidance-to-adjusted guidance, including a description of the adjusted items.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Call and Additional Information</w:t>
      </w:r>
    </w:p>
    <w:p>
      <w:pPr>
        <w:spacing w:after="0" w:line="231"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Bath &amp; Body Works, Inc. will conduct its fourth quarter earnings call at 8:30 a.m. ET on March 4. To listen, call 877-407-9219 (international dial-in number: 412-652-1274). For an audio replay, call 877-660-6853 (international replay number: 201-612-7415); access code 13758304 or log onto www.BBWInc.com. A slide presentation has been posted on the company’s Investor Relations website that summarizes certain information in the company‘s prepared remarks from the earnings call as well as some additional facts and figures regarding the company’s operating performance and guidance.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BATH &amp; BODY WORKS</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Bath &amp; Body Works is a global leader in personal care and home fragrance, driven by the belief that everybody deserves to feel good.</w:t>
      </w:r>
    </w:p>
    <w:p>
      <w:pPr>
        <w:spacing w:after="0" w:line="196"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auto"/>
        </w:rPr>
        <w:t>The brand’s beloved and iconic scents are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w:t>
      </w:r>
    </w:p>
    <w:p>
      <w:pPr>
        <w:sectPr>
          <w:pgSz w:w="11900" w:h="16838" w:orient="portrait"/>
          <w:cols w:equalWidth="0" w:num="1">
            <w:col w:w="11160"/>
          </w:cols>
          <w:pgMar w:left="320" w:top="874" w:right="419" w:bottom="1440" w:gutter="0" w:footer="0" w:header="0"/>
        </w:sectPr>
      </w:pPr>
    </w:p>
    <w:bookmarkStart w:id="5" w:name="page6"/>
    <w:bookmarkEnd w:id="5"/>
    <w:p>
      <w:pPr>
        <w:ind w:right="80"/>
        <w:spacing w:after="0" w:line="257" w:lineRule="auto"/>
        <w:rPr>
          <w:sz w:val="20"/>
          <w:szCs w:val="20"/>
          <w:color w:val="auto"/>
        </w:rPr>
      </w:pPr>
      <w:r>
        <w:rPr>
          <w:rFonts w:ascii="Arial" w:cs="Arial" w:eastAsia="Arial" w:hAnsi="Arial"/>
          <w:sz w:val="20"/>
          <w:szCs w:val="20"/>
          <w:color w:val="auto"/>
        </w:rPr>
        <w:t>more. The brand’s famous 3-wick candles are made with rich, high quality fragrance oils layered throughout a premium soy wax base, for up to 45 hours of room-filling fragrance.</w:t>
      </w:r>
    </w:p>
    <w:p>
      <w:pPr>
        <w:spacing w:after="0" w:line="196" w:lineRule="exact"/>
        <w:rPr>
          <w:sz w:val="20"/>
          <w:szCs w:val="20"/>
          <w:color w:val="auto"/>
        </w:rPr>
      </w:pPr>
    </w:p>
    <w:p>
      <w:pPr>
        <w:jc w:val="both"/>
        <w:ind w:right="260"/>
        <w:spacing w:after="0" w:line="284" w:lineRule="auto"/>
        <w:rPr>
          <w:sz w:val="20"/>
          <w:szCs w:val="20"/>
          <w:color w:val="auto"/>
        </w:rPr>
      </w:pPr>
      <w:r>
        <w:rPr>
          <w:rFonts w:ascii="Arial" w:cs="Arial" w:eastAsia="Arial" w:hAnsi="Arial"/>
          <w:sz w:val="19"/>
          <w:szCs w:val="19"/>
          <w:color w:val="auto"/>
        </w:rPr>
        <w:t>Consumers can shop Bath &amp; Body Works anytime and anywhere they choose, from welcoming, in-store experiences at more than 1,900 stores in the U.S. and Canada, 500-plus international locations, online at bathandbodyworks.com and on Amazon.</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Safe Harbor Statement Under the Private Securities Litigation Reform Act of 1995</w:t>
      </w:r>
    </w:p>
    <w:p>
      <w:pPr>
        <w:spacing w:after="0" w:line="110"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 These factors can be found in Item 1A. Risk Factors in our 2024 Annual Report on Form 10-K and our subsequent filings.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Bath &amp; Body Works,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Luke Long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InvestorRelations@bbw.com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Emmy Beach</w:t>
      </w:r>
    </w:p>
    <w:p>
      <w:pPr>
        <w:spacing w:after="0"/>
        <w:rPr>
          <w:sz w:val="20"/>
          <w:szCs w:val="20"/>
          <w:color w:val="auto"/>
        </w:rPr>
      </w:pPr>
      <w:r>
        <w:rPr>
          <w:rFonts w:ascii="Arial" w:cs="Arial" w:eastAsia="Arial" w:hAnsi="Arial"/>
          <w:sz w:val="20"/>
          <w:szCs w:val="20"/>
          <w:color w:val="auto"/>
        </w:rPr>
        <w:t>Communications@bbw.com</w:t>
      </w:r>
    </w:p>
    <w:p>
      <w:pPr>
        <w:sectPr>
          <w:pgSz w:w="11900" w:h="16838" w:orient="portrait"/>
          <w:cols w:equalWidth="0" w:num="1">
            <w:col w:w="11240"/>
          </w:cols>
          <w:pgMar w:left="320" w:top="88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ind w:left="440"/>
              <w:spacing w:after="0"/>
              <w:rPr>
                <w:sz w:val="20"/>
                <w:szCs w:val="20"/>
                <w:color w:val="auto"/>
              </w:rPr>
            </w:pPr>
            <w:r>
              <w:rPr>
                <w:rFonts w:ascii="Arial" w:cs="Arial" w:eastAsia="Arial" w:hAnsi="Arial"/>
                <w:sz w:val="18"/>
                <w:szCs w:val="18"/>
                <w:b w:val="1"/>
                <w:bCs w:val="1"/>
                <w:color w:val="auto"/>
              </w:rPr>
              <w:t>Fourth Quarter</w:t>
            </w: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Full-Year</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7,291</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0"/>
                <w:szCs w:val="20"/>
                <w:color w:val="auto"/>
              </w:rPr>
            </w:pPr>
            <w:r>
              <w:rPr>
                <w:rFonts w:ascii="Arial" w:cs="Arial" w:eastAsia="Arial" w:hAnsi="Arial"/>
                <w:sz w:val="18"/>
                <w:szCs w:val="18"/>
                <w:color w:val="auto"/>
              </w:rPr>
              <w:t>Net Income Per Diluted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1025" w:right="6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7"/>
                <w:szCs w:val="17"/>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1,</w:t>
            </w:r>
          </w:p>
        </w:tc>
        <w:tc>
          <w:tcPr>
            <w:tcW w:w="0" w:type="dxa"/>
            <w:vAlign w:val="bottom"/>
          </w:tcPr>
          <w:p>
            <w:pPr>
              <w:spacing w:after="0"/>
              <w:rPr>
                <w:sz w:val="1"/>
                <w:szCs w:val="1"/>
                <w:color w:val="auto"/>
              </w:rPr>
            </w:pPr>
          </w:p>
        </w:tc>
      </w:tr>
      <w:tr>
        <w:trPr>
          <w:trHeight w:val="243"/>
        </w:trPr>
        <w:tc>
          <w:tcPr>
            <w:tcW w:w="830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4"/>
        </w:trPr>
        <w:tc>
          <w:tcPr>
            <w:tcW w:w="8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Easton Assets Held for Sale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
        </w:trPr>
        <w:tc>
          <w:tcPr>
            <w:tcW w:w="830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EQUITY (DEFICIT)</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Current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Total Equity (Deficit)</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85"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Full-Year</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7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Depreciation of Long-lived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Gain on Sale of Non-core Asset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Gain on Sales of Easton Investments</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7960" w:type="dxa"/>
            <w:vAlign w:val="bottom"/>
          </w:tcPr>
          <w:p>
            <w:pPr>
              <w:ind w:left="320"/>
              <w:spacing w:after="0"/>
              <w:rPr>
                <w:sz w:val="20"/>
                <w:szCs w:val="20"/>
                <w:color w:val="auto"/>
              </w:rPr>
            </w:pPr>
            <w:r>
              <w:rPr>
                <w:rFonts w:ascii="Arial" w:cs="Arial" w:eastAsia="Arial" w:hAnsi="Arial"/>
                <w:sz w:val="18"/>
                <w:szCs w:val="18"/>
                <w:color w:val="auto"/>
              </w:rPr>
              <w:t>Other Assets and Liabilities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Proceeds from Sale of Non-core Asset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Proceeds from Sales of Easton Investments, Net of Fees Paid</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Payments for 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Payments of Finance 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Tax Payments related to Share-based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479"/>
        </w:trPr>
        <w:tc>
          <w:tcPr>
            <w:tcW w:w="796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500" w:top="890"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BATH &amp; BODY WORKS,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2025</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(In millions):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Fourth Quarter</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Full-Year</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vMerge w:val="restart"/>
          </w:tcPr>
          <w:p>
            <w:pPr>
              <w:spacing w:after="0"/>
              <w:rPr>
                <w:sz w:val="20"/>
                <w:szCs w:val="20"/>
                <w:color w:val="auto"/>
              </w:rPr>
            </w:pPr>
            <w:r>
              <w:rPr>
                <w:rFonts w:ascii="Arial" w:cs="Arial" w:eastAsia="Arial" w:hAnsi="Arial"/>
                <w:sz w:val="18"/>
                <w:szCs w:val="18"/>
                <w:color w:val="auto"/>
              </w:rPr>
              <w:t>Stores - U.S. and Canada (a)</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294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Direct - U.S. and Canada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r>
              <w:rPr>
                <w:rFonts w:ascii="Arial" w:cs="Arial" w:eastAsia="Arial" w:hAnsi="Arial"/>
                <w:sz w:val="18"/>
                <w:szCs w:val="18"/>
                <w:color w:val="auto"/>
              </w:rPr>
              <w:t>International (b)</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w:t>
      </w:r>
    </w:p>
    <w:p>
      <w:pPr>
        <w:spacing w:after="0" w:line="108" w:lineRule="exact"/>
        <w:rPr>
          <w:sz w:val="20"/>
          <w:szCs w:val="20"/>
          <w:color w:val="auto"/>
        </w:rPr>
      </w:pPr>
    </w:p>
    <w:p>
      <w:pPr>
        <w:ind w:left="660" w:hanging="6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include fulfilled buy online-pick up in store orders.</w:t>
      </w:r>
    </w:p>
    <w:p>
      <w:pPr>
        <w:spacing w:after="0" w:line="117" w:lineRule="exact"/>
        <w:rPr>
          <w:rFonts w:ascii="Arial" w:cs="Arial" w:eastAsia="Arial" w:hAnsi="Arial"/>
          <w:sz w:val="18"/>
          <w:szCs w:val="18"/>
          <w:color w:val="auto"/>
        </w:rPr>
      </w:pPr>
    </w:p>
    <w:p>
      <w:pPr>
        <w:ind w:left="460" w:hanging="41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include royalties associated with franchised stores and wholesale sales.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2/1/2025</w:t>
            </w:r>
          </w:p>
        </w:tc>
        <w:tc>
          <w:tcPr>
            <w:tcW w:w="10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Opened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Closed</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1/31/2026</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Canada</w:t>
            </w: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gridSpan w:val="3"/>
          </w:tcPr>
          <w:p>
            <w:pPr>
              <w:jc w:val="right"/>
              <w:ind w:right="109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(62)</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1,927</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2/1/2025</w:t>
            </w:r>
          </w:p>
        </w:tc>
        <w:tc>
          <w:tcPr>
            <w:tcW w:w="100" w:type="dxa"/>
            <w:vAlign w:val="bottom"/>
          </w:tcPr>
          <w:p>
            <w:pPr>
              <w:spacing w:after="0"/>
              <w:rPr>
                <w:sz w:val="20"/>
                <w:szCs w:val="20"/>
                <w:color w:val="auto"/>
              </w:rPr>
            </w:pP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Opened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Closed</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1/31/2026</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International - Travel Retail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International (a)</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w:t>
      </w:r>
    </w:p>
    <w:p>
      <w:pPr>
        <w:spacing w:after="0" w:line="108" w:lineRule="exact"/>
        <w:rPr>
          <w:sz w:val="20"/>
          <w:szCs w:val="20"/>
          <w:color w:val="auto"/>
        </w:rPr>
      </w:pPr>
    </w:p>
    <w:p>
      <w:pPr>
        <w:ind w:left="720" w:hanging="67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store locations only and does not include kiosks, shop-in-shops, gondola or beauty counter locations.</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FINANCIAL INFORMATION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ind w:left="340"/>
              <w:spacing w:after="0"/>
              <w:rPr>
                <w:sz w:val="20"/>
                <w:szCs w:val="20"/>
                <w:color w:val="auto"/>
              </w:rPr>
            </w:pPr>
            <w:r>
              <w:rPr>
                <w:rFonts w:ascii="Arial" w:cs="Arial" w:eastAsia="Arial" w:hAnsi="Arial"/>
                <w:sz w:val="18"/>
                <w:szCs w:val="18"/>
                <w:b w:val="1"/>
                <w:bCs w:val="1"/>
                <w:color w:val="auto"/>
              </w:rPr>
              <w:t>Fourth 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Full-Year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Reported Operating Income to Adjusted Operating</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w w:val="98"/>
              </w:rPr>
              <w:t>Income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840" w:type="dxa"/>
            <w:vAlign w:val="bottom"/>
            <w:gridSpan w:val="2"/>
          </w:tcPr>
          <w:p>
            <w:pPr>
              <w:spacing w:after="0"/>
              <w:rPr>
                <w:sz w:val="20"/>
                <w:szCs w:val="20"/>
                <w:color w:val="auto"/>
              </w:rPr>
            </w:pPr>
            <w:r>
              <w:rPr>
                <w:rFonts w:ascii="Arial" w:cs="Arial" w:eastAsia="Arial" w:hAnsi="Arial"/>
                <w:sz w:val="18"/>
                <w:szCs w:val="18"/>
                <w:color w:val="auto"/>
              </w:rPr>
              <w:t>Reported Operating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Business Transformation Activities</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840" w:type="dxa"/>
            <w:vAlign w:val="bottom"/>
            <w:gridSpan w:val="2"/>
          </w:tcPr>
          <w:p>
            <w:pPr>
              <w:spacing w:after="0"/>
              <w:rPr>
                <w:sz w:val="20"/>
                <w:szCs w:val="20"/>
                <w:color w:val="auto"/>
              </w:rPr>
            </w:pPr>
            <w:r>
              <w:rPr>
                <w:rFonts w:ascii="Arial" w:cs="Arial" w:eastAsia="Arial" w:hAnsi="Arial"/>
                <w:sz w:val="18"/>
                <w:szCs w:val="18"/>
                <w:color w:val="auto"/>
              </w:rPr>
              <w:t>Leadership Transition Costs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w w:val="99"/>
              </w:rPr>
              <w:t>Reconciliation of Reported Net Income to Adjusted Net Income</w:t>
            </w:r>
          </w:p>
        </w:tc>
        <w:tc>
          <w:tcPr>
            <w:tcW w:w="4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5380" w:type="dxa"/>
            <w:vAlign w:val="bottom"/>
            <w:tcBorders>
              <w:bottom w:val="single" w:sz="8" w:color="auto"/>
            </w:tcBorders>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gridSpan w:val="2"/>
          </w:tcPr>
          <w:p>
            <w:pPr>
              <w:spacing w:after="0"/>
              <w:rPr>
                <w:sz w:val="20"/>
                <w:szCs w:val="20"/>
                <w:color w:val="auto"/>
              </w:rPr>
            </w:pPr>
            <w:r>
              <w:rPr>
                <w:rFonts w:ascii="Arial" w:cs="Arial" w:eastAsia="Arial" w:hAnsi="Arial"/>
                <w:sz w:val="18"/>
                <w:szCs w:val="18"/>
                <w:color w:val="auto"/>
              </w:rPr>
              <w:t>Reported Net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Business Transformation Activities</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Leadership Transition Costs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Gain on Sale of Non-core Asset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Gain on Sales of Easton Investments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Tax Effect of Adjustments</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5840" w:type="dxa"/>
            <w:vAlign w:val="bottom"/>
            <w:gridSpan w:val="2"/>
          </w:tcPr>
          <w:p>
            <w:pPr>
              <w:spacing w:after="0"/>
              <w:rPr>
                <w:sz w:val="20"/>
                <w:szCs w:val="20"/>
                <w:color w:val="auto"/>
              </w:rPr>
            </w:pPr>
            <w:r>
              <w:rPr>
                <w:rFonts w:ascii="Arial" w:cs="Arial" w:eastAsia="Arial" w:hAnsi="Arial"/>
                <w:sz w:val="18"/>
                <w:szCs w:val="18"/>
                <w:color w:val="auto"/>
              </w:rPr>
              <w:t>Tax Benefit from Valuation Allowance Release</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4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9"/>
              </w:rPr>
              <w:t>Reconciliation of Reported Net Income Per Diluted Share to Adjusted Net Income Per Diluted Share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gridSpan w:val="2"/>
          </w:tcPr>
          <w:p>
            <w:pPr>
              <w:spacing w:after="0"/>
              <w:rPr>
                <w:sz w:val="20"/>
                <w:szCs w:val="20"/>
                <w:color w:val="auto"/>
              </w:rPr>
            </w:pPr>
            <w:r>
              <w:rPr>
                <w:rFonts w:ascii="Arial" w:cs="Arial" w:eastAsia="Arial" w:hAnsi="Arial"/>
                <w:sz w:val="18"/>
                <w:szCs w:val="18"/>
                <w:color w:val="auto"/>
              </w:rPr>
              <w:t>Reported Net Income Per Diluted Share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Business Transformation Activities</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Leadership Transition Costs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Gain on Sale of Non-core Asset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Gain on Sales of Easton Investments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Tax Effect of Adjustments</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5"/>
        </w:trPr>
        <w:tc>
          <w:tcPr>
            <w:tcW w:w="5840" w:type="dxa"/>
            <w:vAlign w:val="bottom"/>
            <w:gridSpan w:val="2"/>
          </w:tcPr>
          <w:p>
            <w:pPr>
              <w:spacing w:after="0"/>
              <w:rPr>
                <w:sz w:val="20"/>
                <w:szCs w:val="20"/>
                <w:color w:val="auto"/>
              </w:rPr>
            </w:pPr>
            <w:r>
              <w:rPr>
                <w:rFonts w:ascii="Arial" w:cs="Arial" w:eastAsia="Arial" w:hAnsi="Arial"/>
                <w:sz w:val="18"/>
                <w:szCs w:val="18"/>
                <w:color w:val="auto"/>
              </w:rPr>
              <w:t>Tax Benefit from Valuation Allowance Release</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Reconciliation of GAAP Financial Measures to Non-GAAP Financial Measures.</w:t>
      </w:r>
    </w:p>
    <w:p>
      <w:pPr>
        <w:sectPr>
          <w:pgSz w:w="11900" w:h="16838" w:orient="portrait"/>
          <w:cols w:equalWidth="0" w:num="1">
            <w:col w:w="11220"/>
          </w:cols>
          <w:pgMar w:left="340" w:top="1025"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FORECASTED ADJUSTED FINANCIAL INFORMATION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Full-Year</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2026</w:t>
            </w:r>
          </w:p>
        </w:tc>
        <w:tc>
          <w:tcPr>
            <w:tcW w:w="10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2026</w:t>
            </w: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460" w:type="dxa"/>
            <w:vAlign w:val="bottom"/>
            <w:tcBorders>
              <w:bottom w:val="single" w:sz="8" w:color="auto"/>
            </w:tcBorders>
            <w:gridSpan w:val="6"/>
          </w:tcPr>
          <w:p>
            <w:pPr>
              <w:spacing w:after="0" w:line="169" w:lineRule="exact"/>
              <w:rPr>
                <w:sz w:val="20"/>
                <w:szCs w:val="20"/>
                <w:color w:val="auto"/>
              </w:rPr>
            </w:pPr>
            <w:r>
              <w:rPr>
                <w:rFonts w:ascii="Arial" w:cs="Arial" w:eastAsia="Arial" w:hAnsi="Arial"/>
                <w:sz w:val="18"/>
                <w:szCs w:val="18"/>
                <w:b w:val="1"/>
                <w:bCs w:val="1"/>
                <w:color w:val="auto"/>
                <w:w w:val="99"/>
              </w:rPr>
              <w:t>Reconciliation of Forecasted Net Income Per Diluted Share to Forecasted Adjusted Net Income Per</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spacing w:after="0" w:line="169" w:lineRule="exact"/>
              <w:rPr>
                <w:sz w:val="20"/>
                <w:szCs w:val="20"/>
                <w:color w:val="auto"/>
              </w:rPr>
            </w:pPr>
            <w:r>
              <w:rPr>
                <w:rFonts w:ascii="Arial" w:cs="Arial" w:eastAsia="Arial" w:hAnsi="Arial"/>
                <w:sz w:val="18"/>
                <w:szCs w:val="18"/>
                <w:b w:val="1"/>
                <w:bCs w:val="1"/>
                <w:color w:val="auto"/>
                <w:w w:val="94"/>
              </w:rPr>
              <w:t>Diluted Share</w:t>
            </w:r>
          </w:p>
        </w:tc>
        <w:tc>
          <w:tcPr>
            <w:tcW w:w="2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00" w:type="dxa"/>
            <w:vAlign w:val="bottom"/>
            <w:vMerge w:val="restart"/>
          </w:tcPr>
          <w:p>
            <w:pPr>
              <w:spacing w:after="0"/>
              <w:rPr>
                <w:sz w:val="20"/>
                <w:szCs w:val="20"/>
                <w:color w:val="auto"/>
              </w:rPr>
            </w:pPr>
            <w:r>
              <w:rPr>
                <w:rFonts w:ascii="Arial" w:cs="Arial" w:eastAsia="Arial" w:hAnsi="Arial"/>
                <w:sz w:val="18"/>
                <w:szCs w:val="18"/>
                <w:color w:val="auto"/>
              </w:rPr>
              <w:t>Forecasted Net Income Per Diluted Share</w:t>
            </w:r>
          </w:p>
        </w:tc>
        <w:tc>
          <w:tcPr>
            <w:tcW w:w="280" w:type="dxa"/>
            <w:vAlign w:val="bottom"/>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ind w:left="12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1"/>
                <w:szCs w:val="21"/>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High</w:t>
            </w: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center"/>
              <w:ind w:left="37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Interchange Fee Settlement</w:t>
            </w:r>
          </w:p>
        </w:tc>
        <w:tc>
          <w:tcPr>
            <w:tcW w:w="280" w:type="dxa"/>
            <w:vAlign w:val="bottom"/>
          </w:tcPr>
          <w:p>
            <w:pPr>
              <w:spacing w:after="0"/>
              <w:rPr>
                <w:sz w:val="19"/>
                <w:szCs w:val="19"/>
                <w:color w:val="auto"/>
              </w:rPr>
            </w:pPr>
          </w:p>
        </w:tc>
        <w:tc>
          <w:tcPr>
            <w:tcW w:w="1000" w:type="dxa"/>
            <w:vAlign w:val="bottom"/>
          </w:tcPr>
          <w:p>
            <w:pPr>
              <w:jc w:val="center"/>
              <w:ind w:left="370"/>
              <w:spacing w:after="0"/>
              <w:rPr>
                <w:sz w:val="20"/>
                <w:szCs w:val="20"/>
                <w:color w:val="auto"/>
              </w:rPr>
            </w:pPr>
            <w:r>
              <w:rPr>
                <w:rFonts w:ascii="Arial" w:cs="Arial" w:eastAsia="Arial" w:hAnsi="Arial"/>
                <w:sz w:val="18"/>
                <w:szCs w:val="18"/>
                <w:color w:val="auto"/>
                <w:w w:val="97"/>
              </w:rPr>
              <w:t>(0.43)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70"/>
              <w:spacing w:after="0"/>
              <w:rPr>
                <w:sz w:val="20"/>
                <w:szCs w:val="20"/>
                <w:color w:val="auto"/>
              </w:rPr>
            </w:pPr>
            <w:r>
              <w:rPr>
                <w:rFonts w:ascii="Arial" w:cs="Arial" w:eastAsia="Arial" w:hAnsi="Arial"/>
                <w:sz w:val="18"/>
                <w:szCs w:val="18"/>
                <w:color w:val="auto"/>
                <w:w w:val="97"/>
              </w:rPr>
              <w:t>(0.43)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7"/>
              </w:rPr>
              <w:t>(0.43)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000" w:type="dxa"/>
            <w:vAlign w:val="bottom"/>
          </w:tcPr>
          <w:p>
            <w:pPr>
              <w:jc w:val="center"/>
              <w:ind w:left="39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9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7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Tax Effect of Adjustments</w:t>
            </w:r>
          </w:p>
        </w:tc>
        <w:tc>
          <w:tcPr>
            <w:tcW w:w="280" w:type="dxa"/>
            <w:vAlign w:val="bottom"/>
          </w:tcPr>
          <w:p>
            <w:pPr>
              <w:spacing w:after="0"/>
              <w:rPr>
                <w:sz w:val="19"/>
                <w:szCs w:val="19"/>
                <w:color w:val="auto"/>
              </w:rPr>
            </w:pPr>
          </w:p>
        </w:tc>
        <w:tc>
          <w:tcPr>
            <w:tcW w:w="1000" w:type="dxa"/>
            <w:vAlign w:val="bottom"/>
          </w:tcPr>
          <w:p>
            <w:pPr>
              <w:jc w:val="center"/>
              <w:ind w:left="39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9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7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Tax Benefit from the Resolution of Certain Tax Matters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(0.31)</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(0.31)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w w:val="97"/>
              </w:rPr>
              <w:t>(0.31)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Forecasted Adjusted Net Income Per Diluted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Full-Year</w:t>
            </w:r>
          </w:p>
        </w:tc>
        <w:tc>
          <w:tcPr>
            <w:tcW w:w="0" w:type="dxa"/>
            <w:vAlign w:val="bottom"/>
          </w:tcPr>
          <w:p>
            <w:pPr>
              <w:spacing w:after="0"/>
              <w:rPr>
                <w:sz w:val="1"/>
                <w:szCs w:val="1"/>
                <w:color w:val="auto"/>
              </w:rPr>
            </w:pPr>
          </w:p>
        </w:tc>
      </w:tr>
      <w:tr>
        <w:trPr>
          <w:trHeight w:val="223"/>
        </w:trPr>
        <w:tc>
          <w:tcPr>
            <w:tcW w:w="88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Reconciliation of Forecasted Net Cash Provided by Operating Activities to Forecasted Free Cash Flow</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2026</w:t>
            </w:r>
          </w:p>
        </w:tc>
        <w:tc>
          <w:tcPr>
            <w:tcW w:w="0" w:type="dxa"/>
            <w:vAlign w:val="bottom"/>
          </w:tcPr>
          <w:p>
            <w:pPr>
              <w:spacing w:after="0"/>
              <w:rPr>
                <w:sz w:val="1"/>
                <w:szCs w:val="1"/>
                <w:color w:val="auto"/>
              </w:rPr>
            </w:pPr>
          </w:p>
        </w:tc>
      </w:tr>
      <w:tr>
        <w:trPr>
          <w:trHeight w:val="169"/>
        </w:trPr>
        <w:tc>
          <w:tcPr>
            <w:tcW w:w="8880" w:type="dxa"/>
            <w:vAlign w:val="bottom"/>
            <w:gridSpan w:val="9"/>
            <w:vMerge w:val="continue"/>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Forecasted Net Cash Provided by Operating Activities</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Forecasted Capital Expenditures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Forecasted Free Cash Flow</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Reconciliation of GAAP Financial Measures to Non-GAAP Financial Measures.</w:t>
      </w:r>
    </w:p>
    <w:p>
      <w:pPr>
        <w:sectPr>
          <w:pgSz w:w="11900" w:h="16838" w:orient="portrait"/>
          <w:cols w:equalWidth="0" w:num="1">
            <w:col w:w="11220"/>
          </w:cols>
          <w:pgMar w:left="340" w:top="1025"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RECONCILIATION OF GAAP FINANCIAL MEASURES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NON-GAAP FINANCIAL MEASURES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adjusted financial information should not be construed as an alternative to the results determined in accordance with generally accepted accounting principles. Further, the company’s definitions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“Adjusted Financial Information” provided in the attached reflects the following non-GAAP financial measures: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2025, adjusted results exclude the following:</w:t>
      </w:r>
    </w:p>
    <w:p>
      <w:pPr>
        <w:spacing w:after="0" w:line="90" w:lineRule="exact"/>
        <w:rPr>
          <w:sz w:val="20"/>
          <w:szCs w:val="20"/>
          <w:color w:val="auto"/>
        </w:rPr>
      </w:pPr>
    </w:p>
    <w:p>
      <w:pPr>
        <w:ind w:left="660" w:right="260" w:hanging="328"/>
        <w:spacing w:after="0" w:line="268"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pre-tax costs of $15 million ($12 million net of tax of $3 million), primarily included in general, administrative and store operating expenses, resulting from business transformation activities in connection with the Consumer First Formula. These costs primarily related to severance benefits.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adjusted results exclude the following:</w:t>
      </w:r>
    </w:p>
    <w:p>
      <w:pPr>
        <w:spacing w:after="0" w:line="104" w:lineRule="exact"/>
        <w:rPr>
          <w:sz w:val="20"/>
          <w:szCs w:val="20"/>
          <w:color w:val="auto"/>
        </w:rPr>
      </w:pPr>
    </w:p>
    <w:p>
      <w:pPr>
        <w:ind w:right="260" w:firstLine="332"/>
        <w:spacing w:after="0" w:line="352" w:lineRule="auto"/>
        <w:tabs>
          <w:tab w:leader="none" w:pos="616"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$8 million pre-tax gain ($6 million net of tax of $2 million), included in other income, net, related to the sale of a non-core asset. In the second quarter of 2025, adjusted results exclude the following:</w:t>
      </w:r>
    </w:p>
    <w:p>
      <w:pPr>
        <w:ind w:left="660" w:right="320" w:hanging="328"/>
        <w:spacing w:after="0" w:line="287"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pre-tax costs of $15 million ($14 million net of tax of $1 million), included in general, administrative and store operating expenses, due to the transition of certain members of the leadership team, primarily related to severance benefits.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adjustments to results in the first quarter of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adjustments to results in the first, third or fourth quarters of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2024, adjusted results exclude the following:</w:t>
      </w:r>
    </w:p>
    <w:p>
      <w:pPr>
        <w:spacing w:after="0" w:line="90" w:lineRule="exact"/>
        <w:rPr>
          <w:sz w:val="20"/>
          <w:szCs w:val="20"/>
          <w:color w:val="auto"/>
        </w:rPr>
      </w:pPr>
    </w:p>
    <w:p>
      <w:pPr>
        <w:ind w:left="660" w:right="560" w:hanging="328"/>
        <w:spacing w:after="0" w:line="287"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$39 million aggregate pre-tax gain ($25 million net of tax of $14 million), included in other income, net, related to the sales of certain Easton investments; and</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$44 million tax benefit related to the release of a valuation allowance on a deferred tax asset.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“Forecasted Adjusted Financial Information” provided in the attached reflects the following non-GAAP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2026 forecasted adjusted results exclude the following items, which we expect to recognize in the first quarter of fiscal 2026:</w:t>
      </w:r>
    </w:p>
    <w:p>
      <w:pPr>
        <w:spacing w:after="0" w:line="90" w:lineRule="exact"/>
        <w:rPr>
          <w:sz w:val="20"/>
          <w:szCs w:val="20"/>
          <w:color w:val="auto"/>
        </w:rPr>
      </w:pPr>
    </w:p>
    <w:p>
      <w:pPr>
        <w:jc w:val="both"/>
        <w:ind w:left="660" w:right="60" w:hanging="328"/>
        <w:spacing w:after="0" w:line="318" w:lineRule="auto"/>
        <w:tabs>
          <w:tab w:leader="none" w:pos="62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$88 million pre-tax gain ($65 million net of tax of $23 million), which will be included in general, administrative and store operating expenses, related to cash proceeds received, net of legal fees, for a favorable settlement of payment card interchange fee litigation;</w:t>
      </w:r>
    </w:p>
    <w:p>
      <w:pPr>
        <w:spacing w:after="0" w:line="8" w:lineRule="exact"/>
        <w:rPr>
          <w:rFonts w:ascii="Arial" w:cs="Arial" w:eastAsia="Arial" w:hAnsi="Arial"/>
          <w:sz w:val="17"/>
          <w:szCs w:val="17"/>
          <w:color w:val="auto"/>
        </w:rPr>
      </w:pPr>
    </w:p>
    <w:p>
      <w:pPr>
        <w:ind w:left="660" w:right="860" w:hanging="328"/>
        <w:spacing w:after="0" w:line="287"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$9 million pre-tax loss ($7 million net of tax of $2 million), which will be included in other income, net, associated with the anticipated early extinguishment of outstanding notes; and</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$62 million tax benefit associated with the resolution of certain tax matters.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Forecasted Free Cash Flow is defined as Forecasted Net Cash Provided by Operating Activities less our Forecasted Capital Expenditures. Our Forecasted Free Cash Flow is a non-GAAP financial measure which we believe is useful to analyze our anticipated ability to generate cash. Our Forecasted Free Cash Flow calculation may not be comparable to similarly titled measures reported by other companies. Our Forecasted Free Cash Flow should be evaluated in addition to, and not considered a substitute for, other GAAP financial measures.</w:t>
      </w: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2026-03-04T06:20:25Z</dcterms:created>
  <dcterms:modified xsi:type="dcterms:W3CDTF">2026-03-04T06:20:25Z</dcterms:modified>
</cp:coreProperties>
</file>