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Washington, D. C. 20549</w:t>
      </w:r>
    </w:p>
    <w:p>
      <w:pPr>
        <w:spacing w:after="0" w:line="45"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______________________________________________________</w:t>
      </w:r>
    </w:p>
    <w:p>
      <w:pPr>
        <w:spacing w:after="0" w:line="4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11-K</w:t>
      </w:r>
    </w:p>
    <w:p>
      <w:pPr>
        <w:spacing w:after="0" w:line="95"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______________________________________________________</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36" w:lineRule="exact"/>
        <w:rPr>
          <w:sz w:val="24"/>
          <w:szCs w:val="24"/>
          <w:color w:val="auto"/>
        </w:rPr>
      </w:pPr>
    </w:p>
    <w:p>
      <w:pPr>
        <w:ind w:left="4160" w:right="2099" w:hanging="4134"/>
        <w:spacing w:after="0" w:line="474" w:lineRule="auto"/>
        <w:tabs>
          <w:tab w:leader="none" w:pos="661"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ANNUAL REPORT PURSUANT TO SECTION 15(d) OF THE SECURITIES EXCHANGE ACT OF 1934 </w:t>
      </w:r>
      <w:r>
        <w:rPr>
          <w:rFonts w:ascii="Arial" w:cs="Arial" w:eastAsia="Arial" w:hAnsi="Arial"/>
          <w:sz w:val="16"/>
          <w:szCs w:val="16"/>
          <w:color w:val="auto"/>
        </w:rPr>
        <w:t>For the fiscal year ended December 31, 2022</w:t>
      </w:r>
    </w:p>
    <w:p>
      <w:pPr>
        <w:spacing w:after="0" w:line="168" w:lineRule="exact"/>
        <w:rPr>
          <w:sz w:val="24"/>
          <w:szCs w:val="24"/>
          <w:color w:val="auto"/>
        </w:rPr>
      </w:pPr>
    </w:p>
    <w:p>
      <w:pPr>
        <w:ind w:left="5520"/>
        <w:spacing w:after="0"/>
        <w:rPr>
          <w:sz w:val="20"/>
          <w:szCs w:val="20"/>
          <w:color w:val="auto"/>
        </w:rPr>
      </w:pPr>
      <w:r>
        <w:rPr>
          <w:rFonts w:ascii="Arial" w:cs="Arial" w:eastAsia="Arial" w:hAnsi="Arial"/>
          <w:sz w:val="16"/>
          <w:szCs w:val="16"/>
          <w:color w:val="auto"/>
        </w:rPr>
        <w:t>OR</w:t>
      </w:r>
    </w:p>
    <w:p>
      <w:pPr>
        <w:spacing w:after="0" w:line="200" w:lineRule="exact"/>
        <w:rPr>
          <w:sz w:val="24"/>
          <w:szCs w:val="24"/>
          <w:color w:val="auto"/>
        </w:rPr>
      </w:pPr>
    </w:p>
    <w:p>
      <w:pPr>
        <w:spacing w:after="0" w:line="233" w:lineRule="exact"/>
        <w:rPr>
          <w:sz w:val="24"/>
          <w:szCs w:val="24"/>
          <w:color w:val="auto"/>
        </w:rPr>
      </w:pPr>
    </w:p>
    <w:p>
      <w:pPr>
        <w:ind w:left="120" w:hanging="94"/>
        <w:spacing w:after="0"/>
        <w:tabs>
          <w:tab w:leader="none" w:pos="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TRANSITION REPORT PURSUANT TO SECTION 15(d) OF THE SECURITIES EXCHANGE ACT OF 1934</w:t>
      </w:r>
    </w:p>
    <w:p>
      <w:pPr>
        <w:spacing w:after="0" w:line="158"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For the transition period from _______ to  _______</w:t>
      </w:r>
    </w:p>
    <w:p>
      <w:pPr>
        <w:spacing w:after="0" w:line="73"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Commission file number 1-8344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40" w:hanging="432"/>
        <w:spacing w:after="0"/>
        <w:tabs>
          <w:tab w:leader="none" w:pos="440" w:val="left"/>
        </w:tabs>
        <w:numPr>
          <w:ilvl w:val="0"/>
          <w:numId w:val="3"/>
        </w:numPr>
        <w:rPr>
          <w:rFonts w:ascii="Arial" w:cs="Arial" w:eastAsia="Arial" w:hAnsi="Arial"/>
          <w:sz w:val="21"/>
          <w:szCs w:val="21"/>
          <w:color w:val="auto"/>
        </w:rPr>
      </w:pPr>
      <w:r>
        <w:rPr>
          <w:rFonts w:ascii="Arial" w:cs="Arial" w:eastAsia="Arial" w:hAnsi="Arial"/>
          <w:sz w:val="21"/>
          <w:szCs w:val="21"/>
          <w:color w:val="auto"/>
        </w:rPr>
        <w:t>Full title of the plan and the address of the plan, if different from that of the issuer named below:</w:t>
      </w:r>
    </w:p>
    <w:p>
      <w:pPr>
        <w:spacing w:after="0" w:line="234"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Bath &amp; Body Works, Inc. 401(k)</w:t>
      </w:r>
    </w:p>
    <w:p>
      <w:pPr>
        <w:spacing w:after="0" w:line="41"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Savings and Retirement Plan</w:t>
      </w:r>
    </w:p>
    <w:p>
      <w:pPr>
        <w:spacing w:after="0" w:line="200" w:lineRule="exact"/>
        <w:rPr>
          <w:sz w:val="24"/>
          <w:szCs w:val="24"/>
          <w:color w:val="auto"/>
        </w:rPr>
      </w:pPr>
    </w:p>
    <w:p>
      <w:pPr>
        <w:spacing w:after="0" w:line="304" w:lineRule="exact"/>
        <w:rPr>
          <w:sz w:val="24"/>
          <w:szCs w:val="24"/>
          <w:color w:val="auto"/>
        </w:rPr>
      </w:pPr>
    </w:p>
    <w:p>
      <w:pPr>
        <w:ind w:left="420" w:hanging="412"/>
        <w:spacing w:after="0"/>
        <w:tabs>
          <w:tab w:leader="none" w:pos="420" w:val="left"/>
        </w:tabs>
        <w:numPr>
          <w:ilvl w:val="0"/>
          <w:numId w:val="4"/>
        </w:numPr>
        <w:rPr>
          <w:rFonts w:ascii="Arial" w:cs="Arial" w:eastAsia="Arial" w:hAnsi="Arial"/>
          <w:sz w:val="19"/>
          <w:szCs w:val="19"/>
          <w:color w:val="auto"/>
        </w:rPr>
      </w:pPr>
      <w:r>
        <w:rPr>
          <w:rFonts w:ascii="Arial" w:cs="Arial" w:eastAsia="Arial" w:hAnsi="Arial"/>
          <w:sz w:val="19"/>
          <w:szCs w:val="19"/>
          <w:color w:val="auto"/>
        </w:rPr>
        <w:t>Name of issuer of the securities held pursuant to the plan and the address of its principal executive office:</w:t>
      </w:r>
    </w:p>
    <w:p>
      <w:pPr>
        <w:spacing w:after="0" w:line="264" w:lineRule="exact"/>
        <w:rPr>
          <w:sz w:val="24"/>
          <w:szCs w:val="24"/>
          <w:color w:val="auto"/>
        </w:rPr>
      </w:pPr>
    </w:p>
    <w:p>
      <w:pPr>
        <w:jc w:val="center"/>
        <w:ind w:right="-1120"/>
        <w:spacing w:after="0"/>
        <w:rPr>
          <w:sz w:val="20"/>
          <w:szCs w:val="20"/>
          <w:color w:val="auto"/>
        </w:rPr>
      </w:pPr>
      <w:r>
        <w:rPr>
          <w:rFonts w:ascii="Arial" w:cs="Arial" w:eastAsia="Arial" w:hAnsi="Arial"/>
          <w:sz w:val="36"/>
          <w:szCs w:val="36"/>
          <w:b w:val="1"/>
          <w:bCs w:val="1"/>
          <w:color w:val="auto"/>
        </w:rPr>
        <w:t>Bath &amp; Body Works, Inc.</w:t>
      </w:r>
    </w:p>
    <w:p>
      <w:pPr>
        <w:spacing w:after="0" w:line="53"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Three Limited Parkway</w:t>
      </w:r>
    </w:p>
    <w:p>
      <w:pPr>
        <w:spacing w:after="0" w:line="3" w:lineRule="exact"/>
        <w:rPr>
          <w:sz w:val="24"/>
          <w:szCs w:val="24"/>
          <w:color w:val="auto"/>
        </w:rPr>
      </w:pPr>
    </w:p>
    <w:p>
      <w:pPr>
        <w:ind w:left="4620"/>
        <w:spacing w:after="0"/>
        <w:rPr>
          <w:sz w:val="20"/>
          <w:szCs w:val="20"/>
          <w:color w:val="auto"/>
        </w:rPr>
      </w:pPr>
      <w:r>
        <w:rPr>
          <w:rFonts w:ascii="Arial" w:cs="Arial" w:eastAsia="Arial" w:hAnsi="Arial"/>
          <w:sz w:val="22"/>
          <w:szCs w:val="22"/>
          <w:color w:val="auto"/>
        </w:rPr>
        <w:t>Columbus, Ohio 43230</w:t>
      </w:r>
    </w:p>
    <w:p>
      <w:pPr>
        <w:sectPr>
          <w:pgSz w:w="11900" w:h="16838" w:orient="portrait"/>
          <w:cols w:equalWidth="0" w:num="1">
            <w:col w:w="10139"/>
          </w:cols>
          <w:pgMar w:left="320" w:top="1273" w:right="1440" w:bottom="1440" w:gutter="0" w:footer="0" w:header="0"/>
        </w:sectPr>
      </w:pPr>
    </w:p>
    <w:bookmarkStart w:id="1" w:name="page2"/>
    <w:bookmarkEnd w:id="1"/>
    <w:p>
      <w:pPr>
        <w:jc w:val="center"/>
        <w:ind w:right="-251"/>
        <w:spacing w:after="0"/>
        <w:rPr>
          <w:sz w:val="20"/>
          <w:szCs w:val="20"/>
          <w:color w:val="auto"/>
        </w:rPr>
      </w:pPr>
      <w:r>
        <w:rPr>
          <w:rFonts w:ascii="Arial" w:cs="Arial" w:eastAsia="Arial" w:hAnsi="Arial"/>
          <w:sz w:val="22"/>
          <w:szCs w:val="22"/>
          <w:color w:val="auto"/>
        </w:rPr>
        <w:t>Bath &amp; Body Works, Inc. 401(k) Savings and Retirement Plan</w:t>
      </w:r>
    </w:p>
    <w:p>
      <w:pPr>
        <w:spacing w:after="0" w:line="21" w:lineRule="exact"/>
        <w:rPr>
          <w:sz w:val="20"/>
          <w:szCs w:val="20"/>
          <w:color w:val="auto"/>
        </w:rPr>
      </w:pPr>
    </w:p>
    <w:p>
      <w:pPr>
        <w:jc w:val="center"/>
        <w:ind w:right="-251"/>
        <w:spacing w:after="0"/>
        <w:rPr>
          <w:sz w:val="20"/>
          <w:szCs w:val="20"/>
          <w:color w:val="auto"/>
        </w:rPr>
      </w:pPr>
      <w:r>
        <w:rPr>
          <w:rFonts w:ascii="Arial" w:cs="Arial" w:eastAsia="Arial" w:hAnsi="Arial"/>
          <w:sz w:val="22"/>
          <w:szCs w:val="22"/>
          <w:color w:val="auto"/>
        </w:rPr>
        <w:t>Financial Statements and Supplemental Schedules</w:t>
      </w:r>
    </w:p>
    <w:p>
      <w:pPr>
        <w:spacing w:after="0" w:line="4" w:lineRule="exact"/>
        <w:rPr>
          <w:sz w:val="20"/>
          <w:szCs w:val="20"/>
          <w:color w:val="auto"/>
        </w:rPr>
      </w:pPr>
    </w:p>
    <w:p>
      <w:pPr>
        <w:jc w:val="center"/>
        <w:ind w:right="-251"/>
        <w:spacing w:after="0"/>
        <w:rPr>
          <w:sz w:val="20"/>
          <w:szCs w:val="20"/>
          <w:color w:val="auto"/>
        </w:rPr>
      </w:pPr>
      <w:r>
        <w:rPr>
          <w:rFonts w:ascii="Arial" w:cs="Arial" w:eastAsia="Arial" w:hAnsi="Arial"/>
          <w:sz w:val="22"/>
          <w:szCs w:val="22"/>
          <w:color w:val="auto"/>
        </w:rPr>
        <w:t>December 31, 2022 and 2021</w:t>
      </w:r>
    </w:p>
    <w:p>
      <w:pPr>
        <w:spacing w:after="0" w:line="236" w:lineRule="exact"/>
        <w:rPr>
          <w:sz w:val="20"/>
          <w:szCs w:val="20"/>
          <w:color w:val="auto"/>
        </w:rPr>
      </w:pPr>
    </w:p>
    <w:p>
      <w:pPr>
        <w:jc w:val="center"/>
        <w:ind w:right="-251"/>
        <w:spacing w:after="0"/>
        <w:rPr>
          <w:sz w:val="20"/>
          <w:szCs w:val="20"/>
          <w:color w:val="auto"/>
        </w:rPr>
      </w:pPr>
      <w:r>
        <w:rPr>
          <w:rFonts w:ascii="Arial" w:cs="Arial" w:eastAsia="Arial" w:hAnsi="Arial"/>
          <w:sz w:val="22"/>
          <w:szCs w:val="22"/>
          <w:b w:val="1"/>
          <w:bCs w:val="1"/>
          <w:color w:val="auto"/>
        </w:rPr>
        <w:t>Table of Contents</w:t>
      </w:r>
    </w:p>
    <w:p>
      <w:pPr>
        <w:spacing w:after="0" w:line="351" w:lineRule="exact"/>
        <w:rPr>
          <w:sz w:val="20"/>
          <w:szCs w:val="20"/>
          <w:color w:val="auto"/>
        </w:rPr>
      </w:pPr>
    </w:p>
    <w:tbl>
      <w:tblPr>
        <w:tblLayout w:type="fixed"/>
        <w:tblInd w:w="212" w:type="dxa"/>
        <w:tblCellMar>
          <w:top w:w="0" w:type="dxa"/>
          <w:left w:w="0" w:type="dxa"/>
          <w:bottom w:w="0" w:type="dxa"/>
          <w:right w:w="0" w:type="dxa"/>
        </w:tblCellMar>
      </w:tblPr>
      <w:tr>
        <w:trPr>
          <w:trHeight w:val="207"/>
        </w:trPr>
        <w:tc>
          <w:tcPr>
            <w:tcW w:w="42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Report of Independent Registered Public Accounting Firm</w:t>
            </w:r>
          </w:p>
        </w:tc>
        <w:tc>
          <w:tcPr>
            <w:tcW w:w="1340" w:type="dxa"/>
            <w:vAlign w:val="bottom"/>
            <w:gridSpan w:val="5"/>
          </w:tcPr>
          <w:p>
            <w:pPr>
              <w:spacing w:after="0"/>
              <w:rPr>
                <w:sz w:val="17"/>
                <w:szCs w:val="17"/>
                <w:color w:val="auto"/>
              </w:rPr>
            </w:pPr>
          </w:p>
        </w:tc>
        <w:tc>
          <w:tcPr>
            <w:tcW w:w="3740" w:type="dxa"/>
            <w:vAlign w:val="bottom"/>
          </w:tcPr>
          <w:p>
            <w:pPr>
              <w:spacing w:after="0"/>
              <w:rPr>
                <w:sz w:val="17"/>
                <w:szCs w:val="17"/>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w:t>
            </w:r>
          </w:p>
        </w:tc>
        <w:tc>
          <w:tcPr>
            <w:tcW w:w="80" w:type="dxa"/>
            <w:vAlign w:val="bottom"/>
          </w:tcPr>
          <w:p>
            <w:pPr>
              <w:spacing w:after="0"/>
              <w:rPr>
                <w:sz w:val="17"/>
                <w:szCs w:val="17"/>
                <w:color w:val="auto"/>
              </w:rPr>
            </w:pPr>
          </w:p>
        </w:tc>
      </w:tr>
      <w:tr>
        <w:trPr>
          <w:trHeight w:val="399"/>
        </w:trPr>
        <w:tc>
          <w:tcPr>
            <w:tcW w:w="556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3420" w:type="dxa"/>
            <w:vAlign w:val="bottom"/>
            <w:tcBorders>
              <w:bottom w:val="single" w:sz="8" w:color="0000FF"/>
            </w:tcBorders>
            <w:gridSpan w:val="4"/>
          </w:tcPr>
          <w:p>
            <w:pPr>
              <w:spacing w:after="0" w:line="202" w:lineRule="exact"/>
              <w:rPr>
                <w:sz w:val="20"/>
                <w:szCs w:val="20"/>
                <w:color w:val="auto"/>
              </w:rPr>
            </w:pPr>
            <w:r>
              <w:rPr>
                <w:rFonts w:ascii="Arial" w:cs="Arial" w:eastAsia="Arial" w:hAnsi="Arial"/>
                <w:sz w:val="18"/>
                <w:szCs w:val="18"/>
                <w:color w:val="0000FF"/>
                <w:w w:val="90"/>
              </w:rPr>
              <w:t>Statements of Net Assets Available for Benefits</w:t>
            </w:r>
          </w:p>
        </w:tc>
        <w:tc>
          <w:tcPr>
            <w:tcW w:w="1920" w:type="dxa"/>
            <w:vAlign w:val="bottom"/>
            <w:gridSpan w:val="6"/>
          </w:tcPr>
          <w:p>
            <w:pPr>
              <w:spacing w:after="0"/>
              <w:rPr>
                <w:sz w:val="17"/>
                <w:szCs w:val="17"/>
                <w:color w:val="auto"/>
              </w:rPr>
            </w:pPr>
          </w:p>
        </w:tc>
        <w:tc>
          <w:tcPr>
            <w:tcW w:w="3740" w:type="dxa"/>
            <w:vAlign w:val="bottom"/>
          </w:tcPr>
          <w:p>
            <w:pPr>
              <w:spacing w:after="0"/>
              <w:rPr>
                <w:sz w:val="17"/>
                <w:szCs w:val="17"/>
                <w:color w:val="auto"/>
              </w:rPr>
            </w:pPr>
          </w:p>
        </w:tc>
        <w:tc>
          <w:tcPr>
            <w:tcW w:w="100" w:type="dxa"/>
            <w:vAlign w:val="bottom"/>
            <w:tcBorders>
              <w:bottom w:val="single" w:sz="8" w:color="0000FF"/>
            </w:tcBorders>
          </w:tcPr>
          <w:p>
            <w:pPr>
              <w:spacing w:after="0" w:line="202" w:lineRule="exact"/>
              <w:rPr>
                <w:sz w:val="20"/>
                <w:szCs w:val="20"/>
                <w:color w:val="auto"/>
              </w:rPr>
            </w:pPr>
            <w:r>
              <w:rPr>
                <w:rFonts w:ascii="Arial" w:cs="Arial" w:eastAsia="Arial" w:hAnsi="Arial"/>
                <w:sz w:val="18"/>
                <w:szCs w:val="18"/>
                <w:color w:val="0000FF"/>
                <w:w w:val="79"/>
              </w:rPr>
              <w:t>2</w:t>
            </w:r>
          </w:p>
        </w:tc>
        <w:tc>
          <w:tcPr>
            <w:tcW w:w="80" w:type="dxa"/>
            <w:vAlign w:val="bottom"/>
          </w:tcPr>
          <w:p>
            <w:pPr>
              <w:spacing w:after="0"/>
              <w:rPr>
                <w:sz w:val="17"/>
                <w:szCs w:val="17"/>
                <w:color w:val="auto"/>
              </w:rPr>
            </w:pPr>
          </w:p>
        </w:tc>
      </w:tr>
      <w:tr>
        <w:trPr>
          <w:trHeight w:val="209"/>
        </w:trPr>
        <w:tc>
          <w:tcPr>
            <w:tcW w:w="220" w:type="dxa"/>
            <w:vAlign w:val="bottom"/>
          </w:tcPr>
          <w:p>
            <w:pPr>
              <w:spacing w:after="0"/>
              <w:rPr>
                <w:sz w:val="18"/>
                <w:szCs w:val="18"/>
                <w:color w:val="auto"/>
              </w:rPr>
            </w:pPr>
          </w:p>
        </w:tc>
        <w:tc>
          <w:tcPr>
            <w:tcW w:w="42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Statement of Changes in Net Assets Available for Benefits</w:t>
            </w:r>
          </w:p>
        </w:tc>
        <w:tc>
          <w:tcPr>
            <w:tcW w:w="1140" w:type="dxa"/>
            <w:vAlign w:val="bottom"/>
            <w:gridSpan w:val="4"/>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3</w:t>
            </w:r>
          </w:p>
        </w:tc>
        <w:tc>
          <w:tcPr>
            <w:tcW w:w="80" w:type="dxa"/>
            <w:vAlign w:val="bottom"/>
          </w:tcPr>
          <w:p>
            <w:pPr>
              <w:spacing w:after="0"/>
              <w:rPr>
                <w:sz w:val="18"/>
                <w:szCs w:val="18"/>
                <w:color w:val="auto"/>
              </w:rPr>
            </w:pPr>
          </w:p>
        </w:tc>
      </w:tr>
      <w:tr>
        <w:trPr>
          <w:trHeight w:val="318"/>
        </w:trPr>
        <w:tc>
          <w:tcPr>
            <w:tcW w:w="2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Notes to Financial Statements</w:t>
            </w:r>
          </w:p>
        </w:tc>
        <w:tc>
          <w:tcPr>
            <w:tcW w:w="3400" w:type="dxa"/>
            <w:vAlign w:val="bottom"/>
            <w:gridSpan w:val="7"/>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4</w:t>
            </w:r>
          </w:p>
        </w:tc>
        <w:tc>
          <w:tcPr>
            <w:tcW w:w="80" w:type="dxa"/>
            <w:vAlign w:val="bottom"/>
          </w:tcPr>
          <w:p>
            <w:pPr>
              <w:spacing w:after="0"/>
              <w:rPr>
                <w:sz w:val="24"/>
                <w:szCs w:val="24"/>
                <w:color w:val="auto"/>
              </w:rPr>
            </w:pPr>
          </w:p>
        </w:tc>
      </w:tr>
      <w:tr>
        <w:trPr>
          <w:trHeight w:val="371"/>
        </w:trPr>
        <w:tc>
          <w:tcPr>
            <w:tcW w:w="5560" w:type="dxa"/>
            <w:vAlign w:val="bottom"/>
            <w:gridSpan w:val="11"/>
          </w:tcPr>
          <w:p>
            <w:pPr>
              <w:spacing w:after="0"/>
              <w:rPr>
                <w:sz w:val="20"/>
                <w:szCs w:val="20"/>
                <w:color w:val="auto"/>
              </w:rPr>
            </w:pPr>
            <w:r>
              <w:rPr>
                <w:rFonts w:ascii="Arial" w:cs="Arial" w:eastAsia="Arial" w:hAnsi="Arial"/>
                <w:sz w:val="18"/>
                <w:szCs w:val="18"/>
                <w:color w:val="auto"/>
              </w:rPr>
              <w:t>Supplementary Schedules*:</w:t>
            </w: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80" w:type="dxa"/>
            <w:vAlign w:val="bottom"/>
            <w:gridSpan w:val="9"/>
          </w:tcPr>
          <w:p>
            <w:pPr>
              <w:spacing w:after="0" w:line="190" w:lineRule="exact"/>
              <w:rPr>
                <w:sz w:val="20"/>
                <w:szCs w:val="20"/>
                <w:color w:val="auto"/>
              </w:rPr>
            </w:pPr>
            <w:r>
              <w:rPr>
                <w:rFonts w:ascii="Arial" w:cs="Arial" w:eastAsia="Arial" w:hAnsi="Arial"/>
                <w:sz w:val="18"/>
                <w:szCs w:val="18"/>
                <w:color w:val="0000FF"/>
              </w:rPr>
              <w:t>Schedule G, Part III of Form 5500 - Nonexempt Transactions</w:t>
            </w:r>
          </w:p>
        </w:tc>
        <w:tc>
          <w:tcPr>
            <w:tcW w:w="3920" w:type="dxa"/>
            <w:vAlign w:val="bottom"/>
            <w:gridSpan w:val="3"/>
          </w:tcPr>
          <w:p>
            <w:pPr>
              <w:ind w:left="3740"/>
              <w:spacing w:after="0" w:line="190" w:lineRule="exact"/>
              <w:rPr>
                <w:sz w:val="20"/>
                <w:szCs w:val="20"/>
                <w:color w:val="auto"/>
              </w:rPr>
            </w:pPr>
            <w:r>
              <w:rPr>
                <w:rFonts w:ascii="Arial" w:cs="Arial" w:eastAsia="Arial" w:hAnsi="Arial"/>
                <w:sz w:val="18"/>
                <w:szCs w:val="18"/>
                <w:color w:val="0000FF"/>
                <w:w w:val="79"/>
              </w:rPr>
              <w:t>10</w:t>
            </w:r>
          </w:p>
        </w:tc>
      </w:tr>
      <w:tr>
        <w:trPr>
          <w:trHeight w:val="20"/>
        </w:trPr>
        <w:tc>
          <w:tcPr>
            <w:tcW w:w="2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80" w:type="dxa"/>
            <w:vAlign w:val="bottom"/>
            <w:gridSpan w:val="9"/>
          </w:tcPr>
          <w:p>
            <w:pPr>
              <w:spacing w:after="0"/>
              <w:rPr>
                <w:sz w:val="20"/>
                <w:szCs w:val="20"/>
                <w:color w:val="auto"/>
              </w:rPr>
            </w:pPr>
            <w:r>
              <w:rPr>
                <w:rFonts w:ascii="Arial" w:cs="Arial" w:eastAsia="Arial" w:hAnsi="Arial"/>
                <w:sz w:val="18"/>
                <w:szCs w:val="18"/>
                <w:color w:val="0000FF"/>
                <w:w w:val="93"/>
              </w:rPr>
              <w:t>Schedule H, Line 4a - Schedule of Delinquent Participant Contributions</w:t>
            </w:r>
          </w:p>
        </w:tc>
        <w:tc>
          <w:tcPr>
            <w:tcW w:w="3920" w:type="dxa"/>
            <w:vAlign w:val="bottom"/>
            <w:gridSpan w:val="3"/>
          </w:tcPr>
          <w:p>
            <w:pPr>
              <w:ind w:left="3740"/>
              <w:spacing w:after="0"/>
              <w:rPr>
                <w:sz w:val="20"/>
                <w:szCs w:val="20"/>
                <w:color w:val="auto"/>
              </w:rPr>
            </w:pPr>
            <w:r>
              <w:rPr>
                <w:rFonts w:ascii="Arial" w:cs="Arial" w:eastAsia="Arial" w:hAnsi="Arial"/>
                <w:sz w:val="18"/>
                <w:szCs w:val="18"/>
                <w:color w:val="0000FF"/>
                <w:w w:val="79"/>
              </w:rPr>
              <w:t>11</w:t>
            </w:r>
          </w:p>
        </w:tc>
      </w:tr>
      <w:tr>
        <w:trPr>
          <w:trHeight w:val="223"/>
        </w:trPr>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0"/>
              </w:rPr>
              <w:t>Schedule H, Line 4i - Schedule of Assets (Held at End of Year)</w:t>
            </w:r>
          </w:p>
        </w:tc>
        <w:tc>
          <w:tcPr>
            <w:tcW w:w="62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79"/>
              </w:rPr>
              <w:t>12</w:t>
            </w:r>
          </w:p>
        </w:tc>
      </w:tr>
      <w:tr>
        <w:trPr>
          <w:trHeight w:val="318"/>
        </w:trPr>
        <w:tc>
          <w:tcPr>
            <w:tcW w:w="7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Signature</w:t>
            </w:r>
          </w:p>
        </w:tc>
        <w:tc>
          <w:tcPr>
            <w:tcW w:w="4860" w:type="dxa"/>
            <w:vAlign w:val="bottom"/>
            <w:gridSpan w:val="8"/>
          </w:tcPr>
          <w:p>
            <w:pPr>
              <w:spacing w:after="0"/>
              <w:rPr>
                <w:sz w:val="24"/>
                <w:szCs w:val="24"/>
                <w:color w:val="auto"/>
              </w:rPr>
            </w:pPr>
          </w:p>
        </w:tc>
        <w:tc>
          <w:tcPr>
            <w:tcW w:w="3740" w:type="dxa"/>
            <w:vAlign w:val="bottom"/>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13</w:t>
            </w:r>
          </w:p>
        </w:tc>
      </w:tr>
      <w:tr>
        <w:trPr>
          <w:trHeight w:val="358"/>
        </w:trPr>
        <w:tc>
          <w:tcPr>
            <w:tcW w:w="5560" w:type="dxa"/>
            <w:vAlign w:val="bottom"/>
            <w:gridSpan w:val="11"/>
          </w:tcPr>
          <w:p>
            <w:pPr>
              <w:spacing w:after="0"/>
              <w:rPr>
                <w:sz w:val="20"/>
                <w:szCs w:val="20"/>
                <w:color w:val="auto"/>
              </w:rPr>
            </w:pPr>
            <w:r>
              <w:rPr>
                <w:rFonts w:ascii="Arial" w:cs="Arial" w:eastAsia="Arial" w:hAnsi="Arial"/>
                <w:sz w:val="18"/>
                <w:szCs w:val="18"/>
                <w:color w:val="auto"/>
              </w:rPr>
              <w:t>Exhibits:</w:t>
            </w: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5340" w:type="dxa"/>
            <w:vAlign w:val="bottom"/>
            <w:tcBorders>
              <w:bottom w:val="single" w:sz="8" w:color="0000FF"/>
            </w:tcBorders>
            <w:gridSpan w:val="10"/>
          </w:tcPr>
          <w:p>
            <w:pPr>
              <w:spacing w:after="0" w:line="202" w:lineRule="exact"/>
              <w:rPr>
                <w:sz w:val="20"/>
                <w:szCs w:val="20"/>
                <w:color w:val="auto"/>
              </w:rPr>
            </w:pPr>
            <w:r>
              <w:rPr>
                <w:rFonts w:ascii="Arial" w:cs="Arial" w:eastAsia="Arial" w:hAnsi="Arial"/>
                <w:sz w:val="18"/>
                <w:szCs w:val="18"/>
                <w:color w:val="0000FF"/>
                <w:w w:val="91"/>
              </w:rPr>
              <w:t>Exhibit 23.1 - Consent of Independent Registered Public Accounting Firm</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323" w:lineRule="exact"/>
        <w:rPr>
          <w:sz w:val="20"/>
          <w:szCs w:val="20"/>
          <w:color w:val="auto"/>
        </w:rPr>
      </w:pPr>
    </w:p>
    <w:p>
      <w:pPr>
        <w:ind w:left="652" w:hanging="652"/>
        <w:spacing w:after="0" w:line="277" w:lineRule="auto"/>
        <w:tabs>
          <w:tab w:leader="none" w:pos="301" w:val="left"/>
        </w:tabs>
        <w:numPr>
          <w:ilvl w:val="0"/>
          <w:numId w:val="5"/>
        </w:numPr>
        <w:rPr>
          <w:rFonts w:ascii="Arial" w:cs="Arial" w:eastAsia="Arial" w:hAnsi="Arial"/>
          <w:sz w:val="19"/>
          <w:szCs w:val="19"/>
          <w:color w:val="auto"/>
        </w:rPr>
      </w:pPr>
      <w:r>
        <w:rPr>
          <w:rFonts w:ascii="Arial" w:cs="Arial" w:eastAsia="Arial" w:hAnsi="Arial"/>
          <w:sz w:val="19"/>
          <w:szCs w:val="19"/>
          <w:color w:val="auto"/>
        </w:rPr>
        <w:t>All other supplemental schedules required by Section 2520.103-10 of the Department of Labor’s Rules and Regulations for Reporting and Disclosure under the Employee Retirement Income Security Act of 1974 have been omitted because they are not applicable or the information required therein has been included in the financial statements or notes hereto.</w:t>
      </w:r>
    </w:p>
    <w:p>
      <w:pPr>
        <w:sectPr>
          <w:pgSz w:w="11900" w:h="16838" w:orient="portrait"/>
          <w:cols w:equalWidth="0" w:num="1">
            <w:col w:w="10972"/>
          </w:cols>
          <w:pgMar w:left="328" w:top="901" w:right="599" w:bottom="1440" w:gutter="0" w:footer="0" w:header="0"/>
        </w:sectPr>
      </w:pPr>
    </w:p>
    <w:bookmarkStart w:id="2" w:name="page3"/>
    <w:bookmarkEnd w:id="2"/>
    <w:p>
      <w:pPr>
        <w:ind w:left="2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To the Plan Participants and the Plan Administrator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of Bath &amp; Body Works, Inc. 401(k) Savings and Retirement Plan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41"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We have audited the accompanying statements of net assets available for benefits of Bath &amp; Body Works, Inc. 401(k) Savings and Retirement Plan (the Plan) as of December 31, 2022 and 2021, and the related statement of changes in net assets available for benefits for the year ended December 31, 2022, and the related notes (collectively referred to as the “financial statements”). In our opinion, the financial statements present fairly, in all material respects, the net assets available for benefits of the Plan at December 31, 2022 and 2021, and the changes in its net assets available for benefits for the year ended December 31, 2022, in conformity with U.S. generally accepted accounting principles.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7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Schedules Required by ERISA</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accompanying supplemental schedules of assets (held at end of year) as of December 31, 2022, and nonexempt transactions and delinquent participant contributions for the year then ended, (referred to as the “supplemental schedules”), have been subjected to audit procedures performed in conjunction with the audit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have served as the Plan’s auditor since 2003.</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Grandview Heights, Ohio</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June 23, 2023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00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Bath &amp; Body Works, Inc. 401(k) Savings and Retirement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Statements of Net Assets Available for Benefits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140" w:type="dxa"/>
            <w:vAlign w:val="bottom"/>
          </w:tcPr>
          <w:p>
            <w:pPr>
              <w:spacing w:after="0"/>
              <w:rPr>
                <w:sz w:val="19"/>
                <w:szCs w:val="19"/>
                <w:color w:val="auto"/>
              </w:rPr>
            </w:pPr>
          </w:p>
        </w:tc>
      </w:tr>
      <w:tr>
        <w:trPr>
          <w:trHeight w:val="241"/>
        </w:trPr>
        <w:tc>
          <w:tcPr>
            <w:tcW w:w="74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4"/>
              </w:rPr>
              <w:t>2021</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Investments at Fair Market Value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1,005,124,811</w:t>
            </w:r>
          </w:p>
        </w:tc>
        <w:tc>
          <w:tcPr>
            <w:tcW w:w="82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2"/>
              </w:rPr>
              <w:t>1,230,969,223</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for Contributions from Employer</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19,579,352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21,491,466</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Cash</w:t>
            </w: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243,608</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67,084</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78,653</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39,979</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1,025,036,115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1,252,579,321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1,347,633</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1,291,010</w:t>
            </w: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 Payable</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88,978</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256,536</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Transfer to the Victoria’s Secret &amp; Co. 401(k) Savings and Retirement Plan</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119,000</w:t>
            </w:r>
          </w:p>
        </w:tc>
      </w:tr>
      <w:tr>
        <w:trPr>
          <w:trHeight w:val="23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1,436,611</w:t>
            </w:r>
          </w:p>
        </w:tc>
        <w:tc>
          <w:tcPr>
            <w:tcW w:w="12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1,666,546</w:t>
            </w:r>
          </w:p>
        </w:tc>
      </w:tr>
      <w:tr>
        <w:trPr>
          <w:trHeight w:val="250"/>
        </w:trPr>
        <w:tc>
          <w:tcPr>
            <w:tcW w:w="74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1,023,599,504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1,250,912,775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40" w:top="895" w:right="3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t>Bath &amp; Body Works, Inc. 401(k) Savings and Retirement Plan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Statement of Changes in Net Assets Available for Benefits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Year Ended December</w:t>
            </w:r>
          </w:p>
        </w:tc>
      </w:tr>
      <w:tr>
        <w:trPr>
          <w:trHeight w:val="234"/>
        </w:trPr>
        <w:tc>
          <w:tcPr>
            <w:tcW w:w="9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730"/>
              <w:spacing w:after="0"/>
              <w:rPr>
                <w:sz w:val="20"/>
                <w:szCs w:val="20"/>
                <w:color w:val="auto"/>
              </w:rPr>
            </w:pPr>
            <w:r>
              <w:rPr>
                <w:rFonts w:ascii="Arial" w:cs="Arial" w:eastAsia="Arial" w:hAnsi="Arial"/>
                <w:sz w:val="18"/>
                <w:szCs w:val="18"/>
                <w:b w:val="1"/>
                <w:bCs w:val="1"/>
                <w:color w:val="auto"/>
              </w:rPr>
              <w:t>31,</w:t>
            </w:r>
          </w:p>
        </w:tc>
      </w:tr>
      <w:tr>
        <w:trPr>
          <w:trHeight w:val="238"/>
        </w:trPr>
        <w:tc>
          <w:tcPr>
            <w:tcW w:w="9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r>
      <w:tr>
        <w:trPr>
          <w:trHeight w:val="223"/>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Income (Loss):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9240" w:type="dxa"/>
            <w:vAlign w:val="bottom"/>
          </w:tcPr>
          <w:p>
            <w:pPr>
              <w:ind w:left="220"/>
              <w:spacing w:after="0"/>
              <w:rPr>
                <w:sz w:val="20"/>
                <w:szCs w:val="20"/>
                <w:color w:val="auto"/>
              </w:rPr>
            </w:pPr>
            <w:r>
              <w:rPr>
                <w:rFonts w:ascii="Arial" w:cs="Arial" w:eastAsia="Arial" w:hAnsi="Arial"/>
                <w:sz w:val="18"/>
                <w:szCs w:val="18"/>
                <w:color w:val="auto"/>
              </w:rPr>
              <w:t>Net Depreciation in Fair Value of Investments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(225,208,707)</w:t>
            </w:r>
          </w:p>
        </w:tc>
      </w:tr>
      <w:tr>
        <w:trPr>
          <w:trHeight w:val="243"/>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and Interest from Investments</w:t>
            </w: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21,472,532</w:t>
            </w:r>
          </w:p>
        </w:tc>
      </w:tr>
      <w:tr>
        <w:trPr>
          <w:trHeight w:val="223"/>
        </w:trPr>
        <w:tc>
          <w:tcPr>
            <w:tcW w:w="9240" w:type="dxa"/>
            <w:vAlign w:val="bottom"/>
            <w:tcBorders>
              <w:bottom w:val="single" w:sz="8" w:color="CCEEFF"/>
            </w:tcBorders>
          </w:tcPr>
          <w:p>
            <w:pPr>
              <w:ind w:left="440"/>
              <w:spacing w:after="0"/>
              <w:rPr>
                <w:sz w:val="20"/>
                <w:szCs w:val="20"/>
                <w:color w:val="auto"/>
              </w:rPr>
            </w:pPr>
            <w:r>
              <w:rPr>
                <w:rFonts w:ascii="Arial" w:cs="Arial" w:eastAsia="Arial" w:hAnsi="Arial"/>
                <w:sz w:val="18"/>
                <w:szCs w:val="18"/>
                <w:b w:val="1"/>
                <w:bCs w:val="1"/>
                <w:color w:val="auto"/>
              </w:rPr>
              <w:t>Total Investment Loss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(203,736,175)</w:t>
            </w:r>
          </w:p>
        </w:tc>
      </w:tr>
      <w:tr>
        <w:trPr>
          <w:trHeight w:val="250"/>
        </w:trPr>
        <w:tc>
          <w:tcPr>
            <w:tcW w:w="9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9"/>
        </w:trPr>
        <w:tc>
          <w:tcPr>
            <w:tcW w:w="9240" w:type="dxa"/>
            <w:vAlign w:val="bottom"/>
          </w:tcPr>
          <w:p>
            <w:pPr>
              <w:ind w:left="20"/>
              <w:spacing w:after="0"/>
              <w:rPr>
                <w:sz w:val="20"/>
                <w:szCs w:val="20"/>
                <w:color w:val="auto"/>
              </w:rPr>
            </w:pPr>
            <w:r>
              <w:rPr>
                <w:rFonts w:ascii="Arial" w:cs="Arial" w:eastAsia="Arial" w:hAnsi="Arial"/>
                <w:sz w:val="18"/>
                <w:szCs w:val="18"/>
                <w:b w:val="1"/>
                <w:bCs w:val="1"/>
                <w:color w:val="auto"/>
              </w:rPr>
              <w:t>Contributions: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Employer</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34,974,087</w:t>
            </w:r>
          </w:p>
        </w:tc>
      </w:tr>
      <w:tr>
        <w:trPr>
          <w:trHeight w:val="230"/>
        </w:trPr>
        <w:tc>
          <w:tcPr>
            <w:tcW w:w="9240" w:type="dxa"/>
            <w:vAlign w:val="bottom"/>
          </w:tcPr>
          <w:p>
            <w:pPr>
              <w:ind w:left="220"/>
              <w:spacing w:after="0"/>
              <w:rPr>
                <w:sz w:val="20"/>
                <w:szCs w:val="20"/>
                <w:color w:val="auto"/>
              </w:rPr>
            </w:pPr>
            <w:r>
              <w:rPr>
                <w:rFonts w:ascii="Arial" w:cs="Arial" w:eastAsia="Arial" w:hAnsi="Arial"/>
                <w:sz w:val="18"/>
                <w:szCs w:val="18"/>
                <w:color w:val="auto"/>
              </w:rPr>
              <w:t>Participant Deferrals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30,686,426</w:t>
            </w:r>
          </w:p>
        </w:tc>
      </w:tr>
      <w:tr>
        <w:trPr>
          <w:trHeight w:val="243"/>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 Rollovers</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6,250,114</w:t>
            </w:r>
          </w:p>
        </w:tc>
      </w:tr>
      <w:tr>
        <w:trPr>
          <w:trHeight w:val="230"/>
        </w:trPr>
        <w:tc>
          <w:tcPr>
            <w:tcW w:w="9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Rescission Offer (see Note 1)</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271,071</w:t>
            </w:r>
          </w:p>
        </w:tc>
      </w:tr>
      <w:tr>
        <w:trPr>
          <w:trHeight w:val="223"/>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Contributions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72,181,698</w:t>
            </w:r>
          </w:p>
        </w:tc>
      </w:tr>
      <w:tr>
        <w:trPr>
          <w:trHeight w:val="257"/>
        </w:trPr>
        <w:tc>
          <w:tcPr>
            <w:tcW w:w="9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Deductions from Net Assets Attributable to:</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9240" w:type="dxa"/>
            <w:vAlign w:val="bottom"/>
          </w:tcPr>
          <w:p>
            <w:pPr>
              <w:ind w:left="220"/>
              <w:spacing w:after="0"/>
              <w:rPr>
                <w:sz w:val="20"/>
                <w:szCs w:val="20"/>
                <w:color w:val="auto"/>
              </w:rPr>
            </w:pPr>
            <w:r>
              <w:rPr>
                <w:rFonts w:ascii="Arial" w:cs="Arial" w:eastAsia="Arial" w:hAnsi="Arial"/>
                <w:sz w:val="18"/>
                <w:szCs w:val="18"/>
                <w:color w:val="auto"/>
              </w:rPr>
              <w:t>Distributions to Participants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94,470,095</w:t>
            </w:r>
          </w:p>
        </w:tc>
      </w:tr>
      <w:tr>
        <w:trPr>
          <w:trHeight w:val="23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Expenses</w:t>
            </w: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1,288,699</w:t>
            </w: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b w:val="1"/>
                <w:bCs w:val="1"/>
                <w:color w:val="auto"/>
              </w:rPr>
              <w:t>Total Deductions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95,758,794</w:t>
            </w:r>
          </w:p>
        </w:tc>
      </w:tr>
      <w:tr>
        <w:trPr>
          <w:trHeight w:val="262"/>
        </w:trPr>
        <w:tc>
          <w:tcPr>
            <w:tcW w:w="9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Net Decrease in Net Assets Available for Benefits</w:t>
            </w:r>
          </w:p>
        </w:tc>
        <w:tc>
          <w:tcPr>
            <w:tcW w:w="4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(227,313,271)</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9240" w:type="dxa"/>
            <w:vAlign w:val="bottom"/>
          </w:tcPr>
          <w:p>
            <w:pPr>
              <w:ind w:left="180"/>
              <w:spacing w:after="0"/>
              <w:rPr>
                <w:sz w:val="20"/>
                <w:szCs w:val="20"/>
                <w:color w:val="auto"/>
              </w:rPr>
            </w:pPr>
            <w:r>
              <w:rPr>
                <w:rFonts w:ascii="Arial" w:cs="Arial" w:eastAsia="Arial" w:hAnsi="Arial"/>
                <w:sz w:val="18"/>
                <w:szCs w:val="18"/>
                <w:color w:val="auto"/>
              </w:rPr>
              <w:t>Beginning of Year</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1,250,912,775</w:t>
            </w:r>
          </w:p>
        </w:tc>
      </w:tr>
      <w:tr>
        <w:trPr>
          <w:trHeight w:val="262"/>
        </w:trPr>
        <w:tc>
          <w:tcPr>
            <w:tcW w:w="9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1,023,599,504</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the accompanying Notes to the Financial Statements.</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00"/>
          </w:cols>
          <w:pgMar w:left="400" w:top="895" w:right="399" w:bottom="1440" w:gutter="0" w:footer="0" w:header="0"/>
        </w:sectPr>
      </w:pPr>
    </w:p>
    <w:bookmarkStart w:id="5" w:name="page6"/>
    <w:bookmarkEnd w:id="5"/>
    <w:p>
      <w:pPr>
        <w:ind w:left="3000"/>
        <w:spacing w:after="0"/>
        <w:rPr>
          <w:sz w:val="20"/>
          <w:szCs w:val="20"/>
          <w:color w:val="auto"/>
        </w:rPr>
      </w:pPr>
      <w:r>
        <w:rPr>
          <w:rFonts w:ascii="Arial" w:cs="Arial" w:eastAsia="Arial" w:hAnsi="Arial"/>
          <w:sz w:val="20"/>
          <w:szCs w:val="20"/>
          <w:b w:val="1"/>
          <w:bCs w:val="1"/>
          <w:color w:val="auto"/>
        </w:rPr>
        <w:t>Bath &amp; Body Works, Inc. 401(k) Savings and Retirement Plan</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Notes to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2022 and 2021</w:t>
      </w:r>
    </w:p>
    <w:p>
      <w:pPr>
        <w:spacing w:after="0" w:line="234" w:lineRule="exact"/>
        <w:rPr>
          <w:sz w:val="20"/>
          <w:szCs w:val="20"/>
          <w:color w:val="auto"/>
        </w:rPr>
      </w:pPr>
    </w:p>
    <w:p>
      <w:pPr>
        <w:ind w:right="9100" w:firstLine="8"/>
        <w:spacing w:after="0" w:line="369" w:lineRule="auto"/>
        <w:tabs>
          <w:tab w:leader="none" w:pos="198"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Description of the Plan General</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Bath &amp; Body Works, Inc. 401(k) Savings and Retirement Plan (as amended, the “Plan”) is a defined contribution plan covering eligible employees of Bath &amp; Body Works, Inc. (the “Company”) and certain of its affiliates (collectively, the “Employer”). The following description of the Plan provides only general information. Participants should refer to the Plan document (as amended and restated effective as of April 5, 2021) for a more complete description of the Plan’s provisions. The Plan is subject to the provisions of the Employee Retirement Income Security Act of 1974, as amended (“ERISA”).</w:t>
      </w:r>
    </w:p>
    <w:p>
      <w:pPr>
        <w:spacing w:after="0" w:line="93" w:lineRule="exact"/>
        <w:rPr>
          <w:sz w:val="20"/>
          <w:szCs w:val="20"/>
          <w:color w:val="auto"/>
        </w:rPr>
      </w:pPr>
    </w:p>
    <w:p>
      <w:pPr>
        <w:ind w:right="1700"/>
        <w:spacing w:after="0" w:line="359" w:lineRule="auto"/>
        <w:rPr>
          <w:sz w:val="20"/>
          <w:szCs w:val="20"/>
          <w:color w:val="auto"/>
        </w:rPr>
      </w:pPr>
      <w:r>
        <w:rPr>
          <w:rFonts w:ascii="Arial" w:cs="Arial" w:eastAsia="Arial" w:hAnsi="Arial"/>
          <w:sz w:val="20"/>
          <w:szCs w:val="20"/>
          <w:color w:val="auto"/>
        </w:rPr>
        <w:t xml:space="preserve">As of December 31, 2022 and 2021, the Plan's investments were held by Matrix Trust Company, the trustee for the Plan. </w:t>
      </w:r>
      <w:r>
        <w:rPr>
          <w:rFonts w:ascii="Arial" w:cs="Arial" w:eastAsia="Arial" w:hAnsi="Arial"/>
          <w:sz w:val="20"/>
          <w:szCs w:val="20"/>
          <w:b w:val="1"/>
          <w:bCs w:val="1"/>
          <w:color w:val="auto"/>
        </w:rPr>
        <w:t>Plan Amendments</w:t>
      </w:r>
    </w:p>
    <w:p>
      <w:pPr>
        <w:jc w:val="both"/>
        <w:spacing w:after="0" w:line="257" w:lineRule="auto"/>
        <w:rPr>
          <w:sz w:val="20"/>
          <w:szCs w:val="20"/>
          <w:color w:val="auto"/>
        </w:rPr>
      </w:pPr>
      <w:r>
        <w:rPr>
          <w:rFonts w:ascii="Arial" w:cs="Arial" w:eastAsia="Arial" w:hAnsi="Arial"/>
          <w:sz w:val="20"/>
          <w:szCs w:val="20"/>
          <w:color w:val="auto"/>
        </w:rPr>
        <w:t>The Plan was amended, effective as of January 1, 2022, to include bonuses (other than sign-on bonuses or retention bonuses) paid after a participant’s termination from employment in eligible compensation for purposes of calculating Annual Contributions (as defined below) under the Plan.</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Plan was amended, effective as of May 11, 2023, to provide that the Employer Stock Fund and the VS Stock Fund (as each is defined below) are permitted, but not mandatory, investment alternatives under the Plan.</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Eligibility</w:t>
      </w:r>
    </w:p>
    <w:p>
      <w:pPr>
        <w:spacing w:after="0" w:line="11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Employees become eligible to participate in the Plan upon becoming at least 21 years of age and either (1) a full-time employee, or (2) a part-time employee having completed a year of employment with 1,000 or more hours of service. All employees eligible to participate in the Plan must complete a year of employment with 1,000 or more hours of service to become eligible for Employer contributions.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Contributions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Employer contributions</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Subject to the eligibility requirements under the Plan, the Employer provides a matching contribution of 100% of each eligible participant’s voluntary contributions up to 4% of annual eligible compensation.</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Subject to the eligibility requirements under the Plan, the Employer also provides a non-elective contribution (the “Annual Contribution”) equal to a percentage of annual eligible compensation to all eligible participants regardless of the participants’ elections who were one of the following:</w:t>
      </w:r>
    </w:p>
    <w:p>
      <w:pPr>
        <w:spacing w:after="0" w:line="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Employed on the last day of the Plan year, and had completed 1,000 hours of service during the Plan year;</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Involuntarily terminated without cause during the Plan year; or</w:t>
      </w:r>
    </w:p>
    <w:p>
      <w:pPr>
        <w:spacing w:after="0" w:line="107"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Voluntarily terminated during the Plan year, and as of the last day of the Plan year were age 55 or above and had a minimum of seven years of vested service.</w:t>
      </w:r>
    </w:p>
    <w:p>
      <w:pPr>
        <w:spacing w:after="0" w:line="55"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Annual Contributions are determined based on each participant’s annual eligible compensation and accumulated years of vested service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 Up to</w:t>
            </w: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 Above</w:t>
            </w:r>
          </w:p>
        </w:tc>
      </w:tr>
      <w:tr>
        <w:trPr>
          <w:trHeight w:val="216"/>
        </w:trPr>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Social Security</w:t>
            </w: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9"/>
              </w:rPr>
              <w:t>Social Security</w:t>
            </w:r>
          </w:p>
        </w:tc>
      </w:tr>
      <w:tr>
        <w:trPr>
          <w:trHeight w:val="261"/>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Years of Vested Service</w:t>
            </w:r>
          </w:p>
        </w:tc>
        <w:tc>
          <w:tcPr>
            <w:tcW w:w="12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Wage Base</w:t>
            </w:r>
          </w:p>
        </w:tc>
        <w:tc>
          <w:tcPr>
            <w:tcW w:w="120" w:type="dxa"/>
            <w:vAlign w:val="bottom"/>
          </w:tcPr>
          <w:p>
            <w:pPr>
              <w:spacing w:after="0"/>
              <w:rPr>
                <w:sz w:val="22"/>
                <w:szCs w:val="22"/>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Wage Base</w:t>
            </w:r>
          </w:p>
        </w:tc>
      </w:tr>
      <w:tr>
        <w:trPr>
          <w:trHeight w:val="23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5 years</w:t>
            </w:r>
          </w:p>
        </w:tc>
        <w:tc>
          <w:tcPr>
            <w:tcW w:w="19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c>
          <w:tcPr>
            <w:tcW w:w="22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5 or more years</w:t>
            </w:r>
          </w:p>
        </w:tc>
        <w:tc>
          <w:tcPr>
            <w:tcW w:w="19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c>
          <w:tcPr>
            <w:tcW w:w="22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8%</w:t>
            </w:r>
          </w:p>
        </w:tc>
      </w:tr>
    </w:tbl>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Annual eligible compensation used to determine Employer contributions is based on each participant’s qualified plan compensation less any compensation received prior to initially becoming eligible for Employer contributions,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86" w:right="339" w:bottom="1440" w:gutter="0" w:footer="0" w:header="0"/>
          <w:type w:val="continuous"/>
        </w:sectPr>
      </w:pPr>
    </w:p>
    <w:bookmarkStart w:id="6" w:name="page7"/>
    <w:bookmarkEnd w:id="6"/>
    <w:p>
      <w:pPr>
        <w:jc w:val="both"/>
        <w:spacing w:after="0" w:line="274" w:lineRule="auto"/>
        <w:rPr>
          <w:sz w:val="20"/>
          <w:szCs w:val="20"/>
          <w:color w:val="auto"/>
        </w:rPr>
      </w:pPr>
      <w:r>
        <w:rPr>
          <w:rFonts w:ascii="Arial" w:cs="Arial" w:eastAsia="Arial" w:hAnsi="Arial"/>
          <w:sz w:val="20"/>
          <w:szCs w:val="20"/>
          <w:color w:val="auto"/>
        </w:rPr>
        <w:t>and is limited to the maximum amount permitted under Section 401(a)(17) of the Internal Revenue Code (the “Code”). The annual compensation limit was $305,000 and $290,000 as of December 31, 2022 and 2021,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Participant voluntary contributions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Participants may elect to make voluntary tax-deferred contributions up to 75% of annual eligible compensation up to the maximum contribution permitted under Section 402(g) of the Code adjusted annually ($20,500 for the year ended December 31, 2022). This voluntary tax-deferred contribution may be limited by Section 401(k) of the Code.</w:t>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Plan participants who will be age 50 or greater at the end of the Plan year and whose contributions to the Plan reach the maximum amount allowed by the Plan are eligible to make voluntary “catch-up” contributions to the Plan. Catch-up contributions are limited to the maximum contribution permitted under Section 414(v) of the Code adjusted annually ($6,500 for the year ended December 31, 2022). Catch-up contributions are not eligible for Employer matching contributions.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Rescission Offer</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Company determined that certain shares of Company common stock that were acquired by Plan participants in the Employer Stock Fund (as defined below) under the Plan may not have been properly registered under the Securities Act of 1933, as amended, because the Company inadvertently exceeded the number of shares of Company common stock registered for offer and sale to participants under the Plan. The Company offered to rescind the purchase of shares of Company common stock by Plan participants between February 10, 2021 and February 10, 2022 (the “Rescission Offer”). On September 21, 2022, with respect to eligible Plan participants who accepted the Rescission Offer, the Plan transferred a total of 3,864 shares of Company common stock to the Company, and the Company contributed a total of $271,071 to the Plan (which amount was allocated to such participants’ accounts).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Options</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Both the Employer and participant contributions are directed solely through each participant’s election into investment alternatives offered by the Plan. At any time, participants may also elect to reallocate existing account balances between investment alternatives or to change their investment elections for future contributions. The Company's Retirement Plan Committee (the "Retirement Plan Committee") periodically reviews and may make changes to the investment alternatives available under the Plan.</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The Plan’s investment alternatives as of December 31, 2022 included mutual funds, collective trust funds, a pooled account of Company common stock (the "Employer Stock Fund"), and self-directed brokerage accounts. On August 2, 2021, the Company completed the spinoff of its Victoria’s Secret business into an independent publicly traded company (“Victoria’s Secret &amp; Co.” and such transaction, the “Separation”). As a result of the Separation, the Plan has an investment fund primarily consisting of Victoria's Secret &amp; Co. common stock (the "VS Stock Fund"). The VS Stock Fund is frozen to new investments, and participants are permitted to diversify shares in the VS Stock Fund at any time.</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If a participant makes no investment fund election, all contributions made into such participant’s account are invested into the Plan’s qualified default investment alternative (“QDIA”). The Plan’s QDIA is the age-appropriate T. Rowe Price Retirement target date fund, selected based on the participant’s date of birth.</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 Accounts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Each participant’s account is credited with the participant’s and the Employer’s contributions as well as allocated investment earnings and losses. The benefit to which a participant is entitled is equal to the vested balance in the participant’s account.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000"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Vesting</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Participants are fully and immediately vested in all voluntary, rollover, and Employer matching contributions. Participants become vested in the Annual Contribution during their first six years of vested service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Years of Vested Service</w:t>
            </w:r>
          </w:p>
        </w:tc>
        <w:tc>
          <w:tcPr>
            <w:tcW w:w="100" w:type="dxa"/>
            <w:vAlign w:val="bottom"/>
          </w:tcPr>
          <w:p>
            <w:pPr>
              <w:spacing w:after="0"/>
              <w:rPr>
                <w:sz w:val="20"/>
                <w:szCs w:val="20"/>
                <w:color w:val="auto"/>
              </w:rPr>
            </w:pPr>
          </w:p>
        </w:tc>
        <w:tc>
          <w:tcPr>
            <w:tcW w:w="18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Percentage</w:t>
            </w:r>
          </w:p>
        </w:tc>
      </w:tr>
      <w:tr>
        <w:trPr>
          <w:trHeight w:val="223"/>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2 years</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2 years</w:t>
            </w:r>
          </w:p>
        </w:tc>
        <w:tc>
          <w:tcPr>
            <w:tcW w:w="19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20%</w:t>
            </w:r>
          </w:p>
        </w:tc>
      </w:tr>
      <w:tr>
        <w:trPr>
          <w:trHeight w:val="23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years</w:t>
            </w:r>
          </w:p>
        </w:tc>
        <w:tc>
          <w:tcPr>
            <w:tcW w:w="1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40%</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4 years</w:t>
            </w:r>
          </w:p>
        </w:tc>
        <w:tc>
          <w:tcPr>
            <w:tcW w:w="19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60%</w:t>
            </w:r>
          </w:p>
        </w:tc>
      </w:tr>
      <w:tr>
        <w:trPr>
          <w:trHeight w:val="243"/>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years</w:t>
            </w:r>
          </w:p>
        </w:tc>
        <w:tc>
          <w:tcPr>
            <w:tcW w:w="1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80%</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6 or more years</w:t>
            </w:r>
          </w:p>
        </w:tc>
        <w:tc>
          <w:tcPr>
            <w:tcW w:w="19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bl>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Employees hired on or after January 1, 2010, are credited with a year of vested service for each Plan year in which they have at least 1,000 hours of service. Employees hired prior to January 1, 2010, are credited with a year of vested service for each Plan year in which they have at least 500 hours of service.</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Benefits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full value of a participant’s account becomes payable upon retirement, disability, or death. Upon termination of employment for any other reason, each participant’s account, to the extent vested, becomes payable. Terminated participants whose vested account balances are greater than $1,000 are permitted to keep their accounts invested in the Plan.</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Terminated participants aged 72 or older are required to take minimum annual distributions in accordance with Section 401(a)(9) of the Code. Minimum annual distributions are also required for participants who are 5% owners (as defined in Section 416 of the Code).</w:t>
      </w:r>
    </w:p>
    <w:p>
      <w:pPr>
        <w:spacing w:after="0" w:line="5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Qualifying, actively employed participants may elect to withdraw all or a portion of their vested account balances through specified in-service distribution alternatives.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Participants whose benefit payments include amounts invested in the pooled account of Company common stock or Victoria's Secret &amp; Co.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common stock may elect to receive such amounts in cash or in whole shares of such securities and cash for any fractional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elect to receive their benefit payments from the Plan or have such benefits paid directly to an eligible retirement plan.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Plan adopted certain provisions of the Coronavirus Aid, Relief and Economic Securities Act (the “Act”) which allowed, in accordance with Section 2202(a) of the Act, participants to take up to a $100,000 distribution from qualified plans between January 1, 2020 and December 31, 2020. Participants have the option to repay such distributions over a three-year period. The Plan will execute a formal Plan amendment within the timeframe required by law.</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Amounts Withdrawn from the Plan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Amounts withdrawn from the Plan but not yet paid were $86,690 and zero as of December 31, 2022 and 2021,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Forfeitures are available to reinstate previously forfeited account balances, to reduce the Employer’s contributions to the Plan and to pay the costs and expenses of administering the Plan. Forfeitures were $2,556,408 for the year ended December 31, 2022. There were no unused forfeitures as of December 31, 2022 or 2021.</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Administrative Expenses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Plan participants pay administrative expenses of the Plan through fees deducted directly from participant accounts on a per-participant basis. Revenue sharing arrangements between the Plan’s investment funds and the Plan’s trustee are not used to pay the Plan’s administrative expenses, but rather are credited into the accounts of the participants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40" w:right="339" w:bottom="1440" w:gutter="0" w:footer="0" w:header="0"/>
        </w:sectPr>
      </w:pPr>
    </w:p>
    <w:bookmarkStart w:id="8" w:name="page9"/>
    <w:bookmarkEnd w:id="8"/>
    <w:p>
      <w:pPr>
        <w:spacing w:after="0" w:line="274" w:lineRule="auto"/>
        <w:rPr>
          <w:sz w:val="20"/>
          <w:szCs w:val="20"/>
          <w:color w:val="auto"/>
        </w:rPr>
      </w:pPr>
      <w:r>
        <w:rPr>
          <w:rFonts w:ascii="Arial" w:cs="Arial" w:eastAsia="Arial" w:hAnsi="Arial"/>
          <w:sz w:val="20"/>
          <w:szCs w:val="20"/>
          <w:color w:val="auto"/>
        </w:rPr>
        <w:t>invested in the respective investment funds that generated such amounts. Certain expenses of maintaining the Plan are paid directly by the Employer and are excluded from these financial statements.</w:t>
      </w:r>
    </w:p>
    <w:p>
      <w:pPr>
        <w:spacing w:after="0" w:line="55"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Revenue sharing and sub-transfer fees received by the Plan from its investment funds are credited directly into the Plan’s trust accounts and are reported in the Plan’s financial statements within dividends and interest from investments.</w:t>
      </w:r>
    </w:p>
    <w:p>
      <w:pPr>
        <w:spacing w:after="0" w:line="49" w:lineRule="exact"/>
        <w:rPr>
          <w:sz w:val="20"/>
          <w:szCs w:val="20"/>
          <w:color w:val="auto"/>
        </w:rPr>
      </w:pPr>
    </w:p>
    <w:p>
      <w:pPr>
        <w:ind w:right="7320" w:firstLine="8"/>
        <w:spacing w:after="0" w:line="369" w:lineRule="auto"/>
        <w:tabs>
          <w:tab w:leader="none" w:pos="198"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Accounting</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The accompanying financial statements have been prepared on the accrual basis of accounting, as required by Accounting Standards Codification (“ASC”) 962, </w:t>
      </w:r>
      <w:r>
        <w:rPr>
          <w:rFonts w:ascii="Arial" w:cs="Arial" w:eastAsia="Arial" w:hAnsi="Arial"/>
          <w:sz w:val="20"/>
          <w:szCs w:val="20"/>
          <w:i w:val="1"/>
          <w:iCs w:val="1"/>
          <w:color w:val="auto"/>
        </w:rPr>
        <w:t>Plan Accounting - Defined Contribution Pension Plans</w:t>
      </w:r>
      <w:r>
        <w:rPr>
          <w:rFonts w:ascii="Arial" w:cs="Arial" w:eastAsia="Arial" w:hAnsi="Arial"/>
          <w:sz w:val="20"/>
          <w:szCs w:val="20"/>
          <w:color w:val="auto"/>
        </w:rPr>
        <w:t>, including investment valuation and income recognition. The Plan year is January 1 through December 31.</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preparation of the financial statements in accordance with generally accepted accounting principles in the United States of America (“U.S. GAAP”) requires Plan management to use estimates and assumptions that affect the reported amounts of assets and liabilities and changes therein, and disclosure of contingent assets and liabilities. Actual results could differ from these estimates.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The Plan provides for the various investment options as described in Notes 1 and 3. Any investment is exposed to various risks, such as interest rate, market and credit risks. These risks could have a material effect on participants’ account balances and the amounts reported in the Statements of Net Assets Available for Benefits and the Statement of Changes in Net Assets Available for Benefits.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Valuation and Income Recognition</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Investments are reported at fair value. Fair value is the price that would be received to sell an asset in an orderly transaction between market participants at the measurement date. See Note 3 for a discussion of fair value measurements.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Purchases and sales of securities are recorded on a trade-date basis. Interest income is recorded on an accrual basis. Dividends are recorded on the ex-dividend date.</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Depreciation in Fair Value of Investments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realized and unrealized depreciation is recorded in the accompanying Statement of Changes in Net Assets Available for Benefits as net depreciation in fair value of investments.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Benefit Payments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Measurements</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The authoritative guidance included in ASC 820, </w:t>
      </w:r>
      <w:r>
        <w:rPr>
          <w:rFonts w:ascii="Arial" w:cs="Arial" w:eastAsia="Arial" w:hAnsi="Arial"/>
          <w:sz w:val="19"/>
          <w:szCs w:val="19"/>
          <w:i w:val="1"/>
          <w:iCs w:val="1"/>
          <w:color w:val="auto"/>
        </w:rPr>
        <w:t>Fair Value Measurement</w:t>
      </w:r>
      <w:r>
        <w:rPr>
          <w:rFonts w:ascii="Arial" w:cs="Arial" w:eastAsia="Arial" w:hAnsi="Arial"/>
          <w:sz w:val="19"/>
          <w:szCs w:val="19"/>
          <w:color w:val="auto"/>
        </w:rPr>
        <w:t xml:space="preserve"> , defines fair value as the exchange price that would be received for an asset or paid to transfer a liability (an exit price) in the principal or most advantageous market for the asset or liability in an orderly transaction between market participants. This authoritative guidance further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7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Level 1 - Quoted market prices in active markets for identical assets or liabilities.</w:t>
      </w:r>
    </w:p>
    <w:p>
      <w:pPr>
        <w:spacing w:after="0" w:line="107" w:lineRule="exact"/>
        <w:rPr>
          <w:rFonts w:ascii="Arial" w:cs="Arial" w:eastAsia="Arial" w:hAnsi="Arial"/>
          <w:sz w:val="20"/>
          <w:szCs w:val="20"/>
          <w:color w:val="auto"/>
        </w:rPr>
      </w:pPr>
    </w:p>
    <w:p>
      <w:pPr>
        <w:jc w:val="both"/>
        <w:ind w:left="660" w:hanging="328"/>
        <w:spacing w:after="0" w:line="257"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Level 2 - Observable inputs other than quoted market prices included in Level 1, such as quoted prices of similar assets and liabilities in active markets; quoted prices for identical or similar assets and liabilities in markets that are not active; or other inputs that are observable or can be corroborated by observable market data.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000" w:right="339" w:bottom="1440" w:gutter="0" w:footer="0" w:header="0"/>
        </w:sectPr>
      </w:pPr>
    </w:p>
    <w:bookmarkStart w:id="9" w:name="page10"/>
    <w:bookmarkEnd w:id="9"/>
    <w:p>
      <w:pPr>
        <w:jc w:val="both"/>
        <w:ind w:left="660" w:hanging="328"/>
        <w:spacing w:after="0" w:line="257"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Level 3 - Unobservable inputs that are supported by little or no market activity and that are significant to the fair value of the assets and liabilities. This includes certain pricing models, discounted cash flow methodologies, and similar techniques that use significant observable inputs.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description of the valuation methodologies used for assets measured at fair value is set forth below. There have been no significant changes in the methodologies used at December 31, 2022 or 2021.</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i w:val="1"/>
          <w:iCs w:val="1"/>
          <w:color w:val="auto"/>
        </w:rPr>
        <w:t>Mutual funds</w:t>
      </w:r>
      <w:r>
        <w:rPr>
          <w:rFonts w:ascii="Arial" w:cs="Arial" w:eastAsia="Arial" w:hAnsi="Arial"/>
          <w:sz w:val="19"/>
          <w:szCs w:val="19"/>
          <w:color w:val="auto"/>
        </w:rPr>
        <w:t>: Mutual funds are valued at the daily closing price as reported by the fund. Mutual funds held by the Plan are open-end mutual</w:t>
      </w:r>
      <w:r>
        <w:rPr>
          <w:rFonts w:ascii="Arial" w:cs="Arial" w:eastAsia="Arial" w:hAnsi="Arial"/>
          <w:sz w:val="19"/>
          <w:szCs w:val="19"/>
          <w:i w:val="1"/>
          <w:iCs w:val="1"/>
          <w:color w:val="auto"/>
        </w:rPr>
        <w:t xml:space="preserve"> </w:t>
      </w:r>
      <w:r>
        <w:rPr>
          <w:rFonts w:ascii="Arial" w:cs="Arial" w:eastAsia="Arial" w:hAnsi="Arial"/>
          <w:sz w:val="19"/>
          <w:szCs w:val="19"/>
          <w:color w:val="auto"/>
        </w:rPr>
        <w:t>funds that are registered with the U.S. Securities and Exchange Commission. These funds are required to publish their daily net asset value and to transact at that price. The mutual funds held by the Plan are deemed to be actively traded.</w:t>
      </w:r>
    </w:p>
    <w:p>
      <w:pPr>
        <w:spacing w:after="0" w:line="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Collective Investment Trusts (“CITs”): </w:t>
      </w:r>
      <w:r>
        <w:rPr>
          <w:rFonts w:ascii="Arial" w:cs="Arial" w:eastAsia="Arial" w:hAnsi="Arial"/>
          <w:sz w:val="18"/>
          <w:szCs w:val="18"/>
          <w:color w:val="auto"/>
        </w:rPr>
        <w:t>CITs are valued at their respective Net Asset Values (“NAV”) as reported by such trusts. The NAV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a practical expedient to estimate fair value. This practical expedient would not be used if it is determined to be probable that the fund will sell the investment for an amount different from the reported NAV. The NAV has been determined by the trustee sponsoring the CIT by dividing the trust’s net assets at fair value by its units outstanding at the valuation dates. There are no restrictions as to the redemption of these investments, nor does the Plan have any contractual obligations to further invest in any of these CITs. The investment objectives of the CITs are associated with the related targeted retirement dates. The stable value trust CIT’s investment objective is to seek preservation of capital and to provide a competitive level of income over time that is consistent with the preservation.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stocks</w:t>
      </w:r>
      <w:r>
        <w:rPr>
          <w:rFonts w:ascii="Arial" w:cs="Arial" w:eastAsia="Arial" w:hAnsi="Arial"/>
          <w:sz w:val="18"/>
          <w:szCs w:val="18"/>
          <w:color w:val="auto"/>
        </w:rPr>
        <w:t>: Common stock is valued at the closing price reported on the active market on which the individual securities are traded.</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Self-directed brokerage accounts</w:t>
      </w:r>
      <w:r>
        <w:rPr>
          <w:rFonts w:ascii="Arial" w:cs="Arial" w:eastAsia="Arial" w:hAnsi="Arial"/>
          <w:sz w:val="20"/>
          <w:szCs w:val="20"/>
          <w:color w:val="auto"/>
        </w:rPr>
        <w:t>: Accounts primarily consist of mutual funds and common stocks that are valued on the basis of readily</w:t>
      </w:r>
      <w:r>
        <w:rPr>
          <w:rFonts w:ascii="Arial" w:cs="Arial" w:eastAsia="Arial" w:hAnsi="Arial"/>
          <w:sz w:val="20"/>
          <w:szCs w:val="20"/>
          <w:i w:val="1"/>
          <w:iCs w:val="1"/>
          <w:color w:val="auto"/>
        </w:rPr>
        <w:t xml:space="preserve"> </w:t>
      </w:r>
      <w:r>
        <w:rPr>
          <w:rFonts w:ascii="Arial" w:cs="Arial" w:eastAsia="Arial" w:hAnsi="Arial"/>
          <w:sz w:val="20"/>
          <w:szCs w:val="20"/>
          <w:color w:val="auto"/>
        </w:rPr>
        <w:t>determinable market prices.</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preceding methods described may produce a fair value calculation that may not be indicative of net realizable values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following table sets forth the Plan’s investments, which are considered Level 1 within the fair value hierarchy unless otherwise noted, at fair value as of December 31, 2022 and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Pr>
          <w:p>
            <w:pPr>
              <w:spacing w:after="0"/>
              <w:rPr>
                <w:sz w:val="20"/>
                <w:szCs w:val="20"/>
                <w:color w:val="auto"/>
              </w:rPr>
            </w:pPr>
          </w:p>
        </w:tc>
      </w:tr>
      <w:tr>
        <w:trPr>
          <w:trHeight w:val="243"/>
        </w:trPr>
        <w:tc>
          <w:tcPr>
            <w:tcW w:w="75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 Common Stock (a)</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32,779,273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57,297,311</w:t>
            </w: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Victoria's Secret &amp; Co. Common Stock</w:t>
            </w: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8,031,966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14,499,495</w:t>
            </w:r>
          </w:p>
        </w:tc>
      </w:tr>
      <w:tr>
        <w:trPr>
          <w:trHeight w:val="23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445,517,788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539,345,844</w:t>
            </w: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rPr>
              <w:t>Self-directed Accounts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13,356,912</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15,806,057</w:t>
            </w:r>
          </w:p>
        </w:tc>
      </w:tr>
      <w:tr>
        <w:trPr>
          <w:trHeight w:val="237"/>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499,685,939</w:t>
            </w:r>
          </w:p>
        </w:tc>
        <w:tc>
          <w:tcPr>
            <w:tcW w:w="6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626,948,707</w:t>
            </w:r>
          </w:p>
        </w:tc>
      </w:tr>
      <w:tr>
        <w:trPr>
          <w:trHeight w:val="22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Collective Investment Trusts (b)</w:t>
            </w: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505,438,872</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604,020,516</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1,005,124,811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1,230,969,223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Employer common stock represents investments in Bath &amp; Body Works, Inc. common stock.</w:t>
      </w:r>
    </w:p>
    <w:p>
      <w:pPr>
        <w:spacing w:after="0" w:line="53" w:lineRule="exact"/>
        <w:rPr>
          <w:rFonts w:ascii="Arial" w:cs="Arial" w:eastAsia="Arial" w:hAnsi="Arial"/>
          <w:sz w:val="20"/>
          <w:szCs w:val="20"/>
          <w:color w:val="auto"/>
        </w:rPr>
      </w:pPr>
    </w:p>
    <w:p>
      <w:pPr>
        <w:ind w:left="660" w:hanging="328"/>
        <w:spacing w:after="0" w:line="274"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accordance with Subtopic 820-10, these investments were measured at NAV per share (or its equivalent) and have not been classified in the fair value hierarchy.</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Tax Status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Plan received a determination letter from the Internal Revenue Service (“IRS”) dated September 27, 2013, stating that the Plan is qualified under Section 401(a) of the Code and, therefore, the related trust is exempt from taxation. Although the Plan has subsequently been amended, the Retirement Plan Committee, the plan administrator of the Plan (the “Plan Administrator”), believes that the Plan is designed and is currently being operated 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000" w:right="339" w:bottom="1440" w:gutter="0" w:footer="0" w:header="0"/>
        </w:sectPr>
      </w:pPr>
    </w:p>
    <w:bookmarkStart w:id="10" w:name="page11"/>
    <w:bookmarkEnd w:id="10"/>
    <w:p>
      <w:pPr>
        <w:jc w:val="both"/>
        <w:spacing w:after="0" w:line="274" w:lineRule="auto"/>
        <w:rPr>
          <w:sz w:val="20"/>
          <w:szCs w:val="20"/>
          <w:color w:val="auto"/>
        </w:rPr>
      </w:pPr>
      <w:r>
        <w:rPr>
          <w:rFonts w:ascii="Arial" w:cs="Arial" w:eastAsia="Arial" w:hAnsi="Arial"/>
          <w:sz w:val="20"/>
          <w:szCs w:val="20"/>
          <w:color w:val="auto"/>
        </w:rPr>
        <w:t>compliance with the applicable requirements of the Code in all material respects and, therefore, believes that the Plan is qualified and the related trust is tax-exempt.</w:t>
      </w:r>
    </w:p>
    <w:p>
      <w:pPr>
        <w:spacing w:after="0" w:line="5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U.S. 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2022 and 2021, there are no uncertain positions taken or expected to be taken. The Plan has recognized no interest or penalties related to uncertain tax positions. The Plan is subject to routine audits by taxing jurisdiction; however, there are currently no audits for any tax periods in progress.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Plan Administration</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Retirement Plan Committee is the Plan’s administrator, having been appointed by the Human Capital and Compensation Committee of the Board of Directors of the Company.</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Plan Termination</w:t>
      </w:r>
    </w:p>
    <w:p>
      <w:pPr>
        <w:spacing w:after="0" w:line="127"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Although the Employer has not expressed any intent to do so, the Employer has the right under the Plan to discontinue its contributions at any time. The Employer has the right at any time, by action of the Company's Board of Directors, to terminate the Plan subject to provisions of ERISA. Upon Plan termination or partial termination, participants would become fully vested in their accounts.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Parties-in-Interest Transactions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Certain administrative functions are performed by officers and employees of the Employer. No such officer or employee receives compensation from the Plan. In addition, the Plan holds shares of Company common stock in the Employer Stock Fund. Transactions with respect to shares of Company common stock in the Plan qualify as exempt related and party-in-interest transactions.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Prohibited Transactions</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As a result of a United States Department of Labor examination, it was determined that the Employer remitted $3,220 in employee deferrals late during a period of years up to and including 2022. This resulted in a prohibited transaction that was corrected in 2023.</w:t>
      </w:r>
    </w:p>
    <w:p>
      <w:pPr>
        <w:spacing w:after="0" w:line="3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During 2022, the Employer improperly paid expenses of $3,125 related to another plan sponsored by the Employer, which was corrected during 2023.</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Reconciliation of Financial Statements to Form 5500</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reconciliation of net assets available for benefits per the financial statements to Form 5500:</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40" w:type="dxa"/>
            <w:vAlign w:val="bottom"/>
            <w:gridSpan w:val="3"/>
          </w:tcPr>
          <w:p>
            <w:pPr>
              <w:ind w:left="960"/>
              <w:spacing w:after="0"/>
              <w:rPr>
                <w:sz w:val="20"/>
                <w:szCs w:val="20"/>
                <w:color w:val="auto"/>
              </w:rPr>
            </w:pPr>
            <w:r>
              <w:rPr>
                <w:rFonts w:ascii="Arial" w:cs="Arial" w:eastAsia="Arial" w:hAnsi="Arial"/>
                <w:sz w:val="18"/>
                <w:szCs w:val="18"/>
                <w:b w:val="1"/>
                <w:bCs w:val="1"/>
                <w:color w:val="auto"/>
                <w:w w:val="99"/>
              </w:rPr>
              <w:t>December 31,</w:t>
            </w:r>
          </w:p>
        </w:tc>
        <w:tc>
          <w:tcPr>
            <w:tcW w:w="1260" w:type="dxa"/>
            <w:vAlign w:val="bottom"/>
          </w:tcPr>
          <w:p>
            <w:pPr>
              <w:spacing w:after="0"/>
              <w:rPr>
                <w:sz w:val="20"/>
                <w:szCs w:val="20"/>
                <w:color w:val="auto"/>
              </w:rPr>
            </w:pPr>
          </w:p>
        </w:tc>
      </w:tr>
      <w:tr>
        <w:trPr>
          <w:trHeight w:val="243"/>
        </w:trPr>
        <w:tc>
          <w:tcPr>
            <w:tcW w:w="74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per the Financial Statements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1,023,599,504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1,250,912,775</w:t>
            </w:r>
          </w:p>
        </w:tc>
      </w:tr>
      <w:tr>
        <w:trPr>
          <w:trHeight w:val="24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Amounts allocated to withdrawing participants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2"/>
              </w:rPr>
              <w:t>(86,690)</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Benefits per Form 5500</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3"/>
              </w:rPr>
              <w:t>1,023,512,814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1,250,912,775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is a reconciliation of benefits paid to participants per the financial statements to Form 5500 for the year ended December 31,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 to Participants per the Financial Statements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94,470,095</w:t>
            </w:r>
          </w:p>
        </w:tc>
      </w:tr>
      <w:tr>
        <w:trPr>
          <w:trHeight w:val="237"/>
        </w:trPr>
        <w:tc>
          <w:tcPr>
            <w:tcW w:w="9400" w:type="dxa"/>
            <w:vAlign w:val="bottom"/>
          </w:tcPr>
          <w:p>
            <w:pPr>
              <w:ind w:left="20"/>
              <w:spacing w:after="0"/>
              <w:rPr>
                <w:sz w:val="20"/>
                <w:szCs w:val="20"/>
                <w:color w:val="auto"/>
              </w:rPr>
            </w:pPr>
            <w:r>
              <w:rPr>
                <w:rFonts w:ascii="Arial" w:cs="Arial" w:eastAsia="Arial" w:hAnsi="Arial"/>
                <w:sz w:val="18"/>
                <w:szCs w:val="18"/>
                <w:color w:val="auto"/>
              </w:rPr>
              <w:t>Amounts allocated to withdrawing participants: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6"/>
        </w:trPr>
        <w:tc>
          <w:tcPr>
            <w:tcW w:w="9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December 31, 2022</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86,690</w:t>
            </w:r>
          </w:p>
        </w:tc>
      </w:tr>
      <w:tr>
        <w:trPr>
          <w:trHeight w:val="230"/>
        </w:trPr>
        <w:tc>
          <w:tcPr>
            <w:tcW w:w="9400" w:type="dxa"/>
            <w:vAlign w:val="bottom"/>
          </w:tcPr>
          <w:p>
            <w:pPr>
              <w:ind w:left="180"/>
              <w:spacing w:after="0"/>
              <w:rPr>
                <w:sz w:val="20"/>
                <w:szCs w:val="20"/>
                <w:color w:val="auto"/>
              </w:rPr>
            </w:pPr>
            <w:r>
              <w:rPr>
                <w:rFonts w:ascii="Arial" w:cs="Arial" w:eastAsia="Arial" w:hAnsi="Arial"/>
                <w:sz w:val="18"/>
                <w:szCs w:val="18"/>
                <w:color w:val="auto"/>
              </w:rPr>
              <w:t>At December 31, 2021</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Benefits Paid to Participants per Form 5500</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94,556,785</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Amounts allocated to withdrawing participants are recorded on Form 5500 for benefit claims that have been processed and approved for payment prior to December 31 but are not yet paid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000"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Bath &amp; Body Works, Inc. 401(k) Savings and Retirement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EIN #31-1048997 Plan #002</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G, Part III of Form 5500 - Nonexempt Transactions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2022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(a) Identity of party involved</w:t>
            </w:r>
          </w:p>
        </w:tc>
        <w:tc>
          <w:tcPr>
            <w:tcW w:w="100" w:type="dxa"/>
            <w:vAlign w:val="bottom"/>
            <w:shd w:val="clear" w:color="auto" w:fill="CCEEFF"/>
          </w:tcPr>
          <w:p>
            <w:pPr>
              <w:spacing w:after="0"/>
              <w:rPr>
                <w:sz w:val="22"/>
                <w:szCs w:val="22"/>
                <w:color w:val="auto"/>
              </w:rPr>
            </w:pPr>
          </w:p>
        </w:tc>
        <w:tc>
          <w:tcPr>
            <w:tcW w:w="5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(b) Relationship to plan, employer, or other party-in-interest</w:t>
            </w:r>
          </w:p>
        </w:tc>
      </w:tr>
      <w:tr>
        <w:trPr>
          <w:trHeight w:val="230"/>
        </w:trPr>
        <w:tc>
          <w:tcPr>
            <w:tcW w:w="5500" w:type="dxa"/>
            <w:vAlign w:val="bottom"/>
          </w:tcPr>
          <w:p>
            <w:pPr>
              <w:jc w:val="center"/>
              <w:spacing w:after="0"/>
              <w:rPr>
                <w:sz w:val="20"/>
                <w:szCs w:val="20"/>
                <w:color w:val="auto"/>
              </w:rPr>
            </w:pPr>
            <w:r>
              <w:rPr>
                <w:rFonts w:ascii="Arial" w:cs="Arial" w:eastAsia="Arial" w:hAnsi="Arial"/>
                <w:sz w:val="18"/>
                <w:szCs w:val="18"/>
                <w:color w:val="auto"/>
                <w:w w:val="94"/>
              </w:rPr>
              <w:t>Bath &amp; Body Works, Inc.</w:t>
            </w:r>
          </w:p>
        </w:tc>
        <w:tc>
          <w:tcPr>
            <w:tcW w:w="10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87"/>
              </w:rPr>
              <w:t>Plan sponsor</w:t>
            </w:r>
          </w:p>
        </w:tc>
      </w:tr>
      <w:tr>
        <w:trPr>
          <w:trHeight w:val="276"/>
        </w:trPr>
        <w:tc>
          <w:tcPr>
            <w:tcW w:w="5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20" w:type="dxa"/>
            <w:vAlign w:val="bottom"/>
            <w:shd w:val="clear" w:color="auto" w:fill="CCEEFF"/>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(c) Description of transactions including maturity date, rate of interest, collateral, par or maturity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2" w:lineRule="exact"/>
        <w:rPr>
          <w:sz w:val="20"/>
          <w:szCs w:val="20"/>
          <w:color w:val="auto"/>
        </w:rPr>
      </w:pPr>
    </w:p>
    <w:p>
      <w:pPr>
        <w:jc w:val="both"/>
        <w:ind w:left="20" w:right="520"/>
        <w:spacing w:after="0" w:line="261" w:lineRule="auto"/>
        <w:rPr>
          <w:sz w:val="20"/>
          <w:szCs w:val="20"/>
          <w:color w:val="auto"/>
        </w:rPr>
      </w:pPr>
      <w:r>
        <w:rPr>
          <w:rFonts w:ascii="Arial" w:cs="Arial" w:eastAsia="Arial" w:hAnsi="Arial"/>
          <w:sz w:val="18"/>
          <w:szCs w:val="18"/>
          <w:color w:val="auto"/>
        </w:rPr>
        <w:t>During 2022, expenses of $3,125 of the Plan sponsor were improperly paid by the Plan. The Plan sponsor during 2022 reimbursed the Plan for these expenses. During 2023, the Plan sponsor reimbursed the Plan for lost earnings on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15175"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 Purchase price</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8"/>
              </w:rPr>
              <w:t>(e) Selling price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8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w w:val="90"/>
              </w:rPr>
              <w:t>(f) Lease rental</w:t>
            </w:r>
          </w:p>
        </w:tc>
        <w:tc>
          <w:tcPr>
            <w:tcW w:w="2540" w:type="dxa"/>
            <w:vAlign w:val="bottom"/>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89"/>
              </w:rPr>
              <w:t>(g) Expenses incurred in</w:t>
            </w:r>
          </w:p>
        </w:tc>
      </w:tr>
      <w:tr>
        <w:trPr>
          <w:trHeight w:val="241"/>
        </w:trPr>
        <w:tc>
          <w:tcPr>
            <w:tcW w:w="2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88"/>
              </w:rPr>
              <w:t>connection with transaction</w:t>
            </w:r>
          </w:p>
        </w:tc>
      </w:tr>
      <w:tr>
        <w:trPr>
          <w:trHeight w:val="20"/>
        </w:trPr>
        <w:tc>
          <w:tcPr>
            <w:tcW w:w="2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23"/>
        </w:trPr>
        <w:tc>
          <w:tcPr>
            <w:tcW w:w="2140" w:type="dxa"/>
            <w:vAlign w:val="bottom"/>
          </w:tcPr>
          <w:p>
            <w:pPr>
              <w:jc w:val="right"/>
              <w:ind w:right="19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880" w:type="dxa"/>
            <w:vAlign w:val="bottom"/>
            <w:gridSpan w:val="3"/>
          </w:tcPr>
          <w:p>
            <w:pPr>
              <w:ind w:left="2260"/>
              <w:spacing w:after="0"/>
              <w:rPr>
                <w:sz w:val="20"/>
                <w:szCs w:val="20"/>
                <w:color w:val="auto"/>
              </w:rPr>
            </w:pPr>
            <w:r>
              <w:rPr>
                <w:rFonts w:ascii="Arial" w:cs="Arial" w:eastAsia="Arial" w:hAnsi="Arial"/>
                <w:sz w:val="18"/>
                <w:szCs w:val="18"/>
                <w:color w:val="auto"/>
              </w:rPr>
              <w:t>—   $</w:t>
            </w:r>
          </w:p>
        </w:tc>
        <w:tc>
          <w:tcPr>
            <w:tcW w:w="2540" w:type="dxa"/>
            <w:vAlign w:val="bottom"/>
          </w:tcPr>
          <w:p>
            <w:pPr>
              <w:ind w:left="2280"/>
              <w:spacing w:after="0"/>
              <w:rPr>
                <w:sz w:val="20"/>
                <w:szCs w:val="20"/>
                <w:color w:val="auto"/>
              </w:rPr>
            </w:pPr>
            <w:r>
              <w:rPr>
                <w:rFonts w:ascii="Arial" w:cs="Arial" w:eastAsia="Arial" w:hAnsi="Arial"/>
                <w:sz w:val="18"/>
                <w:szCs w:val="18"/>
                <w:color w:val="auto"/>
              </w:rPr>
              <w:t>—</w:t>
            </w:r>
          </w:p>
        </w:tc>
      </w:tr>
      <w:tr>
        <w:trPr>
          <w:trHeight w:val="270"/>
        </w:trPr>
        <w:tc>
          <w:tcPr>
            <w:tcW w:w="2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r>
      <w:tr>
        <w:trPr>
          <w:trHeight w:val="198"/>
        </w:trPr>
        <w:tc>
          <w:tcPr>
            <w:tcW w:w="214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(h) Cost of asset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3"/>
          </w:tcPr>
          <w:p>
            <w:pPr>
              <w:jc w:val="center"/>
              <w:ind w:right="560"/>
              <w:spacing w:after="0" w:line="198" w:lineRule="exact"/>
              <w:rPr>
                <w:sz w:val="20"/>
                <w:szCs w:val="20"/>
                <w:color w:val="auto"/>
              </w:rPr>
            </w:pPr>
            <w:r>
              <w:rPr>
                <w:rFonts w:ascii="Arial" w:cs="Arial" w:eastAsia="Arial" w:hAnsi="Arial"/>
                <w:sz w:val="18"/>
                <w:szCs w:val="18"/>
                <w:b w:val="1"/>
                <w:bCs w:val="1"/>
                <w:color w:val="auto"/>
                <w:w w:val="89"/>
              </w:rPr>
              <w:t>(j) Net gain or (loss) on each</w:t>
            </w:r>
          </w:p>
        </w:tc>
        <w:tc>
          <w:tcPr>
            <w:tcW w:w="2540" w:type="dxa"/>
            <w:vAlign w:val="bottom"/>
          </w:tcPr>
          <w:p>
            <w:pPr>
              <w:spacing w:after="0"/>
              <w:rPr>
                <w:sz w:val="17"/>
                <w:szCs w:val="17"/>
                <w:color w:val="auto"/>
              </w:rPr>
            </w:pPr>
          </w:p>
        </w:tc>
      </w:tr>
      <w:tr>
        <w:trPr>
          <w:trHeight w:val="261"/>
        </w:trPr>
        <w:tc>
          <w:tcPr>
            <w:tcW w:w="2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(i) Current value of asset</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transaction</w:t>
            </w:r>
          </w:p>
        </w:tc>
        <w:tc>
          <w:tcPr>
            <w:tcW w:w="360" w:type="dxa"/>
            <w:vAlign w:val="bottom"/>
            <w:gridSpan w:val="2"/>
          </w:tcPr>
          <w:p>
            <w:pPr>
              <w:spacing w:after="0"/>
              <w:rPr>
                <w:sz w:val="22"/>
                <w:szCs w:val="22"/>
                <w:color w:val="auto"/>
              </w:rPr>
            </w:pPr>
          </w:p>
        </w:tc>
        <w:tc>
          <w:tcPr>
            <w:tcW w:w="2540" w:type="dxa"/>
            <w:vAlign w:val="bottom"/>
          </w:tcPr>
          <w:p>
            <w:pPr>
              <w:spacing w:after="0"/>
              <w:rPr>
                <w:sz w:val="22"/>
                <w:szCs w:val="22"/>
                <w:color w:val="auto"/>
              </w:rPr>
            </w:pPr>
          </w:p>
        </w:tc>
      </w:tr>
      <w:tr>
        <w:trPr>
          <w:trHeight w:val="237"/>
        </w:trPr>
        <w:tc>
          <w:tcPr>
            <w:tcW w:w="2140" w:type="dxa"/>
            <w:vAlign w:val="bottom"/>
            <w:shd w:val="clear" w:color="auto" w:fill="CCEEFF"/>
          </w:tcPr>
          <w:p>
            <w:pPr>
              <w:jc w:val="right"/>
              <w:ind w:right="19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80" w:type="dxa"/>
            <w:vAlign w:val="bottom"/>
            <w:gridSpan w:val="3"/>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20"/>
          </w:cols>
          <w:pgMar w:left="320" w:top="931"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Bath &amp; Body Works, Inc. 401(k) Savings and Retirement Plan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EIN #31-1048997 Plan #002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Line 4a - Schedule of Delinquent Participant Contributions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2022</w:t>
      </w: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240" w:type="dxa"/>
            <w:vAlign w:val="bottom"/>
            <w:tcBorders>
              <w:top w:val="single" w:sz="8" w:color="auto"/>
              <w:left w:val="single" w:sz="8" w:color="auto"/>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200" w:type="dxa"/>
            <w:vAlign w:val="bottom"/>
            <w:tcBorders>
              <w:top w:val="single" w:sz="8" w:color="auto"/>
              <w:right w:val="single" w:sz="8" w:color="CCEEFF"/>
            </w:tcBorders>
            <w:shd w:val="clear" w:color="auto" w:fill="CCEEFF"/>
          </w:tcPr>
          <w:p>
            <w:pPr>
              <w:spacing w:after="0"/>
              <w:rPr>
                <w:sz w:val="16"/>
                <w:szCs w:val="16"/>
                <w:color w:val="auto"/>
              </w:rPr>
            </w:pPr>
          </w:p>
        </w:tc>
        <w:tc>
          <w:tcPr>
            <w:tcW w:w="2200" w:type="dxa"/>
            <w:vAlign w:val="bottom"/>
            <w:tcBorders>
              <w:top w:val="single" w:sz="8" w:color="auto"/>
              <w:right w:val="single" w:sz="8" w:color="CCEEFF"/>
            </w:tcBorders>
            <w:shd w:val="clear" w:color="auto" w:fill="CCEEFF"/>
          </w:tcPr>
          <w:p>
            <w:pPr>
              <w:spacing w:after="0"/>
              <w:rPr>
                <w:sz w:val="16"/>
                <w:szCs w:val="16"/>
                <w:color w:val="auto"/>
              </w:rPr>
            </w:pPr>
          </w:p>
        </w:tc>
        <w:tc>
          <w:tcPr>
            <w:tcW w:w="2300" w:type="dxa"/>
            <w:vAlign w:val="bottom"/>
            <w:tcBorders>
              <w:top w:val="single" w:sz="8" w:color="auto"/>
              <w:right w:val="single" w:sz="8" w:color="auto"/>
            </w:tcBorders>
            <w:shd w:val="clear" w:color="auto" w:fill="CCEEFF"/>
          </w:tcPr>
          <w:p>
            <w:pPr>
              <w:spacing w:after="0"/>
              <w:rPr>
                <w:sz w:val="16"/>
                <w:szCs w:val="16"/>
                <w:color w:val="auto"/>
              </w:rPr>
            </w:pPr>
          </w:p>
        </w:tc>
        <w:tc>
          <w:tcPr>
            <w:tcW w:w="2200" w:type="dxa"/>
            <w:vAlign w:val="bottom"/>
            <w:tcBorders>
              <w:top w:val="single" w:sz="8" w:color="auto"/>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w w:val="92"/>
              </w:rPr>
              <w:t>Total Fully Corrected</w:t>
            </w: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200" w:type="dxa"/>
            <w:vAlign w:val="bottom"/>
            <w:tcBorders>
              <w:right w:val="single" w:sz="8" w:color="CCEEFF"/>
            </w:tcBorders>
            <w:shd w:val="clear" w:color="auto" w:fill="CCEEFF"/>
          </w:tcPr>
          <w:p>
            <w:pPr>
              <w:spacing w:after="0"/>
              <w:rPr>
                <w:sz w:val="16"/>
                <w:szCs w:val="16"/>
                <w:color w:val="auto"/>
              </w:rPr>
            </w:pPr>
          </w:p>
        </w:tc>
        <w:tc>
          <w:tcPr>
            <w:tcW w:w="2200" w:type="dxa"/>
            <w:vAlign w:val="bottom"/>
            <w:tcBorders>
              <w:right w:val="single" w:sz="8" w:color="CCEEFF"/>
            </w:tcBorders>
            <w:shd w:val="clear" w:color="auto" w:fill="CCEEFF"/>
          </w:tcPr>
          <w:p>
            <w:pPr>
              <w:spacing w:after="0"/>
              <w:rPr>
                <w:sz w:val="16"/>
                <w:szCs w:val="16"/>
                <w:color w:val="auto"/>
              </w:rPr>
            </w:pPr>
          </w:p>
        </w:tc>
        <w:tc>
          <w:tcPr>
            <w:tcW w:w="2300" w:type="dxa"/>
            <w:vAlign w:val="bottom"/>
            <w:tcBorders>
              <w:right w:val="single" w:sz="8" w:color="auto"/>
            </w:tcBorders>
            <w:shd w:val="clear" w:color="auto" w:fill="CCEEFF"/>
          </w:tcPr>
          <w:p>
            <w:pPr>
              <w:spacing w:after="0"/>
              <w:rPr>
                <w:sz w:val="16"/>
                <w:szCs w:val="16"/>
                <w:color w:val="auto"/>
              </w:rPr>
            </w:pPr>
          </w:p>
        </w:tc>
        <w:tc>
          <w:tcPr>
            <w:tcW w:w="2200" w:type="dxa"/>
            <w:vAlign w:val="bottom"/>
            <w:tcBorders>
              <w:right w:val="single" w:sz="8" w:color="auto"/>
            </w:tcBorders>
            <w:shd w:val="clear" w:color="auto" w:fill="CCEEFF"/>
          </w:tcPr>
          <w:p>
            <w:pPr>
              <w:jc w:val="center"/>
              <w:spacing w:after="0" w:line="184" w:lineRule="exact"/>
              <w:rPr>
                <w:sz w:val="20"/>
                <w:szCs w:val="20"/>
                <w:color w:val="auto"/>
              </w:rPr>
            </w:pPr>
            <w:r>
              <w:rPr>
                <w:rFonts w:ascii="Arial" w:cs="Arial" w:eastAsia="Arial" w:hAnsi="Arial"/>
                <w:sz w:val="18"/>
                <w:szCs w:val="18"/>
                <w:b w:val="1"/>
                <w:bCs w:val="1"/>
                <w:color w:val="auto"/>
                <w:w w:val="93"/>
              </w:rPr>
              <w:t>Under Voluntary Fiduciary</w:t>
            </w:r>
          </w:p>
        </w:tc>
        <w:tc>
          <w:tcPr>
            <w:tcW w:w="0" w:type="dxa"/>
            <w:vAlign w:val="bottom"/>
          </w:tcPr>
          <w:p>
            <w:pPr>
              <w:spacing w:after="0"/>
              <w:rPr>
                <w:sz w:val="1"/>
                <w:szCs w:val="1"/>
                <w:color w:val="auto"/>
              </w:rPr>
            </w:pPr>
          </w:p>
        </w:tc>
      </w:tr>
      <w:tr>
        <w:trPr>
          <w:trHeight w:val="180"/>
        </w:trPr>
        <w:tc>
          <w:tcPr>
            <w:tcW w:w="2240" w:type="dxa"/>
            <w:vAlign w:val="bottom"/>
            <w:tcBorders>
              <w:left w:val="single" w:sz="8" w:color="auto"/>
              <w:right w:val="single" w:sz="8" w:color="auto"/>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700" w:type="dxa"/>
            <w:vAlign w:val="bottom"/>
            <w:tcBorders>
              <w:right w:val="single" w:sz="8" w:color="auto"/>
            </w:tcBorders>
            <w:gridSpan w:val="3"/>
            <w:vMerge w:val="restart"/>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0"/>
              </w:rPr>
              <w:t>Total That Constitute Nonexempt Prohibited Transactions</w:t>
            </w:r>
          </w:p>
        </w:tc>
        <w:tc>
          <w:tcPr>
            <w:tcW w:w="2200" w:type="dxa"/>
            <w:vAlign w:val="bottom"/>
            <w:tcBorders>
              <w:right w:val="single" w:sz="8" w:color="auto"/>
            </w:tcBorders>
            <w:shd w:val="clear" w:color="auto" w:fill="CCEEFF"/>
          </w:tcPr>
          <w:p>
            <w:pPr>
              <w:jc w:val="center"/>
              <w:spacing w:after="0" w:line="181" w:lineRule="exact"/>
              <w:rPr>
                <w:sz w:val="20"/>
                <w:szCs w:val="20"/>
                <w:color w:val="auto"/>
              </w:rPr>
            </w:pPr>
            <w:r>
              <w:rPr>
                <w:rFonts w:ascii="Arial" w:cs="Arial" w:eastAsia="Arial" w:hAnsi="Arial"/>
                <w:sz w:val="18"/>
                <w:szCs w:val="18"/>
                <w:b w:val="1"/>
                <w:bCs w:val="1"/>
                <w:color w:val="auto"/>
                <w:w w:val="92"/>
              </w:rPr>
              <w:t>Correction Program</w:t>
            </w:r>
          </w:p>
        </w:tc>
        <w:tc>
          <w:tcPr>
            <w:tcW w:w="0" w:type="dxa"/>
            <w:vAlign w:val="bottom"/>
          </w:tcPr>
          <w:p>
            <w:pPr>
              <w:spacing w:after="0"/>
              <w:rPr>
                <w:sz w:val="1"/>
                <w:szCs w:val="1"/>
                <w:color w:val="auto"/>
              </w:rPr>
            </w:pPr>
          </w:p>
        </w:tc>
      </w:tr>
      <w:tr>
        <w:trPr>
          <w:trHeight w:val="176"/>
        </w:trPr>
        <w:tc>
          <w:tcPr>
            <w:tcW w:w="22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Participant Contributions</w:t>
            </w:r>
          </w:p>
        </w:tc>
        <w:tc>
          <w:tcPr>
            <w:tcW w:w="100" w:type="dxa"/>
            <w:vAlign w:val="bottom"/>
            <w:tcBorders>
              <w:right w:val="single" w:sz="8" w:color="auto"/>
            </w:tcBorders>
            <w:shd w:val="clear" w:color="auto" w:fill="CCEEFF"/>
          </w:tcPr>
          <w:p>
            <w:pPr>
              <w:spacing w:after="0"/>
              <w:rPr>
                <w:sz w:val="15"/>
                <w:szCs w:val="15"/>
                <w:color w:val="auto"/>
              </w:rPr>
            </w:pPr>
          </w:p>
        </w:tc>
        <w:tc>
          <w:tcPr>
            <w:tcW w:w="6700" w:type="dxa"/>
            <w:vAlign w:val="bottom"/>
            <w:tcBorders>
              <w:right w:val="single" w:sz="8" w:color="auto"/>
            </w:tcBorders>
            <w:gridSpan w:val="3"/>
            <w:vMerge w:val="continue"/>
            <w:shd w:val="clear" w:color="auto" w:fill="CCEEFF"/>
          </w:tcPr>
          <w:p>
            <w:pPr>
              <w:spacing w:after="0"/>
              <w:rPr>
                <w:sz w:val="15"/>
                <w:szCs w:val="15"/>
                <w:color w:val="auto"/>
              </w:rPr>
            </w:pPr>
          </w:p>
        </w:tc>
        <w:tc>
          <w:tcPr>
            <w:tcW w:w="220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3"/>
              </w:rPr>
              <w:t>(VFCP) and Prohibited</w:t>
            </w: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200" w:type="dxa"/>
            <w:vAlign w:val="bottom"/>
            <w:tcBorders>
              <w:right w:val="single" w:sz="8" w:color="CCEEFF"/>
            </w:tcBorders>
            <w:shd w:val="clear" w:color="auto" w:fill="CCEEFF"/>
          </w:tcPr>
          <w:p>
            <w:pPr>
              <w:spacing w:after="0"/>
              <w:rPr>
                <w:sz w:val="16"/>
                <w:szCs w:val="16"/>
                <w:color w:val="auto"/>
              </w:rPr>
            </w:pPr>
          </w:p>
        </w:tc>
        <w:tc>
          <w:tcPr>
            <w:tcW w:w="2200" w:type="dxa"/>
            <w:vAlign w:val="bottom"/>
            <w:tcBorders>
              <w:right w:val="single" w:sz="8" w:color="CCEEFF"/>
            </w:tcBorders>
            <w:shd w:val="clear" w:color="auto" w:fill="CCEEFF"/>
          </w:tcPr>
          <w:p>
            <w:pPr>
              <w:spacing w:after="0"/>
              <w:rPr>
                <w:sz w:val="16"/>
                <w:szCs w:val="16"/>
                <w:color w:val="auto"/>
              </w:rPr>
            </w:pPr>
          </w:p>
        </w:tc>
        <w:tc>
          <w:tcPr>
            <w:tcW w:w="2300" w:type="dxa"/>
            <w:vAlign w:val="bottom"/>
            <w:tcBorders>
              <w:right w:val="single" w:sz="8" w:color="auto"/>
            </w:tcBorders>
            <w:shd w:val="clear" w:color="auto" w:fill="CCEEFF"/>
          </w:tcPr>
          <w:p>
            <w:pPr>
              <w:spacing w:after="0"/>
              <w:rPr>
                <w:sz w:val="16"/>
                <w:szCs w:val="16"/>
                <w:color w:val="auto"/>
              </w:rPr>
            </w:pPr>
          </w:p>
        </w:tc>
        <w:tc>
          <w:tcPr>
            <w:tcW w:w="2200" w:type="dxa"/>
            <w:vAlign w:val="bottom"/>
            <w:tcBorders>
              <w:right w:val="single" w:sz="8" w:color="auto"/>
            </w:tcBorders>
            <w:shd w:val="clear" w:color="auto" w:fill="CCEEFF"/>
          </w:tcPr>
          <w:p>
            <w:pPr>
              <w:jc w:val="center"/>
              <w:spacing w:after="0" w:line="184" w:lineRule="exact"/>
              <w:rPr>
                <w:sz w:val="20"/>
                <w:szCs w:val="20"/>
                <w:color w:val="auto"/>
              </w:rPr>
            </w:pPr>
            <w:r>
              <w:rPr>
                <w:rFonts w:ascii="Arial" w:cs="Arial" w:eastAsia="Arial" w:hAnsi="Arial"/>
                <w:sz w:val="18"/>
                <w:szCs w:val="18"/>
                <w:b w:val="1"/>
                <w:bCs w:val="1"/>
                <w:color w:val="auto"/>
                <w:w w:val="90"/>
              </w:rPr>
              <w:t>Transaction Exemption</w:t>
            </w:r>
          </w:p>
        </w:tc>
        <w:tc>
          <w:tcPr>
            <w:tcW w:w="0" w:type="dxa"/>
            <w:vAlign w:val="bottom"/>
          </w:tcPr>
          <w:p>
            <w:pPr>
              <w:spacing w:after="0"/>
              <w:rPr>
                <w:sz w:val="1"/>
                <w:szCs w:val="1"/>
                <w:color w:val="auto"/>
              </w:rPr>
            </w:pPr>
          </w:p>
        </w:tc>
      </w:tr>
      <w:tr>
        <w:trPr>
          <w:trHeight w:val="234"/>
        </w:trPr>
        <w:tc>
          <w:tcPr>
            <w:tcW w:w="22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Transferred Late to Plan</w:t>
            </w:r>
          </w:p>
        </w:tc>
        <w:tc>
          <w:tcPr>
            <w:tcW w:w="100" w:type="dxa"/>
            <w:vAlign w:val="bottom"/>
            <w:tcBorders>
              <w:right w:val="single" w:sz="8" w:color="auto"/>
            </w:tcBorders>
            <w:shd w:val="clear" w:color="auto" w:fill="CCEEFF"/>
          </w:tcPr>
          <w:p>
            <w:pPr>
              <w:spacing w:after="0"/>
              <w:rPr>
                <w:sz w:val="20"/>
                <w:szCs w:val="20"/>
                <w:color w:val="auto"/>
              </w:rPr>
            </w:pPr>
          </w:p>
        </w:tc>
        <w:tc>
          <w:tcPr>
            <w:tcW w:w="2200" w:type="dxa"/>
            <w:vAlign w:val="bottom"/>
            <w:tcBorders>
              <w:bottom w:val="single" w:sz="8" w:color="auto"/>
              <w:right w:val="single" w:sz="8" w:color="CCEEFF"/>
            </w:tcBorders>
            <w:shd w:val="clear" w:color="auto" w:fill="CCEEFF"/>
          </w:tcPr>
          <w:p>
            <w:pPr>
              <w:spacing w:after="0"/>
              <w:rPr>
                <w:sz w:val="20"/>
                <w:szCs w:val="20"/>
                <w:color w:val="auto"/>
              </w:rPr>
            </w:pPr>
          </w:p>
        </w:tc>
        <w:tc>
          <w:tcPr>
            <w:tcW w:w="220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$3,220</w:t>
            </w:r>
          </w:p>
        </w:tc>
        <w:tc>
          <w:tcPr>
            <w:tcW w:w="2300" w:type="dxa"/>
            <w:vAlign w:val="bottom"/>
            <w:tcBorders>
              <w:bottom w:val="single" w:sz="8" w:color="auto"/>
              <w:right w:val="single" w:sz="8" w:color="auto"/>
            </w:tcBorders>
            <w:shd w:val="clear" w:color="auto" w:fill="CCEEFF"/>
          </w:tcPr>
          <w:p>
            <w:pPr>
              <w:spacing w:after="0"/>
              <w:rPr>
                <w:sz w:val="20"/>
                <w:szCs w:val="20"/>
                <w:color w:val="auto"/>
              </w:rPr>
            </w:pPr>
          </w:p>
        </w:tc>
        <w:tc>
          <w:tcPr>
            <w:tcW w:w="2200" w:type="dxa"/>
            <w:vAlign w:val="bottom"/>
            <w:tcBorders>
              <w:bottom w:val="single" w:sz="8" w:color="auto"/>
              <w:right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2002-51</w:t>
            </w:r>
          </w:p>
        </w:tc>
        <w:tc>
          <w:tcPr>
            <w:tcW w:w="0" w:type="dxa"/>
            <w:vAlign w:val="bottom"/>
          </w:tcPr>
          <w:p>
            <w:pPr>
              <w:spacing w:after="0"/>
              <w:rPr>
                <w:sz w:val="1"/>
                <w:szCs w:val="1"/>
                <w:color w:val="auto"/>
              </w:rPr>
            </w:pPr>
          </w:p>
        </w:tc>
      </w:tr>
      <w:tr>
        <w:trPr>
          <w:trHeight w:val="169"/>
        </w:trPr>
        <w:tc>
          <w:tcPr>
            <w:tcW w:w="224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Check here if Late Participant</w:t>
            </w:r>
          </w:p>
        </w:tc>
        <w:tc>
          <w:tcPr>
            <w:tcW w:w="100" w:type="dxa"/>
            <w:vAlign w:val="bottom"/>
            <w:tcBorders>
              <w:right w:val="single" w:sz="8" w:color="auto"/>
            </w:tcBorders>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Loan Repayments are</w:t>
            </w:r>
          </w:p>
        </w:tc>
        <w:tc>
          <w:tcPr>
            <w:tcW w:w="10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Contributions Corrected</w:t>
            </w:r>
          </w:p>
        </w:tc>
        <w:tc>
          <w:tcPr>
            <w:tcW w:w="230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89"/>
              </w:rPr>
              <w:t>Corrections Pending</w:t>
            </w:r>
          </w:p>
        </w:tc>
        <w:tc>
          <w:tcPr>
            <w:tcW w:w="2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240" w:type="dxa"/>
            <w:vAlign w:val="bottom"/>
            <w:tcBorders>
              <w:left w:val="single" w:sz="8" w:color="auto"/>
              <w:right w:val="single" w:sz="8" w:color="auto"/>
            </w:tcBorders>
            <w:vMerge w:val="restart"/>
          </w:tcPr>
          <w:p>
            <w:pPr>
              <w:jc w:val="center"/>
              <w:spacing w:after="0" w:line="207" w:lineRule="exact"/>
              <w:rPr>
                <w:sz w:val="20"/>
                <w:szCs w:val="20"/>
                <w:color w:val="auto"/>
              </w:rPr>
            </w:pPr>
            <w:r>
              <w:rPr>
                <w:rFonts w:ascii="Arial" w:cs="Arial" w:eastAsia="Arial" w:hAnsi="Arial"/>
                <w:sz w:val="18"/>
                <w:szCs w:val="18"/>
                <w:color w:val="auto"/>
                <w:w w:val="92"/>
              </w:rPr>
              <w:t xml:space="preserve">included: </w:t>
            </w:r>
            <w:r>
              <w:rPr>
                <w:rFonts w:ascii="MS PGothic" w:cs="MS PGothic" w:eastAsia="MS PGothic" w:hAnsi="MS PGothic"/>
                <w:sz w:val="18"/>
                <w:szCs w:val="18"/>
                <w:color w:val="auto"/>
                <w:w w:val="92"/>
              </w:rPr>
              <w:t>☐</w:t>
            </w:r>
          </w:p>
        </w:tc>
        <w:tc>
          <w:tcPr>
            <w:tcW w:w="100" w:type="dxa"/>
            <w:vAlign w:val="bottom"/>
            <w:tcBorders>
              <w:right w:val="single" w:sz="8" w:color="auto"/>
            </w:tcBorders>
          </w:tcPr>
          <w:p>
            <w:pPr>
              <w:spacing w:after="0"/>
              <w:rPr>
                <w:sz w:val="5"/>
                <w:szCs w:val="5"/>
                <w:color w:val="auto"/>
              </w:rPr>
            </w:pP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Contributions Not Corrected</w:t>
            </w:r>
          </w:p>
        </w:tc>
        <w:tc>
          <w:tcPr>
            <w:tcW w:w="2200" w:type="dxa"/>
            <w:vAlign w:val="bottom"/>
            <w:tcBorders>
              <w:right w:val="single" w:sz="8" w:color="auto"/>
            </w:tcBorders>
            <w:vMerge w:val="continue"/>
          </w:tcPr>
          <w:p>
            <w:pPr>
              <w:spacing w:after="0"/>
              <w:rPr>
                <w:sz w:val="5"/>
                <w:szCs w:val="5"/>
                <w:color w:val="auto"/>
              </w:rPr>
            </w:pPr>
          </w:p>
        </w:tc>
        <w:tc>
          <w:tcPr>
            <w:tcW w:w="2300" w:type="dxa"/>
            <w:vAlign w:val="bottom"/>
            <w:tcBorders>
              <w:right w:val="single" w:sz="8" w:color="auto"/>
            </w:tcBorders>
            <w:vMerge w:val="continue"/>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2240" w:type="dxa"/>
            <w:vAlign w:val="bottom"/>
            <w:tcBorders>
              <w:left w:val="single" w:sz="8" w:color="auto"/>
              <w:right w:val="single" w:sz="8" w:color="auto"/>
            </w:tcBorders>
            <w:vMerge w:val="continue"/>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vMerge w:val="continue"/>
          </w:tcPr>
          <w:p>
            <w:pPr>
              <w:spacing w:after="0"/>
              <w:rPr>
                <w:sz w:val="20"/>
                <w:szCs w:val="20"/>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Outside VFCP</w:t>
            </w:r>
          </w:p>
        </w:tc>
        <w:tc>
          <w:tcPr>
            <w:tcW w:w="230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Correction in VFCP</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$1,103 (1)</w:t>
            </w:r>
          </w:p>
        </w:tc>
        <w:tc>
          <w:tcPr>
            <w:tcW w:w="1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$1,103 (1)</w:t>
            </w:r>
          </w:p>
        </w:tc>
        <w:tc>
          <w:tcPr>
            <w:tcW w:w="23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$937 (2)</w:t>
            </w:r>
          </w:p>
        </w:tc>
        <w:tc>
          <w:tcPr>
            <w:tcW w:w="1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$937 (2)</w:t>
            </w:r>
          </w:p>
        </w:tc>
        <w:tc>
          <w:tcPr>
            <w:tcW w:w="23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$524 (3)</w:t>
            </w:r>
          </w:p>
        </w:tc>
        <w:tc>
          <w:tcPr>
            <w:tcW w:w="10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tcPr>
          <w:p>
            <w:pPr>
              <w:jc w:val="right"/>
              <w:ind w:right="930"/>
              <w:spacing w:after="0" w:line="176" w:lineRule="exact"/>
              <w:rPr>
                <w:sz w:val="20"/>
                <w:szCs w:val="20"/>
                <w:color w:val="auto"/>
              </w:rPr>
            </w:pPr>
            <w:r>
              <w:rPr>
                <w:rFonts w:ascii="Arial" w:cs="Arial" w:eastAsia="Arial" w:hAnsi="Arial"/>
                <w:sz w:val="18"/>
                <w:szCs w:val="18"/>
                <w:color w:val="auto"/>
              </w:rPr>
              <w:t>$ -</w:t>
            </w:r>
          </w:p>
        </w:tc>
        <w:tc>
          <w:tcPr>
            <w:tcW w:w="22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$524 (3)</w:t>
            </w:r>
          </w:p>
        </w:tc>
        <w:tc>
          <w:tcPr>
            <w:tcW w:w="2300" w:type="dxa"/>
            <w:vAlign w:val="bottom"/>
            <w:tcBorders>
              <w:right w:val="single" w:sz="8" w:color="auto"/>
            </w:tcBorders>
          </w:tcPr>
          <w:p>
            <w:pPr>
              <w:jc w:val="center"/>
              <w:ind w:right="30"/>
              <w:spacing w:after="0" w:line="176" w:lineRule="exact"/>
              <w:rPr>
                <w:sz w:val="20"/>
                <w:szCs w:val="20"/>
                <w:color w:val="auto"/>
              </w:rPr>
            </w:pPr>
            <w:r>
              <w:rPr>
                <w:rFonts w:ascii="Arial" w:cs="Arial" w:eastAsia="Arial" w:hAnsi="Arial"/>
                <w:sz w:val="18"/>
                <w:szCs w:val="18"/>
                <w:color w:val="auto"/>
                <w:w w:val="85"/>
              </w:rPr>
              <w:t>$ -</w:t>
            </w:r>
          </w:p>
        </w:tc>
        <w:tc>
          <w:tcPr>
            <w:tcW w:w="2200" w:type="dxa"/>
            <w:vAlign w:val="bottom"/>
            <w:tcBorders>
              <w:right w:val="single" w:sz="8" w:color="auto"/>
            </w:tcBorders>
          </w:tcPr>
          <w:p>
            <w:pPr>
              <w:jc w:val="right"/>
              <w:ind w:right="930"/>
              <w:spacing w:after="0" w:line="176"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$656 (4)</w:t>
            </w:r>
          </w:p>
        </w:tc>
        <w:tc>
          <w:tcPr>
            <w:tcW w:w="100" w:type="dxa"/>
            <w:vAlign w:val="bottom"/>
            <w:tcBorders>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$656 (4)</w:t>
            </w:r>
          </w:p>
        </w:tc>
        <w:tc>
          <w:tcPr>
            <w:tcW w:w="230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left="660" w:right="500" w:hanging="652"/>
        <w:spacing w:after="0" w:line="37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Represents delinquent participant contributions from 2018 payroll periods. The Company transmitted the contributions and lost earnings to the Plan in 2023 and is in process of filing the Form 5330 </w:t>
      </w:r>
      <w:r>
        <w:rPr>
          <w:rFonts w:ascii="Arial" w:cs="Arial" w:eastAsia="Arial" w:hAnsi="Arial"/>
          <w:sz w:val="16"/>
          <w:szCs w:val="16"/>
          <w:i w:val="1"/>
          <w:iCs w:val="1"/>
          <w:color w:val="auto"/>
        </w:rPr>
        <w:t>Return of Excise Tax Related to Employee Benefit Plans</w:t>
      </w:r>
      <w:r>
        <w:rPr>
          <w:rFonts w:ascii="Arial" w:cs="Arial" w:eastAsia="Arial" w:hAnsi="Arial"/>
          <w:sz w:val="16"/>
          <w:szCs w:val="16"/>
          <w:color w:val="auto"/>
        </w:rPr>
        <w:t>.</w:t>
      </w:r>
    </w:p>
    <w:p>
      <w:pPr>
        <w:jc w:val="both"/>
        <w:ind w:left="660" w:right="500" w:hanging="652"/>
        <w:spacing w:after="0" w:line="37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Represents delinquent participant contributions from 2020 payroll periods. The Company transmitted the contributions and lost earnings to the Plan in 2023 and is in process of filing the Form 5330 </w:t>
      </w:r>
      <w:r>
        <w:rPr>
          <w:rFonts w:ascii="Arial" w:cs="Arial" w:eastAsia="Arial" w:hAnsi="Arial"/>
          <w:sz w:val="16"/>
          <w:szCs w:val="16"/>
          <w:i w:val="1"/>
          <w:iCs w:val="1"/>
          <w:color w:val="auto"/>
        </w:rPr>
        <w:t>Return of Excise Tax Related to Employee Benefit Plans</w:t>
      </w:r>
      <w:r>
        <w:rPr>
          <w:rFonts w:ascii="Arial" w:cs="Arial" w:eastAsia="Arial" w:hAnsi="Arial"/>
          <w:sz w:val="16"/>
          <w:szCs w:val="16"/>
          <w:color w:val="auto"/>
        </w:rPr>
        <w:t>.</w:t>
      </w:r>
    </w:p>
    <w:p>
      <w:pPr>
        <w:jc w:val="both"/>
        <w:ind w:left="660" w:right="500" w:hanging="652"/>
        <w:spacing w:after="0" w:line="37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Represents delinquent participant contributions from 2021 payroll periods. The Company transmitted the contributions and lost earnings to the Plan in 2023 and is in process of filing the Form 5330 </w:t>
      </w:r>
      <w:r>
        <w:rPr>
          <w:rFonts w:ascii="Arial" w:cs="Arial" w:eastAsia="Arial" w:hAnsi="Arial"/>
          <w:sz w:val="16"/>
          <w:szCs w:val="16"/>
          <w:i w:val="1"/>
          <w:iCs w:val="1"/>
          <w:color w:val="auto"/>
        </w:rPr>
        <w:t>Return of Excise Tax Related to Employee Benefit Plans</w:t>
      </w:r>
      <w:r>
        <w:rPr>
          <w:rFonts w:ascii="Arial" w:cs="Arial" w:eastAsia="Arial" w:hAnsi="Arial"/>
          <w:sz w:val="16"/>
          <w:szCs w:val="16"/>
          <w:color w:val="auto"/>
        </w:rPr>
        <w:t>.</w:t>
      </w:r>
    </w:p>
    <w:p>
      <w:pPr>
        <w:jc w:val="both"/>
        <w:ind w:left="660" w:right="500" w:hanging="652"/>
        <w:spacing w:after="0" w:line="40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Represents delinquent participant contributions from 2022 payroll periods. The Company transmitted the contributions and lost earnings to the Plan in 2023 and is in process of filing the Form 5330 </w:t>
      </w:r>
      <w:r>
        <w:rPr>
          <w:rFonts w:ascii="Arial" w:cs="Arial" w:eastAsia="Arial" w:hAnsi="Arial"/>
          <w:sz w:val="16"/>
          <w:szCs w:val="16"/>
          <w:i w:val="1"/>
          <w:iCs w:val="1"/>
          <w:color w:val="auto"/>
        </w:rPr>
        <w:t>Return of Excise Tax Related to Employee Benefit Plans</w:t>
      </w:r>
      <w:r>
        <w:rPr>
          <w:rFonts w:ascii="Arial" w:cs="Arial" w:eastAsia="Arial" w:hAnsi="Arial"/>
          <w:sz w:val="16"/>
          <w:szCs w:val="16"/>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17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9"/>
        </w:trPr>
        <w:tc>
          <w:tcPr>
            <w:tcW w:w="360" w:type="dxa"/>
            <w:vAlign w:val="bottom"/>
          </w:tcPr>
          <w:p>
            <w:pPr>
              <w:spacing w:after="0"/>
              <w:rPr>
                <w:sz w:val="19"/>
                <w:szCs w:val="19"/>
                <w:color w:val="auto"/>
              </w:rPr>
            </w:pPr>
          </w:p>
        </w:tc>
        <w:tc>
          <w:tcPr>
            <w:tcW w:w="880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1"/>
              </w:rPr>
              <w:t>Bath &amp; Body Works, Inc. 401(k) Savings and Retirement Plan</w:t>
            </w:r>
          </w:p>
        </w:tc>
      </w:tr>
      <w:tr>
        <w:trPr>
          <w:trHeight w:val="229"/>
        </w:trPr>
        <w:tc>
          <w:tcPr>
            <w:tcW w:w="360" w:type="dxa"/>
            <w:vAlign w:val="bottom"/>
          </w:tcPr>
          <w:p>
            <w:pPr>
              <w:spacing w:after="0"/>
              <w:rPr>
                <w:sz w:val="19"/>
                <w:szCs w:val="19"/>
                <w:color w:val="auto"/>
              </w:rPr>
            </w:pPr>
          </w:p>
        </w:tc>
        <w:tc>
          <w:tcPr>
            <w:tcW w:w="880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2"/>
              </w:rPr>
              <w:t>EIN #31-1048997 Plan #002</w:t>
            </w:r>
          </w:p>
        </w:tc>
      </w:tr>
      <w:tr>
        <w:trPr>
          <w:trHeight w:val="234"/>
        </w:trPr>
        <w:tc>
          <w:tcPr>
            <w:tcW w:w="360" w:type="dxa"/>
            <w:vAlign w:val="bottom"/>
          </w:tcPr>
          <w:p>
            <w:pPr>
              <w:spacing w:after="0"/>
              <w:rPr>
                <w:sz w:val="20"/>
                <w:szCs w:val="20"/>
                <w:color w:val="auto"/>
              </w:rPr>
            </w:pPr>
          </w:p>
        </w:tc>
        <w:tc>
          <w:tcPr>
            <w:tcW w:w="880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89"/>
              </w:rPr>
              <w:t>Schedule H, Line 4i - Schedule of Assets (Held at End of Year)</w:t>
            </w:r>
          </w:p>
        </w:tc>
      </w:tr>
      <w:tr>
        <w:trPr>
          <w:trHeight w:val="243"/>
        </w:trPr>
        <w:tc>
          <w:tcPr>
            <w:tcW w:w="360" w:type="dxa"/>
            <w:vAlign w:val="bottom"/>
          </w:tcPr>
          <w:p>
            <w:pPr>
              <w:spacing w:after="0"/>
              <w:rPr>
                <w:sz w:val="21"/>
                <w:szCs w:val="21"/>
                <w:color w:val="auto"/>
              </w:rPr>
            </w:pPr>
          </w:p>
        </w:tc>
        <w:tc>
          <w:tcPr>
            <w:tcW w:w="880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0"/>
              </w:rPr>
              <w:t>December 31, 2022</w:t>
            </w:r>
          </w:p>
        </w:tc>
      </w:tr>
      <w:tr>
        <w:trPr>
          <w:trHeight w:val="252"/>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900" w:type="dxa"/>
            <w:vAlign w:val="bottom"/>
          </w:tcPr>
          <w:p>
            <w:pPr>
              <w:ind w:left="2500"/>
              <w:spacing w:after="0"/>
              <w:rPr>
                <w:sz w:val="20"/>
                <w:szCs w:val="20"/>
                <w:color w:val="auto"/>
              </w:rPr>
            </w:pPr>
            <w:r>
              <w:rPr>
                <w:rFonts w:ascii="Arial" w:cs="Arial" w:eastAsia="Arial" w:hAnsi="Arial"/>
                <w:sz w:val="18"/>
                <w:szCs w:val="18"/>
                <w:color w:val="auto"/>
              </w:rPr>
              <w:t>(b)</w:t>
            </w:r>
          </w:p>
        </w:tc>
        <w:tc>
          <w:tcPr>
            <w:tcW w:w="3900" w:type="dxa"/>
            <w:vAlign w:val="bottom"/>
          </w:tcPr>
          <w:p>
            <w:pPr>
              <w:jc w:val="center"/>
              <w:ind w:left="290"/>
              <w:spacing w:after="0"/>
              <w:rPr>
                <w:sz w:val="20"/>
                <w:szCs w:val="20"/>
                <w:color w:val="auto"/>
              </w:rPr>
            </w:pPr>
            <w:r>
              <w:rPr>
                <w:rFonts w:ascii="Arial" w:cs="Arial" w:eastAsia="Arial" w:hAnsi="Arial"/>
                <w:sz w:val="18"/>
                <w:szCs w:val="18"/>
                <w:color w:val="auto"/>
                <w:w w:val="95"/>
              </w:rPr>
              <w:t>(c)</w:t>
            </w:r>
          </w:p>
        </w:tc>
      </w:tr>
      <w:tr>
        <w:trPr>
          <w:trHeight w:val="180"/>
        </w:trPr>
        <w:tc>
          <w:tcPr>
            <w:tcW w:w="36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900" w:type="dxa"/>
            <w:vAlign w:val="bottom"/>
          </w:tcPr>
          <w:p>
            <w:pPr>
              <w:jc w:val="center"/>
              <w:ind w:left="290"/>
              <w:spacing w:after="0" w:line="181" w:lineRule="exact"/>
              <w:rPr>
                <w:sz w:val="20"/>
                <w:szCs w:val="20"/>
                <w:color w:val="auto"/>
              </w:rPr>
            </w:pPr>
            <w:r>
              <w:rPr>
                <w:rFonts w:ascii="Arial" w:cs="Arial" w:eastAsia="Arial" w:hAnsi="Arial"/>
                <w:sz w:val="18"/>
                <w:szCs w:val="18"/>
                <w:b w:val="1"/>
                <w:bCs w:val="1"/>
                <w:color w:val="auto"/>
                <w:w w:val="92"/>
              </w:rPr>
              <w:t>Description of Investment Including Maturity</w:t>
            </w:r>
          </w:p>
        </w:tc>
      </w:tr>
      <w:tr>
        <w:trPr>
          <w:trHeight w:val="184"/>
        </w:trPr>
        <w:tc>
          <w:tcPr>
            <w:tcW w:w="3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900" w:type="dxa"/>
            <w:vAlign w:val="bottom"/>
          </w:tcPr>
          <w:p>
            <w:pPr>
              <w:jc w:val="center"/>
              <w:ind w:left="290"/>
              <w:spacing w:after="0" w:line="184" w:lineRule="exact"/>
              <w:rPr>
                <w:sz w:val="20"/>
                <w:szCs w:val="20"/>
                <w:color w:val="auto"/>
              </w:rPr>
            </w:pPr>
            <w:r>
              <w:rPr>
                <w:rFonts w:ascii="Arial" w:cs="Arial" w:eastAsia="Arial" w:hAnsi="Arial"/>
                <w:sz w:val="18"/>
                <w:szCs w:val="18"/>
                <w:b w:val="1"/>
                <w:bCs w:val="1"/>
                <w:color w:val="auto"/>
                <w:w w:val="91"/>
              </w:rPr>
              <w:t>Date, Rate of Interest, Collateral, Par, or</w:t>
            </w:r>
          </w:p>
        </w:tc>
      </w:tr>
      <w:tr>
        <w:trPr>
          <w:trHeight w:val="229"/>
        </w:trPr>
        <w:tc>
          <w:tcPr>
            <w:tcW w:w="360" w:type="dxa"/>
            <w:vAlign w:val="bottom"/>
          </w:tcPr>
          <w:p>
            <w:pPr>
              <w:spacing w:after="0"/>
              <w:rPr>
                <w:sz w:val="19"/>
                <w:szCs w:val="19"/>
                <w:color w:val="auto"/>
              </w:rPr>
            </w:pPr>
          </w:p>
        </w:tc>
        <w:tc>
          <w:tcPr>
            <w:tcW w:w="4900" w:type="dxa"/>
            <w:vAlign w:val="bottom"/>
          </w:tcPr>
          <w:p>
            <w:pPr>
              <w:ind w:left="580"/>
              <w:spacing w:after="0"/>
              <w:rPr>
                <w:sz w:val="20"/>
                <w:szCs w:val="20"/>
                <w:color w:val="auto"/>
              </w:rPr>
            </w:pPr>
            <w:r>
              <w:rPr>
                <w:rFonts w:ascii="Arial" w:cs="Arial" w:eastAsia="Arial" w:hAnsi="Arial"/>
                <w:sz w:val="18"/>
                <w:szCs w:val="18"/>
                <w:b w:val="1"/>
                <w:bCs w:val="1"/>
                <w:color w:val="auto"/>
                <w:w w:val="96"/>
              </w:rPr>
              <w:t>Identity of Issuer, Borrower, Lessor, or Similar Party</w:t>
            </w:r>
          </w:p>
        </w:tc>
        <w:tc>
          <w:tcPr>
            <w:tcW w:w="390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Maturity Value</w:t>
            </w:r>
          </w:p>
        </w:tc>
      </w:tr>
      <w:tr>
        <w:trPr>
          <w:trHeight w:val="233"/>
        </w:trPr>
        <w:tc>
          <w:tcPr>
            <w:tcW w:w="36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b w:val="1"/>
                <w:bCs w:val="1"/>
                <w:color w:val="auto"/>
              </w:rPr>
              <w:t>Common Stock</w:t>
            </w:r>
          </w:p>
        </w:tc>
        <w:tc>
          <w:tcPr>
            <w:tcW w:w="390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4900" w:type="dxa"/>
            <w:vAlign w:val="bottom"/>
          </w:tcPr>
          <w:p>
            <w:pPr>
              <w:ind w:left="160"/>
              <w:spacing w:after="0"/>
              <w:rPr>
                <w:sz w:val="20"/>
                <w:szCs w:val="20"/>
                <w:color w:val="auto"/>
              </w:rPr>
            </w:pPr>
            <w:r>
              <w:rPr>
                <w:rFonts w:ascii="Arial" w:cs="Arial" w:eastAsia="Arial" w:hAnsi="Arial"/>
                <w:sz w:val="18"/>
                <w:szCs w:val="18"/>
                <w:color w:val="auto"/>
              </w:rPr>
              <w:t>Bath &amp; Body Works, Inc.</w:t>
            </w:r>
          </w:p>
        </w:tc>
        <w:tc>
          <w:tcPr>
            <w:tcW w:w="3900" w:type="dxa"/>
            <w:vAlign w:val="bottom"/>
          </w:tcPr>
          <w:p>
            <w:pPr>
              <w:ind w:left="280"/>
              <w:spacing w:after="0"/>
              <w:rPr>
                <w:sz w:val="20"/>
                <w:szCs w:val="20"/>
                <w:color w:val="auto"/>
              </w:rPr>
            </w:pPr>
            <w:r>
              <w:rPr>
                <w:rFonts w:ascii="Arial" w:cs="Arial" w:eastAsia="Arial" w:hAnsi="Arial"/>
                <w:sz w:val="18"/>
                <w:szCs w:val="18"/>
                <w:color w:val="auto"/>
              </w:rPr>
              <w:t>Common Stock – 777,866 - shares</w:t>
            </w:r>
          </w:p>
        </w:tc>
      </w:tr>
      <w:tr>
        <w:trPr>
          <w:trHeight w:val="243"/>
        </w:trPr>
        <w:tc>
          <w:tcPr>
            <w:tcW w:w="36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Victoria's Secret &amp; Co.</w:t>
            </w:r>
          </w:p>
        </w:tc>
        <w:tc>
          <w:tcPr>
            <w:tcW w:w="3900" w:type="dxa"/>
            <w:vAlign w:val="bottom"/>
          </w:tcPr>
          <w:p>
            <w:pPr>
              <w:ind w:left="280"/>
              <w:spacing w:after="0"/>
              <w:rPr>
                <w:sz w:val="20"/>
                <w:szCs w:val="20"/>
                <w:color w:val="auto"/>
              </w:rPr>
            </w:pPr>
            <w:r>
              <w:rPr>
                <w:rFonts w:ascii="Arial" w:cs="Arial" w:eastAsia="Arial" w:hAnsi="Arial"/>
                <w:sz w:val="18"/>
                <w:szCs w:val="18"/>
                <w:color w:val="auto"/>
              </w:rPr>
              <w:t>Common Stock – 224,482 - shares</w:t>
            </w:r>
          </w:p>
        </w:tc>
      </w:tr>
      <w:tr>
        <w:trPr>
          <w:trHeight w:val="391"/>
        </w:trPr>
        <w:tc>
          <w:tcPr>
            <w:tcW w:w="360" w:type="dxa"/>
            <w:vAlign w:val="bottom"/>
          </w:tcPr>
          <w:p>
            <w:pPr>
              <w:spacing w:after="0"/>
              <w:rPr>
                <w:sz w:val="24"/>
                <w:szCs w:val="24"/>
                <w:color w:val="auto"/>
              </w:rPr>
            </w:pPr>
          </w:p>
        </w:tc>
        <w:tc>
          <w:tcPr>
            <w:tcW w:w="4900" w:type="dxa"/>
            <w:vAlign w:val="bottom"/>
          </w:tcPr>
          <w:p>
            <w:pPr>
              <w:ind w:left="160"/>
              <w:spacing w:after="0"/>
              <w:rPr>
                <w:sz w:val="20"/>
                <w:szCs w:val="20"/>
                <w:color w:val="auto"/>
              </w:rPr>
            </w:pPr>
            <w:r>
              <w:rPr>
                <w:rFonts w:ascii="Arial" w:cs="Arial" w:eastAsia="Arial" w:hAnsi="Arial"/>
                <w:sz w:val="18"/>
                <w:szCs w:val="18"/>
                <w:b w:val="1"/>
                <w:bCs w:val="1"/>
                <w:color w:val="auto"/>
              </w:rPr>
              <w:t>Collective Trusts</w:t>
            </w:r>
          </w:p>
        </w:tc>
        <w:tc>
          <w:tcPr>
            <w:tcW w:w="39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2005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43,631 - units</w:t>
            </w:r>
          </w:p>
        </w:tc>
      </w:tr>
      <w:tr>
        <w:trPr>
          <w:trHeight w:val="242"/>
        </w:trPr>
        <w:tc>
          <w:tcPr>
            <w:tcW w:w="36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2010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213,549 - units</w:t>
            </w:r>
          </w:p>
        </w:tc>
      </w:tr>
      <w:tr>
        <w:trPr>
          <w:trHeight w:val="229"/>
        </w:trPr>
        <w:tc>
          <w:tcPr>
            <w:tcW w:w="360" w:type="dxa"/>
            <w:vAlign w:val="bottom"/>
          </w:tcPr>
          <w:p>
            <w:pPr>
              <w:spacing w:after="0"/>
              <w:rPr>
                <w:sz w:val="19"/>
                <w:szCs w:val="19"/>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2015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33,122 - units</w:t>
            </w:r>
          </w:p>
        </w:tc>
      </w:tr>
      <w:tr>
        <w:trPr>
          <w:trHeight w:val="230"/>
        </w:trPr>
        <w:tc>
          <w:tcPr>
            <w:tcW w:w="36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2020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1,039,935 - units</w:t>
            </w:r>
          </w:p>
        </w:tc>
      </w:tr>
      <w:tr>
        <w:trPr>
          <w:trHeight w:val="242"/>
        </w:trPr>
        <w:tc>
          <w:tcPr>
            <w:tcW w:w="36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2025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374,496 - units</w:t>
            </w:r>
          </w:p>
        </w:tc>
      </w:tr>
      <w:tr>
        <w:trPr>
          <w:trHeight w:val="230"/>
        </w:trPr>
        <w:tc>
          <w:tcPr>
            <w:tcW w:w="360" w:type="dxa"/>
            <w:vAlign w:val="bottom"/>
          </w:tcPr>
          <w:p>
            <w:pPr>
              <w:spacing w:after="0"/>
              <w:rPr>
                <w:sz w:val="19"/>
                <w:szCs w:val="19"/>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2030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3,086,365 - units</w:t>
            </w:r>
          </w:p>
        </w:tc>
      </w:tr>
      <w:tr>
        <w:trPr>
          <w:trHeight w:val="229"/>
        </w:trPr>
        <w:tc>
          <w:tcPr>
            <w:tcW w:w="360" w:type="dxa"/>
            <w:vAlign w:val="bottom"/>
          </w:tcPr>
          <w:p>
            <w:pPr>
              <w:spacing w:after="0"/>
              <w:rPr>
                <w:sz w:val="19"/>
                <w:szCs w:val="19"/>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2035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842,446 - units</w:t>
            </w:r>
          </w:p>
        </w:tc>
      </w:tr>
      <w:tr>
        <w:trPr>
          <w:trHeight w:val="230"/>
        </w:trPr>
        <w:tc>
          <w:tcPr>
            <w:tcW w:w="36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2040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4,084,619 - units</w:t>
            </w:r>
          </w:p>
        </w:tc>
      </w:tr>
      <w:tr>
        <w:trPr>
          <w:trHeight w:val="242"/>
        </w:trPr>
        <w:tc>
          <w:tcPr>
            <w:tcW w:w="36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2045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1,352,952 - units</w:t>
            </w:r>
          </w:p>
        </w:tc>
      </w:tr>
      <w:tr>
        <w:trPr>
          <w:trHeight w:val="230"/>
        </w:trPr>
        <w:tc>
          <w:tcPr>
            <w:tcW w:w="360" w:type="dxa"/>
            <w:vAlign w:val="bottom"/>
          </w:tcPr>
          <w:p>
            <w:pPr>
              <w:spacing w:after="0"/>
              <w:rPr>
                <w:sz w:val="19"/>
                <w:szCs w:val="19"/>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2050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2,140,280 - units</w:t>
            </w:r>
          </w:p>
        </w:tc>
      </w:tr>
      <w:tr>
        <w:trPr>
          <w:trHeight w:val="230"/>
        </w:trPr>
        <w:tc>
          <w:tcPr>
            <w:tcW w:w="36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2055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1,731,580 - units</w:t>
            </w:r>
          </w:p>
        </w:tc>
      </w:tr>
      <w:tr>
        <w:trPr>
          <w:trHeight w:val="242"/>
        </w:trPr>
        <w:tc>
          <w:tcPr>
            <w:tcW w:w="36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2060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1,318,554 - units</w:t>
            </w:r>
          </w:p>
        </w:tc>
      </w:tr>
      <w:tr>
        <w:trPr>
          <w:trHeight w:val="230"/>
        </w:trPr>
        <w:tc>
          <w:tcPr>
            <w:tcW w:w="360" w:type="dxa"/>
            <w:vAlign w:val="bottom"/>
          </w:tcPr>
          <w:p>
            <w:pPr>
              <w:spacing w:after="0"/>
              <w:rPr>
                <w:sz w:val="19"/>
                <w:szCs w:val="19"/>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 Rowe Price Retirement 2065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94,621 - units</w:t>
            </w:r>
          </w:p>
        </w:tc>
      </w:tr>
      <w:tr>
        <w:trPr>
          <w:trHeight w:val="230"/>
        </w:trPr>
        <w:tc>
          <w:tcPr>
            <w:tcW w:w="36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Invesco Stable Value Trust</w:t>
            </w:r>
          </w:p>
        </w:tc>
        <w:tc>
          <w:tcPr>
            <w:tcW w:w="3900" w:type="dxa"/>
            <w:vAlign w:val="bottom"/>
          </w:tcPr>
          <w:p>
            <w:pPr>
              <w:ind w:left="280"/>
              <w:spacing w:after="0"/>
              <w:rPr>
                <w:sz w:val="20"/>
                <w:szCs w:val="20"/>
                <w:color w:val="auto"/>
              </w:rPr>
            </w:pPr>
            <w:r>
              <w:rPr>
                <w:rFonts w:ascii="Arial" w:cs="Arial" w:eastAsia="Arial" w:hAnsi="Arial"/>
                <w:sz w:val="18"/>
                <w:szCs w:val="18"/>
                <w:color w:val="auto"/>
              </w:rPr>
              <w:t>Collective Fund – 98,927,161 - units</w:t>
            </w:r>
          </w:p>
        </w:tc>
      </w:tr>
      <w:tr>
        <w:trPr>
          <w:trHeight w:val="404"/>
        </w:trPr>
        <w:tc>
          <w:tcPr>
            <w:tcW w:w="360" w:type="dxa"/>
            <w:vAlign w:val="bottom"/>
          </w:tcPr>
          <w:p>
            <w:pPr>
              <w:spacing w:after="0"/>
              <w:rPr>
                <w:sz w:val="24"/>
                <w:szCs w:val="24"/>
                <w:color w:val="auto"/>
              </w:rPr>
            </w:pPr>
          </w:p>
        </w:tc>
        <w:tc>
          <w:tcPr>
            <w:tcW w:w="4900" w:type="dxa"/>
            <w:vAlign w:val="bottom"/>
          </w:tcPr>
          <w:p>
            <w:pPr>
              <w:ind w:left="160"/>
              <w:spacing w:after="0"/>
              <w:rPr>
                <w:sz w:val="20"/>
                <w:szCs w:val="20"/>
                <w:color w:val="auto"/>
              </w:rPr>
            </w:pPr>
            <w:r>
              <w:rPr>
                <w:rFonts w:ascii="Arial" w:cs="Arial" w:eastAsia="Arial" w:hAnsi="Arial"/>
                <w:sz w:val="18"/>
                <w:szCs w:val="18"/>
                <w:b w:val="1"/>
                <w:bCs w:val="1"/>
                <w:color w:val="auto"/>
              </w:rPr>
              <w:t>Mutual Funds</w:t>
            </w:r>
          </w:p>
        </w:tc>
        <w:tc>
          <w:tcPr>
            <w:tcW w:w="3900" w:type="dxa"/>
            <w:vAlign w:val="bottom"/>
          </w:tcPr>
          <w:p>
            <w:pPr>
              <w:spacing w:after="0"/>
              <w:rPr>
                <w:sz w:val="24"/>
                <w:szCs w:val="24"/>
                <w:color w:val="auto"/>
              </w:rPr>
            </w:pPr>
          </w:p>
        </w:tc>
      </w:tr>
      <w:tr>
        <w:trPr>
          <w:trHeight w:val="230"/>
        </w:trPr>
        <w:tc>
          <w:tcPr>
            <w:tcW w:w="360" w:type="dxa"/>
            <w:vAlign w:val="bottom"/>
          </w:tcPr>
          <w:p>
            <w:pPr>
              <w:spacing w:after="0"/>
              <w:rPr>
                <w:sz w:val="19"/>
                <w:szCs w:val="19"/>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Vanguard Institutional Index Fund</w:t>
            </w:r>
          </w:p>
        </w:tc>
        <w:tc>
          <w:tcPr>
            <w:tcW w:w="3900" w:type="dxa"/>
            <w:vAlign w:val="bottom"/>
          </w:tcPr>
          <w:p>
            <w:pPr>
              <w:ind w:left="280"/>
              <w:spacing w:after="0"/>
              <w:rPr>
                <w:sz w:val="20"/>
                <w:szCs w:val="20"/>
                <w:color w:val="auto"/>
              </w:rPr>
            </w:pPr>
            <w:r>
              <w:rPr>
                <w:rFonts w:ascii="Arial" w:cs="Arial" w:eastAsia="Arial" w:hAnsi="Arial"/>
                <w:sz w:val="18"/>
                <w:szCs w:val="18"/>
                <w:color w:val="auto"/>
              </w:rPr>
              <w:t>Mutual Fund – 493,748 - shares</w:t>
            </w:r>
          </w:p>
        </w:tc>
      </w:tr>
      <w:tr>
        <w:trPr>
          <w:trHeight w:val="230"/>
        </w:trPr>
        <w:tc>
          <w:tcPr>
            <w:tcW w:w="36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Dodge &amp; Cox Stock Fund</w:t>
            </w:r>
          </w:p>
        </w:tc>
        <w:tc>
          <w:tcPr>
            <w:tcW w:w="3900" w:type="dxa"/>
            <w:vAlign w:val="bottom"/>
          </w:tcPr>
          <w:p>
            <w:pPr>
              <w:ind w:left="280"/>
              <w:spacing w:after="0"/>
              <w:rPr>
                <w:sz w:val="20"/>
                <w:szCs w:val="20"/>
                <w:color w:val="auto"/>
              </w:rPr>
            </w:pPr>
            <w:r>
              <w:rPr>
                <w:rFonts w:ascii="Arial" w:cs="Arial" w:eastAsia="Arial" w:hAnsi="Arial"/>
                <w:sz w:val="18"/>
                <w:szCs w:val="18"/>
                <w:color w:val="auto"/>
              </w:rPr>
              <w:t>Mutual Fund – 330,433 - shares</w:t>
            </w:r>
          </w:p>
        </w:tc>
      </w:tr>
      <w:tr>
        <w:trPr>
          <w:trHeight w:val="242"/>
        </w:trPr>
        <w:tc>
          <w:tcPr>
            <w:tcW w:w="36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Artisan International Investor Shares</w:t>
            </w:r>
          </w:p>
        </w:tc>
        <w:tc>
          <w:tcPr>
            <w:tcW w:w="3900" w:type="dxa"/>
            <w:vAlign w:val="bottom"/>
          </w:tcPr>
          <w:p>
            <w:pPr>
              <w:ind w:left="280"/>
              <w:spacing w:after="0"/>
              <w:rPr>
                <w:sz w:val="20"/>
                <w:szCs w:val="20"/>
                <w:color w:val="auto"/>
              </w:rPr>
            </w:pPr>
            <w:r>
              <w:rPr>
                <w:rFonts w:ascii="Arial" w:cs="Arial" w:eastAsia="Arial" w:hAnsi="Arial"/>
                <w:sz w:val="18"/>
                <w:szCs w:val="18"/>
                <w:color w:val="auto"/>
              </w:rPr>
              <w:t>Mutual Fund – 1,178,189 - shares</w:t>
            </w:r>
          </w:p>
        </w:tc>
      </w:tr>
      <w:tr>
        <w:trPr>
          <w:trHeight w:val="229"/>
        </w:trPr>
        <w:tc>
          <w:tcPr>
            <w:tcW w:w="360" w:type="dxa"/>
            <w:vAlign w:val="bottom"/>
          </w:tcPr>
          <w:p>
            <w:pPr>
              <w:spacing w:after="0"/>
              <w:rPr>
                <w:sz w:val="19"/>
                <w:szCs w:val="19"/>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PRIMECAP Odyssey Growth Fund</w:t>
            </w:r>
          </w:p>
        </w:tc>
        <w:tc>
          <w:tcPr>
            <w:tcW w:w="3900" w:type="dxa"/>
            <w:vAlign w:val="bottom"/>
          </w:tcPr>
          <w:p>
            <w:pPr>
              <w:ind w:left="280"/>
              <w:spacing w:after="0"/>
              <w:rPr>
                <w:sz w:val="20"/>
                <w:szCs w:val="20"/>
                <w:color w:val="auto"/>
              </w:rPr>
            </w:pPr>
            <w:r>
              <w:rPr>
                <w:rFonts w:ascii="Arial" w:cs="Arial" w:eastAsia="Arial" w:hAnsi="Arial"/>
                <w:sz w:val="18"/>
                <w:szCs w:val="18"/>
                <w:color w:val="auto"/>
              </w:rPr>
              <w:t>Mutual Fund – 1,608,300 - shares</w:t>
            </w:r>
          </w:p>
        </w:tc>
      </w:tr>
      <w:tr>
        <w:trPr>
          <w:trHeight w:val="230"/>
        </w:trPr>
        <w:tc>
          <w:tcPr>
            <w:tcW w:w="36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Vanguard Total Bond Market Index Fund</w:t>
            </w:r>
          </w:p>
        </w:tc>
        <w:tc>
          <w:tcPr>
            <w:tcW w:w="3900" w:type="dxa"/>
            <w:vAlign w:val="bottom"/>
          </w:tcPr>
          <w:p>
            <w:pPr>
              <w:ind w:left="280"/>
              <w:spacing w:after="0"/>
              <w:rPr>
                <w:sz w:val="20"/>
                <w:szCs w:val="20"/>
                <w:color w:val="auto"/>
              </w:rPr>
            </w:pPr>
            <w:r>
              <w:rPr>
                <w:rFonts w:ascii="Arial" w:cs="Arial" w:eastAsia="Arial" w:hAnsi="Arial"/>
                <w:sz w:val="18"/>
                <w:szCs w:val="18"/>
                <w:color w:val="auto"/>
              </w:rPr>
              <w:t>Mutual Fund – 1,901,482 - shares</w:t>
            </w:r>
          </w:p>
        </w:tc>
      </w:tr>
      <w:tr>
        <w:trPr>
          <w:trHeight w:val="242"/>
        </w:trPr>
        <w:tc>
          <w:tcPr>
            <w:tcW w:w="36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Metropolitan West Total Return Bond Fund</w:t>
            </w:r>
          </w:p>
        </w:tc>
        <w:tc>
          <w:tcPr>
            <w:tcW w:w="3900" w:type="dxa"/>
            <w:vAlign w:val="bottom"/>
          </w:tcPr>
          <w:p>
            <w:pPr>
              <w:ind w:left="280"/>
              <w:spacing w:after="0"/>
              <w:rPr>
                <w:sz w:val="20"/>
                <w:szCs w:val="20"/>
                <w:color w:val="auto"/>
              </w:rPr>
            </w:pPr>
            <w:r>
              <w:rPr>
                <w:rFonts w:ascii="Arial" w:cs="Arial" w:eastAsia="Arial" w:hAnsi="Arial"/>
                <w:sz w:val="18"/>
                <w:szCs w:val="18"/>
                <w:color w:val="auto"/>
              </w:rPr>
              <w:t>Mutual Fund – 2,166,713 - shares</w:t>
            </w:r>
          </w:p>
        </w:tc>
      </w:tr>
      <w:tr>
        <w:trPr>
          <w:trHeight w:val="230"/>
        </w:trPr>
        <w:tc>
          <w:tcPr>
            <w:tcW w:w="360" w:type="dxa"/>
            <w:vAlign w:val="bottom"/>
          </w:tcPr>
          <w:p>
            <w:pPr>
              <w:spacing w:after="0"/>
              <w:rPr>
                <w:sz w:val="19"/>
                <w:szCs w:val="19"/>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Vanguard Mid-Cap Index Fund</w:t>
            </w:r>
          </w:p>
        </w:tc>
        <w:tc>
          <w:tcPr>
            <w:tcW w:w="3900" w:type="dxa"/>
            <w:vAlign w:val="bottom"/>
          </w:tcPr>
          <w:p>
            <w:pPr>
              <w:ind w:left="280"/>
              <w:spacing w:after="0"/>
              <w:rPr>
                <w:sz w:val="20"/>
                <w:szCs w:val="20"/>
                <w:color w:val="auto"/>
              </w:rPr>
            </w:pPr>
            <w:r>
              <w:rPr>
                <w:rFonts w:ascii="Arial" w:cs="Arial" w:eastAsia="Arial" w:hAnsi="Arial"/>
                <w:sz w:val="18"/>
                <w:szCs w:val="18"/>
                <w:color w:val="auto"/>
              </w:rPr>
              <w:t>Mutual Fund – 913,360 - shares</w:t>
            </w:r>
          </w:p>
        </w:tc>
      </w:tr>
      <w:tr>
        <w:trPr>
          <w:trHeight w:val="230"/>
        </w:trPr>
        <w:tc>
          <w:tcPr>
            <w:tcW w:w="36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Vanguard Total International Stock Index Fund</w:t>
            </w:r>
          </w:p>
        </w:tc>
        <w:tc>
          <w:tcPr>
            <w:tcW w:w="3900" w:type="dxa"/>
            <w:vAlign w:val="bottom"/>
          </w:tcPr>
          <w:p>
            <w:pPr>
              <w:ind w:left="280"/>
              <w:spacing w:after="0"/>
              <w:rPr>
                <w:sz w:val="20"/>
                <w:szCs w:val="20"/>
                <w:color w:val="auto"/>
              </w:rPr>
            </w:pPr>
            <w:r>
              <w:rPr>
                <w:rFonts w:ascii="Arial" w:cs="Arial" w:eastAsia="Arial" w:hAnsi="Arial"/>
                <w:sz w:val="18"/>
                <w:szCs w:val="18"/>
                <w:color w:val="auto"/>
              </w:rPr>
              <w:t>Mutual Fund – 227,333 - shares</w:t>
            </w:r>
          </w:p>
        </w:tc>
      </w:tr>
      <w:tr>
        <w:trPr>
          <w:trHeight w:val="242"/>
        </w:trPr>
        <w:tc>
          <w:tcPr>
            <w:tcW w:w="36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Vanguard Small-Cap Index Fund</w:t>
            </w:r>
          </w:p>
        </w:tc>
        <w:tc>
          <w:tcPr>
            <w:tcW w:w="3900" w:type="dxa"/>
            <w:vAlign w:val="bottom"/>
          </w:tcPr>
          <w:p>
            <w:pPr>
              <w:ind w:left="280"/>
              <w:spacing w:after="0"/>
              <w:rPr>
                <w:sz w:val="20"/>
                <w:szCs w:val="20"/>
                <w:color w:val="auto"/>
              </w:rPr>
            </w:pPr>
            <w:r>
              <w:rPr>
                <w:rFonts w:ascii="Arial" w:cs="Arial" w:eastAsia="Arial" w:hAnsi="Arial"/>
                <w:sz w:val="18"/>
                <w:szCs w:val="18"/>
                <w:color w:val="auto"/>
              </w:rPr>
              <w:t>Mutual Fund – 232,962 - shares</w:t>
            </w:r>
          </w:p>
        </w:tc>
      </w:tr>
      <w:tr>
        <w:trPr>
          <w:trHeight w:val="230"/>
        </w:trPr>
        <w:tc>
          <w:tcPr>
            <w:tcW w:w="360" w:type="dxa"/>
            <w:vAlign w:val="bottom"/>
          </w:tcPr>
          <w:p>
            <w:pPr>
              <w:spacing w:after="0"/>
              <w:rPr>
                <w:sz w:val="19"/>
                <w:szCs w:val="19"/>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First American US Treasury Money Market Fund</w:t>
            </w:r>
          </w:p>
        </w:tc>
        <w:tc>
          <w:tcPr>
            <w:tcW w:w="3900" w:type="dxa"/>
            <w:vAlign w:val="bottom"/>
          </w:tcPr>
          <w:p>
            <w:pPr>
              <w:ind w:left="280"/>
              <w:spacing w:after="0"/>
              <w:rPr>
                <w:sz w:val="20"/>
                <w:szCs w:val="20"/>
                <w:color w:val="auto"/>
              </w:rPr>
            </w:pPr>
            <w:r>
              <w:rPr>
                <w:rFonts w:ascii="Arial" w:cs="Arial" w:eastAsia="Arial" w:hAnsi="Arial"/>
                <w:sz w:val="18"/>
                <w:szCs w:val="18"/>
                <w:color w:val="auto"/>
              </w:rPr>
              <w:t>Mutual Fund – 155,262 - shares</w:t>
            </w:r>
          </w:p>
        </w:tc>
      </w:tr>
      <w:tr>
        <w:trPr>
          <w:trHeight w:val="230"/>
        </w:trPr>
        <w:tc>
          <w:tcPr>
            <w:tcW w:w="36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Federated Hermes Government Obligations Fund</w:t>
            </w:r>
          </w:p>
        </w:tc>
        <w:tc>
          <w:tcPr>
            <w:tcW w:w="3900" w:type="dxa"/>
            <w:vAlign w:val="bottom"/>
          </w:tcPr>
          <w:p>
            <w:pPr>
              <w:ind w:left="280"/>
              <w:spacing w:after="0"/>
              <w:rPr>
                <w:sz w:val="20"/>
                <w:szCs w:val="20"/>
                <w:color w:val="auto"/>
              </w:rPr>
            </w:pPr>
            <w:r>
              <w:rPr>
                <w:rFonts w:ascii="Arial" w:cs="Arial" w:eastAsia="Arial" w:hAnsi="Arial"/>
                <w:sz w:val="18"/>
                <w:szCs w:val="18"/>
                <w:color w:val="auto"/>
              </w:rPr>
              <w:t>Mutual Fund – 4,988,294 - shares</w:t>
            </w:r>
          </w:p>
        </w:tc>
      </w:tr>
      <w:tr>
        <w:trPr>
          <w:trHeight w:val="243"/>
        </w:trPr>
        <w:tc>
          <w:tcPr>
            <w:tcW w:w="36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Vanguard Emerging Markets Stock Index Fund</w:t>
            </w:r>
          </w:p>
        </w:tc>
        <w:tc>
          <w:tcPr>
            <w:tcW w:w="3900" w:type="dxa"/>
            <w:vAlign w:val="bottom"/>
          </w:tcPr>
          <w:p>
            <w:pPr>
              <w:ind w:left="280"/>
              <w:spacing w:after="0"/>
              <w:rPr>
                <w:sz w:val="20"/>
                <w:szCs w:val="20"/>
                <w:color w:val="auto"/>
              </w:rPr>
            </w:pPr>
            <w:r>
              <w:rPr>
                <w:rFonts w:ascii="Arial" w:cs="Arial" w:eastAsia="Arial" w:hAnsi="Arial"/>
                <w:sz w:val="18"/>
                <w:szCs w:val="18"/>
                <w:color w:val="auto"/>
              </w:rPr>
              <w:t>Mutual Fund – 2,329 - shares</w:t>
            </w:r>
          </w:p>
        </w:tc>
      </w:tr>
      <w:tr>
        <w:trPr>
          <w:trHeight w:val="391"/>
        </w:trPr>
        <w:tc>
          <w:tcPr>
            <w:tcW w:w="360" w:type="dxa"/>
            <w:vAlign w:val="bottom"/>
          </w:tcPr>
          <w:p>
            <w:pPr>
              <w:spacing w:after="0"/>
              <w:rPr>
                <w:sz w:val="24"/>
                <w:szCs w:val="24"/>
                <w:color w:val="auto"/>
              </w:rPr>
            </w:pPr>
          </w:p>
        </w:tc>
        <w:tc>
          <w:tcPr>
            <w:tcW w:w="4900" w:type="dxa"/>
            <w:vAlign w:val="bottom"/>
          </w:tcPr>
          <w:p>
            <w:pPr>
              <w:ind w:left="160"/>
              <w:spacing w:after="0"/>
              <w:rPr>
                <w:sz w:val="20"/>
                <w:szCs w:val="20"/>
                <w:color w:val="auto"/>
              </w:rPr>
            </w:pPr>
            <w:r>
              <w:rPr>
                <w:rFonts w:ascii="Arial" w:cs="Arial" w:eastAsia="Arial" w:hAnsi="Arial"/>
                <w:sz w:val="18"/>
                <w:szCs w:val="18"/>
                <w:b w:val="1"/>
                <w:bCs w:val="1"/>
                <w:color w:val="auto"/>
              </w:rPr>
              <w:t>Other</w:t>
            </w:r>
          </w:p>
        </w:tc>
        <w:tc>
          <w:tcPr>
            <w:tcW w:w="39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Self-Directed Brokerage Accounts</w:t>
            </w:r>
          </w:p>
        </w:tc>
        <w:tc>
          <w:tcPr>
            <w:tcW w:w="390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Total investments at fair value</w:t>
            </w:r>
          </w:p>
        </w:tc>
        <w:tc>
          <w:tcPr>
            <w:tcW w:w="3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-5476875</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-5177155</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-4928235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-4628515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-4337050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-4037330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-3745865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-3445510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-3145790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-2853690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-2596515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-2305685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-2005330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-1705610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-1414145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-1113790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-814070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-565150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-265430</wp:posOffset>
            </wp:positionV>
            <wp:extent cx="71323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Note: Column (d), cost information, not required as accounts are participant 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Represents a party-in-interest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89"/>
        <w:spacing w:after="0"/>
        <w:rPr>
          <w:sz w:val="20"/>
          <w:szCs w:val="20"/>
          <w:color w:val="auto"/>
        </w:rPr>
      </w:pPr>
      <w:r>
        <w:rPr>
          <w:rFonts w:ascii="Arial" w:cs="Arial" w:eastAsia="Arial" w:hAnsi="Arial"/>
          <w:sz w:val="18"/>
          <w:szCs w:val="18"/>
          <w:color w:val="auto"/>
        </w:rPr>
        <w:t>(e)</w:t>
      </w:r>
    </w:p>
    <w:p>
      <w:pPr>
        <w:spacing w:after="0" w:line="383" w:lineRule="exact"/>
        <w:rPr>
          <w:sz w:val="20"/>
          <w:szCs w:val="20"/>
          <w:color w:val="auto"/>
        </w:rPr>
      </w:pPr>
    </w:p>
    <w:p>
      <w:pPr>
        <w:ind w:left="349"/>
        <w:spacing w:after="0"/>
        <w:rPr>
          <w:sz w:val="20"/>
          <w:szCs w:val="20"/>
          <w:color w:val="auto"/>
        </w:rPr>
      </w:pPr>
      <w:r>
        <w:rPr>
          <w:rFonts w:ascii="Arial" w:cs="Arial" w:eastAsia="Arial" w:hAnsi="Arial"/>
          <w:sz w:val="18"/>
          <w:szCs w:val="18"/>
          <w:b w:val="1"/>
          <w:bCs w:val="1"/>
          <w:color w:val="auto"/>
        </w:rPr>
        <w:t>Current Value</w:t>
      </w:r>
    </w:p>
    <w:p>
      <w:pPr>
        <w:spacing w:after="0" w:line="256" w:lineRule="exact"/>
        <w:rPr>
          <w:sz w:val="20"/>
          <w:szCs w:val="20"/>
          <w:color w:val="auto"/>
        </w:rPr>
      </w:pPr>
    </w:p>
    <w:p>
      <w:pPr>
        <w:ind w:left="929" w:hanging="929"/>
        <w:spacing w:after="0"/>
        <w:tabs>
          <w:tab w:leader="none" w:pos="929" w:val="left"/>
        </w:tabs>
        <w:numPr>
          <w:ilvl w:val="0"/>
          <w:numId w:val="13"/>
        </w:numPr>
        <w:rPr>
          <w:rFonts w:ascii="Arial" w:cs="Arial" w:eastAsia="Arial" w:hAnsi="Arial"/>
          <w:sz w:val="15"/>
          <w:szCs w:val="15"/>
          <w:color w:val="auto"/>
        </w:rPr>
      </w:pPr>
      <w:r>
        <w:rPr>
          <w:rFonts w:ascii="Arial" w:cs="Arial" w:eastAsia="Arial" w:hAnsi="Arial"/>
          <w:sz w:val="15"/>
          <w:szCs w:val="15"/>
          <w:color w:val="auto"/>
        </w:rPr>
        <w:t>32,779,273</w:t>
      </w:r>
    </w:p>
    <w:p>
      <w:pPr>
        <w:spacing w:after="0" w:line="70" w:lineRule="exact"/>
        <w:rPr>
          <w:rFonts w:ascii="Arial" w:cs="Arial" w:eastAsia="Arial" w:hAnsi="Arial"/>
          <w:sz w:val="15"/>
          <w:szCs w:val="15"/>
          <w:color w:val="auto"/>
        </w:rPr>
      </w:pPr>
    </w:p>
    <w:p>
      <w:pPr>
        <w:ind w:left="1009"/>
        <w:spacing w:after="0"/>
        <w:rPr>
          <w:rFonts w:ascii="Arial" w:cs="Arial" w:eastAsia="Arial" w:hAnsi="Arial"/>
          <w:sz w:val="15"/>
          <w:szCs w:val="15"/>
          <w:color w:val="auto"/>
        </w:rPr>
      </w:pPr>
      <w:r>
        <w:rPr>
          <w:rFonts w:ascii="Arial" w:cs="Arial" w:eastAsia="Arial" w:hAnsi="Arial"/>
          <w:sz w:val="16"/>
          <w:szCs w:val="16"/>
          <w:color w:val="auto"/>
        </w:rPr>
        <w:t>8,031,966</w:t>
      </w:r>
    </w:p>
    <w:p>
      <w:pPr>
        <w:spacing w:after="0" w:line="200" w:lineRule="exact"/>
        <w:rPr>
          <w:sz w:val="20"/>
          <w:szCs w:val="20"/>
          <w:color w:val="auto"/>
        </w:rPr>
      </w:pPr>
    </w:p>
    <w:p>
      <w:pPr>
        <w:spacing w:after="0" w:line="237" w:lineRule="exact"/>
        <w:rPr>
          <w:sz w:val="20"/>
          <w:szCs w:val="20"/>
          <w:color w:val="auto"/>
        </w:rPr>
      </w:pPr>
    </w:p>
    <w:p>
      <w:pPr>
        <w:ind w:left="1149"/>
        <w:spacing w:after="0"/>
        <w:rPr>
          <w:sz w:val="20"/>
          <w:szCs w:val="20"/>
          <w:color w:val="auto"/>
        </w:rPr>
      </w:pPr>
      <w:r>
        <w:rPr>
          <w:rFonts w:ascii="Arial" w:cs="Arial" w:eastAsia="Arial" w:hAnsi="Arial"/>
          <w:sz w:val="16"/>
          <w:szCs w:val="16"/>
          <w:color w:val="auto"/>
        </w:rPr>
        <w:t>751,762</w:t>
      </w:r>
    </w:p>
    <w:p>
      <w:pPr>
        <w:spacing w:after="0" w:line="59" w:lineRule="exact"/>
        <w:rPr>
          <w:sz w:val="20"/>
          <w:szCs w:val="20"/>
          <w:color w:val="auto"/>
        </w:rPr>
      </w:pPr>
    </w:p>
    <w:p>
      <w:pPr>
        <w:ind w:left="1009"/>
        <w:spacing w:after="0"/>
        <w:rPr>
          <w:sz w:val="20"/>
          <w:szCs w:val="20"/>
          <w:color w:val="auto"/>
        </w:rPr>
      </w:pPr>
      <w:r>
        <w:rPr>
          <w:rFonts w:ascii="Arial" w:cs="Arial" w:eastAsia="Arial" w:hAnsi="Arial"/>
          <w:sz w:val="16"/>
          <w:szCs w:val="16"/>
          <w:color w:val="auto"/>
        </w:rPr>
        <w:t>3,892,999</w:t>
      </w:r>
    </w:p>
    <w:p>
      <w:pPr>
        <w:spacing w:after="0" w:line="46" w:lineRule="exact"/>
        <w:rPr>
          <w:sz w:val="20"/>
          <w:szCs w:val="20"/>
          <w:color w:val="auto"/>
        </w:rPr>
      </w:pPr>
    </w:p>
    <w:p>
      <w:pPr>
        <w:ind w:left="1149"/>
        <w:spacing w:after="0"/>
        <w:rPr>
          <w:sz w:val="20"/>
          <w:szCs w:val="20"/>
          <w:color w:val="auto"/>
        </w:rPr>
      </w:pPr>
      <w:r>
        <w:rPr>
          <w:rFonts w:ascii="Arial" w:cs="Arial" w:eastAsia="Arial" w:hAnsi="Arial"/>
          <w:sz w:val="16"/>
          <w:szCs w:val="16"/>
          <w:color w:val="auto"/>
        </w:rPr>
        <w:t>654,481</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22,181,804</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8,594,689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75,338,175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21,609,262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108,610,020</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36,556,765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57,787,551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46,683,398</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22,824,163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1,026,642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98,927,161</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158,799,106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64,814,665</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28,170,508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54,167,538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18,026,049</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19,587,086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50,938,065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25,329,416</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20,484,383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155,262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4,988,294</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57,416</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13,356,912</w:t>
      </w:r>
    </w:p>
    <w:p>
      <w:pPr>
        <w:spacing w:after="0" w:line="198" w:lineRule="exact"/>
        <w:rPr>
          <w:sz w:val="20"/>
          <w:szCs w:val="20"/>
          <w:color w:val="auto"/>
        </w:rPr>
      </w:pPr>
    </w:p>
    <w:p>
      <w:pPr>
        <w:ind w:left="709" w:hanging="709"/>
        <w:spacing w:after="0"/>
        <w:tabs>
          <w:tab w:leader="none" w:pos="709" w:val="left"/>
        </w:tabs>
        <w:numPr>
          <w:ilvl w:val="0"/>
          <w:numId w:val="14"/>
        </w:numPr>
        <w:rPr>
          <w:rFonts w:ascii="Arial" w:cs="Arial" w:eastAsia="Arial" w:hAnsi="Arial"/>
          <w:sz w:val="15"/>
          <w:szCs w:val="15"/>
          <w:color w:val="auto"/>
        </w:rPr>
      </w:pPr>
      <w:r>
        <w:rPr>
          <w:rFonts w:ascii="Arial" w:cs="Arial" w:eastAsia="Arial" w:hAnsi="Arial"/>
          <w:sz w:val="15"/>
          <w:szCs w:val="15"/>
          <w:color w:val="auto"/>
        </w:rPr>
        <w:t>1,005,124,811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45085</wp:posOffset>
            </wp:positionV>
            <wp:extent cx="11576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6" w:lineRule="exact"/>
        <w:rPr>
          <w:sz w:val="20"/>
          <w:szCs w:val="20"/>
          <w:color w:val="auto"/>
        </w:rPr>
      </w:pPr>
    </w:p>
    <w:p>
      <w:pPr>
        <w:sectPr>
          <w:pgSz w:w="11900" w:h="16838" w:orient="portrait"/>
          <w:cols w:equalWidth="0" w:num="2">
            <w:col w:w="9160" w:space="251"/>
            <w:col w:w="1729"/>
          </w:cols>
          <w:pgMar w:left="340" w:top="1026" w:right="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40"/>
          </w:cols>
          <w:pgMar w:left="340" w:top="1026" w:right="41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2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Bath &amp; Body Works, Inc. 401(k) Savings and Retirement Plan</w:t>
      </w:r>
    </w:p>
    <w:p>
      <w:pPr>
        <w:spacing w:after="0" w:line="283" w:lineRule="exact"/>
        <w:rPr>
          <w:sz w:val="20"/>
          <w:szCs w:val="20"/>
          <w:color w:val="auto"/>
        </w:rPr>
      </w:pPr>
    </w:p>
    <w:p>
      <w:pPr>
        <w:ind w:left="20"/>
        <w:spacing w:after="0"/>
        <w:tabs>
          <w:tab w:leader="none" w:pos="4520" w:val="left"/>
          <w:tab w:leader="none" w:pos="5080" w:val="left"/>
        </w:tabs>
        <w:rPr>
          <w:sz w:val="20"/>
          <w:szCs w:val="20"/>
          <w:color w:val="auto"/>
        </w:rPr>
      </w:pPr>
      <w:r>
        <w:rPr>
          <w:rFonts w:ascii="Arial" w:cs="Arial" w:eastAsia="Arial" w:hAnsi="Arial"/>
          <w:sz w:val="20"/>
          <w:szCs w:val="20"/>
          <w:color w:val="auto"/>
        </w:rPr>
        <w:t>Date: June 23,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DAVID ANDREW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19050</wp:posOffset>
            </wp:positionV>
            <wp:extent cx="39090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David Andrew Meeting</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Chair, Retirement Plan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886"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20"/>
          <w:szCs w:val="20"/>
          <w:b w:val="1"/>
          <w:bCs w:val="1"/>
          <w:color w:val="auto"/>
        </w:rPr>
        <w:t>Exhibit 23.1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consent to the incorporation by reference in the Registration Statement (Form S-8 No. 333-262626) pertaining to the Bath &amp; Body Works, Inc. 401(k) Savings and Retirement Plan of our report dated June 23, 2023, with respect to the financial statements and schedules of the Bath &amp; Body Works, Inc. 401(k) Savings and Retirement Plan included in this Annual Report (Form 11-K) for the year ended December 31, 2022.</w:t>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Ernst &amp; Young LLP</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June 23, 2023</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1"/>
    </w:lvl>
  </w:abstractNum>
  <w:abstractNum w:abstractNumId="3">
    <w:nsid w:val="5BD062C2"/>
    <w:multiLevelType w:val="hybridMultilevel"/>
    <w:lvl w:ilvl="0">
      <w:lvlJc w:val="left"/>
      <w:lvlText w:val="%1."/>
      <w:numFmt w:val="upperLetter"/>
      <w:start w:val="2"/>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2"/>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2023-06-23T14:13:34Z</dcterms:created>
  <dcterms:modified xsi:type="dcterms:W3CDTF">2023-06-23T14:13:34Z</dcterms:modified>
</cp:coreProperties>
</file>