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 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10-K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For the fiscal year ended January 31, 2026 </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 [NO FEE REQUIRED]</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to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1-8344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BATH &amp; BODY WORKS,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w:t>
      </w:r>
    </w:p>
    <w:tbl>
      <w:tblPr>
        <w:tblW w:w="5993" w:type="dxa"/>
        <w:jc w:val="center"/>
        <w:tblInd w:w="0" w:type="dxa"/>
        <w:tblLayout w:type="fixed"/>
        <w:tblCellMar>
          <w:top w:w="28" w:type="dxa"/>
          <w:left w:w="28" w:type="dxa"/>
          <w:bottom w:w="28" w:type="dxa"/>
          <w:right w:w="28" w:type="dxa"/>
        </w:tblCellMar>
      </w:tblPr>
      <w:tblGrid>
        <w:gridCol w:w="540"/>
        <w:gridCol w:w="475"/>
        <w:gridCol w:w="475"/>
        <w:gridCol w:w="475"/>
        <w:gridCol w:w="475"/>
        <w:gridCol w:w="482"/>
        <w:gridCol w:w="109"/>
        <w:gridCol w:w="109"/>
        <w:gridCol w:w="109"/>
        <w:gridCol w:w="799"/>
        <w:gridCol w:w="799"/>
        <w:gridCol w:w="1146"/>
      </w:tblGrid>
      <w:tr>
        <w:trPr/>
        <w:tc>
          <w:tcPr>
            <w:tcW w:w="5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31-1029810</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(I.R.S. Employer Identification No.)</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Limited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Columbus,</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43230</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(Zip Code)</w:t>
            </w:r>
          </w:p>
        </w:tc>
      </w:tr>
    </w:tbl>
    <w:p>
      <w:pPr>
        <w:pStyle w:val="TextBody"/>
        <w:bidi w:val="0"/>
        <w:spacing w:lineRule="auto" w:line="288" w:before="120" w:after="283"/>
        <w:jc w:val="center"/>
        <w:rPr>
          <w:rFonts w:ascii="Times New Roman;serif" w:hAnsi="Times New Roman;serif"/>
          <w:b/>
          <w:color w:val="000000"/>
          <w:sz w:val="17"/>
        </w:rPr>
      </w:pPr>
      <w:r>
        <w:rPr>
          <w:rFonts w:ascii="Times New Roman;serif" w:hAnsi="Times New Roman;serif"/>
          <w:b/>
          <w:color w:val="000000"/>
          <w:sz w:val="17"/>
        </w:rPr>
        <w:t xml:space="preserve">Registrant’s telephone number, including area code (614) 415-7000 </w:t>
      </w:r>
    </w:p>
    <w:p>
      <w:pPr>
        <w:pStyle w:val="TextBody"/>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______________________________________________________</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Securities registered pursuant to Section 12(b) of the Act:</w:t>
      </w:r>
    </w:p>
    <w:tbl>
      <w:tblPr>
        <w:tblW w:w="7183" w:type="dxa"/>
        <w:jc w:val="center"/>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Common Stock, $0.50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BBWI</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The New York Stock Exchange</w:t>
            </w:r>
          </w:p>
        </w:tc>
      </w:tr>
    </w:tbl>
    <w:p>
      <w:pPr>
        <w:pStyle w:val="TextBody"/>
        <w:bidi w:val="0"/>
        <w:spacing w:lineRule="auto" w:line="288" w:before="40" w:after="283"/>
        <w:jc w:val="center"/>
        <w:rPr>
          <w:rFonts w:ascii="Times New Roman;serif" w:hAnsi="Times New Roman;serif"/>
          <w:b/>
          <w:color w:val="000000"/>
          <w:sz w:val="17"/>
        </w:rPr>
      </w:pPr>
      <w:r>
        <w:rPr>
          <w:rFonts w:ascii="Times New Roman;serif" w:hAnsi="Times New Roman;serif"/>
          <w:b/>
          <w:color w:val="000000"/>
          <w:sz w:val="17"/>
        </w:rPr>
        <w:t>Securities registered pursuant to Section 12(g) of the Act: None.</w:t>
      </w:r>
    </w:p>
    <w:p>
      <w:pPr>
        <w:pStyle w:val="TextBody"/>
        <w:bidi w:val="0"/>
        <w:spacing w:lineRule="auto" w:line="288" w:before="40" w:after="283"/>
        <w:jc w:val="left"/>
        <w:rPr/>
      </w:pPr>
      <w:r>
        <w:rPr>
          <w:rFonts w:ascii="Times New Roman;serif" w:hAnsi="Times New Roman;serif"/>
          <w:b w:val="false"/>
          <w:color w:val="000000"/>
          <w:sz w:val="17"/>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40" w:after="283"/>
        <w:jc w:val="left"/>
        <w:rPr/>
      </w:pPr>
      <w:r>
        <w:rPr>
          <w:rFonts w:ascii="Times New Roman;serif" w:hAnsi="Times New Roman;serif"/>
          <w:b w:val="false"/>
          <w:color w:val="000000"/>
          <w:sz w:val="17"/>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40" w:after="283"/>
        <w:jc w:val="left"/>
        <w:rPr/>
      </w:pPr>
      <w:r>
        <w:rPr>
          <w:rFonts w:ascii="Times New Roman;serif" w:hAnsi="Times New Roman;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40" w:after="283"/>
        <w:jc w:val="left"/>
        <w:rPr/>
      </w:pPr>
      <w:r>
        <w:rPr>
          <w:rFonts w:ascii="Times New Roman;serif" w:hAnsi="Times New Roman;serif"/>
          <w:b w:val="false"/>
          <w:color w:val="000000"/>
          <w:sz w:val="1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4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40" w:after="283"/>
        <w:jc w:val="left"/>
        <w:rPr/>
      </w:pPr>
      <w:r>
        <w:rPr>
          <w:rFonts w:ascii="Times New Roman;serif" w:hAnsi="Times New Roman;serif"/>
          <w:b w:val="false"/>
          <w:color w:val="000000"/>
          <w:sz w:val="17"/>
        </w:rPr>
        <w:t xml:space="preserve">Large accelerated filer </w:t>
      </w:r>
      <w:r>
        <w:rPr>
          <w:color w:val="000000"/>
        </w:rPr>
        <w:t>☒    </w:t>
      </w:r>
      <w:r>
        <w:rPr>
          <w:rFonts w:ascii="Times New Roman;serif" w:hAnsi="Times New Roman;serif"/>
          <w:b w:val="false"/>
          <w:color w:val="000000"/>
          <w:sz w:val="17"/>
        </w:rPr>
        <w:t xml:space="preserve">Accelerated filer </w:t>
      </w:r>
      <w:r>
        <w:rPr>
          <w:color w:val="000000"/>
        </w:rPr>
        <w:t>☐    </w:t>
      </w:r>
      <w:r>
        <w:rPr>
          <w:rFonts w:ascii="Times New Roman;serif" w:hAnsi="Times New Roman;serif"/>
          <w:b w:val="false"/>
          <w:color w:val="000000"/>
          <w:sz w:val="17"/>
        </w:rPr>
        <w:t xml:space="preserve">Non-accelerated filer </w:t>
      </w:r>
      <w:r>
        <w:rPr>
          <w:color w:val="000000"/>
        </w:rPr>
        <w:t xml:space="preserve">☐ </w:t>
      </w:r>
      <w:r>
        <w:rPr>
          <w:rFonts w:ascii="Times New Roman;serif" w:hAnsi="Times New Roman;serif"/>
          <w:b w:val="false"/>
          <w:color w:val="000000"/>
          <w:sz w:val="17"/>
        </w:rPr>
        <w:t xml:space="preserve">Smaller reporting company </w:t>
      </w:r>
      <w:r>
        <w:rPr>
          <w:color w:val="000000"/>
        </w:rPr>
        <w:t xml:space="preserve">☐ </w:t>
      </w:r>
      <w:r>
        <w:rPr>
          <w:rFonts w:ascii="Times New Roman;serif" w:hAnsi="Times New Roman;serif"/>
          <w:b w:val="false"/>
          <w:color w:val="000000"/>
          <w:sz w:val="17"/>
        </w:rPr>
        <w:t xml:space="preserve">Emerging growth company </w:t>
      </w:r>
      <w:r>
        <w:rPr>
          <w:color w:val="000000"/>
        </w:rPr>
        <w:t xml:space="preserve">☐ </w:t>
      </w:r>
    </w:p>
    <w:p>
      <w:pPr>
        <w:pStyle w:val="TextBody"/>
        <w:bidi w:val="0"/>
        <w:spacing w:lineRule="auto" w:line="288" w:before="40" w:after="283"/>
        <w:jc w:val="left"/>
        <w:rPr/>
      </w:pPr>
      <w:r>
        <w:rPr>
          <w:rFonts w:ascii="Times New Roman;serif" w:hAnsi="Times New Roman;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jc w:val="left"/>
        <w:rPr/>
      </w:pPr>
      <w:r>
        <w:rPr>
          <w:rFonts w:ascii="Times New Roman;serif" w:hAnsi="Times New Roman;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lineRule="auto" w:line="288" w:before="40" w:after="283"/>
        <w:jc w:val="left"/>
        <w:rPr>
          <w:rFonts w:ascii="Times New Roman;serif" w:hAnsi="Times New Roman;serif"/>
          <w:b w:val="false"/>
          <w:color w:val="000000"/>
          <w:sz w:val="17"/>
        </w:rPr>
      </w:pPr>
      <w:r>
        <w:rPr>
          <w:rFonts w:ascii="Times New Roman;serif" w:hAnsi="Times New Roman;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4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40" w:after="283"/>
        <w:jc w:val="left"/>
        <w:rPr/>
      </w:pPr>
      <w:r>
        <w:rPr>
          <w:rFonts w:ascii="Times New Roman;serif" w:hAnsi="Times New Roman;serif"/>
          <w:b w:val="false"/>
          <w:color w:val="000000"/>
          <w:sz w:val="17"/>
        </w:rPr>
        <w:t>Indicate by check mark whether the registrant is a shell company (as defined in Rule 12b-2 of the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40" w:after="283"/>
        <w:jc w:val="left"/>
        <w:rPr>
          <w:rFonts w:ascii="Times New Roman;serif" w:hAnsi="Times New Roman;serif"/>
          <w:b w:val="false"/>
          <w:color w:val="000000"/>
          <w:sz w:val="17"/>
        </w:rPr>
      </w:pPr>
      <w:r>
        <w:rPr>
          <w:rFonts w:ascii="Times New Roman;serif" w:hAnsi="Times New Roman;serif"/>
          <w:b w:val="false"/>
          <w:color w:val="000000"/>
          <w:sz w:val="17"/>
        </w:rPr>
        <w:t>The aggregate market value of the registrant’s Common Stock held by non-affiliates of the registrant as of the last business day of the registrant’s most recently completed second fiscal quarter was approximately $5.8 billion.</w:t>
      </w:r>
    </w:p>
    <w:p>
      <w:pPr>
        <w:pStyle w:val="TextBody"/>
        <w:bidi w:val="0"/>
        <w:spacing w:lineRule="auto" w:line="288" w:before="40" w:after="283"/>
        <w:jc w:val="left"/>
        <w:rPr>
          <w:rFonts w:ascii="Times New Roman;serif" w:hAnsi="Times New Roman;serif"/>
          <w:b w:val="false"/>
          <w:color w:val="000000"/>
          <w:sz w:val="17"/>
        </w:rPr>
      </w:pPr>
      <w:r>
        <w:rPr>
          <w:rFonts w:ascii="Times New Roman;serif" w:hAnsi="Times New Roman;serif"/>
          <w:b w:val="false"/>
          <w:color w:val="000000"/>
          <w:sz w:val="17"/>
        </w:rPr>
        <w:t>Number of shares outstanding of the registrant’s Common Stock as of March 6, 2026: 201,134,265.</w:t>
      </w:r>
    </w:p>
    <w:p>
      <w:pPr>
        <w:pStyle w:val="TextBody"/>
        <w:bidi w:val="0"/>
        <w:spacing w:lineRule="auto" w:line="288" w:before="60" w:after="283"/>
        <w:jc w:val="center"/>
        <w:rPr>
          <w:rFonts w:ascii="Times New Roman;serif" w:hAnsi="Times New Roman;serif"/>
          <w:b/>
          <w:color w:val="000000"/>
          <w:sz w:val="17"/>
        </w:rPr>
      </w:pPr>
      <w:r>
        <w:rPr>
          <w:rFonts w:ascii="Times New Roman;serif" w:hAnsi="Times New Roman;serif"/>
          <w:b/>
          <w:color w:val="000000"/>
          <w:sz w:val="17"/>
        </w:rPr>
        <w:t>DOCUMENTS INCORPORATED BY REFERENCE</w:t>
      </w:r>
    </w:p>
    <w:p>
      <w:pPr>
        <w:pStyle w:val="TextBody"/>
        <w:bidi w:val="0"/>
        <w:spacing w:lineRule="auto" w:line="288" w:before="60" w:after="283"/>
        <w:jc w:val="left"/>
        <w:rPr>
          <w:rFonts w:ascii="Times New Roman;serif" w:hAnsi="Times New Roman;serif"/>
          <w:b/>
          <w:color w:val="000000"/>
          <w:sz w:val="17"/>
        </w:rPr>
      </w:pPr>
      <w:r>
        <w:rPr>
          <w:rFonts w:ascii="Times New Roman;serif" w:hAnsi="Times New Roman;serif"/>
          <w:b/>
          <w:color w:val="000000"/>
          <w:sz w:val="17"/>
        </w:rPr>
        <w:t>Portions of the Registrant’s Proxy Statement for the Registrant’s 2026 Annual Meeting of Stockholders are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
        <w:gridCol w:w="258"/>
        <w:gridCol w:w="261"/>
        <w:gridCol w:w="2878"/>
        <w:gridCol w:w="2847"/>
        <w:gridCol w:w="2857"/>
        <w:gridCol w:w="237"/>
        <w:gridCol w:w="237"/>
        <w:gridCol w:w="338"/>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3">
              <w:r>
                <w:rPr>
                  <w:rStyle w:val="InternetLink"/>
                  <w:rFonts w:ascii="Times New Roman;serif" w:hAnsi="Times New Roman;serif"/>
                  <w:b w:val="false"/>
                  <w:color w:val="0000FF"/>
                  <w:sz w:val="20"/>
                  <w:u w:val="single"/>
                </w:rPr>
                <w:t>Business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3">
              <w:r>
                <w:rPr>
                  <w:rStyle w:val="InternetLink"/>
                  <w:rFonts w:ascii="Times New Roman;serif" w:hAnsi="Times New Roman;serif"/>
                  <w:b w:val="false"/>
                  <w:strike w:val="false"/>
                  <w:dstrike w:val="false"/>
                  <w:color w:val="000000"/>
                  <w:sz w:val="20"/>
                  <w:u w:val="none"/>
                  <w:effect w:val="non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6">
              <w:r>
                <w:rPr>
                  <w:rStyle w:val="InternetLink"/>
                  <w:rFonts w:ascii="Times New Roman;serif" w:hAnsi="Times New Roman;serif"/>
                  <w:b w:val="false"/>
                  <w:color w:val="0000FF"/>
                  <w:sz w:val="20"/>
                  <w:u w:val="single"/>
                </w:rPr>
                <w:t>Risk Factors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6">
              <w:r>
                <w:rPr>
                  <w:rStyle w:val="InternetLink"/>
                  <w:rFonts w:ascii="Times New Roman;serif" w:hAnsi="Times New Roman;serif"/>
                  <w:b w:val="false"/>
                  <w:strike w:val="false"/>
                  <w:dstrike w:val="false"/>
                  <w:color w:val="000000"/>
                  <w:sz w:val="20"/>
                  <w:u w:val="none"/>
                  <w:effect w:val="none"/>
                </w:rPr>
                <w:t>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9">
              <w:r>
                <w:rPr>
                  <w:rStyle w:val="InternetLink"/>
                  <w:rFonts w:ascii="Times New Roman;serif" w:hAnsi="Times New Roman;serif"/>
                  <w:b w:val="false"/>
                  <w:color w:val="0000FF"/>
                  <w:sz w:val="20"/>
                  <w:u w:val="single"/>
                </w:rPr>
                <w:t>Unresolved Staff Comments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9">
              <w:r>
                <w:rPr>
                  <w:rStyle w:val="InternetLink"/>
                  <w:rFonts w:ascii="Times New Roman;serif" w:hAnsi="Times New Roman;serif"/>
                  <w:b w:val="false"/>
                  <w:strike w:val="false"/>
                  <w:dstrike w:val="false"/>
                  <w:color w:val="000000"/>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22">
              <w:r>
                <w:rPr>
                  <w:rStyle w:val="InternetLink"/>
                  <w:rFonts w:ascii="Times New Roman;serif" w:hAnsi="Times New Roman;serif"/>
                  <w:b w:val="false"/>
                  <w:color w:val="0000FF"/>
                  <w:sz w:val="20"/>
                  <w:u w:val="single"/>
                </w:rPr>
                <w:t>Cybersecurity</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22">
              <w:r>
                <w:rPr>
                  <w:rStyle w:val="InternetLink"/>
                  <w:rFonts w:ascii="Times New Roman;serif" w:hAnsi="Times New Roman;serif"/>
                  <w:b w:val="false"/>
                  <w:strike w:val="false"/>
                  <w:dstrike w:val="false"/>
                  <w:color w:val="000000"/>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25">
              <w:r>
                <w:rPr>
                  <w:rStyle w:val="InternetLink"/>
                  <w:rFonts w:ascii="Times New Roman;serif" w:hAnsi="Times New Roman;serif"/>
                  <w:b w:val="false"/>
                  <w:color w:val="0000FF"/>
                  <w:sz w:val="20"/>
                  <w:u w:val="single"/>
                </w:rPr>
                <w:t>Properties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25">
              <w:r>
                <w:rPr>
                  <w:rStyle w:val="InternetLink"/>
                  <w:rFonts w:ascii="Times New Roman;serif" w:hAnsi="Times New Roman;serif"/>
                  <w:b w:val="false"/>
                  <w:strike w:val="false"/>
                  <w:dstrike w:val="false"/>
                  <w:color w:val="000000"/>
                  <w:sz w:val="20"/>
                  <w:u w:val="none"/>
                  <w:effect w:val="none"/>
                </w:rPr>
                <w:t>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28">
              <w:r>
                <w:rPr>
                  <w:rStyle w:val="InternetLink"/>
                  <w:rFonts w:ascii="Times New Roman;serif" w:hAnsi="Times New Roman;serif"/>
                  <w:b w:val="false"/>
                  <w:color w:val="0000FF"/>
                  <w:sz w:val="20"/>
                  <w:u w:val="single"/>
                </w:rPr>
                <w:t>Legal Proceedings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28">
              <w:r>
                <w:rPr>
                  <w:rStyle w:val="InternetLink"/>
                  <w:rFonts w:ascii="Times New Roman;serif" w:hAnsi="Times New Roman;serif"/>
                  <w:b w:val="false"/>
                  <w:strike w:val="false"/>
                  <w:dstrike w:val="false"/>
                  <w:color w:val="000000"/>
                  <w:sz w:val="20"/>
                  <w:u w:val="none"/>
                  <w:effect w:val="none"/>
                </w:rPr>
                <w:t>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31">
              <w:r>
                <w:rPr>
                  <w:rStyle w:val="InternetLink"/>
                  <w:rFonts w:ascii="Times New Roman;serif" w:hAnsi="Times New Roman;serif"/>
                  <w:b w:val="false"/>
                  <w:color w:val="0000FF"/>
                  <w:sz w:val="20"/>
                  <w:u w:val="single"/>
                </w:rPr>
                <w:t>Mine Safety Disclosures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31">
              <w:r>
                <w:rPr>
                  <w:rStyle w:val="InternetLink"/>
                  <w:rFonts w:ascii="Times New Roman;serif" w:hAnsi="Times New Roman;serif"/>
                  <w:b w:val="false"/>
                  <w:strike w:val="false"/>
                  <w:dstrike w:val="false"/>
                  <w:color w:val="000000"/>
                  <w:sz w:val="20"/>
                  <w:u w:val="none"/>
                  <w:effect w:val="none"/>
                </w:rPr>
                <w:t>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37">
              <w:r>
                <w:rPr>
                  <w:rStyle w:val="InternetLink"/>
                  <w:rFonts w:ascii="Times New Roman;serif" w:hAnsi="Times New Roman;serif"/>
                  <w:b w:val="false"/>
                  <w:color w:val="0000FF"/>
                  <w:sz w:val="20"/>
                  <w:u w:val="single"/>
                </w:rPr>
                <w:t>Market for the Registrant’s Common Equity, Related Stockholder Matters and Issuer Purchases of Equity Securities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37">
              <w:r>
                <w:rPr>
                  <w:rStyle w:val="InternetLink"/>
                  <w:rFonts w:ascii="Times New Roman;serif" w:hAnsi="Times New Roman;serif"/>
                  <w:b w:val="false"/>
                  <w:strike w:val="false"/>
                  <w:dstrike w:val="false"/>
                  <w:color w:val="000000"/>
                  <w:sz w:val="20"/>
                  <w:u w:val="none"/>
                  <w:effect w:val="none"/>
                </w:rPr>
                <w:t>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40">
              <w:r>
                <w:rPr>
                  <w:rStyle w:val="InternetLink"/>
                  <w:rFonts w:ascii="Times New Roman;serif" w:hAnsi="Times New Roman;serif"/>
                  <w:b w:val="false"/>
                  <w:color w:val="0000FF"/>
                  <w:sz w:val="20"/>
                  <w:u w:val="single"/>
                </w:rPr>
                <w:t>[Reserved]</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40">
              <w:r>
                <w:rPr>
                  <w:rStyle w:val="InternetLink"/>
                  <w:rFonts w:ascii="Times New Roman;serif" w:hAnsi="Times New Roman;serif"/>
                  <w:b w:val="false"/>
                  <w:strike w:val="false"/>
                  <w:dstrike w:val="false"/>
                  <w:color w:val="000000"/>
                  <w:sz w:val="20"/>
                  <w:u w:val="none"/>
                  <w:effect w:val="none"/>
                </w:rPr>
                <w:t>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43">
              <w:r>
                <w:rPr>
                  <w:rStyle w:val="InternetLink"/>
                  <w:rFonts w:ascii="Times New Roman;serif" w:hAnsi="Times New Roman;serif"/>
                  <w:b w:val="false"/>
                  <w:strike w:val="false"/>
                  <w:dstrike w:val="false"/>
                  <w:color w:val="000000"/>
                  <w:sz w:val="20"/>
                  <w:u w:val="none"/>
                  <w:effect w:val="none"/>
                </w:rPr>
                <w:t>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52">
              <w:r>
                <w:rPr>
                  <w:rStyle w:val="InternetLink"/>
                  <w:rFonts w:ascii="Times New Roman;serif" w:hAnsi="Times New Roman;serif"/>
                  <w:b w:val="false"/>
                  <w:color w:val="0000FF"/>
                  <w:sz w:val="20"/>
                  <w:u w:val="single"/>
                </w:rPr>
                <w:t>Quantitative and Qualitative Disclosures About Market Risk</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52">
              <w:r>
                <w:rPr>
                  <w:rStyle w:val="InternetLink"/>
                  <w:rFonts w:ascii="Times New Roman;serif" w:hAnsi="Times New Roman;serif"/>
                  <w:b w:val="false"/>
                  <w:strike w:val="false"/>
                  <w:dstrike w:val="false"/>
                  <w:color w:val="000000"/>
                  <w:sz w:val="20"/>
                  <w:u w:val="none"/>
                  <w:effect w:val="non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55">
              <w:r>
                <w:rPr>
                  <w:rStyle w:val="InternetLink"/>
                  <w:rFonts w:ascii="Times New Roman;serif" w:hAnsi="Times New Roman;serif"/>
                  <w:b w:val="false"/>
                  <w:color w:val="0000FF"/>
                  <w:sz w:val="20"/>
                  <w:u w:val="single"/>
                </w:rPr>
                <w:t>Financial Statements and Supplementary Data</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55">
              <w:r>
                <w:rPr>
                  <w:rStyle w:val="InternetLink"/>
                  <w:rFonts w:ascii="Times New Roman;serif" w:hAnsi="Times New Roman;serif"/>
                  <w:b w:val="false"/>
                  <w:strike w:val="false"/>
                  <w:dstrike w:val="false"/>
                  <w:color w:val="000000"/>
                  <w:sz w:val="20"/>
                  <w:u w:val="none"/>
                  <w:effect w:val="none"/>
                </w:rPr>
                <w:t>40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3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33">
              <w:r>
                <w:rPr>
                  <w:rStyle w:val="InternetLink"/>
                  <w:rFonts w:ascii="Times New Roman;serif" w:hAnsi="Times New Roman;serif"/>
                  <w:b w:val="false"/>
                  <w:strike w:val="false"/>
                  <w:dstrike w:val="false"/>
                  <w:color w:val="000000"/>
                  <w:sz w:val="20"/>
                  <w:u w:val="none"/>
                  <w:effect w:val="non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36">
              <w:r>
                <w:rPr>
                  <w:rStyle w:val="InternetLink"/>
                  <w:rFonts w:ascii="Times New Roman;serif" w:hAnsi="Times New Roman;serif"/>
                  <w:b w:val="false"/>
                  <w:color w:val="0000FF"/>
                  <w:sz w:val="20"/>
                  <w:u w:val="single"/>
                </w:rPr>
                <w:t>Controls and Procedures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36">
              <w:r>
                <w:rPr>
                  <w:rStyle w:val="InternetLink"/>
                  <w:rFonts w:ascii="Times New Roman;serif" w:hAnsi="Times New Roman;serif"/>
                  <w:b w:val="false"/>
                  <w:strike w:val="false"/>
                  <w:dstrike w:val="false"/>
                  <w:color w:val="000000"/>
                  <w:sz w:val="20"/>
                  <w:u w:val="none"/>
                  <w:effect w:val="non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39">
              <w:r>
                <w:rPr>
                  <w:rStyle w:val="InternetLink"/>
                  <w:rFonts w:ascii="Times New Roman;serif" w:hAnsi="Times New Roman;serif"/>
                  <w:b w:val="false"/>
                  <w:color w:val="0000FF"/>
                  <w:sz w:val="20"/>
                  <w:u w:val="single"/>
                </w:rPr>
                <w:t>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39">
              <w:r>
                <w:rPr>
                  <w:rStyle w:val="InternetLink"/>
                  <w:rFonts w:ascii="Times New Roman;serif" w:hAnsi="Times New Roman;serif"/>
                  <w:b w:val="false"/>
                  <w:strike w:val="false"/>
                  <w:dstrike w:val="false"/>
                  <w:color w:val="000000"/>
                  <w:sz w:val="20"/>
                  <w:u w:val="none"/>
                  <w:effect w:val="non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42">
              <w:r>
                <w:rPr>
                  <w:rStyle w:val="InternetLink"/>
                  <w:rFonts w:ascii="Times New Roman;serif" w:hAnsi="Times New Roman;serif"/>
                  <w:b w:val="false"/>
                  <w:color w:val="0000FF"/>
                  <w:sz w:val="20"/>
                  <w:u w:val="single"/>
                </w:rPr>
                <w:t>Disclosure Regarding Foreign Jurisdictions That Prevent Inspections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42">
              <w:r>
                <w:rPr>
                  <w:rStyle w:val="InternetLink"/>
                  <w:rFonts w:ascii="Times New Roman;serif" w:hAnsi="Times New Roman;serif"/>
                  <w:b w:val="false"/>
                  <w:strike w:val="false"/>
                  <w:dstrike w:val="false"/>
                  <w:color w:val="000000"/>
                  <w:sz w:val="20"/>
                  <w:u w:val="none"/>
                  <w:effect w:val="none"/>
                </w:rPr>
                <w:t>66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48">
              <w:r>
                <w:rPr>
                  <w:rStyle w:val="InternetLink"/>
                  <w:rFonts w:ascii="Times New Roman;serif" w:hAnsi="Times New Roman;serif"/>
                  <w:b w:val="false"/>
                  <w:color w:val="0000FF"/>
                  <w:sz w:val="20"/>
                  <w:u w:val="single"/>
                </w:rPr>
                <w:t>Directors, Executive Officers and Corporate Governance</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48">
              <w:r>
                <w:rPr>
                  <w:rStyle w:val="InternetLink"/>
                  <w:rFonts w:ascii="Times New Roman;serif" w:hAnsi="Times New Roman;serif"/>
                  <w:b w:val="false"/>
                  <w:strike w:val="false"/>
                  <w:dstrike w:val="false"/>
                  <w:color w:val="000000"/>
                  <w:sz w:val="20"/>
                  <w:u w:val="none"/>
                  <w:effect w:val="non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51">
              <w:r>
                <w:rPr>
                  <w:rStyle w:val="InternetLink"/>
                  <w:rFonts w:ascii="Times New Roman;serif" w:hAnsi="Times New Roman;serif"/>
                  <w:b w:val="false"/>
                  <w:color w:val="0000FF"/>
                  <w:sz w:val="20"/>
                  <w:u w:val="single"/>
                </w:rPr>
                <w:t>Executive Compensation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51">
              <w:r>
                <w:rPr>
                  <w:rStyle w:val="InternetLink"/>
                  <w:rFonts w:ascii="Times New Roman;serif" w:hAnsi="Times New Roman;serif"/>
                  <w:b w:val="false"/>
                  <w:strike w:val="false"/>
                  <w:dstrike w:val="false"/>
                  <w:color w:val="000000"/>
                  <w:sz w:val="20"/>
                  <w:u w:val="none"/>
                  <w:effect w:val="non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5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54">
              <w:r>
                <w:rPr>
                  <w:rStyle w:val="InternetLink"/>
                  <w:rFonts w:ascii="Times New Roman;serif" w:hAnsi="Times New Roman;serif"/>
                  <w:b w:val="false"/>
                  <w:strike w:val="false"/>
                  <w:dstrike w:val="false"/>
                  <w:color w:val="000000"/>
                  <w:sz w:val="20"/>
                  <w:u w:val="none"/>
                  <w:effect w:val="non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57">
              <w:r>
                <w:rPr>
                  <w:rStyle w:val="InternetLink"/>
                  <w:rFonts w:ascii="Times New Roman;serif" w:hAnsi="Times New Roman;serif"/>
                  <w:b w:val="false"/>
                  <w:color w:val="0000FF"/>
                  <w:sz w:val="20"/>
                  <w:u w:val="single"/>
                </w:rPr>
                <w:t>Certain Relationships and Related Transactions, and Director Independence</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57">
              <w:r>
                <w:rPr>
                  <w:rStyle w:val="InternetLink"/>
                  <w:rFonts w:ascii="Times New Roman;serif" w:hAnsi="Times New Roman;serif"/>
                  <w:b w:val="false"/>
                  <w:strike w:val="false"/>
                  <w:dstrike w:val="false"/>
                  <w:color w:val="000000"/>
                  <w:sz w:val="20"/>
                  <w:u w:val="none"/>
                  <w:effect w:val="none"/>
                </w:rPr>
                <w:t>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60">
              <w:r>
                <w:rPr>
                  <w:rStyle w:val="InternetLink"/>
                  <w:rFonts w:ascii="Times New Roman;serif" w:hAnsi="Times New Roman;serif"/>
                  <w:b w:val="false"/>
                  <w:color w:val="0000FF"/>
                  <w:sz w:val="20"/>
                  <w:u w:val="single"/>
                </w:rPr>
                <w:t>Principal Accountant Fees and Services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60">
              <w:r>
                <w:rPr>
                  <w:rStyle w:val="InternetLink"/>
                  <w:rFonts w:ascii="Times New Roman;serif" w:hAnsi="Times New Roman;serif"/>
                  <w:b w:val="false"/>
                  <w:strike w:val="false"/>
                  <w:dstrike w:val="false"/>
                  <w:color w:val="000000"/>
                  <w:sz w:val="20"/>
                  <w:u w:val="none"/>
                  <w:effect w:val="none"/>
                </w:rPr>
                <w:t>67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66">
              <w:r>
                <w:rPr>
                  <w:rStyle w:val="InternetLink"/>
                  <w:rFonts w:ascii="Times New Roman;serif" w:hAnsi="Times New Roman;serif"/>
                  <w:b w:val="false"/>
                  <w:color w:val="0000FF"/>
                  <w:sz w:val="20"/>
                  <w:u w:val="single"/>
                </w:rPr>
                <w:t>Exhibits and Financial Statement Schedules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66">
              <w:r>
                <w:rPr>
                  <w:rStyle w:val="InternetLink"/>
                  <w:rFonts w:ascii="Times New Roman;serif" w:hAnsi="Times New Roman;serif"/>
                  <w:b w:val="false"/>
                  <w:strike w:val="false"/>
                  <w:dstrike w:val="false"/>
                  <w:color w:val="000000"/>
                  <w:sz w:val="20"/>
                  <w:u w:val="none"/>
                  <w:effect w:val="none"/>
                </w:rPr>
                <w:t>68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69">
              <w:r>
                <w:rPr>
                  <w:rStyle w:val="InternetLink"/>
                  <w:rFonts w:ascii="Times New Roman;serif" w:hAnsi="Times New Roman;serif"/>
                  <w:b w:val="false"/>
                  <w:color w:val="0000FF"/>
                  <w:sz w:val="20"/>
                  <w:u w:val="single"/>
                </w:rPr>
                <w:t>Form 10-K Summary</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69">
              <w:r>
                <w:rPr>
                  <w:rStyle w:val="InternetLink"/>
                  <w:rFonts w:ascii="Times New Roman;serif" w:hAnsi="Times New Roman;serif"/>
                  <w:b w:val="false"/>
                  <w:strike w:val="false"/>
                  <w:dstrike w:val="false"/>
                  <w:color w:val="000000"/>
                  <w:sz w:val="20"/>
                  <w:u w:val="none"/>
                  <w:effect w:val="none"/>
                </w:rPr>
                <w:t>72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172">
              <w:r>
                <w:rPr>
                  <w:rStyle w:val="InternetLink"/>
                  <w:rFonts w:ascii="Times New Roman;serif" w:hAnsi="Times New Roman;serif"/>
                  <w:b w:val="false"/>
                  <w:color w:val="0000FF"/>
                  <w:sz w:val="20"/>
                  <w:u w:val="single"/>
                </w:rPr>
                <w:t>Signatures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172">
              <w:r>
                <w:rPr>
                  <w:rStyle w:val="InternetLink"/>
                  <w:rFonts w:ascii="Times New Roman;serif" w:hAnsi="Times New Roman;serif"/>
                  <w:b w:val="false"/>
                  <w:strike w:val="false"/>
                  <w:dstrike w:val="false"/>
                  <w:color w:val="000000"/>
                  <w:sz w:val="20"/>
                  <w:u w:val="none"/>
                  <w:effect w:val="none"/>
                </w:rPr>
                <w:t>73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Bath &amp; Body Works is a global leader in personal care and home fragrance, driven by the belief that everybody deserves to feel good.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over 35 years, the brand’s beloved and iconic scents have been expertly crafted for exceptional performance and a luxury fragrance experience. Formulated with thoughtfully chosen ingredients, Bath &amp; Body Works’ body care products are available in multiple forms including fine fragrance mist, body cream, lotion, eau de parfum, body wash, hand soap, sanitizer and more, and home to our famous 3-wick candles. Consumers can shop Bath &amp; Body Works anytime and anywhere they choose, from welcoming, in-store experiences at 1,927 company-operated stores in the United States of America (“U.S”) and Canada, our e-commerce sites in the U.S. and Canada, 573 international stores and 34 e-commerce sites in more than 45 other countries, as well as Amazon.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Throughout this Annual Report on Form 10-K, we refer to Bath &amp; Body Works, Inc. as “we” and the “Company.”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Fiscal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the retail calendar for reporting and our fiscal year ends on the Saturday nearest to January 31. As a result, “2025” refers to the 52-week period ended January 31, 2026, “2024” refers to the 52-week period ended February 1, 2025 and “2023” refers to the 53-week period ended February 3, 2024. </w:t>
      </w:r>
    </w:p>
    <w:p>
      <w:pPr>
        <w:pStyle w:val="TextBody"/>
        <w:bidi w:val="0"/>
        <w:spacing w:lineRule="auto" w:line="288" w:before="100" w:after="120"/>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strategy is rooted in the Consumer First Formula, launched in the third quarter of 2025, which puts the consumer at the center of everything we do. The Consumer First Formula is a multi-year, comprehensive transformation plan to revitalize Bath &amp; Body Works across brand, product and marketplace. We are focused on our four largest revenue driving opportunities to try to attract new, younger consumers to the brand, which we expect will help us unlock our next era of sustainable growth:</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Creating Disruptive and Innovative Products</w:t>
      </w:r>
      <w:r>
        <w:rPr>
          <w:rFonts w:ascii="Times New Roman;serif" w:hAnsi="Times New Roman;serif"/>
          <w:b w:val="false"/>
          <w:color w:val="000000"/>
          <w:sz w:val="20"/>
        </w:rPr>
        <w:t>: We intend to reestablish best in class product leadership in our hero categories.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Reigniting the Brand</w:t>
      </w:r>
      <w:r>
        <w:rPr>
          <w:rFonts w:ascii="Times New Roman;serif" w:hAnsi="Times New Roman;serif"/>
          <w:b w:val="false"/>
          <w:color w:val="000000"/>
          <w:sz w:val="20"/>
        </w:rPr>
        <w:t>: We expect to invest in marketing to build a brand with cultural currency, showing up in culture through creators, in store visuals and bigger storytelling, creating meaningful emotional connections with consumers.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Winning in the Marketplace</w:t>
      </w:r>
      <w:r>
        <w:rPr>
          <w:rFonts w:ascii="Times New Roman;serif" w:hAnsi="Times New Roman;serif"/>
          <w:b w:val="false"/>
          <w:color w:val="000000"/>
          <w:sz w:val="20"/>
        </w:rPr>
        <w:t>: We plan to expand access and ease of discovery through an enhanced digital experience, third-party channels and refreshed in-store merchandising to acquire new and lapsed consumers.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Operating with Speed and Efficiency</w:t>
      </w:r>
      <w:r>
        <w:rPr>
          <w:rFonts w:ascii="Times New Roman;serif" w:hAnsi="Times New Roman;serif"/>
          <w:b w:val="false"/>
          <w:color w:val="000000"/>
          <w:sz w:val="20"/>
        </w:rPr>
        <w:t>: We are working to transform Bath &amp; Body Works to be a faster and more efficient organization by empowering teams, working with focus and agility to prioritize what customers care about most.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we move forward under the Consumer First Formula, we believe the following competitive advantages endure and will help enable our return to sustainable growth: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are a market leader in attractive, growing categories;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are an iconic brand with global recognition;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have a global store footprint with 2,500 locations employing a community of exceptional store associates;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have a customer loyalty program with 40 million active members;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We benefit from a fast, predominantly domestic, vertically-integrated supply chain.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investing in new capabilities and talent, focusing our teams on the highest-value work and moving at the speed of the consumer, while optimizing expenses to fuel innovation and long-term performance. Since Daniel Heaf joined as our new Chief Executive Officer, he has put leaders in roles for accountability to drive the priorities of the Consumer First Formula, with responsibilities across our marketplace channels, product merchandizing and human resources.</w:t>
      </w:r>
    </w:p>
    <w:p>
      <w:pPr>
        <w:pStyle w:val="TextBody"/>
        <w:bidi w:val="0"/>
        <w:spacing w:lineRule="auto" w:line="288" w:before="100" w:after="120"/>
        <w:jc w:val="left"/>
        <w:rPr>
          <w:rFonts w:ascii="Times New Roman;serif" w:hAnsi="Times New Roman;serif"/>
          <w:b/>
          <w:color w:val="000000"/>
          <w:sz w:val="20"/>
        </w:rPr>
      </w:pPr>
      <w:r>
        <w:rPr>
          <w:rFonts w:ascii="Times New Roman;serif" w:hAnsi="Times New Roman;serif"/>
          <w:b/>
          <w:color w:val="000000"/>
          <w:sz w:val="20"/>
        </w:rPr>
        <w:t>Company-operated Stores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predominantly off-mall retailer with 60% of our North American store fleet located in off-mall locations as of January 31, 2026. We are continuing our off-mall expansion to limit our exposure to vulnerable mall locations, with a target mix of 75% off-mall over time given continued consumer preference. We proactively manage our stores and adjust our investment levels based on individual store and fleet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number of our Company-operated retail stores as of January 31, 2026 and February 1, 2025:</w:t>
      </w:r>
    </w:p>
    <w:tbl>
      <w:tblPr>
        <w:tblW w:w="4345" w:type="dxa"/>
        <w:jc w:val="left"/>
        <w:tblInd w:w="0" w:type="dxa"/>
        <w:tblLayout w:type="fixed"/>
        <w:tblCellMar>
          <w:top w:w="28" w:type="dxa"/>
          <w:left w:w="28" w:type="dxa"/>
          <w:bottom w:w="28" w:type="dxa"/>
          <w:right w:w="28" w:type="dxa"/>
        </w:tblCellMar>
      </w:tblPr>
      <w:tblGrid>
        <w:gridCol w:w="435"/>
        <w:gridCol w:w="381"/>
        <w:gridCol w:w="383"/>
        <w:gridCol w:w="464"/>
        <w:gridCol w:w="464"/>
        <w:gridCol w:w="466"/>
        <w:gridCol w:w="109"/>
        <w:gridCol w:w="109"/>
        <w:gridCol w:w="109"/>
        <w:gridCol w:w="417"/>
        <w:gridCol w:w="417"/>
        <w:gridCol w:w="591"/>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 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changes in the number of our Company-operated retail stores for the past three fiscal years:</w:t>
      </w:r>
    </w:p>
    <w:tbl>
      <w:tblPr>
        <w:tblW w:w="4997" w:type="dxa"/>
        <w:jc w:val="left"/>
        <w:tblInd w:w="0" w:type="dxa"/>
        <w:tblLayout w:type="fixed"/>
        <w:tblCellMar>
          <w:top w:w="28" w:type="dxa"/>
          <w:left w:w="28" w:type="dxa"/>
          <w:bottom w:w="28" w:type="dxa"/>
          <w:right w:w="28" w:type="dxa"/>
        </w:tblCellMar>
      </w:tblPr>
      <w:tblGrid>
        <w:gridCol w:w="196"/>
        <w:gridCol w:w="172"/>
        <w:gridCol w:w="173"/>
        <w:gridCol w:w="308"/>
        <w:gridCol w:w="308"/>
        <w:gridCol w:w="276"/>
        <w:gridCol w:w="109"/>
        <w:gridCol w:w="109"/>
        <w:gridCol w:w="109"/>
        <w:gridCol w:w="233"/>
        <w:gridCol w:w="233"/>
        <w:gridCol w:w="221"/>
        <w:gridCol w:w="109"/>
        <w:gridCol w:w="109"/>
        <w:gridCol w:w="109"/>
        <w:gridCol w:w="218"/>
        <w:gridCol w:w="218"/>
        <w:gridCol w:w="196"/>
        <w:gridCol w:w="109"/>
        <w:gridCol w:w="109"/>
        <w:gridCol w:w="109"/>
        <w:gridCol w:w="109"/>
        <w:gridCol w:w="109"/>
        <w:gridCol w:w="308"/>
        <w:gridCol w:w="308"/>
        <w:gridCol w:w="43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 of Year</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2025, we opened 94 new North American stores, nearly all in off-mall locations, and permanently closed 62 stores, predominantly in malls, which, when combined with store remodel activity, resulted in net square footage growth of 2%. In 2026, we expect North American square footage growth of approximately 1%.</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Franchise, License and Wholesale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to our Company-operated stores, our products are sold at partner-operated locations and e-commerce sites in more than 45 countries through franchise, license and wholesale arrangements. Our international partner-based, asset-light business model allows us to establish operating standards by owning assortment, pricing architecture, promotions, store designs and real estate approval while our partners make investments and contribute as experts in local real estate, people and practices.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number of international stores operated by our partners as of January 31, 2026 and February 1, 2025:</w:t>
      </w:r>
    </w:p>
    <w:tbl>
      <w:tblPr>
        <w:tblW w:w="5531" w:type="dxa"/>
        <w:jc w:val="left"/>
        <w:tblInd w:w="0" w:type="dxa"/>
        <w:tblLayout w:type="fixed"/>
        <w:tblCellMar>
          <w:top w:w="28" w:type="dxa"/>
          <w:left w:w="28" w:type="dxa"/>
          <w:bottom w:w="28" w:type="dxa"/>
          <w:right w:w="28" w:type="dxa"/>
        </w:tblCellMar>
      </w:tblPr>
      <w:tblGrid>
        <w:gridCol w:w="863"/>
        <w:gridCol w:w="760"/>
        <w:gridCol w:w="762"/>
        <w:gridCol w:w="464"/>
        <w:gridCol w:w="464"/>
        <w:gridCol w:w="466"/>
        <w:gridCol w:w="109"/>
        <w:gridCol w:w="109"/>
        <w:gridCol w:w="109"/>
        <w:gridCol w:w="417"/>
        <w:gridCol w:w="417"/>
        <w:gridCol w:w="591"/>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 Travel Retail</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store locations only and does not include kiosks, shop-in-shops, gondola or beauty counter locations.</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our partners operated 34 international e-commerce sites as of January 31, 2026, compared to 31 as of February 1, 2025.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the Consumer First Formula, we launched on Amazon in the U.S. in February 2026, allowing more consumers to discover and shop the brand’s iconic fragrances and most loved products.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Merchandise Vendors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2025, we purchased merchandise from approximately 90 vendors, primarily located in the U.S. Our largest vendor supplied approximately 12% of our total merchandise purchases (on a dollar basis) during 2025, while no other single vendor accounted for more than 10% of our merchandise purchases (on a dollar basis). Our five largest vendors supplied approximately 40% of our total merchandise purchases (on a dollar basis) on a combined basis during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Information Systems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undertaken a multi-year project to modernize and significantly upgrade our digital and information technology (“IT”) systems, capabilities and organization to, among other things, advance our data analytics capabilities, enhance our in-store and online customer experience, enable us to more effectively personalize our marketing, shopping, and promotional experiences, streamline our IT and digital operations and enable us to work more efficiently (the “IT Transformation Project”). We believe successful execution of the IT Transformation Project will enhance our omnichannel capabilities and support the growth and profitability of our business while also enhancing the security of, and otherwise reducing risks associated with, our IT systems. Our technology roadmap remains on-track, as we enhance our systems and put in place foundational tools to enable more personalization and seamless customer engagement to drive sustainable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Seasonal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seasonal in nature and the fourth quarter, including the holiday selling season, typically accounts for approximately 40% of our Net Sales and is our most profitable quarter.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Working Capital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fund our business operations through a combination of available cash and cash equivalents and cash flows generated from operations. In addition, our credit facility is available for additional working capital needs and investment opportunities.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Regulation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and our products are subject to regulation by various federal, state, local and foreign regulatory authorities. We are subject to a variety of tax and customs regulations and international trade agreements.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trademarks, copyrights and patents, which constitute our primary intellectual property, have been registered or are the subject of pending applications in the U.S. Patent and Trademark Office and with the registries of many foreign countries and/or are protected by common law. We believe our products are identified by our intellectual property and our intellectual property is an integral tool in protecting innovation. Thus, we believe our intellectual property is of significant value. Accordingly, we intend to maintain our intellectual property and related registrations and vigorously protect our intellectual property assets against infringement.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sale of body care, home fragrance and soap and sanitizer products is a highly competitive business with numerous competitors, including individual and chain specialty stores, department stores, online retailers and discount retailers. Brand image, presentation, marketing, design, price, service, fulfillment, assortment and quality are the principal competitive factors.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our business, see “Management’s Discussion and Analysis of Financial Condition and Results of Operations,” included under Item 7. of this Annual Report on Form 10-K.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Human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Bath &amp; Body Works, our purpose goes beyond selling product. We strive to be an employer of choice, make a difference in our communities and foster a safe and empowering environment where all associates, customers and suppliers are valued. We believe everyone belongs at Bath &amp; Body Works.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work to create a culture where all associates can contribute their strengths, skills and abilities and where unique perspectives, and experiences, are valued, recognized and celebrated. The Human Capital &amp; Compensation Committee of our Board oversees, among other things, the Company’s programs, policies, practices and strategies relating to culture, talent, equal employment opportunities and the Company’s executive compensation programs. In addition, our Board oversees the talent review and succession planning process for our Chief Executive Officer and other critical, senior level roles. </w:t>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Workforce Demographics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January 31, 2026, we employed over 60,700 associates, none of whom were covered by a collective bargaining agreement. Approximately 94% of our associates work in our stores, with the remainder working in our home office or distribution and fulfillment centers. The following table includes the number of associates in full-time status or part-time status (which are associates who work less than 40 hours per week) as of January 31, 2026:</w:t>
      </w:r>
    </w:p>
    <w:tbl>
      <w:tblPr>
        <w:tblW w:w="3072" w:type="dxa"/>
        <w:jc w:val="left"/>
        <w:tblInd w:w="0" w:type="dxa"/>
        <w:tblLayout w:type="fixed"/>
        <w:tblCellMar>
          <w:top w:w="28" w:type="dxa"/>
          <w:left w:w="28" w:type="dxa"/>
          <w:bottom w:w="28" w:type="dxa"/>
          <w:right w:w="28" w:type="dxa"/>
        </w:tblCellMar>
      </w:tblPr>
      <w:tblGrid>
        <w:gridCol w:w="375"/>
        <w:gridCol w:w="328"/>
        <w:gridCol w:w="332"/>
        <w:gridCol w:w="109"/>
        <w:gridCol w:w="109"/>
        <w:gridCol w:w="109"/>
        <w:gridCol w:w="500"/>
        <w:gridCol w:w="500"/>
        <w:gridCol w:w="710"/>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Work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Associates</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51,664 </w:t>
            </w:r>
          </w:p>
        </w:tc>
        <w:tc>
          <w:tcPr>
            <w:tcW w:w="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60,735 </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Focus on Culture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champion a supportive work environment that prioritizes attracting, engaging, developing and promoting talent. By fostering a healthy workplace culture where every individual feels valued, we believe we can better serve our customers while attracting and retaining highly talented associates. We are committed to ensuring all team members have access to opportunities, including career advancement pathways and competitive wages.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Commitment to Competitive Wages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compensation programs are designed to link annual changes in compensation to overall Company performance, as well as each individual’s contribution to the results achieved. Our pay for performance philosophy includes participation of all salaried associates in home office and distribution and fulfillment centers in our short-term cash incentive compensation program. In addition, our store leaders are eligible to earn monthly bonuses based on performance. The emphasis on overall Company performance is intended to align the associates’ financial interests with the interests of the Company and our stockholders.</w:t>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Commitment to Providing Quality Benefits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offer competitive, performance-based compensation; a company-matched 401(k) retirement plan; and flexible and affordable health, wellness and lifestyle benefits. Subject to certain eligibility requirements, associates can choose benefits and resources that fit their lifestyle, including, but not limited to, 14 weeks paid maternity leave, six weeks paid parental leave, mental health benefits, family planning benefits including fertility, adoption and surrogacy, expanded bereavement leave time, military leave, tuition-free access to education, tuition assistance, no co-pays for insulin and other critical prescriptions, commuter benefits, a tobacco cessation program, an associate stock purchase plan that allows associates to purchase Company stock at a discount, an associate assistance program for all full-time and seasonal associates and a generous merchandise discount.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continued our focus on ensuring associate well-being by rolling out medical, dental and vision offerings for our part-time associates and promoting our wellness center in our Columbus, Ohio headquarters, which provides accessible, low-cost medical care, physical therapy, mental health services and an on-site pharmacy to our associates. We continue to offer DailyPay (earned income wage access as needed) to our associates in our distribution and fulfillment centers and in stores.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part of our caring culture, our associates help fellow associates going through extreme personal hardships through the Bath &amp; Body Works Associates for Associates Emergency Fund (“A4A”). Administered by the Columbus Foundation with funds donated by associates and matched by the Bath &amp; Body Works Foundation, A4A provides monetary aid and/or makes community resources available to associates facing crisis, such as fire destruction, a serious medical condition or a natural disaster. During 2025, the A4A fund awarded over $527,000 in grants to approximately 300 associates. In addition, we launched a Dream Bright scholarship fund for associates and their dependents, which is also administered by the Columbus Foundation with funds from the Bath &amp; Body Works Foundation. We distributed $185,000 for Dream Bright scholarships in 2025.</w:t>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Safety Is a Priority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committed to providing all of our associates a healthy and safe working environment and for protecting the safety of our customers. Our health and safety programs (including safety training for associate onboarding, developmental e-learning and on-the-job training) are designed to meet or exceed regulatory requirements for the various industry sectors of our business and in the jurisdictions in which we operate.</w:t>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Code of Conduct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a written Code of Conduct that is based on our values and is a resource which establishes standards for associate conduct that reinforce the Company’s commitment to integrity and ethical conduct. All associates are required to complete a Code of Conduct training course and certify their compliance annually.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maintain an Ethics Hotline, operated by a third-party, 24 hours a day, seven days a week, where any individual may anonymously report concerns, including potential instances of unethical conduct and potential violations of law or Company policies.</w:t>
      </w:r>
    </w:p>
    <w:p>
      <w:pPr>
        <w:pStyle w:val="TextBody"/>
        <w:bidi w:val="0"/>
        <w:spacing w:lineRule="auto" w:line="288" w:before="80" w:after="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120"/>
        <w:jc w:val="left"/>
        <w:rPr/>
      </w:pPr>
      <w:r>
        <w:rPr>
          <w:rFonts w:ascii="Times New Roman;serif" w:hAnsi="Times New Roman;serif"/>
          <w:b w:val="false"/>
          <w:color w:val="000000"/>
          <w:sz w:val="20"/>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t>
      </w:r>
    </w:p>
    <w:p>
      <w:pPr>
        <w:pStyle w:val="TextBody"/>
        <w:bidi w:val="0"/>
        <w:spacing w:lineRule="auto" w:line="288" w:before="120" w:after="120"/>
        <w:jc w:val="left"/>
        <w:rPr/>
      </w:pPr>
      <w:r>
        <w:rPr>
          <w:rFonts w:ascii="Times New Roman;serif" w:hAnsi="Times New Roman;serif"/>
          <w:b w:val="false"/>
          <w:color w:val="000000"/>
          <w:sz w:val="20"/>
        </w:rPr>
        <w:t xml:space="preserve">Our Annual Reports on Form 10-K, Quarterly Reports on Form 10-Q, Current Reports on Form 8-K and amendments to these reports filed or furnished pursuant to Section 13(a) or 15(d) of the Exchange Act are available, free of charge, on our website at </w:t>
      </w:r>
      <w:r>
        <w:rPr>
          <w:rFonts w:ascii="Times New Roman;serif" w:hAnsi="Times New Roman;serif"/>
          <w:b w:val="false"/>
          <w:i/>
          <w:color w:val="000000"/>
          <w:sz w:val="20"/>
        </w:rPr>
        <w:t>www.bbwinc.com</w:t>
      </w:r>
      <w:r>
        <w:rPr>
          <w:rFonts w:ascii="Times New Roman;serif" w:hAnsi="Times New Roman;serif"/>
          <w:b w:val="false"/>
          <w:color w:val="000000"/>
          <w:sz w:val="20"/>
        </w:rPr>
        <w:t>. Our website and information included in or linked to our website are not part of this Annual Report on Form 10-K.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Copies of any of the above-referenced documents will also be made available, free of charge, upon written request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Bath &amp; Body Works,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 Department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Three Limited Parkway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Columbus, Ohio 43230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 inflation, tariffs, consumer confidence, consumer spending patterns and market disruptions including pandemics or significant health hazards, severe weather conditions, natural disasters, terrorist activities, financial crises, political crises, government shutdowns or other major events, or the prospect of these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seasonality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successfully execute on our Consumer First Formula strategic transformation;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develop and retain qualified associates and manage labor-related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arising from turnover in Company leadership or other key positions;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dependence on store traffic and the availability of suitable store locations on appropriate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continued growth in part through new store openings and existing store remodels and expansions;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operate and expand internationally and related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independent franchise, license, wholesale and other distribution-related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direct channel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protect our reputation and our brand image;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customers with marketing, advertising, promotional programs and our loyalty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enforce and protect our trade names, trademarks and patents;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highly competitive nature of the retail industry and the segments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and current consumer acceptance of our products and our ability to manage the life cycle of our brand and launch our strategic transformation successfully;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innovate and produce high quality products and attract new and retain current consumers;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source, distribute and sell goods and materials on a global basis, including risks related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instability, wars and other armed conflicts, environmental hazards or natural disasters;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health hazards or pandemics, which could result in closed factories and/or stores, reduced workforces, scarcity of raw materials, and scrutiny or embargoing of goods produced in impacted areas;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duties, taxes, tariffs and other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legal and regulatory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business practices and political issues;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or disruptions in shipping and transportation and related pricing impacts;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due to labor disputes;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changing expectations regarding product safety due to new legislation;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complete sustainability initiatives, and associated costs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geographic concentration of third-party manufacturing facilities and our distribution facilities in central Ohio;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reliance on a limited number of suppliers to support a substantial portion of our inventory purchasing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vendors to deliver products in a timely manner, meet quality standards and comply with applicable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product input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energy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adequately protect our assets from loss and theft;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claims arising from our self-insurance;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and our third-party service providers’ ability to implement and maintain information technology systems and to protect associated data;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the security of customer, associate, third-party and Company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stock price volatility;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pay dividends and make share repurchases under share repurchase authorizations;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shareholder activism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our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service or refinance our debt and maintain compliance with our restrictive covenants;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laws, regulations, standards, technology platform rules or other requirements related to data privacy and cybersecurity;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regulatory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legal and compliance matters;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tax, trade and other regulatory matters.</w:t>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announce material financial and operational information using our investor relations website, press releases, SEC filings and public conference calls and webcasts. Information about the Company, our business and our results of operations may also be announced by posts on our accounts on social media channels, including the following: Facebook, Instagram, X, LinkedIn, Pinterest, TikTok and YouTube. The information contained on, or that can be accessed through, our social media channels and our website is deemed not to be incorporated in this Annual Report on Form 10-K or to be a part of this Annual Report on Form 10-K. The information that we post through these social media channels and on our website may be deemed material. As a result, we encourage investors, the media and others interested in the Company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risk factors contains “forward-looking statements.” These risk factors may be important to understanding any statement in this Annual Report on Form 10-K, other filings or in any other discussions of our business. The following information should be read in conjunction with Item 7. Management’s Discussion and Analysis of Financial Condition and Results of Operation and Item 8. Financial Statements and Supplementary Data.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the reader should carefully consider the following factors which could materially affect our business, results of operations, financial condition and/or cash flows. The risks described below are not our only risks. Additional risks and uncertainties not currently known or that are currently deemed to be immaterial may also adversely affect our business, results of operations, financial condition and/or cash flows in a material way.</w:t>
      </w:r>
    </w:p>
    <w:p>
      <w:pPr>
        <w:pStyle w:val="TextBody"/>
        <w:bidi w:val="0"/>
        <w:spacing w:lineRule="auto" w:line="288" w:before="180" w:after="120"/>
        <w:jc w:val="left"/>
        <w:rPr/>
      </w:pPr>
      <w:r>
        <w:rPr>
          <w:rFonts w:ascii="Times New Roman;serif" w:hAnsi="Times New Roman;serif"/>
          <w:b/>
          <w:color w:val="000000"/>
          <w:sz w:val="20"/>
          <w:u w:val="single"/>
        </w:rPr>
        <w:t>Risks related to our business:</w:t>
      </w:r>
      <w:r>
        <w:rPr>
          <w:color w:val="000000"/>
        </w:rPr>
        <w:t xml:space="preserv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net sales, results of operations and cash flows are sensitive to, have been affected by and may in the future be further impacted by, general economic conditions, inflation, tariffs, consumer confidence, consumer spending patterns, significant health hazards or pandemics, severe weather or other market disruptions.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net sales, results of operations, cash flows and future growth may be affected by local, regional, national or international political or economic trends or developments that can reduce consumers’ ability or willingness to spend or alter consumer behavior and spending patterns. These trends and developments (including tariffs and government shutdowns), which can vary substantially by country, include political, financial or social instability or conditions, geopolitical events, corruption, anti-American sentiment, social and ethnic unrest, military conflicts and terrorism, as well as changes in general economic conditions (including unemployment levels, inflation and market volatility). For example, in recent years, the global economy was negatively impacted by high inflation rates, which has resulted in higher prices that have negatively impacted and may continue to negatively impact consumer demand. In addition, market disruptions due to natural disasters, significant health hazards or pandemics or other major events or the prospect of these events could also impact or shift consumer spending and sentiment. Extreme weather conditions in the areas in which our stores are located, particularly in markets where we have multiple stores, or in the central Ohio region where most of our third-party manufacturers and our distribution centers are located, have adversely affected and could in the future adversely affect our business. During periods when economic or market conditions are unsettled or weak, or during events such as government shutdowns, which impact discretionary spending, purchases of our products have declined, and may in the future further decline. In such circumstances, we have increased, and may in the future continue to increase, the number of promotional sales which, when combined with inflationary cost pressures, have negatively affected our merchandise margin rates and, in the future, could have a material adverse effect on our results of operations, financial condition and cash flows.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net sales, operating income, cash and inventory levels fluctuate on a seasonal basis.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experience major seasonal fluctuations in our net sales and operating income, with a significant portion of our operating income and cash flows typically realized during the fourth quarter holiday season. Any decrease in sales or margins during this critical period could have a material adverse effect on our results of operations, financial condition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Seasonal fluctuations also affect our cash and inventory levels since we usually order merchandise in advance of peak selling periods and sometimes before new trends are confirmed by customer purchases. We must carry a significant amount of inventory, especially before the holiday season selling period. If we are not successful in selling inventory, we may have to sell the inventory at significantly reduced prices or may not be able to sell the inventory at all, which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We cannot guarantee the successful implementation of our strategic transformation.</w:t>
      </w:r>
    </w:p>
    <w:p>
      <w:pPr>
        <w:pStyle w:val="TextBody"/>
        <w:bidi w:val="0"/>
        <w:spacing w:lineRule="auto" w:line="268" w:before="0" w:after="0"/>
        <w:jc w:val="left"/>
        <w:rPr/>
      </w:pPr>
      <w:r>
        <w:rPr>
          <w:rFonts w:ascii="Times New Roman;serif" w:hAnsi="Times New Roman;serif"/>
          <w:b w:val="false"/>
          <w:color w:val="000000"/>
          <w:sz w:val="20"/>
        </w:rPr>
        <w:t>We launched a multi-year “Consumer First Formula” strategic transformation in the third quarter of 2025, as outlined in item I – “</w:t>
      </w:r>
      <w:r>
        <w:rPr>
          <w:rFonts w:ascii="Times New Roman;serif" w:hAnsi="Times New Roman;serif"/>
          <w:b w:val="false"/>
          <w:i/>
          <w:color w:val="000000"/>
          <w:sz w:val="20"/>
        </w:rPr>
        <w:t>Business – Strategy</w:t>
      </w:r>
      <w:r>
        <w:rPr>
          <w:color w:val="000000"/>
        </w:rPr>
        <w:t>”</w:t>
      </w:r>
      <w:r>
        <w:rPr>
          <w:rFonts w:ascii="Times New Roman;serif" w:hAnsi="Times New Roman;serif"/>
          <w:b w:val="false"/>
          <w:color w:val="000000"/>
          <w:sz w:val="20"/>
        </w:rPr>
        <w:t>. Our ability to successfully execute this transformation is subject to various risks and uncertainties, such as our ability to successfully execute our plan, changes in consumer demands and trends, general economic conditions, and other risks. Achievement of sustainable growth may require significant investment and, therefore, may be dilutive to our earnings in the short term. In addition, at times the attention of our senior management team may be focused on the Consumer First Formula and be diverted from day-to-day business operations, which may disrupt our business. There can be no guarantee regarding the timing of or extent to which we will realize the anticipated benefits of these investments and other costs, if at all, and these factors could have a material adverse effect on our results of operations, financial condition and cash flows.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may be impacted by our ability to attract, develop and retain qualified associates and manage labor-related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one of our competitive advantages is providing positive, engaging and satisfying experiences for our diverse customer base, which requires us to have highly trained, engaged and diverse associates. Our success depends in part upon our ability to attract, develop and retain a sufficient number of qualified associates, including, but not limited to, store personnel, associates in our home office, distribution and fulfillment centers and key product and support talent. The turnover rate in the retail industry is generally high, and qualified individuals of the requisite caliber and number needed to fill these positions have been in short supply in some areas. Competition for such qualified individuals and shifts in the labor market, including availability of skilled talent, and continued changes and complexity in labor and healthcare laws have caused us to incur higher labor costs, and such increases in labor costs could continue in the future. Our inability to recruit a sufficient number of qualified individuals in the future may, among other things, delay planned openings of new stores, affect the speed with which we expand, or negatively impact our ability to timely and efficiently fulfill orders, to develop new merchandise and to launch new product lines. Delayed store openings, significant increases in associate turnover rates or significant increases in labor-related costs could have a material adverse effect on our results of operations, financial condition and 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If we are subject to a unionization campaign from our associates, we would incur significant expenses in the form of legal and consulting fees and potentially be subject to negative publicity that could significantly disrupt our operations and have an adverse effect on our results of operations, financial condition and 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 increase in the costs of associate wages, benefits and insurance (including workers’ compensation, general liability, property and health) has adversely affected, and could continue to adversely affect, our operating results. In particular, labor shortages and the current competitive labor market have increased competition for qualified associates, which has compelled, and may continue to compel, us to pay higher wages to attract or retain qualified associates. Such increases in costs may result from general economic or competitive conditions or from government imposition of higher minimum wages at the federal, state or local level, including in connection with the increases in state minimum wages that have been enacted by various states. Moreover, there may be a long-term trend toward higher wages in developing markets. Any increase in such operating expenses could have a material adverse effect on our results of operations, financial condition and cash flows.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Turnover in Company leadership or other key positions, and our ability to attract and retain new talent, may have an adverse impact on Company performance.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future experience changes in key leadership or key positions in the future. The departure of key personnel can result in the loss of significant knowledge and experience. This loss of knowledge, expertise and experience can be mitigated through successful internal succession planning or external hiring and transition, but there can be no assurance that we will be successful in such efforts. Attracting and retaining qualified senior leadership may be more challenging during business transformations (including organizational changes or workforce reductions) or under adverse business conditions. Failure to attract and retain the right talent or to smoothly manage the transition of responsibilities resulting from such turnover could affect our ability to meet our goals and may cause us to miss performance objectives or financial targets or disrupt our relationships with our customers, vendors or other third parties.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net sales depend on a volume of traffic to our stores and the availability of suitable lease space.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More than half of our stores are located in off-mall retail shopping areas with the remainder located in malls and other types of retail centers. Sales at these stores are derived, in part, from the volume of consumer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including due to inflationary or tariff pressures, or changes in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demographics in a particular area, consumer trends away from brick-and-mortar retail toward online shopping, competition from digital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Part of our future growth is significantly dependent on our ability to operate stores in desirable locations with capital investment and lease costs providing the opportunity to earn a reasonable return. We cannot be sure as to when or whether such desirable locations will become available at reasonable costs. Additionally, we are dependent upon the suitability of the lease spaces that we currently use. The leases that we enter into are generally noncancelable leases with initial terms of ten years. If we determine that it is no longer economical to operate a store and decide to close it, we may remain obligated under the applicable lease for, among other things, payment of the base rent for the balance of the lease term.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risks could have a material adverse effect on our ability to grow and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continued growth and success depend in part on new store openings and existing store remodels and expansions.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continued growth and success depend in part on our ability to open and operate new, primarily off-mall stores and expand and remodel existing stores on a timely and profitable basis. Accomplishing our new and existing store expansion goals will depend upon a number of factors, including the ability to partner with developers and landlords to obtain suitable sites for new and expanded stores at acceptable costs and on acceptable timelines, the hiring and training of qualified personnel and the integration of new stores into existing operations. There can be no assurance we will be able to achieve our store expansion goals, manage our growth effectively, successfully integrate the planned new stores into our operations or operate our new, remodeled and expanded stores profitably. These risks could have a material adverse effect on our ability to grow and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international operations and our plans for international expansion include risks that could impact our results and reputation.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operate internationally and further expand in our existing markets and into new international markets, including through franchise and other distribution-related partner arrangements. The risks associated with international markets include, among others, difficulties in attracting customers due to a lack of customer familiarity with our brand, our ability to comply with international laws and regulations, our lack of familiarity with local customer preferences, cultures or religious norms and seasonal differences in the international markets. Any of these difficulties may lead to disruption in the overall timing of our international expansion efforts, lower sales than we anticipate and increased costs. Further, entry into other markets may bring us into competition with new competitors or with existing competitors with an established presence in such markets. Such expansions will also have upfront investment costs, some of which may be significant, that may not be accompanied by sufficient revenues to achieve expected operational and financial performance. Other risks include general economic conditions in specific countries or markets, reliance on franchise partners, service providers and other distribution-related partners that we do not control, volatility in the geopolitical landscape (including social and ethnic unrest, military conflicts and terrorism), anti-American sentiment, foreign governmental regulation and enforcement (including the risks of local tariffs and operating in markets in which there are uncertainties regarding the interpretation and enforceability of legal requirements and the enforceability of contract rights and intellectual property rights), legal actions, disruptions or delays in shipments, restrictions on the repatriation of funds held internationally, occurrence of significant health hazards or pandemics, changes in diplomatic and trade relationships and political instability. For example, the conflict in the Middle East had resulted in unpredictable conditions in the region and around the world, and may continue to affect, our business and operations as a result of, among other things, the economic consequences and disruptions from such conflict, supply chain availability, consumer boycotts of Western brands, and consumer reaction to perceived acts or failures to act by us or our franchise partners including commencing and/or maintaining operations in countries or regions that are linked to such conflicts.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results of operations and financial condition may be adversely affected by fluctuations in currency exchange rates. See “Fluctuations in foreign currency exchange rates could impact our results of operations, financial condition and cash flows” below.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above risks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results could be impacted by our relationships with our licensees, franchisees, wholesalers and other distribution-related partners, including by such partners taking actions that could harm our business or brand images.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are partially dependent on our franchise partners, wholesalers and other distribution-related partners. Although we believe that our business relationships with these partners are positive, we cannot guarantee that these relationships will generate sales in line with expectations. We may also face challenges in launching new third-party distribution channels and ensuring consistent execution across our franchise partners, wholesalers and other distribution-related partners, with increased organizational and operational complexity as our footprint grows. Managing a multi-market, multi-partner, multi-channel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organization could strain management systems, internal controls and decision-making speed. Failing to scale our operational infrastructure, governance or technology in line with potential growth could impact execution and financial performance.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have global brand exposure through digital sites and stores independently owned and/or operated by our franchise partners, wholesalers and other distribution-related partners. Although we have criteria to evaluate and select prospective partners, the level of control we can exercise over our partners is limited, and the quality and success of their operations may be diminished by any number of factors beyond our control. For example, despite our due diligence and vetting efforts, our partners may not have the business acumen or financial resources necessary to successfully operate stores in a manner consistent with our standards and may not hire and train qualified store managers and other personnel. Further, we primarily rely on our partners to comply with applicable laws and regulations in the international markets in which they operate. Our brand image and reputation may suffer materially, and our sales could decline, if our partners do not operate successfully, including operating in compliance with applicable laws and regulations. These risks could have an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direct channel business includes risks that could have a material adverse effect on our results.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 channel (also referred to as digital or e-commerce) is subject to numerous risks that could have a material adverse effect on our results of operations, financial condition and cash flows. Such risks include, but are not limited to, domestic or international large scale buyers and resellers purchasing merchandise and reselling it outside our control; resellers competing against us on domestic or international platforms where we legitimately sell our goods, or competition on marketplaces; our other alternative distribution channels competing with our direct channel business; our ability to address unauthorized distributions and related impact on results; our ability to anticipate and implement innovations in technology and logistics in order to appeal to existing and potential customers who increasingly rely on multiple channels to meet their shopping needs; legal and regulatory developments associated with digital, data, analytics, artificial intelligence (“AI”), communications and ad-targeting practices (including, without limitation, the use of technologies and third-party services to personalize or create concierge-like customer experiences); risks associated with increases in order fulfillment logistics costs; risks associated with the level of support provided by third party partners’ web infrastructure, websites and related support systems; and the failure of and risks related to the resources that underlay and support the operation of our and our third-party partners’ web infrastructure, websites and the related support systems, including computer viruses, malware (including, without limitation, ransomware), unauthorized access to and theft of customer information, privacy violations, fraudulent branded phishing sites impersonating our direct channel, ad scams causing customer confusion, information technology and vendor system failures, deepfakes and other malicious uses of AI, disruption of critical services caused by threat actors and similar disruptions.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failure to maintain efficient and uninterrupted order-taking and fulfillment operations could also have a material adverse effect on our results of operations, financial condition and cash flows. We utilize third-party service providers for order management and for a majority of our fulfillment services. If these third-party service providers do not maintain efficient and uninterrupted service, we have experienced, and may in the future experience, merchandise delivery delays, loss of sales, stranded inventory, cancellation charges or excessive promotional activity to clear inventory. Further, we may have difficulty replacing these third-party service providers, or transitioning from one third-party service provider to another, and there can be no assurance we can do so in a timely manner, without logistical difficulties or on terms favorable to us. The satisfaction of our direct channel customers also depends on their timely receipt of merchandise. If we encounter difficulties with the distribution and fulfillment facilities, or if the facilities were to shut down for any reason, including as a result of a pandemic, fire, severe weather, natural disaster or work stoppage, we could face shortages of inventory; we could incur significantly higher costs and longer lead times associated with distributing our products to our customers; we could face scrutiny by regulators and litigants; and our customers may be dissatisfied.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issues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ability to protect our reputation could have a material adverse effect on our brand image.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maintain our reputation is critical to our brand image. Our reputation could be jeopardized if we fail to maintain high standards for merchandise quality and integrity of the consumer’s experience in stores and online. If third parties with which we have a business relationship, including our influencer network, celebrity endorsements and collaboration partners, fail to represent our brand in a manner consistent with our brand image, it could harm our reputation. In addition, ineffective marketing, product diversion and unauthorized distribution channels, product defects, counterfeit products and failure to maintain, protect and enforce the intellectual property rights in our brand may threaten the strength of our brand, and those and other factors could diminish consumer confidence in us. Any negative publicity, including information publicized through traditional or social media platforms and similar venues such as websites, blogs and other forums, may affect our reputation and brand and, consequently, reduce demand for our merchandise and negatively impact our reputation, even if such publicity is unverified or inaccurate.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or the perception that we have failed to comply with ethical, social, product, labor, privacy, systems and data security and environmental standards, or related political considerations, or that we have failed to ensure the safety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stores and products, could also jeopardize our reputation and potentially lead to various adverse consumer actions, including boycotts. Failure to comply with applicable laws and regulations, to maintain an effective system of internal controls, to maintain the security of customer, associate, third-party and company information or to provide accurate and timely financial statement information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If our marketing, advertising, promotional programs or loyalty program are unsuccessful, or if our competitors are more effective with their programs than we are, our results of operations, financial condition and cash flows may be adversely affected.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Customer traffic and demand for our merchandise are influenced by our advertising, marketing and promotional activities, the effectiveness of our loyalty program, the name recognition and reputation of our brand and the location of and service offered in our stores and through our direct business. Although we use marketing, advertising and promotional programs and our loyalty program to attract customers through various media, including social media, websites, mobile applications, email and print, and we continue to invest to improve the online and mobile user experience for our customers, some of our competitors may expend more for their programs than we do or use different or more efficient approaches than we do, which may provide them with a competitive advantage. Our financial forecasts are dependent on our marketing, advertising and promotional programs and our loyalty program enhancements driving customer acquisition and stronger customer retention. Our recent investment in a new brand strategy and programs may not be effective or could require increased expenditures, which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ability to adequately maintain, enforce and protect our trade names, trademarks and patents could have an impact on our brand image and ability to penetrate new markets.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trade names, trademarks and patents are important assets and an essential element of our strategy. We have obtained or applied for federal registration of these trade names, trademarks and patents and have applied for or obtained registrations in many foreign countries. There can be no assurance that we will obtain such applied for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 party copies our products, our or our partners’ websites or our or our partners’ stores in a manner that projects lesser quality or carries a negative connotation, it could have a material adverse effect on our brand image and reputation as well as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types of conflicts to our satisfaction and may be required to enter into costly license agreements, be required to pay significant royalties, settlement costs or damages, be required to rebrand our products and/or be prevented from selling some of our products.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ability to compete favorably in our highly competitive segments of the consumer goods and retail industry could impact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consumer goods and retail industry is highly competitive. We compete for sales with a broad range of other retailers, including individual and chain specialty stores, department stores and discount retailers. In addition to the traditional store-based retailers, we also compete with direct marketers or retailers that sell similar lines of merchandise and who target customers through online channels. Brand image, marketing, design, price, service, assortment, quality, innovation, image presentation and fulfillment are all competitive factors in both the store-based and online channels.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competitors may have greater financial, marketing and other resources available and trends across our product categories may favor our competitors. We rely to a greater degree than some of our competitors on physical locations in retail centers. Therefore, declines in traffic to such locations may affect us more significantly than our competitors. Some of our competitors sell their products in stores that are located in the same retail centers as our stores. In addition to competing for sales, we compete for favorable site locations and lease terms in retail centers.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Increased competition, combined with declines in store and/or direct channel traffic, could result in price reductions, increased marketing expenditures and loss of pricing power and market share, any of which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ability to manage the life cycles of our brand and to remain current with trends and launch our strategic transformation successfully could impact the image and relevance of our brand.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management’s ability to effectively manage the life cycles of our brand, to anticipate and respond to changing preferences and consumer demands and to translate market trends into appropriate, saleable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offerings in advance of the actual time of sale to the customer. We are dependent on certain product categories and declines in customer demand in these product categories have negatively impacted, and may in the future impact, our results of operations, financial condition and cash flows. Our financial forecasts are dependent on our ability to drive growth through our Consumer First Formula by creating new and innovative products in our hero product categories, including body care, home fragrance and soaps and sanitizers, while streamlining our product assortment and attracting new consumers. Customer demands and trends change rapidly. If we are unable to successfully anticipate, identify or react to changing preferences or trends, we misjudge the market for our products or any new product lines, or our launches or expansions of new product lines are unsuccessful, we may not be able to achieve the growth in our business that we currently anticipate. In response, we may be forced to increase our marketing, promotions or price markdowns and potentially discontinue a product line. These risks are particularly acute for us as we launch our new Consumer First Formula strategic transformation to engage new and existing customers and could have a material adverse effect on our brand image and reputation as well as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We rely on innovation and high-quality products to compete in the market for our products.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Innovation and quality management in our design and manufacturing processes are essential to the commercial success of our products and development of new products. We must continue to invest in research and development in connection with the innovation and design of our products in order to attract new and retain current consumers. If we are unable to anticipate consumer preferences or industry changes, or if we are unable to introduce new products or modify our existing products on a timely basis, we may lose channel partners and consumers or become subject to greater pricing pressures. Our operating results would also suffer if our innovations and designs do not respond to the needs and demands of our channel partners and consumers, are not appropriately timed with market opportunities or are not effectively brought to market. Any failure on our part to innovate and design new products or modify existing products may harm our brand image and consumer demand for our products could decline and could result in a decrease in our revenue and an increase in our inventory levels.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may be impacted by the ability to adequately source, distribute and sell merchandise and other materials on a global basis.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source merchandise and other materials directly in domestic and international markets. We distribute merchandise and other materials globally to our franchise and other distribution-related partners in international locations and to our stores. Many of our imports and exports are subject to a variety of customs regulations and international trade agreements, including existing or potential duties, tariffs or safeguard quotas. We also compete with other companies for manufacturing facilities.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a variety of other risks generally associated with doing business on a global basis. For example: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political instability, geopolitical conflict, including the war between Russia and Ukraine and the conflict in the Middle East, environmental hazards or natural disasters, which could negatively affect international economies, financial markets and business activity;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health hazards or pandemics, which could result in closed factories, distribution and fulfillment centers and/or stores, reduced workforces, scarcity of raw materials and scrutiny or embargoing of goods produced in impacted areas;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imposition of new or retaliatory trade duties, sanctions, tariffs or taxes and other charges on imports or exports;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evolving, new or complex legal and regulatory matters;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volatility in currency exchange rates;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local business practices and political issues (including issues relating to compliance with domestic or international labor standards) and anti-American sentiment, which may result in adverse publicity or threatened or actual adverse consumer actions, including boycotts;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delays or disruptions in shipping and transportation and related pricing impacts;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disruption due to labor disputes;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changing expectations regarding product safety due to new laws or regulations or other factors.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invalidated tariffs imposed under the International Emergency Economic Power Act (the “IEEPA Decision”). There remains significant uncertainty regarding the implementation of the IEEPA Decision, including the process that will govern refund claims, the timing of any potential refunds, and the ultimate amounts, if any, that we recover. In addition, immediately following the IEEPA Decision, the U.S. government initiated new tariffs under alternative authorities, resulting in continued tariff exposure.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Certain goods that we import are sourced from third-party suppliers in China. Our ability to successfully import such materials may be adversely affected by U.S. and Canadian laws and changes in those laws. The Uyghur Forced Labor Prevention Act (“UFLPA”) imposes a presumptive ban on the import of goods to the U.S. that are made, wholly or in part, in the Xinjiang Uyghur Autonomous Region of China (“XUAR”) or by persons that participate in certain programs in the XUAR that entail the use of forced labor. U.S. Customs and Border Protection (“CBP”) has published both a list of entities that are known to utilize forced labor, and a list of commodities that are most at risk, such as poly-vinyl chloride, cotton, tomatoes and silica-based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products. Although none of our Chinese suppliers are located in the XUAR, we do not currently have full visibility to the entirety of each supplier’s separate sub-tier supply chains to be able to ensure that the raw materials or other inputs they use to manufacture their goods are not produced in the XUAR. Materials we import into the U.S. could be held by the CBP based on a suspicion that inputs used in such materials originated from the XUAR or that they may have been produced by Chinese suppliers accused of participating in forced labor, pending our providing satisfactory evidence to the contrary. Among other consequences, such an outcome could result in negative publicity that harms our brand and reputation and could result in a delay or complete inability to import such materials, which could result in inventory shortages and an increase in supply chain compliance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upon third-party transportation providers for substantially all of our product shipments, including shipments to and from our distribution centers to our stores and fulfillment centers, and to our customers. Our utilization of these delivery services for shipments is subject to risks, including increases in labor costs and fuel prices, which would increase our shipping costs, and associate strikes and inclement weather, which may impact our transportation providers’ ability to provide delivery services that adequately meet our shipping needs.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Our ability, or perceived inability, to complete sustainability, community impact and human capital initiatives may have a material adverse effect on our reputation.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other stakeholders, the general public and U.S. and foreign governmental and nongovernmental organizations have been focused on sustainability initiatives, including with respect to climate change, greenhouse gas emissions, packaging and waste, culture and belonging, worker pay and benefits, human rights, sustainable supply chain practices, animal health and welfare, deforestation and land, energy and water use. We maintain a sustainability function to provide direction and coordinate sustainability work throughout the Company. Increased sustainability reporting requirements and scrutiny of sustainability initiatives by public, regulatory, investor and other stakeholders, including U.S. and foreign governmental agencies, may put pressure on us to adjust our disclosures in these areas, and make adjustments to our commitments, targets, or goals and take actions to meet or address such adjustments, which could expose us to market, operational, regulatory, legal and execution costs or risks. Our business may also face increased scrutiny related to sustainability activities, including from U.S. and foreign governmental agencies, and potentially lead to enforcement actions and litigation. Setting these targets and goals or expanding or adjusting our disclosure or our failure, or perceived failure, to meet or properly adjust such targets and goals could adversely affect our reputation and, as a result, our business, financial performance and growth.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rely on a number of manufacturing and distribution facilities located in the same vicinity, making our business susceptible to local and regional disruptions or adverse conditions.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To achieve the necessary speed and agility in supply of our inventory, we rely heavily on third-party manufacturing facilities and our distribution facilities in close proximity to our headquarters in central Ohio. As a result of the geographic concentration of many of the manufacturing and distribution facilities that we rely upon, our operations are susceptible to local and regional factors, such as accidents, system failures, economic and weather conditions, natural disasters (including as may be exacerbated by climate change), demographic and population changes and other unforeseen events and circumstances. Any significant interruption in the operations of these facilities could lead to inventory issues, increased costs or interruptions to our operations, which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 change in the relationship with our key vendors could have a material effect on our business.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 limited number of vendors (including manufacturers) to supply our inventory. In 2025, our largest vendor supplied approximately 12% of our total merchandise purchases (on a dollar basis) and our largest five vendors in the aggregate supplied approximately 40% of our total merchandise purchases (on a dollar basis). Our business depends on developing and maintaining close relationships with our vendors and on our vendors’ ability or willingness to sell quality products to us at competitive prices and on other favorable terms. Many factors outside of our control may impact these relationships and the ability or willingness of these vendors to sell us products on favorable terms. For example, financial or operational difficulties that our vendors may face could increase the cost of the products we purchase from them or our ability to source products from them.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may be impacted by our vendors’ ability to manufacture and deliver products in a timely manner, meet quality standards and comply with applicable laws and regulations.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products from third-party vendors. Factors outside our control, such as production issues, shipping delays, quality problems, geopolitical conflicts and wars, outbreaks of disease, or natural disasters, could disrupt merchandise deliveries and result in lost sales, cancellation charges or excessive markdowns.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quality problems could result in product liability judgments or widespread product recalls that may negatively impact our sales and profitability for a period of time depending on product availability, reaction of competitors and consumer attitudes. Even if product liability claims are unfounded, unsuccessful or are not fully pursued, the negative publicity surrounding any assertions could adversely impact our reputation with existing and potential customers and our brand image.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could also suffer if our third-party vendors fail to comply with applicable laws and regulations. While our internal and vendor operating guidelines promote ethical business practices and our associates and third-party compliance auditors visit and monitor the operations of our third-party vendors, we do not control these vendors or their practices. Violations of labor, environmental or other laws by third-party vendors used by us or the divergence of a third-party vendor’s or partner’s labor or environmental practices from those generally accepted as ethical or appropriate could interrupt or otherwise disrupt the shipment of finished products to us or damage our reputation.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risks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Fluctuations in foreign currency exchange rates could impact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Although we use foreign currency forward contracts to hedge certain foreign currency risks, these measures may not succeed in offsetting all of the short-term negative impacts of foreign currency rate movements on our business and results of operations, financial condition and cash flows.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results may be affected by fluctuations in product input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Product input costs, including freight, labor and raw materials, fluctuate subject to price volatility caused by any fluctuation in aggregate supply and demand or other external conditions, such as inflationary conditions, weather and climate conditions, geopolitical conflicts and wars, energy costs, natural events or disasters, taxes and tariffs (including as a result of trade disputes), industry demand, labor shortages, transportation issues, fuel costs, product recalls, governmental regulation and other factors, all of which are beyond our control and in many instances are unpredictable. These factors may result in an increase in our product input costs. We may not be able to, or may elect not to, fully pass these increases on to our customers which may adversely impact our profit margins. These risks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results may be affected by fluctuations in energy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Energy costs have fluctuated in the past and may fluctuate in the future due to changes in factors beyond our control, such as weather and climate conditions or natural events or disasters, taxes and tariffs (including as a result of trade disputes), industry demand, high demand for renewable energy, inflationary conditions, labor shortages, transportation issues, fuel costs, geopolitical conflicts and wars, governmental regulation and other factors. These fluctuations may result in an increase in our transportation costs for distribution, utility costs for our retail stores, distribution and fulfillment centers and other Company locations and costs to purchase products from third-party manufacturers. A continual rise in energy costs could adversely affect consumer spending and demand for our products and increase our operating costs, both of which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results may be impacted by our ability to adequately protect our assets from loss and theft.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assets are subject to loss, including those caused by illegal or unethical conduct by associates, customers, vendors, partners or unaffiliated third parties (including from organized retail crime). We experience events that cause inventory shrinkage. Our inventory shrinkage rates have fluctuated in recent years and may continue to fluctuate,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self-insure certain risks and may be impacted by unfavorable claims experience.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self-insured for various types of insurable risks including associate medical benefits, workers’ compensation, property, general liability and automobile, up to certain stop-loss limits in certain cases. Claims are difficult to predict and may be volatile, and recently we have seen an increase in healthcare and medical costs, as well as broader loss cost trends across certain property and casualty lines. Any adverse claims experience could have a material adverse effect on our results of operations, financial condition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have undertaken a multi-year initiative to upgrade our digital and information technology systems and capabilities. We significantly rely on our, and our third-party service providers’, ability to successfully implement, upgrade and sustain information technology systems and to protect associated data and system availability.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undertaken the IT Transformation Project, a multi-year project to modernize our digital and information technology systems and capabilities to, among other things, advance our data analytics capabilities, deploy AI applications, enhance our in-store and online customer experience, enable us to more effectively personalize our marketing, shopping and promotional experiences, enhance the security of and otherwise reduce risks associated with our IT systems, streamline our information technology operations and enable us to work more efficiently. We, together with our third-party service providers and vendors, maintain a complex ecosystem of information technology systems and environments that will be impacted by the IT Transformation Project. As with any information technology upgrade, the IT Transformation Project increases the risk of interruption of service, data loss and vulnerabilities, corruption of data, breach, failure and degradation of AI applications leading to unpredictability and untrustworthiness, failure of information technology systems to effectively communicate and other disruptions to our operations. Moreover, the IT Transformation Project could result in expenses and capital expenditures that substantially exceed the expenses and capital expenditures that we currently anticipate.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in part, on the secure and uninterrupted performance of our, and our third-party service providers’ and vendors’, information technology systems. Our information technology systems, as well as those of our service providers and vendors, are vulnerable to damage, interruption, degradation, “data poisoning,” service availability or breach from a variety of sources, including cyberattacks, cyber extortion, ransomware attacks, deepfakes and other malicious uses of AI, telecommunication and/or technology failures, malicious human acts, human errors and natural disasters. Moreover, despite maintaining comprehensive measures, some of our systems, e-commerce environments and servers and those of our service providers and vendors are potentially vulnerable to physical or electronic break-ins, malware (including, without limitation, ransomware), computer viruses and similar disruptive problems. Such incidents have disrupted, and could in the future further disrupt, our operations (whether directly or due to disruptions of our service providers’ and vendors’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associate or other important information (including personal information), which could result in damage to our reputation, costly litigation, customer complaints, negative publicity, breach and other notification obligations, regulatory or administrative sanctions, inquiries, orders or investigations, indemnity obligations, damages for contract breach or penalties for violations of applicable laws or regulations. The proliferation of mobile devices and data applications and services may heighten these and other operational risks. Despite the precautions we have taken, unanticipated problems or events may nevertheless cause failures in, or unauthorized access to, our and our third-party service providers’ and vendors’ information technology systems. Sustained or repeated system disruptions that interrupt our ability to process orders and deliver products to the stores or directly to our customers, impact our ability to process transactions in our stores, impact our customers’ ability to access our websites and mobile applications in a timely manner or expose confidential customer, merchandise, financial, associate or other important information (including personal information), the risks of which may be heightened as we execute on the IT Transformation Project,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use third-party service providers and vendors to store, transmit and otherwise process certain confidential customer, merchandise, financial, associate or other important information (including personal information) on our behalf, and our third-party service providers and vendors are subject to cybersecurity and privacy risks similar to us. Due to applicable laws and regulations or contractual obligations, we may be held responsible for any cybersecurity incidents or privacy violations attributed to our service providers or vendors as they relate to the information we share with them, information to which they are granted access, or information that they process for us to deliver services to our customers. Although we strive to contractually require these service providers and vendors to implement and maintain controls and a standard of security (such as implementing reasonable safeguards) and to comply with applicable law, we cannot control third parties and cannot guarantee that a security breach or privacy violation will not occur in connection with their systems and practices.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Any significant compromise or breach of our data security, including the security of customer, associate, third-party or Company information, could have a material adverse effect on our reputation,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operation of our business, we collect, use, transmit and otherwise process a large volume of personal and other confidential, proprietary and sensitive information. Information systems are susceptible to an increasing threat of continually evolving cybersecurity risks. Breaches or failures of security involving our information systems, including those provided, managed and supported by any of our third-party service providers, have occurred, and in the future may occur. Any significant compromise or breach of our data security, media reports about such an incident, whether accurate or not, or our failure to make adequate or timely disclosures to the public, regulatory agencies or law enforcement agencies following any such event, whether due to delayed discovery or a failure to follow existing protocols or regulations, could significantly damage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inhibit our ability to attract new customers and result in significant legal, regulatory and financial liabilities and lost revenues. Compounding these risks is the complexity of our information systems, which are a collection of our and our third-party service providers’ systems.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train our associates, have implemented systems, processes and security measures to protect our physical facilities and information technology systems against unauthorized access and prevent data loss, and have vetted our third-party service providers’ systems, processes and security measures, there is no guarantee that these procedures are adequate to safeguard against all data security threats to us or our third-party service providers. Despite these measures, we have been and may in the future be vulnerable to targeted or random attacks on our systems that could lead to security breaches, extortion, denial of service, vandalism, computer viruses, malware, ransomware, misplaced, corrupted or lost data, programming and/or human errors or similar events. Our systems and facilities (and the systems and facilities of our third-party service providers) are also subject to compromise from internal threats, such as theft, misuse, unauthorized access or other improper actions by associates, contractors and third-party service providers with otherwise legitimate access to our (or such third-party service providers’) systems, websites, mobile applications or facilities (which risks may be heightened as a result of our (or their) associates working from home). Furthermore, because the methods of cyberattack and deception change frequently, are increasingly complex and sophisticated (including through the use of AI and deepfakes to carry out cyber intrusions) and can originate from a wide variety of sources, including nation-state actors, despite our efforts to ensure the confidentiality, availability and integrity of our systems, websites and mobile applications, it is possible that we may not be able to anticipate, detect, appropriately react and respond to or implement effective preventative measures against all cybersecurity threats, and our third-party service providers may be subject to the same risks.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and may in the future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flows. Moreover, there could be public announcements regarding cybersecurity incidents and any steps we take to respond to or remediate such incidents, and if securities analysts or investors perceive these announcements to be negative, it could, among other things, have a substantial adverse effect on the price of our common stock.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currently maintain cybersecurity insurance, such insurance may not be sufficient in type or amount to cover us against claims related to breaches, violations of law, failures or other data security-related incidents, and we cannot be certain that cybersecurity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common stock: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stock price may be volatile.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stock price has fluctuated and may continue to fluctuate substantially as a result of variations in our actual or projected performance or the financial performance of other companies in the retail or consumer product industries. Any guidance that we provide is based on goals that we believe are reasonably attainable at the time guidance is given. If, or when, we announce actual results that differ from those that have been forecasted by us, outside investment analysts or others, our stock price could be adversely affected. Investors who rely on these forecasts when making investment decisions with respect to our securities do so at their own risk.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stock market in general has experienced extreme price and volume fluctuations that have often been unrelated or disproportionate to the operating performance of listed companies. In particular, our common stock currently is and may in the future be traded by short sellers which may put pressure on the supply and demand for our common stock, further influencing volatility in its market price. Public perception and other factors outside of our control may additionally impact the stock price of companies like us that garner a disproportionate degree of public attention, regardless of actual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If we are unable to pay quarterly dividends or repurchase our shares at intended levels, our reputation and stock price may be impacted.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Quarterly cash dividends and share repurchase programs have historically been part of our capital allocation strategy. We are not required to declare dividends or make any share repurchases under our share repurchase programs in the future. For example, in 2020, we did not repurchase any of our shares, and we suspended our quarterly cash dividends due to the anticipated impact of the COVID-19 pandemic. Our Board will determine our future levels of dividend payments and share repurchase authorizations, if any, giving consideration to our levels of profit and cash flow, capital requirements, capital allocation strategy, current and forecasted liquidity and the restrictions placed upon us by our borrowing arrangements, as well as financial and other conditions which may be beyond our control. Any reduction, or failure, to pay dividends or repurchase our shares after we have announced our intention to do so, or any change to our capital allocation strategy, may negatively impact our reputation, investor confidence in us and our stock price.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Shareholder activism could cause us to incur significant expense, impact the execution of our business strategy and have an adverse effect on our business.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Shareholder activism, which can take many forms and arise in a variety of situations, could result in substantial costs and divert our attention and resources from our business and our ability to execute our strategic plans. Additionally, such shareholder activism could give rise to perceived uncertainties as to our future, adversely affect our relationships with our associates, customers, service providers or other vendors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indebtedness: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Our ability to maintain our credit ratings could affect our ability to access capital and could increase our interest expense.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rating agencies periodically review our capital structure and the quality and stability of our earnings. A deterioration in our capital structure or the quality and stability of our earnings could result in a downgrade of our credit ratings. Any negative ratings actions could constrain the capital available to us or our industry and could limit our access to funding for our operations. We are dependent upon our ability to access capital at rates and on terms we determine to be attractive. If our ability to access capital becomes constrained, our interest costs may increase, we may not be able to fund future growth or we may not be able to meet some or all of our financial obligations, which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may be unable to service or refinance our debt or maintain compliance with restrictive covenants in our debt instruments, including our asset-backed revolving credit facility.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have substantial indebtedness. Our asset-backed revolving credit facility (the “ABL Facility”) contains a covenant and negative covenants that under certain circumstances require maintenance of a certain financial ratio and also, under certain conditions, restrict our ability to pay dividends, repurchase shares of our common stock and make other restricted payments as defined in the agreement. Our cash flow from operations provides the primary source of funds for our debt service payments. If our cash flow from operations declines, we may be unable to service or refinance our current debt. If we fail to comply with any covenant, including our financial covenant, it could result in an event of default and our lenders could terminate the commitments under our ABL Facility and make the entire debt incurred thereunder immediately due and payable, or we may be forced to sell assets, restructure our indebtedness or seek additional equity capital, which would dilute our stockholders’ interests.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related to laws and regulations: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Changes in laws, regulations, standards, technology platform rules or other requirements relating to privacy, cybersecurity and AI, or any actual or perceived failure by us to comply with such laws, regulations, rules or contractual or other obligations relating to data privacy, cybersecurity and AI, could have a material adverse effect on our reputation,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increasingly become, subject to various laws, directives, industry standards, rules and regulations, as well as contractual obligations, relating to data privacy and cybersecurity (including the use of AI) in the jurisdictions in which we operate and may in the future operate. The legal and regulatory environment related to data privacy and cybersecurity is increasingly rigorous and rapidly evolving, with new requirements, constantly changing requirements, and new or novel interpretations of existing requirements applicable to our business, and enforcement actions and litigation are likely to remain uncertain for the foreseeable future. These laws and regulations may be interpreted and applied differently over time and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jurisdiction to jurisdiction, and it is possible that the laws and regulations will be interpreted and applied in ways that may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data privacy and protection are regulated at federal, state and local levels, and the use of AI is now regulated at state and local levels. Various federal and state regulators, including governmental agencies like the SEC and the Federal Trade Commission, have adopted, or are considering adopting, laws and regulations concerning data privacy and cybersecurity and have prioritized data privacy and cybersecurity-related violations for enforcement actions. Certain state laws are, and in the future may continue to be, more stringent or broader in scope, or offer greater individual rights, with respect to personal information than federal, international or other state laws, and such laws may differ from each other, all of which complicates compliance efforts and increases risks to our business.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Privacy laws and regulations range from the “sectoral” variety (i.e., laws that govern specific practices, services or technologies) to omnibus laws (i.e., laws that comprehensively seek to govern all aspects of data processing practices). As an omnichannel retailer, we are subject to both.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North America, we are subject to sectoral privacy laws that impose different enforcement regimes, whether enforced by government agencies or class action and/or mass arbitration litigants, with fines and statutory damages that can result in significant exposure when applied to large customer segments. Illustrative of the sectoral variety are laws that govern telephonic communications (e.g., the Federal Telephone Consumer Protection Act), email communications (e.g., the Federal Controlling the Assault of Non-Solicited Pornography and Marketing Act and Canada’s Anti-Spam Legislation), the use of biometric technology (e.g., the Illinois Biometric Information Privacy Act), the printing of payment card numbers on certain transaction receipts (e.g., the Federal Fair and Accurate Credit Transactions Act), the use of call recordings (e.g., federal and state laws governing unlawful surveillance and consent for recordings), the collection of consumer information at retail point of sale (e.g., the California Song-Beverly Act), and the collection of driver’s license information (e.g., state laws governing the scanning of government identification).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further subject to omnibus data privacy and protection laws. For example, the California Consumer Privacy Act, as amended by the California Privacy Rights Act (collectively, the “CCPA”), broadly governs data privacy practices, increases privacy rights for California residents and imposes obligations on companies that process their personal information, including certain sensitive personal information. Among other things, the CCPA requires covered companies to provide disclosures to California consumers and provide such consumers data protection and privacy rights, including the ability to opt out of certain disclosures of their personal information and the ability to access and delete personal information. The CCPA provides for civil penalties for violations, as well as a private right of action for certain data breaches that result in the loss of certain classifications of personal information. This private right of action may increase the likelihood of, and risks associated with, data breach litigation. Other states and countries have passed omnibus data privacy laws that are similar to the CCPA, further complicating the legal landscape, and similar bills are making their way through several state legislatures. In addition, laws in all 50 U.S. states require businesses to provide notice to consumers (and, in some cases, to regulators) of data breaches, which are when certain types of personal information have been accessed, impacted or acquired without authorization. State laws are changing rapidly, and there have been deliberations in the U.S. Congress regarding a new comprehensive federal data privacy law to which we would become subject if one were to be enacted. Such a law could add complexity, variation in requirements, restrictions and potential legal risk. Moreover, it could require additional investment of resources in compliance programs, impact strategies and the availability of previously useful data and result in increased compliance costs or changes in business practices and policies.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While most of our international operations are conducted through franchise, license, wholesale and other distribution-related arrangements, we are also subject to certain international laws, regulations, rules and standards in certain international jurisdictions and may be subject to additional international laws, regulations, rules and standards, whether existing or enacted in the future, that apply broadly to the collection, use, retention, security, disclosure, handling transfer and other processing of personal information. In Canada, we are subject to the Personal Information Protection and Electronic Documents Act (“PIPEDA”) as well as substantially similar provincial privacy laws (e.g., Quebec’s Law 25). These data privacy laws broadly govern the entire lifecycle of personal information, enumerating principles that govern accountability; purpose; consent; assessment; privacy by default; limitations on collection, use, disclosure and retention; accuracy; safeguards; transparency; data rights of access, correction and deletion; and complaint-handling. Certain of the laws also contain a mandatory breach notification regime. Canadian federal and provincial authorities and litigants enforce these laws. Privacy regulators have an express obligation to investigate complaints and have the authority to initiate investigations. Under PIPEDA, the Office of the Privacy Commissioner of Canada has the power to require an organization to enter into a compliance agreement and failure to comply may result in a court order or court proceedings. A complainant may also appeal to Federal Court, and the court has broad authority including awarding damages. Similarly, the European Union’s (“EU”) General Data Protection Regulation (“GDPR”) imposes strict data privacy and cybersecurity requirements for handling personal data. Further, the GDPR was transposed into U.K. law (“U.K. GDPR”) as supplemented by the U.K.’s Data Protection Act of 2018, which currently imposes the same obligations as the GDPR in most material respects. Additionally, under the GDPR, EU member states have enacted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certain implementing legislation that adds to and/or further interprets the GDPR requirements and, depending on the extent and degree to which we conduct business in the European Economic Area (“EEA”) and the U.K., potentially extends our obligations and potential liability for failing to meet such obligations. The GDPR, together with national legislation, regulations and guidelines of the EEA states and the U.K. GDPR governing the processing of personal data, impose strict obligations and restrictions on the ability to collect, use, retain, protect, disclose, handle, transfer and otherwise process personal data, and other international jurisdictions are expected to pass similar laws that may include even more stringent requirements. Changes in such international laws or changes in our business strategy such as direct expansions into additional jurisdictions may cause us to incur additional compliance costs, increase our risks of being subject to lawsuits, complaints and/or regulatory investigations or fines, or restrict our ability to transfer personal data between and among countries and regions in which we operate or may in the future operate. Such international laws, and our compliance with such laws, could impact the manner in which we do business and the geographical location or segregation of our relevant operations and could adversely affect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Use of emerging and new technologies, including AI, could also expose us to liability or actual or alleged violations of applicable laws, rules and regulations, including third-party claims of intellectual property infringement, misappropriations or other violations, as it is possible that our employees using such tools for development purposes may overly rely on results generated via these tools and may not conduct sufficient checks, verifications or investigations of pre-existing design or other intellectual property rights with respect to the outputs generated by these tools. Further, we may jeopardize our own intellectual property rights via over-zealous use of such new technologies by, for example, inputting our proprietary materials into a tool that collects data for further development or provision of its services to third parties. Similarly, intellectual property ownership and license rights surrounding AI has not been fully addressed by international and U.S. courts or the laws, rules or regulations of U.S. and foreign jurisdictions. Any materials created by us using AI may not be subject to intellectual property protection, which may affect our ability to commercialize such materials. While we do monitor and provide guidance to our employees on the use of AI in our business operations and development, risk to our intellectual property rights is hard to completely mitigate as employees may not follow proper internal processes or such tools' service providers may utilize data and materials included in their tools in ways contrary to what they claim.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AI regulation is nascent but rapidly evolving. Several U.S. states have adopted, or are considering, AI specific or adjacent laws addressing issues such as high-risk AI uses, bias and discrimination, algorithmic decision making, pricing practices, and transparency. For example, Colorado has enacted a comprehensive, risk-based AI law that will require governance programs, risk and impact assessments, disclosures, and human-oversight mechanisms for certain uses of AI. Other states, including California, New York, Texas, and Utah, have adopted or proposed a range of targeted laws addressing aspects of AI and automated decision making, including transparency, consumer disclosures, pricing practices, and the use of AI in connection with personal information. Similar to the evolving privacy law landscape, this patchwork of existing and anticipated AI laws could increase regulatory complexity, elevate legal and compliance risk, and require additional investment of resources as our use of AI continues to grow.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these evolving compliance and operational requirements impose significant costs, such as costs related to organizational changes, investing in and implementing additional data protection technologies and other safeguards and training associates and engaging third-party service providers, which are likely to increase over time. In addition, such requirements may require us to modify our data processing or cybersecurity practices and policies and distract management or divert resources from other initiatives and projects, all of which could have a material adverse effect on our results of operations, financial condition and cash flows. Any failure or perceived failure by us or our partners to comply with any applicable federal, state or similar foreign laws, regulations, standards or rules relating to data privacy, cybersecurity and AI could result in damage to our reputation and our relationship with our customers, as well as proceedings or litigation by governmental agencies or customers, including class action litigation in certain jurisdictions, which could subject us to significant fines, sanctions, awards, penalties or judgments, any of which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may be impacted by our ability to comply with legal and regulatory requirements.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legal and regulatory requirements. Our policies, procedures and internal controls are designed to comply with all applicable foreign and domestic laws and regulations, including those required by the Sarbanes-Oxley Act of 2002, the U.S. Foreign Corrupt Practices Act, the U.K. Bribery Act, the SEC and the New York Stock Exchange (“NYSE”), among others. Although we have put in place policies and procedures aimed at ensuring legal and regulatory compliance, our associates, subcontractors, manufacturers, other vendors, licensees, franchisees and other third parties could take actions that violate these laws and regulations. Any violations of such laws or regulations could have an adverse effect on our reputation, the market price of our common stock and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It can be difficult to comply with sometimes conflicting statutes or regulations in local, national or foreign jurisdictions as well as new or changing laws and regulations. Also, changes in such laws and regulations could make operating our business more expensive or require us to change the way we do business. For example, changes in product safety or other consumer protection laws could lead to increased costs for certain merchandise, increased research and development costs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reformulations or new product lines, additional labor costs, or other costs associated with readying merchandise for sale. We operate stores in all 50 states, Canada and Puerto Rico, which requires us to comply with a myriad of provincial, state and local laws pertaining to all aspects of our business, including our associates and consumers. The trend for states and localities in the U.S. to legislate in the absence of national laws passed by the U.S. Congress has greatly increased the complexity of legal compliance for us. In addition, future domestic and international legislative and regulatory efforts to combat climate change or other environmental considerations could result in increased regulation and additional taxes and other expenses in a manner that adversely affects our business, financial performance and growth. It may be difficult for us to comply with these laws, compliance may be costly and compliance and associated costs may negatively impact our operations.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may be adversely impacted by certain compliance or legal matters.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along with third parties we do business with, are subject to complex compliance and litigation risks. Actions filed against us from time to time include commercial, tort, intellectual property, product liability, tax, customer, employment, wage and hour, data privacy, securities, anti-corruption and other claims, including purported class action lawsuits and mass arbitration claims. The cost of defending against these types of claims against us or the ultimate resolution of such claims, whether by settlement or adverse court decision, may harm our business. Further, potential claimants may be encouraged to bring suits based on a settlement from us or adverse court decisions against us. We cannot currently assess the likely outcome of such suits, but if the outcome were negative, it could have a material adverse effect on our reputation,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be impacted by litigation trends, including class action lawsuits involving consumers and stockholders, that could have a material adverse effect on our reputation, the market price of our common stock and our results of operations, financial condition and cash flows.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We may be impacted by changes in taxation, trade and other regulatory requirements.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 in local, national and international jurisdictions. In addition, our products are subject to import and excise duties and/or sales or value-added taxes in many jurisdictions. We are also subject to the examination of our tax returns and other tax matters by the IRS and other tax authorities and governmental bodies. We regularly assess the likelihood of an adverse outcome resulting from these examinations to determine the adequacy of our provision for taxes.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increased uncertainty with respect to international tax policy and trade relations between the U.S. and other countries. The uncertainty results from, among other things, executive actions or legislative priorities taken, set or under consideration, by the current U.S. presidential administration, major developments in tax policy or trade relations (including the imposition of unilateral tariffs on imported products), and Organization for Economic Cooperation and Development actions adopted in certain jurisdictions. These actions, legislation and developments and the response by foreign governments to these actions could have a material adverse effect on our results of operations, financial condition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developed an information security program to address material risks from cybersecurity threats and incidents, which is integrated within its overall enterprise risk management (“ERM”) program. The Board oversees both programs, assisted by the Audit Committee, regularly reviewing the ERM program at the enterprise level and the information security program at the program level.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Program &amp; Risk Management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security program includes policies and procedures that identify how security measures and controls are developed, implemented and maintained. Under the program, the Company performs one or more cyber risk assessments each year based on recognized industry best practices and standards and cyber threat intelligence. The risk assessments, together with risk-based analysis and judgment, are used to determine security measures and controls to address identified risks. The Company considers the following factors, among others, during its risk and control implementation assessments: the likelihood and severity of the risk; the impact on the Company, the Company’s customers, associates and stockholders, and others if a risk materializes; the feasibility and cost of security measures and controls; and the impact of security measures and controls on operations and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information security program currently includes the following security measures and controls, which are deployed as the Company deems applicable: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endpoint threat detection and response;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identity and access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privileged access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logging and monitoring involving the use of security information and event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multi-factor authentication;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firewalls and intrusion detection and prevention;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security testing;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web application firewalls and bot security tools;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vulnerability and patch management.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All of the Company’s office-based associates and certain distribution and fulfillment center associates undergo mandatory security awareness training at the time of hiring and on an annual basis thereafter. The Company’s store-based associates receive ad hoc awareness communications and are provided with cybersecurity awareness materials as part of the store operating manual.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third-party security firms in different capacities to provide or operate certain security measures and controls and technology systems, including cloud-based platforms and services. For example, third parties are used to conduct assessments, such as vulnerability scans and penetration testing. The Company also uses a variety of processes designed to address cybersecurity threats and incidents related to the use of third-party technology and services, including pre-acquisition diligence, imposition of contractual obligations and performance monitoring.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Company’s ERM program, the Company has developed business continuity and disaster recovery plans, which include measures designed to respond to potential disruptions to its information technology systems (or information technology systems of third parties on which it relies). The Company also maintains a written information security incident response plan and conducts tabletop exercises to enhance incident response preparedness. The Company is also a member of an industry cybersecurity intelligence and risk sharing organization.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(or third parties on which it relies) may not be able to fully, continuously and effectively implement security measures and controls as designed or intended. As described above, the Company utilizes a risk-based approach and judgment to determine the security measures and controls to implement, and it is possible that the Company may not implement appropriate security measures and controls if management does not recognize, or underestimates, a particular risk. In addition, security measures and controls, no matter how well designed or implemented, may only partially mitigate, but not fully eliminate, risks. Cybersecurity threats and incidents, even when detected or foreseeable, may not always be immediately understood or acted upon by the Company (or by third parties on which it relies).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like many retailers, relies upon third-party service providers, such as payment processors, network providers and application providers, that have faced risks from threat actors and cybercriminal groups that seek to steal payment card data, consumer data, and other sensitive information; disrupt critical information technology systems; and/or demand ransom payments. Although the Company has implemented security measures and controls designed to address these risks, if these risks were to materialize, such as in the event of a cybersecurity incident causing the networks of a third-party payment processor to not be operational, the impact to the Company could be material.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not identified risks from cybersecurity threats, including as a result of any previous cybersecurity incidents, which have materially affected, or are reasonably likely to materially affect, the Company, including its business strategy, results of operations, or financial condition. However, the Company continues to face risks from cybersecurity threats and incidents that, if realized, may have such material effect. Despite its ongoing efforts, the Company cannot provide complete assurance that its information security program will be effective in detecting, preventing, or mitigating such cybersecurity risks. See also “We have undertaken a multi-year initiative to upgrade our digital and information technology systems and capabilities. We significantly rely on our, and our third-party service providers’, ability to successfully implement, upgrade and sustain information technology systems and to protect associated data and system availability” and “Any significant compromise or breach of our data security, including the security of customer, associate, third-party or Company information, could have a material adverse effect on our reputation, results of operations, financial condition and cash flows” in Item 1A. Risk Factors of this Annual Report on Form 10-K for a discussion of cybersecurity risks that could have a material impact on the Company, which sections should be read in conjunction with this Item 1C.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the Board level, the Audit Committee assists the Board with overseeing the Company’s information security program. The Audit Committee, which is composed entirely of independent members of the Board, receives reports directly from the Company’s Chief Information Security Officer (“CISO”) at least three times per year. These reports address, among other things, cybersecurity policies and practices, program resources, third-party assessments, key risks, security measures and controls, and incident-response planning. The Company’s information security program is led by the CISO: a member of the management team with primary responsibility for the development, operation and maintenance of the program. The CISO holds a master of science degree in information assurance and has over 25 years of cybersecurity experience with Fortune 500 financial, defense, consulting and retail companies.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executive management team oversees enterprise risk management, including cybersecurity risk, and regularly reviews the Company’s ERM program and information security program. The ERM team oversees the identification, prioritization and mitigation of enterprise risks, including cybersecurity, privacy and AI risks.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To support data stewardship and responsible technology use, the CISO, Chief Information Officer (“CIO”), and Chief Privacy Officer (“CPO”) co</w:t>
        <w:noBreakHyphen/>
        <w:t>chair or participate in the Company’s Data Governance and Artificial Intelligence committees. These committees oversee and guide programs addressing data management, security, privacy and AI through unified frameworks that include monitoring, vendor management, assessment, testing, remediation and incident response. While the Data Governance and Artificial Intelligence committees address distinct subject matters, they are interrelated with the Company's information security program and inform each other on matters of shared concern. The executive management team regularly reviews matters addressed through these programs as part of the Company’s ERM oversight.</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Incident Response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above, the Company maintains an information security incident response plan that includes processes and procedures for evaluating and escalating cybersecurity threats and incidents to, as determined to be appropriate, the Company’s executive management team and members of the Board. The initial impact level of each cybersecurity threat or incident is evaluated by a designated team of information security specialists using risk criteria that have been defined and approved by the Company’s executive management team and reviewed with the Audit Committee. If escalated, the threat or incident is evaluated by a cross-functional core and extended team, as applicable, of managers that includes the CISO, CIO and CPO, as well as identified associates from across the Company’s business and functions, as applicable. Cybersecurity threats and incidents are assigned incident impact levels based on the core team’s determination of potential impact to the Company. The core team employs defined risk criteria to classify incidents and escalate incidents accordingly. Based on the severity classification assigned by the core team, incidents may be escalated to, as applicable, representatives of the Company’s executive management team (which includes the Disclosure Committee), the Chairs of the Board and the Audit Committee, other members of the Audit Committee and/or the full Board.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incident response plan is tested regularly. During 2025, the core team conducted four tabletop exercises across different areas and levels of the Company to test protocols for communication, decision making, remediation, escalation and reporting. One tabletop exercise focused on the senior management team. The results of all 2025 exercises were shared with, and reviewed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Company-operated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location, use and size of our Company-operated distribution, fulfillment, office and product development facilities as of January 31, 2026:</w:t>
      </w:r>
    </w:p>
    <w:tbl>
      <w:tblPr>
        <w:tblW w:w="9036" w:type="dxa"/>
        <w:jc w:val="left"/>
        <w:tblInd w:w="0" w:type="dxa"/>
        <w:tblLayout w:type="fixed"/>
        <w:tblCellMar>
          <w:top w:w="28" w:type="dxa"/>
          <w:left w:w="28" w:type="dxa"/>
          <w:bottom w:w="28" w:type="dxa"/>
          <w:right w:w="28" w:type="dxa"/>
        </w:tblCellMar>
      </w:tblPr>
      <w:tblGrid>
        <w:gridCol w:w="660"/>
        <w:gridCol w:w="582"/>
        <w:gridCol w:w="587"/>
        <w:gridCol w:w="109"/>
        <w:gridCol w:w="109"/>
        <w:gridCol w:w="109"/>
        <w:gridCol w:w="1787"/>
        <w:gridCol w:w="1787"/>
        <w:gridCol w:w="1810"/>
        <w:gridCol w:w="109"/>
        <w:gridCol w:w="109"/>
        <w:gridCol w:w="109"/>
        <w:gridCol w:w="342"/>
        <w:gridCol w:w="342"/>
        <w:gridCol w:w="485"/>
      </w:tblGrid>
      <w:tr>
        <w:trPr/>
        <w:tc>
          <w:tcPr>
            <w:tcW w:w="6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Square</w:t>
              <w:br/>
              <w:t>Footage</w:t>
              <w:br/>
              <w:t>(in thousands)</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Columbus, Ohio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distribution and fulfillment centers and shipping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product development/design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We own five office, distribution center and shipping facilities located in the Columbus, Ohio area comprising approximately 4 million square feet. In addition, we operate an approximately 1 million square foot leased direct channel fulfillment center located near Columbus, Ohio.</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lease various other office and product development/design locations in North America, primarily in New York.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January 31, 2026, we operated 1,814 and 113 retail stores located in leased facilities throughout the U.S. and Canada, respectively. A substantial portion of our U.S. store leases generally have an initial term of ten years, while our Canadian store leases generally have initial terms of five to ten years. A majority of our store leases expire at various dates between fiscal 2026 and fiscal 2036.</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Third-party Operated Fulfillment and Distribution Centers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31, 2026, we leased and utilized four third-party operated direct channel fulfillment centers in North America, comprising approximately 2 million square feet.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utilize six third-party operated regional distribution centers in North America, comprising approximately 1 million square feet, that enable us to position inventory geographically closer to our customers.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International Partner-operated Stores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January 31, 2026, our partners operated 573 retail stores in more than 45 international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 defendant in a variety of lawsuits arising in the ordinary course of business. Actions filed against the Company from time to time may include commercial, tort, intellectual property, tax, customer, employment, wage and hour, data privacy, securities, anti-corruption and other claims, including purported class action lawsuits. Although it is not possible to predict with certainty the eventual outcome of any litigation, in the opinion of management, our current legal proceedings are not expected to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under the symbol “BBWI.” As of January 31, 2026, the Company had approximately 25,000 stockholders of record. This number excludes persons whose stock is held in nominee or street name by brokers.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paid a quarterly dividend of $0.20 per share during each quarter of 2025. Our Board will determine future dividends after giving consideration to our levels of profit and cash flow, capital requirements, current and forecasted liquidity, the restrictions placed upon us by our borrowing arrangements, the macroeconomic environment as well as financial and other conditions existing at the time. We use cash flow generated from operating and financing activities to fund our dividends. For additional discussion regarding our dividends, see “Liquidity and Capital Resources” included under Item 7. of this Annual Report on Form 10-K.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Performance Graph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graph shows the changes, over the past five-year period, in the value of $100 invested at the closing stock price on January 30, 2021, including the reinvestment of dividends, in our common stock, the Standard &amp; Poor’s (“S&amp;P”) 500 Composite Stock Price Index, the S&amp;P 500 Consumer Discretionary Distribution &amp; Retail Index, the S&amp;P MidCap 400 Index and the S&amp;P 400 Consumer Discretionary Sector Index. During 2025, we became a member of the S&amp;P MidCap 400 Index. As a result, we have elected to replace the S&amp;P 500 Index with the S&amp;P MidCap 400 Index, and related Consumer Discretionary indices, in the graph below. In future years, we will no longer provide a comparison to the S&amp;P 500 indices. The Company’s stock prices prior to August 3, 2021 have been adjusted to give effect to the Victoria’s Secret spin-off.</w:t>
      </w:r>
    </w:p>
    <w:p>
      <w:pPr>
        <w:pStyle w:val="TextBody"/>
        <w:bidi w:val="0"/>
        <w:spacing w:before="120" w:after="120"/>
        <w:jc w:val="left"/>
        <w:rPr/>
      </w:pPr>
      <w:r>
        <w:rPr/>
        <w:drawing>
          <wp:inline distT="0" distB="0" distL="0" distR="0">
            <wp:extent cx="6515100" cy="443865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515100" cy="4438650"/>
                    </a:xfrm>
                    <a:prstGeom prst="rect">
                      <a:avLst/>
                    </a:prstGeom>
                  </pic:spPr>
                </pic:pic>
              </a:graphicData>
            </a:graphic>
          </wp:inline>
        </w:drawing>
      </w:r>
      <w:bookmarkStart w:id="0" w:name="i-1"/>
      <w:bookmarkEnd w:id="0"/>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Common Stock Repurchases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repurchases of our common stock during the fourth quarter of 2025:</w:t>
      </w:r>
    </w:p>
    <w:p>
      <w:pPr>
        <w:pStyle w:val="TextBody"/>
        <w:bidi w:val="0"/>
        <w:spacing w:before="0" w:after="0"/>
        <w:ind w:left="0" w:right="0" w:hanging="360"/>
        <w:jc w:val="left"/>
        <w:rPr/>
      </w:pPr>
      <w:r>
        <w:rPr/>
      </w:r>
    </w:p>
    <w:tbl>
      <w:tblPr>
        <w:tblW w:w="8133" w:type="dxa"/>
        <w:jc w:val="left"/>
        <w:tblInd w:w="0" w:type="dxa"/>
        <w:tblLayout w:type="fixed"/>
        <w:tblCellMar>
          <w:top w:w="28" w:type="dxa"/>
          <w:left w:w="28" w:type="dxa"/>
          <w:bottom w:w="28" w:type="dxa"/>
          <w:right w:w="28" w:type="dxa"/>
        </w:tblCellMar>
      </w:tblPr>
      <w:tblGrid>
        <w:gridCol w:w="514"/>
        <w:gridCol w:w="452"/>
        <w:gridCol w:w="458"/>
        <w:gridCol w:w="109"/>
        <w:gridCol w:w="109"/>
        <w:gridCol w:w="109"/>
        <w:gridCol w:w="374"/>
        <w:gridCol w:w="374"/>
        <w:gridCol w:w="376"/>
        <w:gridCol w:w="109"/>
        <w:gridCol w:w="109"/>
        <w:gridCol w:w="109"/>
        <w:gridCol w:w="257"/>
        <w:gridCol w:w="750"/>
        <w:gridCol w:w="134"/>
        <w:gridCol w:w="109"/>
        <w:gridCol w:w="109"/>
        <w:gridCol w:w="109"/>
        <w:gridCol w:w="420"/>
        <w:gridCol w:w="420"/>
        <w:gridCol w:w="421"/>
        <w:gridCol w:w="109"/>
        <w:gridCol w:w="109"/>
        <w:gridCol w:w="109"/>
        <w:gridCol w:w="331"/>
        <w:gridCol w:w="1300"/>
        <w:gridCol w:w="244"/>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w:t>
              <w:br/>
              <w:t>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as</w:t>
              <w:br/>
              <w:t>Part of Publicly</w:t>
              <w:br/>
              <w:t>Announced</w:t>
              <w:br/>
              <w:t>Programs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br/>
              <w:t>Dollar Value of Shares</w:t>
              <w:br/>
              <w:t>that May</w:t>
              <w:br/>
              <w:t>Yet be Purchased</w:t>
              <w:br/>
              <w:t>Under the Programs (c)</w:t>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(a)The total number of shares repurchased includes shares repurchased as part of publicly announced programs, with the remainder relating to shares in connection with tax payments due upon vesting of associate restricted share and performance share unit awards and the use of our stock to pay the exercise price on associate stock options.</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(b)The average price paid per share includes any broker commissions.</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(c)For additional share repurchase program information, see Note 13 to the Consolidated Financial Statements included in 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and results of operations is based upon our Consolidated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operating results are generally impacted by economic changes and, therefore, we monitor the retail environment using, among other things, certain key industry performance indicators including competitor performance and traffic data. These indicators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net sales, gross profit, operating income and other performance metrics, such as sales per average selling square foot and sales per average store, in assessing our performance.</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A discussion regarding our financial condition and results of operations for 2025 compared to 2024 is presented below. A discussion regarding our financial condition and results of operations for 2024 compared to 2023 can be found under Item 7. of our Annual Report on Form 10-K for the year ended February 1, 2025, filed with the SEC on March 14, 2025.</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Executive 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2025 performance did not meet our expectations. While we believe macroeconomic pressures impacted consumer sentiment throughout the year, we also underperformed in our sector. Accordingly, we took actions to help return the Company to sustainable growth. During the second quarter, we welcomed our new Chief Executive Officer, Daniel Heaf, to the business and, in the third quarter, launched the Consumer First Formula, our multi-year, comprehensive transformation plan to revitalize Bath &amp; Body Works across brand, product and marketplace. The Consumer First Formula invests behind our four largest revenue driving opportunities to try to attract new, younger consumers to the brand, which we expect will help us unlock our next era of sustainable growth:</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Creating Disruptive and Innovative Products</w:t>
      </w:r>
      <w:r>
        <w:rPr>
          <w:rFonts w:ascii="Times New Roman;serif" w:hAnsi="Times New Roman;serif"/>
          <w:b w:val="false"/>
          <w:color w:val="000000"/>
          <w:sz w:val="20"/>
        </w:rPr>
        <w:t>: We intend to reestablish best in class product leadership in our hero categories.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Reigniting the Brand</w:t>
      </w:r>
      <w:r>
        <w:rPr>
          <w:rFonts w:ascii="Times New Roman;serif" w:hAnsi="Times New Roman;serif"/>
          <w:b w:val="false"/>
          <w:color w:val="000000"/>
          <w:sz w:val="20"/>
        </w:rPr>
        <w:t>: We expect to invest in marketing to build a brand with cultural currency, showing up in culture through creators, in store visuals and bigger storytelling, creating meaningful emotional connections with consumers.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Winning in the Marketplace</w:t>
      </w:r>
      <w:r>
        <w:rPr>
          <w:rFonts w:ascii="Times New Roman;serif" w:hAnsi="Times New Roman;serif"/>
          <w:b w:val="false"/>
          <w:color w:val="000000"/>
          <w:sz w:val="20"/>
        </w:rPr>
        <w:t>: We plan to expand access and ease of discovery through an enhanced digital experience, third party channels and refreshed in-store merchandising to acquire new and lapsed consumers.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Operating with Speed and Efficiency</w:t>
      </w:r>
      <w:r>
        <w:rPr>
          <w:rFonts w:ascii="Times New Roman;serif" w:hAnsi="Times New Roman;serif"/>
          <w:b w:val="false"/>
          <w:color w:val="000000"/>
          <w:sz w:val="20"/>
        </w:rPr>
        <w:t>: We are working to transform Bath &amp; Body Works to be a faster and more efficient organization by empowering teams, working with focus and agility to prioritize what customers care about most. We have plans to deliver $250 million in cost savings over the next two years, with $175 million expected in fiscal 2026. We expect that these savings will be used to invest in revenue-generating initiatives across product and brand.</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Fiscal 2025 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2025, total Net Sales were $7,291 million, which decreased $16 million, or 0.2%, compared to 2024. Total North American Net Sales decreased $31 million compared to 2024, due to a decline in transactions mostly offset by increased order size, and International Net Sales increased $15 million. For 2025, Operating Income was $1,126 million, which decreased $140 million, or 11%, compared to 2024, and our Operating Income rate (expressed as a percentage of Net Sales) decreased to 15.4% from 17.3%. The Operating Income results were impacted by an increase in General, Administrative and Store Operating Expenses and a decline in our Gross Profit rate.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related to our 2025 financial performance, see “Results of Operations – 2025 Compared to 2024.”</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Fiscal 2026 Outlook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2026 to be a year of disciplined investment behind the Consumer First Formula, balancing rigorous cost control with targeted reinvestment intended to position the business for sustainable long-term growth. We are confident in our strategy and our ability to reposition the Company as a premier, global brand. While we anticipate a macroeconomic environment similar to 2025, with continued value-oriented consumer behavior, we are focused on translating our strategy into action as we realign the business to evolving consumer expectations.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Adjusted Financial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provided in accordance with GAAP above and throughout this Annual Report on Form 10-K, provided below are non-GAAP measures that present Operating Income, Net Income and Net Income per Diluted Share in 2025 and 2024 on an adjusted basis, which removes certain items. We believe that these items are not indicative of our ongoing operations due to their size and nature. We use adjusted financial information as key performance measures for the purpose of evaluating performance internally. These non-GAAP measures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definitions of adjusted financial information may differ from similarly titled measures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our GAAP financial measures to our non-GAAP financial measures:</w:t>
      </w:r>
    </w:p>
    <w:tbl>
      <w:tblPr>
        <w:tblW w:w="8798" w:type="dxa"/>
        <w:jc w:val="left"/>
        <w:tblInd w:w="0" w:type="dxa"/>
        <w:tblLayout w:type="fixed"/>
        <w:tblCellMar>
          <w:top w:w="28" w:type="dxa"/>
          <w:left w:w="28" w:type="dxa"/>
          <w:bottom w:w="28" w:type="dxa"/>
          <w:right w:w="28" w:type="dxa"/>
        </w:tblCellMar>
      </w:tblPr>
      <w:tblGrid>
        <w:gridCol w:w="2370"/>
        <w:gridCol w:w="2083"/>
        <w:gridCol w:w="2101"/>
        <w:gridCol w:w="211"/>
        <w:gridCol w:w="616"/>
        <w:gridCol w:w="109"/>
        <w:gridCol w:w="109"/>
        <w:gridCol w:w="109"/>
        <w:gridCol w:w="109"/>
        <w:gridCol w:w="211"/>
        <w:gridCol w:w="616"/>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Operating Income to Adjusted Operating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Net Income to Adjusted Net Income</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Reported 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Non-core Asset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Easton Investments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Valuation Allowance Release (e)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Reported Net Income per Diluted Share to Adjusted Net Income per Diluted Share</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Net Income Per Diluted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Non-core Asset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Easton Investments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Valuation Allowance Release (e)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Diluted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 2025, we recognized aggregate pre-tax costs of $15 million (after-tax costs of $12 million), primarily included in General, Administrative and Store Operating Expenses, resulting from business transformation activities in connection with the Consumer First Formula. These costs are primarily related to severance benefits.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 2025, we recognized aggregate pre-tax costs of $15 million (after-tax costs of $14 million), included in General, Administrative and Store Operating Expenses, due to the transition of certain members of the leadership team, primarily related to severance benefits.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(c)In 2025, we recognized a pre-tax gain of $8 million (after-tax gain of $6 million), included in Other Income, Net, related to the sale of a non-core asset.</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(d)In 2024, we sold our investments in Easton Town Center and Easton Gateway, resulting in an aggregate pre-tax gain of $39 million (after-tax gain of $25 million), included in Other Income, Net. For additional information, see Note 1 to the Consolidated Financial Statements included in Item 8. Financial Statements and Supplementary Data.</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(e)In 2024, we recognized a $44 million tax benefit related to the release of a valuation allowance on a deferred tax asset.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Company-operated Store Data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Company-operated store data for 2025 and 2024:</w:t>
      </w:r>
    </w:p>
    <w:tbl>
      <w:tblPr>
        <w:tblW w:w="7358" w:type="dxa"/>
        <w:jc w:val="left"/>
        <w:tblInd w:w="0" w:type="dxa"/>
        <w:tblLayout w:type="fixed"/>
        <w:tblCellMar>
          <w:top w:w="28" w:type="dxa"/>
          <w:left w:w="28" w:type="dxa"/>
          <w:bottom w:w="28" w:type="dxa"/>
          <w:right w:w="28" w:type="dxa"/>
        </w:tblCellMar>
      </w:tblPr>
      <w:tblGrid>
        <w:gridCol w:w="1259"/>
        <w:gridCol w:w="1106"/>
        <w:gridCol w:w="1115"/>
        <w:gridCol w:w="211"/>
        <w:gridCol w:w="616"/>
        <w:gridCol w:w="109"/>
        <w:gridCol w:w="109"/>
        <w:gridCol w:w="109"/>
        <w:gridCol w:w="109"/>
        <w:gridCol w:w="211"/>
        <w:gridCol w:w="616"/>
        <w:gridCol w:w="109"/>
        <w:gridCol w:w="109"/>
        <w:gridCol w:w="109"/>
        <w:gridCol w:w="109"/>
        <w:gridCol w:w="109"/>
        <w:gridCol w:w="109"/>
        <w:gridCol w:w="194"/>
        <w:gridCol w:w="194"/>
        <w:gridCol w:w="483"/>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per Average Selling Square Foot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per Average Store (in thousands)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Store Size (selling square feet)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Square Feet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(a)Sales per average selling square foot and sales per average store, which are indicators of store productivity, are calculated based on store sales for the period divided by the average, including the beginning and end of period, of total selling square footage and store count,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Company-operated store data for 2025: </w:t>
      </w:r>
    </w:p>
    <w:tbl>
      <w:tblPr>
        <w:tblW w:w="6293" w:type="dxa"/>
        <w:jc w:val="left"/>
        <w:tblInd w:w="0" w:type="dxa"/>
        <w:tblLayout w:type="fixed"/>
        <w:tblCellMar>
          <w:top w:w="28" w:type="dxa"/>
          <w:left w:w="28" w:type="dxa"/>
          <w:bottom w:w="28" w:type="dxa"/>
          <w:right w:w="28" w:type="dxa"/>
        </w:tblCellMar>
      </w:tblPr>
      <w:tblGrid>
        <w:gridCol w:w="435"/>
        <w:gridCol w:w="381"/>
        <w:gridCol w:w="383"/>
        <w:gridCol w:w="458"/>
        <w:gridCol w:w="458"/>
        <w:gridCol w:w="464"/>
        <w:gridCol w:w="109"/>
        <w:gridCol w:w="109"/>
        <w:gridCol w:w="109"/>
        <w:gridCol w:w="220"/>
        <w:gridCol w:w="220"/>
        <w:gridCol w:w="221"/>
        <w:gridCol w:w="109"/>
        <w:gridCol w:w="109"/>
        <w:gridCol w:w="109"/>
        <w:gridCol w:w="218"/>
        <w:gridCol w:w="218"/>
        <w:gridCol w:w="196"/>
        <w:gridCol w:w="109"/>
        <w:gridCol w:w="109"/>
        <w:gridCol w:w="109"/>
        <w:gridCol w:w="421"/>
        <w:gridCol w:w="421"/>
        <w:gridCol w:w="59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Partner-operated Store Data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partner-operated store data for 2025:</w:t>
      </w:r>
    </w:p>
    <w:tbl>
      <w:tblPr>
        <w:tblW w:w="7479" w:type="dxa"/>
        <w:jc w:val="left"/>
        <w:tblInd w:w="0" w:type="dxa"/>
        <w:tblLayout w:type="fixed"/>
        <w:tblCellMar>
          <w:top w:w="28" w:type="dxa"/>
          <w:left w:w="28" w:type="dxa"/>
          <w:bottom w:w="28" w:type="dxa"/>
          <w:right w:w="28" w:type="dxa"/>
        </w:tblCellMar>
      </w:tblPr>
      <w:tblGrid>
        <w:gridCol w:w="863"/>
        <w:gridCol w:w="760"/>
        <w:gridCol w:w="762"/>
        <w:gridCol w:w="458"/>
        <w:gridCol w:w="458"/>
        <w:gridCol w:w="464"/>
        <w:gridCol w:w="109"/>
        <w:gridCol w:w="109"/>
        <w:gridCol w:w="109"/>
        <w:gridCol w:w="220"/>
        <w:gridCol w:w="220"/>
        <w:gridCol w:w="221"/>
        <w:gridCol w:w="109"/>
        <w:gridCol w:w="109"/>
        <w:gridCol w:w="109"/>
        <w:gridCol w:w="218"/>
        <w:gridCol w:w="218"/>
        <w:gridCol w:w="196"/>
        <w:gridCol w:w="109"/>
        <w:gridCol w:w="109"/>
        <w:gridCol w:w="109"/>
        <w:gridCol w:w="421"/>
        <w:gridCol w:w="421"/>
        <w:gridCol w:w="598"/>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 Travel Retail</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International (a)</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store locations only and does not include kiosks, shop-in-shops, gondola or beauty counter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Operations—2025 Compared to 2024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Net Sales for 2025 in comparison to 2024:</w:t>
      </w:r>
    </w:p>
    <w:tbl>
      <w:tblPr>
        <w:tblW w:w="5846" w:type="dxa"/>
        <w:jc w:val="center"/>
        <w:tblInd w:w="0" w:type="dxa"/>
        <w:tblLayout w:type="fixed"/>
        <w:tblCellMar>
          <w:top w:w="28" w:type="dxa"/>
          <w:left w:w="28" w:type="dxa"/>
          <w:bottom w:w="28" w:type="dxa"/>
          <w:right w:w="28" w:type="dxa"/>
        </w:tblCellMar>
      </w:tblPr>
      <w:tblGrid>
        <w:gridCol w:w="851"/>
        <w:gridCol w:w="749"/>
        <w:gridCol w:w="755"/>
        <w:gridCol w:w="211"/>
        <w:gridCol w:w="616"/>
        <w:gridCol w:w="109"/>
        <w:gridCol w:w="109"/>
        <w:gridCol w:w="109"/>
        <w:gridCol w:w="109"/>
        <w:gridCol w:w="211"/>
        <w:gridCol w:w="616"/>
        <w:gridCol w:w="109"/>
        <w:gridCol w:w="109"/>
        <w:gridCol w:w="109"/>
        <w:gridCol w:w="109"/>
        <w:gridCol w:w="210"/>
        <w:gridCol w:w="211"/>
        <w:gridCol w:w="54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 U.S. and Canada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 U.S. and 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fulfilled buy online, pickup in store (“BOPIS”) orders.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(b)Results include royalties associated with franchised stores and wholesale sales.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Net Sales were $7,291 million and decreased $16 million, or 0.2%, compared to 2024. Direct Net Sales decreased $79 million, or 5.4%, due to a decline in fulfilled orders, which was primarily due to our customers continuing to select our BOPIS option (which is recognized as store Net Sales), partially offset by an increased average order size. Stores Net Sales increased $48 million, or 0.9%, primarily driven by an increase in transactions due to higher BOPIS fulfilled orders and new store growth. International Net Sales increased $15 million, or 4.9%, compared to 2024.</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Gross Profit was $3,189 million, which decreased $45 million compared to 2024, and our Gross Profit rate (expressed as a percentage of Net Sales) was 43.7%, which decreased from 44.3% in 2024. Gross Profit dollars decreased due to the decline in the merchandise margin rate, primarily driven by tariffs, partially offset by lower Buying and Occupancy Expenses, which benefited from exiting a third-party fulfillment center in the first quarter of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Gross Profit rate decreased due to the lower merchandise margin rate, primarily driven by tariffs, partially offset by the decline in Buying and Occupancy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General, Administrative and Store 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for our General, Administrative and Store Operating Expenses for 2025 compared to 2024:</w:t>
      </w:r>
    </w:p>
    <w:tbl>
      <w:tblPr>
        <w:tblW w:w="10205" w:type="dxa"/>
        <w:jc w:val="left"/>
        <w:tblInd w:w="0" w:type="dxa"/>
        <w:tblLayout w:type="fixed"/>
        <w:tblCellMar>
          <w:top w:w="28" w:type="dxa"/>
          <w:left w:w="28" w:type="dxa"/>
          <w:bottom w:w="28" w:type="dxa"/>
          <w:right w:w="28" w:type="dxa"/>
        </w:tblCellMar>
      </w:tblPr>
      <w:tblGrid>
        <w:gridCol w:w="1002"/>
        <w:gridCol w:w="833"/>
        <w:gridCol w:w="800"/>
        <w:gridCol w:w="214"/>
        <w:gridCol w:w="627"/>
        <w:gridCol w:w="110"/>
        <w:gridCol w:w="109"/>
        <w:gridCol w:w="109"/>
        <w:gridCol w:w="109"/>
        <w:gridCol w:w="261"/>
        <w:gridCol w:w="244"/>
        <w:gridCol w:w="539"/>
        <w:gridCol w:w="109"/>
        <w:gridCol w:w="109"/>
        <w:gridCol w:w="109"/>
        <w:gridCol w:w="214"/>
        <w:gridCol w:w="627"/>
        <w:gridCol w:w="110"/>
        <w:gridCol w:w="109"/>
        <w:gridCol w:w="109"/>
        <w:gridCol w:w="109"/>
        <w:gridCol w:w="261"/>
        <w:gridCol w:w="244"/>
        <w:gridCol w:w="539"/>
        <w:gridCol w:w="109"/>
        <w:gridCol w:w="109"/>
        <w:gridCol w:w="109"/>
        <w:gridCol w:w="272"/>
        <w:gridCol w:w="466"/>
        <w:gridCol w:w="140"/>
        <w:gridCol w:w="109"/>
        <w:gridCol w:w="109"/>
        <w:gridCol w:w="109"/>
        <w:gridCol w:w="248"/>
        <w:gridCol w:w="209"/>
        <w:gridCol w:w="610"/>
      </w:tblGrid>
      <w:tr>
        <w:trPr/>
        <w:tc>
          <w:tcPr>
            <w:tcW w:w="10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Our total General, Administrative and Store Operating Expenses were $2,063 million, which increased $95 million compared to 2024, and the rate (expressed as a percentage of Net Sales) was 28.3%, which increased from 26.9% in 2024. Selling Expenses increased primarily due to higher payroll related costs, mainly driven by investments in wages and new stores, and higher healthcare costs. General and Administrative Expenses increased primarily due to $15 million of costs related to the transition of certain members of the leadership team and $14 million of business transformation activities.</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The General, Administrative and Store Operating Expense rate increased primarily due to higher healthcare costs, leadership transition costs, business transformation activities and the increase in payroll related costs, as well as incremental investments in marketing.</w:t>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Other Income and Expenses</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average daily borrowings and average borrowing rates for 2025 and 2024:</w:t>
      </w:r>
    </w:p>
    <w:tbl>
      <w:tblPr>
        <w:tblW w:w="5838" w:type="dxa"/>
        <w:jc w:val="left"/>
        <w:tblInd w:w="0" w:type="dxa"/>
        <w:tblLayout w:type="fixed"/>
        <w:tblCellMar>
          <w:top w:w="28" w:type="dxa"/>
          <w:left w:w="28" w:type="dxa"/>
          <w:bottom w:w="28" w:type="dxa"/>
          <w:right w:w="28" w:type="dxa"/>
        </w:tblCellMar>
      </w:tblPr>
      <w:tblGrid>
        <w:gridCol w:w="1184"/>
        <w:gridCol w:w="1041"/>
        <w:gridCol w:w="1045"/>
        <w:gridCol w:w="211"/>
        <w:gridCol w:w="616"/>
        <w:gridCol w:w="271"/>
        <w:gridCol w:w="109"/>
        <w:gridCol w:w="109"/>
        <w:gridCol w:w="109"/>
        <w:gridCol w:w="211"/>
        <w:gridCol w:w="616"/>
        <w:gridCol w:w="316"/>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borrowings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borrowing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Interest Expense was $276 million, which decreased $36 million compared to 2024. The decrease was due to lower average daily borrowings and borrowing rate, which were driven by the early extinguishment of outstanding notes in 2024.</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Other Income, Net was $32 million compared to $74 million for 2024. Included in 2025 is an $8 million pre-tax gain on the sale of a non-core asset. Included in 2024 is an aggregate $39 million pre-tax gain on sales of certain Easton investments and the recognition of a $10 million pre-tax loss on extinguishment of outstanding notes. The remaining decrease is primarily due to lower interest income on invested cash in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26.4% compared to 22.4% in 2024. The 2025 rate was higher than our combined estimated federal and state statutory rate primarily due to accrued interest expense related to unrecognized tax benefits. The 2024 rate was lower than our combined estimated federal and state statutory rate primarily due to the sales of Easton investments, which resulted in the release of a valuation allowance on a deferred tax asset.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discussion regarding our financial condition for 2024 compared to 2023 can be found under Item 7. of our Annual Report on Form 10-K for the year ended February 1, 2025, filed with the SEC on March 14,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future common stock and debt repurchases, and capital expenditures. Our cash provided from operations is impacted by our net income and working capital changes. Our net income is impacted by, among other things, sales volume, seasonal sales patterns, success of new product introductions and product and market expansions, profit margins, income taxes and inflationary pressures. Our sales are typically highest during the fourth quarter of the fiscal year due to seasonal and holiday-related sales patterns. Generally, our need for working capital peaks during the summer and fall months as inventory builds in anticipation of the holiday period. Our cash and cash equivalents held by foreign subsidiaries were $210 million as of January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2025, we did not repurchase any of our outstanding senior notes. However, subsequent to January 31, 2026, we issued a notice of redemption for any and all outstanding of our 6.694% Senior Notes due January 2027. We expect the aggregate redemption price to be approximately $289 million, to be paid in the first quarter of fiscal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repurchased 15.1 million shares of our common stock for $400 million. We may, from time to time, repurchase, or otherwise retire, additional debt or shares of our common stock, as applicable.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cash position, our cash flows generated from operations and our borrowing capacity under our ABL Facility will be sufficient to meet our liquidity needs, including capital expenditure requirements, for at least the next twelve months.</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Debt Leverage Ratio</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debt leverage ratio is defined as adjusted debt, which includes our short-term and long-term debt as well as total operating lease liabilities, divided by earnings before interest, taxes, depreciation, amortization and rent (“EBITDAR”). EBITDAR is calculated as Total Company Adjusted Operating Income, or Operating Income in periods where there are no adjustments, which excludes interest and taxes, before depreciation, amortization and lease costs. Our debt leverage ratio is a non-GAAP financial measure which we believe is useful to analyze our capital structure. Our debt leverage ratio calculation may not be comparable to similarly-titled measures reported by other companies. Our debt leverage ratio should be evaluated in addition to, and not considered a substitute for, other GAAP financial measures.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debt leverage ratio as of, and for the years ended, January 31, 2026 and February 1, 2025:</w:t>
      </w:r>
    </w:p>
    <w:tbl>
      <w:tblPr>
        <w:tblW w:w="5141" w:type="dxa"/>
        <w:jc w:val="left"/>
        <w:tblInd w:w="0" w:type="dxa"/>
        <w:tblLayout w:type="fixed"/>
        <w:tblCellMar>
          <w:top w:w="28" w:type="dxa"/>
          <w:left w:w="28" w:type="dxa"/>
          <w:bottom w:w="28" w:type="dxa"/>
          <w:right w:w="28" w:type="dxa"/>
        </w:tblCellMar>
      </w:tblPr>
      <w:tblGrid>
        <w:gridCol w:w="1014"/>
        <w:gridCol w:w="892"/>
        <w:gridCol w:w="898"/>
        <w:gridCol w:w="223"/>
        <w:gridCol w:w="652"/>
        <w:gridCol w:w="115"/>
        <w:gridCol w:w="109"/>
        <w:gridCol w:w="109"/>
        <w:gridCol w:w="109"/>
        <w:gridCol w:w="219"/>
        <w:gridCol w:w="641"/>
        <w:gridCol w:w="160"/>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Debt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EBITDAR</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Leverage Ratio</w:t>
            </w:r>
          </w:p>
        </w:tc>
        <w:tc>
          <w:tcPr>
            <w:tcW w:w="990"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60" w:after="6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free cash flow is defined as net cash provided by operating activities less capital expenditures. Free cash flow is a non-GAAP financial measure which we believe is useful to analyze our ability to generate cash. Our free cash flow calculation may not be comparable to similarly-titled measures reported by other companies. Our free cash flow calculation should be evaluated in addition to, and not considered a substitute for, other GAAP financial measures.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free cash flows for 2025 and 2024:</w:t>
      </w:r>
    </w:p>
    <w:tbl>
      <w:tblPr>
        <w:tblW w:w="6152" w:type="dxa"/>
        <w:jc w:val="left"/>
        <w:tblInd w:w="0" w:type="dxa"/>
        <w:tblLayout w:type="fixed"/>
        <w:tblCellMar>
          <w:top w:w="28" w:type="dxa"/>
          <w:left w:w="28" w:type="dxa"/>
          <w:bottom w:w="28" w:type="dxa"/>
          <w:right w:w="28" w:type="dxa"/>
        </w:tblCellMar>
      </w:tblPr>
      <w:tblGrid>
        <w:gridCol w:w="1390"/>
        <w:gridCol w:w="1221"/>
        <w:gridCol w:w="1229"/>
        <w:gridCol w:w="211"/>
        <w:gridCol w:w="616"/>
        <w:gridCol w:w="109"/>
        <w:gridCol w:w="109"/>
        <w:gridCol w:w="109"/>
        <w:gridCol w:w="109"/>
        <w:gridCol w:w="211"/>
        <w:gridCol w:w="466"/>
        <w:gridCol w:w="109"/>
        <w:gridCol w:w="109"/>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(a)Fiscal 2024 includes tax payments of $65 million related to the sales of our investments in Easton Town Center and Easton Gateway.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Consolidated Statements of Cash Flows for 2025 and 2024:</w:t>
      </w:r>
    </w:p>
    <w:tbl>
      <w:tblPr>
        <w:tblW w:w="7742" w:type="dxa"/>
        <w:jc w:val="left"/>
        <w:tblInd w:w="0" w:type="dxa"/>
        <w:tblLayout w:type="fixed"/>
        <w:tblCellMar>
          <w:top w:w="28" w:type="dxa"/>
          <w:left w:w="28" w:type="dxa"/>
          <w:bottom w:w="28" w:type="dxa"/>
          <w:right w:w="28" w:type="dxa"/>
        </w:tblCellMar>
      </w:tblPr>
      <w:tblGrid>
        <w:gridCol w:w="1966"/>
        <w:gridCol w:w="1730"/>
        <w:gridCol w:w="1734"/>
        <w:gridCol w:w="211"/>
        <w:gridCol w:w="466"/>
        <w:gridCol w:w="109"/>
        <w:gridCol w:w="109"/>
        <w:gridCol w:w="109"/>
        <w:gridCol w:w="109"/>
        <w:gridCol w:w="211"/>
        <w:gridCol w:w="616"/>
        <w:gridCol w:w="109"/>
        <w:gridCol w:w="109"/>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for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for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 2025 was $1,102 million, including net income of $649 million. Net income included depreciation of $254 million, deferred income tax expense of $63 million and share-based compensation expense of $31 million. Other changes in assets and liabilities represent items that had a current period cash flow impact, such as changes in working capital. The most significant items in working capital were the cash flow benefit in Accounts Payable, Accrued Expenses and Other of $111 million due to our efforts to improve working capital and the $57 million cash flow detriment associated with Income Taxes Payable. </w:t>
      </w:r>
    </w:p>
    <w:p>
      <w:pPr>
        <w:pStyle w:val="TextBody"/>
        <w:bidi w:val="0"/>
        <w:spacing w:lineRule="auto" w:line="256"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 2024 was $866 million, including net income of $798 million. Net income included depreciation of $282 million, a deferred income tax benefit of $112 million, share-based compensation expense of $40 million and an aggregate pre-tax gain on sales of certain Easton investments of $39 million. Other changes in assets and liabilities represent items that had a current period cash flow impact, such as changes in working capital. The most significant items in working capital were the $50 million decrease associated with Accounts Payable, Accrued Expenses and Other, the $26 million decrease associated with Inventory and the $23 million decrease associated with Income Taxes Payable.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2025 was $227 million, primarily related to capital expenditures of $237 million, partially offset by aggregate cash proceeds of $9 million related to the sale of a Non-core asset. The capital expenditures included approximately $140 million related to new off-mall stores and remodels of existing stores, approximately $45 million for various IT projects, primarily to support the growth and profitability of our business, and approximately $25 million related to distribution and logistics capabilities.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2024 was $162 million, primarily related to capital expenditures of $226 million, partially offset by aggregate cash proceeds, net of fees, of $40 million related to the sales of certain Easton investments. The capital expenditures included approximately $140 million related to new off-mall stores and remodels of existing stores, approximately $45 million for various IT projects, primarily to support the growth and profitability of our business, and approximately $25 million related to distribution and logistics capabilities.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2026, we expect to invest approximately $270 million in capital expenditures, focused on high return real estate, Consumer First Formula investments, largely related to product assortment, and logistics and fulfillment upgrades.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 2025 was $599 million, primarily consisting of $401 million for share repurchases, dividend payments of $0.80 per share, or $167 million and payments on finance leases of $14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 2024 was $1,132 million, primarily consisting of $522 million for debt repurchases, $401 million for share repurchases, dividend payments of $0.80 per share, or $177 million, $17 million for payments on finance leases and tax payments of $16 million related to share-based awards.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Common Stock and Debt Repurchases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Board will determine share and debt repurchase authorizations,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share and debt repurchase programs. The timing and amount of any repurchases will be made at our discretion, taking into account a number of factors, including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Common Stock Repurchases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Under the authority of our Board, we repurchased shares of our common stock under the following repurchase programs during 2025 and 2024:</w:t>
      </w:r>
    </w:p>
    <w:tbl>
      <w:tblPr>
        <w:tblW w:w="9816"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216"/>
        <w:gridCol w:w="632"/>
        <w:gridCol w:w="111"/>
        <w:gridCol w:w="109"/>
        <w:gridCol w:w="109"/>
        <w:gridCol w:w="109"/>
        <w:gridCol w:w="360"/>
        <w:gridCol w:w="361"/>
        <w:gridCol w:w="156"/>
        <w:gridCol w:w="115"/>
        <w:gridCol w:w="115"/>
        <w:gridCol w:w="115"/>
        <w:gridCol w:w="360"/>
        <w:gridCol w:w="361"/>
        <w:gridCol w:w="158"/>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Repurchase </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Stock Price</w:t>
            </w:r>
          </w:p>
        </w:tc>
      </w:tr>
      <w:tr>
        <w:trPr/>
        <w:tc>
          <w:tcPr>
            <w:tcW w:w="13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share repurchases of $1 million reflected in Accounts Payable on the Consolidated Balance Sheet as of February 1, 2025. On February 27, 2025, we cancelled the remaining $121 million authorization available under the January 2024 Program and began repurchasing shares under the January 2025 Program.</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January 2025 Program had $117 million and $500 million of remaining authority as of January 31, 2026 and February 1, 2025, respectively. There were no share repurchases reflected in Accounts Payable on the Consolidated Balance Sheet as of January 31, 2026.</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Dividend Policy and Procedures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Board will determine future dividends after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dividends.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paid the following dividends during 2025 and 2024:</w:t>
      </w:r>
    </w:p>
    <w:tbl>
      <w:tblPr>
        <w:tblW w:w="4458" w:type="dxa"/>
        <w:jc w:val="left"/>
        <w:tblInd w:w="0" w:type="dxa"/>
        <w:tblLayout w:type="fixed"/>
        <w:tblCellMar>
          <w:top w:w="28" w:type="dxa"/>
          <w:left w:w="28" w:type="dxa"/>
          <w:bottom w:w="28" w:type="dxa"/>
          <w:right w:w="28" w:type="dxa"/>
        </w:tblCellMar>
      </w:tblPr>
      <w:tblGrid>
        <w:gridCol w:w="494"/>
        <w:gridCol w:w="433"/>
        <w:gridCol w:w="437"/>
        <w:gridCol w:w="392"/>
        <w:gridCol w:w="950"/>
        <w:gridCol w:w="202"/>
        <w:gridCol w:w="109"/>
        <w:gridCol w:w="109"/>
        <w:gridCol w:w="109"/>
        <w:gridCol w:w="109"/>
        <w:gridCol w:w="109"/>
        <w:gridCol w:w="255"/>
        <w:gridCol w:w="564"/>
        <w:gridCol w:w="18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Paid</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2025 Total</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2024 Total</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March 6, 2026, we paid our first quarter 2026 ordinary dividend of $0.20 per share to stockholders of record at the close of business on February 20,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Long-term Debt and Borrowing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outstanding debt balances, net of unamortized debt issuance costs and discounts, as of January 31, 2026 and February 1, 2025:</w:t>
      </w:r>
    </w:p>
    <w:tbl>
      <w:tblPr>
        <w:tblW w:w="9431" w:type="dxa"/>
        <w:jc w:val="left"/>
        <w:tblInd w:w="0" w:type="dxa"/>
        <w:tblLayout w:type="fixed"/>
        <w:tblCellMar>
          <w:top w:w="28" w:type="dxa"/>
          <w:left w:w="28" w:type="dxa"/>
          <w:bottom w:w="28" w:type="dxa"/>
          <w:right w:w="28" w:type="dxa"/>
        </w:tblCellMar>
      </w:tblPr>
      <w:tblGrid>
        <w:gridCol w:w="2568"/>
        <w:gridCol w:w="2259"/>
        <w:gridCol w:w="2267"/>
        <w:gridCol w:w="223"/>
        <w:gridCol w:w="652"/>
        <w:gridCol w:w="115"/>
        <w:gridCol w:w="109"/>
        <w:gridCol w:w="109"/>
        <w:gridCol w:w="109"/>
        <w:gridCol w:w="219"/>
        <w:gridCol w:w="641"/>
        <w:gridCol w:w="160"/>
      </w:tblGrid>
      <w:tr>
        <w:trPr/>
        <w:tc>
          <w:tcPr>
            <w:tcW w:w="2568"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 with Subsidiary Guarantee</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$284 million, 6.694% Fixed Interest Rate Notes due January 2027 (“2027 Notes”)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$444 million, 5.250% Fixed Interest Rate Notes due February 2028 (“2028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$482 million, 7.500% Fixed Interest Rate Notes due June 2029 (“2029 Notes”)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$844 million, 6.625% Fixed Interest Rate Notes due October 2030 (“2030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$802 million, 6.875% Fixed Interest Rate Notes due November 2035 (“2035 Notes”)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million, 6.750% Fixed Interest Rate Notes due July 2036 (“2036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 with Subsidiary Guarantee</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$284 million, 6.950% Fixed Interest Rate Debentures due March 2033 (“2033 Notes”)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 million, 7.600% Fixed Interest Rate Notes due July 2037 (“2037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Repurchases of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losses and gains on the extinguishment of debt, which include the write-offs of unamortized issuance costs and discounts, are included in Other Income, Net in the Consolidated Statements of Income. There were no repurchases of outstanding senior notes in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Subsequent to January 31, 2026, we issued a notice of redemption for any and all outstanding of our 6.694% Senior Notes due January 2027. We expect the aggregate redemption price to be approximately $289 million, and to recognize a pre-tax loss of approximately $9 million in the first quarter of fiscal 2026 as a result of this redemption.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2024 Repurchases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2024, we repurchased in the open market and extinguished $200 million principal amount of our outstanding senior notes. The aggregate repurchase price for these notes was $202 million, resulting in an aggregate pre-tax loss of $3 million, including the write-off of unamortized issuance costs and discounts.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2024, we also completed a make-whole call to repurchase the remaining $314 million principal amount of our outstanding 2025 Notes. The repurchase price for these notes was $320 million, resulting in a pre-tax loss of $7 million, including the write-off of unamortized issuance costs and discounts.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outstanding principal amounts of senior notes repurchased and extinguished during 2024:</w:t>
      </w:r>
    </w:p>
    <w:tbl>
      <w:tblPr>
        <w:tblW w:w="2208"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211"/>
        <w:gridCol w:w="466"/>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Asset-backed Revolving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and certain of our 100% owned subsidiaries guarantee and pledge collateral to secure our ABL Facility. The ABL Facility, which allows borrowings and letters of credit in U.S. and Canadian dollars, has aggregate commitments of $750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In May 2025, we entered into an amendment and restatement (“Amendment”) of the ABL Facility. The Amendment removed the interest rate credit spread adjustment of 0.10%, extended the expiration date from August 2026 to May 2030 and included certain other technical amendments.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Availability under the ABL Facility is the lesser of (i) the borrowing base, determined primarily based on our eligible U.S. and Canadian credit card receivables, accounts receivable, inventory and eligible real property, or (ii) the aggregate commitment. If at any time the outstanding amount under the ABL Facility exceeds the lesser of (i) the borrowing base and (ii) the aggregate commitment, we are required to repay the outstanding amounts under the ABL Facility to the extent of such excess. As of January 31, 2026, our borrowing base was $482 million and we had no borrowings outstanding under the ABL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ABL Facility supports our letter of credit program. We had $9 million of outstanding letters of credit as of January 31, 2026 that reduced our availability under the ABL Facility. As of January 31, 2026, our availability under the ABL Facility was $473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January 31, 2026, the ABL Facility fees related to committed and unutilized amounts were 0.30% per annum, and the fees related to outstanding letters of credit were 1.25% per annum. In addition, the interest rate on outstanding U.S. dollar borrowings was the Term Secured Overnight Financing Rate plus 1.25% per annum. The interest rate on outstanding Canadian dollar-denominated borrowings was the Canadian Overnight Repo Rate Average plus 1.25% per annum.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ABL Facility requires us to maintain a fixed charge coverage ratio of not less than 1.00 to 1.00 during an event of default or any period commencing on any day when specified excess availability is less than the greater of (i) $70 million or (ii) 10% of the maximum borrowing amount. As of January 31, 2026, we were not required to maintain this ratio.</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Credit Ratings</w:t>
      </w:r>
    </w:p>
    <w:p>
      <w:pPr>
        <w:pStyle w:val="TextBody"/>
        <w:bidi w:val="0"/>
        <w:spacing w:lineRule="auto" w:line="288" w:before="120" w:after="120"/>
        <w:jc w:val="left"/>
        <w:rPr/>
      </w:pPr>
      <w:r>
        <w:rPr>
          <w:rFonts w:ascii="Times New Roman;serif" w:hAnsi="Times New Roman;serif"/>
          <w:b w:val="false"/>
          <w:color w:val="000000"/>
          <w:sz w:val="20"/>
        </w:rPr>
        <w:t>The following table provides our credit ratings as of January 31, 2026:</w:t>
      </w:r>
      <w:r>
        <w:rPr>
          <w:color w:val="000000"/>
        </w:rPr>
        <w:t> </w:t>
      </w:r>
    </w:p>
    <w:tbl>
      <w:tblPr>
        <w:tblW w:w="5893" w:type="dxa"/>
        <w:jc w:val="left"/>
        <w:tblInd w:w="0" w:type="dxa"/>
        <w:tblLayout w:type="fixed"/>
        <w:tblCellMar>
          <w:top w:w="28" w:type="dxa"/>
          <w:left w:w="28" w:type="dxa"/>
          <w:bottom w:w="28" w:type="dxa"/>
          <w:right w:w="28" w:type="dxa"/>
        </w:tblCellMar>
      </w:tblPr>
      <w:tblGrid>
        <w:gridCol w:w="1506"/>
        <w:gridCol w:w="1325"/>
        <w:gridCol w:w="1338"/>
        <w:gridCol w:w="245"/>
        <w:gridCol w:w="245"/>
        <w:gridCol w:w="246"/>
        <w:gridCol w:w="109"/>
        <w:gridCol w:w="109"/>
        <w:gridCol w:w="109"/>
        <w:gridCol w:w="219"/>
        <w:gridCol w:w="196"/>
        <w:gridCol w:w="246"/>
      </w:tblGrid>
      <w:tr>
        <w:trPr/>
        <w:tc>
          <w:tcPr>
            <w:tcW w:w="150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S&amp;P</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Debt with Subsidiary Guarantee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Debt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Outlook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Guarantor Summarized Financial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which are listed on Exhibit 22 to this Annual Report on Form 10-K, have guaranteed our obligations under the 2027 Notes, 2028 Notes, 2029 Notes, 2030 Notes, 2035 Notes and 2036 Notes (collectively, the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Notes have been issued by Bath &amp; Body Works, Inc. (the “Parent Company”). The Notes are its senior unsecured obligations and rank equally in right of payment with all of our existing and future senior unsecured obligations, are senior to any of our future subordinated indebtedness, are effectively subordinated to all of our existing and future indebtedness that is secured by a lien and are structurally subordinated to all existing and future obligations of each of our subsidiaries that do not guarantee the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Notes are fully and unconditionally guaranteed on a joint and several basis by certain of our wholly-owned subsidiaries, including certain subsidiaries that also guarantee our obligations under our ABL Facility (such guarantees, the “Guarantees”; and, such guaranteeing subsidiaries, the “Subsidiary Guarantors”). The Guarantees of the Subsidiary Guarantors are subject to release in limited circumstances only upon the occurrence of certain customary conditions. Each Guarantee is limited, by its terms, to an amount not to exceed the maximum amount that can be guaranteed by the applicable Subsidiary Guarantor subject to avoidance under applicable fraudulent conveyance provisions of U.S. and non-U.S. law.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summarized financial information for the Parent Company and the Subsidiary Guarantors on a combined basis after elimination of (i) intercompany transactions and balances among the Parent Company and the Subsidiary Guarantors and (ii) investments in and equity in the earnings of non-Guarantor subsidiaries.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tbl>
      <w:tblPr>
        <w:tblW w:w="6112" w:type="dxa"/>
        <w:jc w:val="left"/>
        <w:tblInd w:w="0" w:type="dxa"/>
        <w:tblLayout w:type="fixed"/>
        <w:tblCellMar>
          <w:top w:w="28" w:type="dxa"/>
          <w:left w:w="28" w:type="dxa"/>
          <w:bottom w:w="28" w:type="dxa"/>
          <w:right w:w="28" w:type="dxa"/>
        </w:tblCellMar>
      </w:tblPr>
      <w:tblGrid>
        <w:gridCol w:w="1772"/>
        <w:gridCol w:w="1556"/>
        <w:gridCol w:w="1562"/>
        <w:gridCol w:w="216"/>
        <w:gridCol w:w="632"/>
        <w:gridCol w:w="111"/>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60" w:after="60"/>
              <w:jc w:val="left"/>
              <w:rPr>
                <w:rFonts w:ascii="Times New Roman;serif" w:hAnsi="Times New Roman;serif"/>
                <w:b/>
                <w:color w:val="000000"/>
                <w:sz w:val="20"/>
              </w:rPr>
            </w:pPr>
            <w:r>
              <w:rPr>
                <w:rFonts w:ascii="Times New Roman;serif" w:hAnsi="Times New Roman;serif"/>
                <w:b/>
                <w:color w:val="000000"/>
                <w:sz w:val="20"/>
              </w:rPr>
              <w:t>JANUARY 31, 2026 SUMMARIZED BALANCE SHEET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(a)</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Assets </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(b)</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amounts due from non-Guarantor subsidiaries of $596 million as of January 31, 2026.</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(b)Includes amounts due to non-Guarantor subsidiaries of $1,501 million as of January 31, 2026.</w:t>
      </w:r>
    </w:p>
    <w:p>
      <w:pPr>
        <w:pStyle w:val="TextBody"/>
        <w:bidi w:val="0"/>
        <w:spacing w:before="60" w:after="60"/>
        <w:ind w:left="0" w:right="0" w:hanging="360"/>
        <w:jc w:val="left"/>
        <w:rPr/>
      </w:pPr>
      <w:r>
        <w:rPr/>
      </w:r>
    </w:p>
    <w:tbl>
      <w:tblPr>
        <w:tblW w:w="5601" w:type="dxa"/>
        <w:jc w:val="left"/>
        <w:tblInd w:w="0" w:type="dxa"/>
        <w:tblLayout w:type="fixed"/>
        <w:tblCellMar>
          <w:top w:w="28" w:type="dxa"/>
          <w:left w:w="28" w:type="dxa"/>
          <w:bottom w:w="28" w:type="dxa"/>
          <w:right w:w="28" w:type="dxa"/>
        </w:tblCellMar>
      </w:tblPr>
      <w:tblGrid>
        <w:gridCol w:w="1587"/>
        <w:gridCol w:w="1393"/>
        <w:gridCol w:w="1399"/>
        <w:gridCol w:w="216"/>
        <w:gridCol w:w="632"/>
        <w:gridCol w:w="111"/>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SUMMARIZED STATEMENT OF INCOME</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(a)</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Net Sales of $181 million to non-Guarantor subsidiaries.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(b)Includes a Net Loss of $23 million related to transactions with non-Guarantor subsidiaries.</w:t>
      </w:r>
    </w:p>
    <w:p>
      <w:pPr>
        <w:pStyle w:val="TextBody"/>
        <w:bidi w:val="0"/>
        <w:spacing w:before="60" w:after="60"/>
        <w:ind w:left="0" w:right="0" w:hanging="360"/>
        <w:jc w:val="left"/>
        <w:rPr/>
      </w:pPr>
      <w:r>
        <w:rPr/>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Contingent Liabilities and Contractual Obligations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contractual obligations, aggregated by type, including the maturity profile as of January 31, 2026:</w:t>
      </w:r>
    </w:p>
    <w:tbl>
      <w:tblPr>
        <w:tblW w:w="9515" w:type="dxa"/>
        <w:jc w:val="left"/>
        <w:tblInd w:w="0" w:type="dxa"/>
        <w:tblLayout w:type="fixed"/>
        <w:tblCellMar>
          <w:top w:w="28" w:type="dxa"/>
          <w:left w:w="28" w:type="dxa"/>
          <w:bottom w:w="28" w:type="dxa"/>
          <w:right w:w="28" w:type="dxa"/>
        </w:tblCellMar>
      </w:tblPr>
      <w:tblGrid>
        <w:gridCol w:w="881"/>
        <w:gridCol w:w="772"/>
        <w:gridCol w:w="7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w:t>
              <w:br/>
              <w:t>Than 1</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w:t>
              <w:br/>
              <w:t>Than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Debt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Lease Obligations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(a)Outstanding Debt obligations relate to our principal and interest payments for outstanding notes and debentures. Interest payments have been estimated based on the coupon rate for fixed rate obligations for the contractual term of the obligation. Interest obligations exclude amounts which have been accrued through January 31, 2026. For additional information, see Note 10 to the Consolidated Financial Statements included in Item 8. Financial Statements and Supplementary Data.</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(b)Future lease obligations primarily represent minimum payments due under operating lease agreements. For additional information, see Note 6 to the Consolidated Financial Statements included in Item 8. Financial Statements and Supplementary Data.</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(d)Other liabilities include future estimated payments associated with unrecognized tax benefits. The “Less Than 1 Year” category includes $127 million of these tax items because it is reasonably possible that the amounts could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next 12 months due to audit settlements or resolution of uncertainties. The remaining portion, totaling $32 million, is included in the “Other” category as it is not reasonably possible that the amounts could change in the next 12 months.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Lease Guarantees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spin-off of Victoria’s Secret &amp; Co., we had remaining contingent obligations of $215 million as of January 31, 2026 related to lease payments under the current terms of noncancelable leases, primarily related to office space, expiring at various dates through 2037. These obligations include minimum rent and additional payments covering taxes, common area costs and certain other expenses and relate to leases that commenced prior to the spin-off. Our reserves related to these obligations were not significant for any period presented.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120"/>
        <w:jc w:val="left"/>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which requires enhanced income tax disclosures, primarily related to standardization and disaggregation of rate reconciliation categories and income taxes paid by jurisdiction. This standard is effective for fiscal years beginning after December 15, 2024, with early adoption permitted, and may be applied either prospectively or retrospectively. We adopted this standard prospectively in the fourth quarter of 2025. See Note 9 to the Consolidated Financial Statements included in Item 8. Financial Statements and Supplementary Data for the required disclosures.</w:t>
      </w:r>
    </w:p>
    <w:p>
      <w:pPr>
        <w:pStyle w:val="TextBody"/>
        <w:bidi w:val="0"/>
        <w:spacing w:lineRule="auto" w:line="288" w:before="120" w:after="1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We are currently evaluating the impact of adopting this standard on our disclosures.</w:t>
      </w:r>
    </w:p>
    <w:p>
      <w:pPr>
        <w:pStyle w:val="TextBody"/>
        <w:bidi w:val="0"/>
        <w:spacing w:lineRule="auto" w:line="288" w:before="120" w:after="12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which is intended to modernize the accounting for software costs by removing project stages from capitalization criteria and further clarifies the threshold entities apply to begin capitalizing costs. This standard is effective for annual reporting of fiscal years beginning after December 15, 2027, and for interim periods within those fiscal years, with early adoption permitted. This standard can be applied prospectively, retrospectively or through a modified transition approach. We are currently evaluating the impacts of adopting this standard.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valuation of long-lived store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and believes the following assumptions and estimates are most significant to reporting our results of operations and financial position.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Inventories are principally valued at the lower of cost or net realizable value, on an average cost basis.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record inventory loss adjustments for estimated physical inventory losses that have occurred since the date of the last physical inventory. These estimates are based on management’s analysis of historical results and current operating trends.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 assumptions used in these estimates are reasonable and appropriate. A 10% increase or decrease in the inventory valuation adjustment would have impacted Net Income by approximately $2 million for 2025. A 10% increase or decrease in the estimated physical inventory loss adjustment would have impacted Net Income by approximately $2 million for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Valuation of Long-lived Store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Long-lived store assets, which include leasehold improvements, store-related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When a decision has been made to dispose of property and equipment prior to the end of the previously estimated useful life, depreciation estimates are revised to reflect the use of the asset over the shortened estimated useful life.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Claims and 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subject to various claims and contingencies related to lawsuits, taxes, insurance, regulatory and other matters arising out of the normal course of business. Our determination of the treatment of claims and contingencies in the Consolidated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Financial Statements included in Item 8. Financial Statements and Supplementary Data.</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Statements of Income in the period that includes the enactment date. A valuation allowance is recorded to reduce the carrying amounts of deferred tax assets if it is more likely than not that such assets will not be realized.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Significant 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the Company’s operations and the level of earnings.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number of countries have enacted legislation to implement the Organization for Economic Cooperation and Development’s 15% global minimum tax regime (Pillar Two) with effect from January 1, 2024. We continue to evaluate the impacts of proposed and enacted legislation for the jurisdictions in which we operate.</w:t>
      </w:r>
    </w:p>
    <w:p>
      <w:pPr>
        <w:pStyle w:val="TextBody"/>
        <w:bidi w:val="0"/>
        <w:spacing w:lineRule="auto" w:line="288" w:before="120" w:after="120"/>
        <w:jc w:val="left"/>
        <w:rPr/>
      </w:pPr>
      <w:r>
        <w:rPr>
          <w:rFonts w:ascii="Times New Roman;serif" w:hAnsi="Times New Roman;serif"/>
          <w:b w:val="false"/>
          <w:color w:val="000000"/>
          <w:sz w:val="20"/>
        </w:rPr>
        <w:t xml:space="preserve">We follow the authoritative guidance included in ASC 740, </w:t>
      </w:r>
      <w:r>
        <w:rPr>
          <w:rFonts w:ascii="Times New Roman;serif" w:hAnsi="Times New Roman;serif"/>
          <w:b w:val="false"/>
          <w:i/>
          <w:color w:val="000000"/>
          <w:sz w:val="20"/>
        </w:rPr>
        <w:t>Income Taxes</w:t>
      </w:r>
      <w:r>
        <w:rPr>
          <w:rFonts w:ascii="Times New Roman;serif" w:hAnsi="Times New Roman;serif"/>
          <w:b w:val="false"/>
          <w:color w:val="000000"/>
          <w:sz w:val="20"/>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based on the amount we expect to receive when control of the goods or services is transferred to our customer. We recognize sales upon customer receipt of merchandise, which for direct channel revenues reflects an estimate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shipments that have not yet been received by the customer based on shipping terms and historical delivery times. Our shipping and handling revenues are included in Net Sales with the related costs included in Costs of Goods Sold, Buying and Occupancy in the Consolidated Statements of Income. We also provide a reserve for projected merchandise returns based on historical experience. Net Sales exclude sales and other similar taxes collected from customers.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offer a loyalty program that allows customers to earn points based on purchasing activity. As customers accumulate points and reach point thresholds, points are converted to rewards that may be used to purchase merchandise in stores or online. Points expire if a loyalty account is inactive for a certain period of time, while rewards expire if unused after approximately three months. We allocate revenue to points earned on qualifying purchases and defer recognition of revenue until the rewards are redeemed. The amount of revenue deferred is based on the relative stand-alone selling price method, which includes an estimate for points and rewards not expected to be redeemed based on historical experience.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sell gift cards with no expiration dates to customers. We do not charge administrative fees on unused gift cards. We recognize revenue from gift cards when they are redeemed by the customer. In addition, we recognize revenue on unredeemed gift cards when the likelihood of the gift cards being redeemed is remote and there is no legal obligation to remit the unredeemed gift cards to relevant jurisdictions (gift card breakage). Gift card breakage revenue is recognized in proportion to, and over the same period as, actual gift card redemptions. We determine the gift card breakage rate based on historical redemption patterns. Gift card breakage revenue is included in Net Sales in the Consolidated Statements of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Canadian dollar denominated earnings are subject to exchange rate risk as substantially all our merchandise sold in Canada is sourced through U.S. dollar transactions. Although we utilize foreign currency forward contracts to partially offset risks associated with our operations in Canada, these measures may not succeed in offsetting all the short-term impact of foreign currency rate movements and generally may not be effective in offsetting the long-term impact of sustained shifts in foreign currency rates.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objectives of our investment activities are the preservation of principal, the maintenance of liquidity and the maximization of interest income while minimizing risk. Our investment portfolio is primarily composed of U.S. government obligations, U.S. Treasury and AAA-rated money market funds, commercial paper and bank deposits. Given the short-term nature and quality of investments in our portfolio, we do not believe there is any material risk to principal associated with increases or decreases in interest rates.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All of our debt as of January 31, 2026 has fixed interest rates. We will from time to time adjust our exposure to interest rate risk by entering into interest rate swap arrangements. Our exposure to interest rate changes is limited to the fair value of the debt issued, which would not have a material impact on our earnings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maintain cash and cash equivalents and derivative contracts with various major financial institutions. We monitor the relative credit standing of financial institutions with whom we transact and limit the amount of credit exposure with any one entity. Our investment portfolio is primarily composed of U.S. government obligations, U.S. Treasury and AAA-rated money market funds, commercial paper and bank deposits. We also periodically review the relative credit standing of franchise, license and wholesale partners and other entities to which we grant credit terms in the normal course of business.</w:t>
      </w:r>
    </w:p>
    <w:p>
      <w:pPr>
        <w:pStyle w:val="TextBody"/>
        <w:bidi w:val="0"/>
        <w:spacing w:lineRule="auto" w:line="288" w:before="80" w:after="8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the principal value and estimated fair value of our outstanding debt as of January 31, 2026 and February 1, 2025: </w:t>
      </w:r>
    </w:p>
    <w:tbl>
      <w:tblPr>
        <w:tblW w:w="5259" w:type="dxa"/>
        <w:jc w:val="left"/>
        <w:tblInd w:w="0" w:type="dxa"/>
        <w:tblLayout w:type="fixed"/>
        <w:tblCellMar>
          <w:top w:w="28" w:type="dxa"/>
          <w:left w:w="28" w:type="dxa"/>
          <w:bottom w:w="28" w:type="dxa"/>
          <w:right w:w="28" w:type="dxa"/>
        </w:tblCellMar>
      </w:tblPr>
      <w:tblGrid>
        <w:gridCol w:w="766"/>
        <w:gridCol w:w="671"/>
        <w:gridCol w:w="677"/>
        <w:gridCol w:w="314"/>
        <w:gridCol w:w="918"/>
        <w:gridCol w:w="162"/>
        <w:gridCol w:w="109"/>
        <w:gridCol w:w="109"/>
        <w:gridCol w:w="109"/>
        <w:gridCol w:w="306"/>
        <w:gridCol w:w="895"/>
        <w:gridCol w:w="223"/>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 2025</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Value</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Estimated (a)</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estimated fair values are based on reported transaction prices and are not necessarily indicative of the amounts that we could realize in a current market exchange.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January 31, 2026, we believe that the carrying values of our Accounts Receivable, Accounts Payable and Accrued Expenses approximate their fair values because of their short maturities.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BATH &amp; BODY WORKS,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186" w:type="dxa"/>
        <w:jc w:val="left"/>
        <w:tblInd w:w="0" w:type="dxa"/>
        <w:tblLayout w:type="fixed"/>
        <w:tblCellMar>
          <w:top w:w="28" w:type="dxa"/>
          <w:left w:w="28" w:type="dxa"/>
          <w:bottom w:w="28" w:type="dxa"/>
          <w:right w:w="28" w:type="dxa"/>
        </w:tblCellMar>
      </w:tblPr>
      <w:tblGrid>
        <w:gridCol w:w="3393"/>
        <w:gridCol w:w="2987"/>
        <w:gridCol w:w="2995"/>
        <w:gridCol w:w="237"/>
        <w:gridCol w:w="237"/>
        <w:gridCol w:w="337"/>
      </w:tblGrid>
      <w:tr>
        <w:trPr/>
        <w:tc>
          <w:tcPr>
            <w:tcW w:w="3393"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58">
              <w:r>
                <w:rPr>
                  <w:rStyle w:val="InternetLink"/>
                  <w:rFonts w:ascii="Times New Roman;serif" w:hAnsi="Times New Roman;serif"/>
                  <w:b w:val="false"/>
                  <w:color w:val="0000FF"/>
                  <w:sz w:val="20"/>
                  <w:u w:val="single"/>
                </w:rPr>
                <w:t>Management’s Report on Internal Control Over Financial Reporting</w:t>
              </w:r>
            </w:hyperlink>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50eb9fc916d4aec970dab25c2f372f3_58">
              <w:r>
                <w:rPr>
                  <w:rStyle w:val="InternetLink"/>
                  <w:rFonts w:ascii="Times New Roman;serif" w:hAnsi="Times New Roman;serif"/>
                  <w:b w:val="false"/>
                  <w:strike w:val="false"/>
                  <w:dstrike w:val="false"/>
                  <w:color w:val="000000"/>
                  <w:sz w:val="20"/>
                  <w:u w:val="none"/>
                  <w:effect w:val="none"/>
                </w:rPr>
                <w:t>41</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61">
              <w:r>
                <w:rPr>
                  <w:rStyle w:val="InternetLink"/>
                  <w:rFonts w:ascii="Times New Roman;serif" w:hAnsi="Times New Roman;serif"/>
                  <w:b w:val="false"/>
                  <w:color w:val="0000FF"/>
                  <w:sz w:val="20"/>
                  <w:u w:val="single"/>
                </w:rPr>
                <w:t>Report of Independent Registered Public Accounting Firm on Internal Control Over Financial Reporting</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61">
              <w:r>
                <w:rPr>
                  <w:rStyle w:val="InternetLink"/>
                  <w:rFonts w:ascii="Times New Roman;serif" w:hAnsi="Times New Roman;serif"/>
                  <w:b w:val="false"/>
                  <w:strike w:val="false"/>
                  <w:dstrike w:val="false"/>
                  <w:color w:val="000000"/>
                  <w:sz w:val="20"/>
                  <w:u w:val="none"/>
                  <w:effect w:val="none"/>
                </w:rPr>
                <w:t>42</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50eb9fc916d4aec970dab25c2f372f3_64">
              <w:r>
                <w:rPr>
                  <w:rStyle w:val="InternetLink"/>
                  <w:rFonts w:ascii="Times New Roman;serif" w:hAnsi="Times New Roman;serif"/>
                  <w:b w:val="false"/>
                  <w:color w:val="0000FF"/>
                  <w:sz w:val="20"/>
                  <w:u w:val="single"/>
                </w:rPr>
                <w:t>Report of Independent Registered Public Accounting Firm on Consolidated Financial Statements</w:t>
              </w:r>
            </w:hyperlink>
            <w:r>
              <w:rPr>
                <w:color w:val="000000"/>
              </w:rPr>
              <w:t xml:space="preserve"> </w:t>
            </w:r>
            <w:r>
              <w:rPr>
                <w:rFonts w:ascii="Times New Roman;serif" w:hAnsi="Times New Roman;serif"/>
                <w:b w:val="false"/>
                <w:color w:val="000000"/>
                <w:sz w:val="20"/>
              </w:rPr>
              <w:t>(PCAOB ID: 42)</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64">
              <w:r>
                <w:rPr>
                  <w:rStyle w:val="InternetLink"/>
                  <w:rFonts w:ascii="Times New Roman;serif" w:hAnsi="Times New Roman;serif"/>
                  <w:b w:val="false"/>
                  <w:strike w:val="false"/>
                  <w:dstrike w:val="false"/>
                  <w:color w:val="000000"/>
                  <w:sz w:val="20"/>
                  <w:u w:val="none"/>
                  <w:effect w:val="none"/>
                </w:rPr>
                <w:t>43</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67">
              <w:r>
                <w:rPr>
                  <w:rStyle w:val="InternetLink"/>
                  <w:rFonts w:ascii="Times New Roman;serif" w:hAnsi="Times New Roman;serif"/>
                  <w:b w:val="false"/>
                  <w:color w:val="0000FF"/>
                  <w:sz w:val="20"/>
                  <w:u w:val="single"/>
                </w:rPr>
                <w:t>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67">
              <w:r>
                <w:rPr>
                  <w:rStyle w:val="InternetLink"/>
                  <w:rFonts w:ascii="Times New Roman;serif" w:hAnsi="Times New Roman;serif"/>
                  <w:b w:val="false"/>
                  <w:strike w:val="false"/>
                  <w:dstrike w:val="false"/>
                  <w:color w:val="000000"/>
                  <w:sz w:val="20"/>
                  <w:u w:val="none"/>
                  <w:effect w:val="none"/>
                </w:rPr>
                <w:t>44</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67">
              <w:r>
                <w:rPr>
                  <w:rStyle w:val="InternetLink"/>
                  <w:rFonts w:ascii="Times New Roman;serif" w:hAnsi="Times New Roman;serif"/>
                  <w:b w:val="false"/>
                  <w:color w:val="0000FF"/>
                  <w:sz w:val="20"/>
                  <w:u w:val="single"/>
                </w:rPr>
                <w:t>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67">
              <w:r>
                <w:rPr>
                  <w:rStyle w:val="InternetLink"/>
                  <w:rFonts w:ascii="Times New Roman;serif" w:hAnsi="Times New Roman;serif"/>
                  <w:b w:val="false"/>
                  <w:strike w:val="false"/>
                  <w:dstrike w:val="false"/>
                  <w:color w:val="000000"/>
                  <w:sz w:val="20"/>
                  <w:u w:val="none"/>
                  <w:effect w:val="none"/>
                </w:rPr>
                <w:t>44</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0">
              <w:r>
                <w:rPr>
                  <w:rStyle w:val="InternetLink"/>
                  <w:rFonts w:ascii="Times New Roman;serif" w:hAnsi="Times New Roman;serif"/>
                  <w:b w:val="false"/>
                  <w:color w:val="0000FF"/>
                  <w:sz w:val="20"/>
                  <w:u w:val="single"/>
                </w:rPr>
                <w:t>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70">
              <w:r>
                <w:rPr>
                  <w:rStyle w:val="InternetLink"/>
                  <w:rFonts w:ascii="Times New Roman;serif" w:hAnsi="Times New Roman;serif"/>
                  <w:b w:val="false"/>
                  <w:strike w:val="false"/>
                  <w:dstrike w:val="false"/>
                  <w:color w:val="000000"/>
                  <w:sz w:val="20"/>
                  <w:u w:val="none"/>
                  <w:effect w:val="none"/>
                </w:rPr>
                <w:t>45</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3">
              <w:r>
                <w:rPr>
                  <w:rStyle w:val="InternetLink"/>
                  <w:rFonts w:ascii="Times New Roman;serif" w:hAnsi="Times New Roman;serif"/>
                  <w:b w:val="false"/>
                  <w:color w:val="0000FF"/>
                  <w:sz w:val="20"/>
                  <w:u w:val="single"/>
                </w:rPr>
                <w:t>Consolidated Statements of Total Equity (Deficit)</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73">
              <w:r>
                <w:rPr>
                  <w:rStyle w:val="InternetLink"/>
                  <w:rFonts w:ascii="Times New Roman;serif" w:hAnsi="Times New Roman;serif"/>
                  <w:b w:val="false"/>
                  <w:strike w:val="false"/>
                  <w:dstrike w:val="false"/>
                  <w:color w:val="000000"/>
                  <w:sz w:val="20"/>
                  <w:u w:val="none"/>
                  <w:effect w:val="none"/>
                </w:rPr>
                <w:t>46</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6">
              <w:r>
                <w:rPr>
                  <w:rStyle w:val="InternetLink"/>
                  <w:rFonts w:ascii="Times New Roman;serif" w:hAnsi="Times New Roman;serif"/>
                  <w:b w:val="false"/>
                  <w:color w:val="0000FF"/>
                  <w:sz w:val="20"/>
                  <w:u w:val="single"/>
                </w:rPr>
                <w:t>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76">
              <w:r>
                <w:rPr>
                  <w:rStyle w:val="InternetLink"/>
                  <w:rFonts w:ascii="Times New Roman;serif" w:hAnsi="Times New Roman;serif"/>
                  <w:b w:val="false"/>
                  <w:strike w:val="false"/>
                  <w:dstrike w:val="false"/>
                  <w:color w:val="000000"/>
                  <w:sz w:val="20"/>
                  <w:u w:val="none"/>
                  <w:effect w:val="none"/>
                </w:rPr>
                <w:t>47</w:t>
              </w:r>
            </w:hyperlink>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9">
              <w:r>
                <w:rPr>
                  <w:rStyle w:val="InternetLink"/>
                  <w:rFonts w:ascii="Times New Roman;serif" w:hAnsi="Times New Roman;serif"/>
                  <w:b w:val="false"/>
                  <w:color w:val="0000FF"/>
                  <w:sz w:val="20"/>
                  <w:u w:val="single"/>
                </w:rPr>
                <w:t>Notes to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eb9fc916d4aec970dab25c2f372f3_79">
              <w:r>
                <w:rPr>
                  <w:rStyle w:val="InternetLink"/>
                  <w:rFonts w:ascii="Times New Roman;serif" w:hAnsi="Times New Roman;serif"/>
                  <w:b w:val="false"/>
                  <w:strike w:val="false"/>
                  <w:dstrike w:val="false"/>
                  <w:color w:val="000000"/>
                  <w:sz w:val="20"/>
                  <w:u w:val="none"/>
                  <w:effect w:val="none"/>
                </w:rPr>
                <w:t>48</w:t>
              </w:r>
            </w:hyperlink>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fiscal year ends on the Saturday nearest to January 31. Fiscal years are designated in the Consolidated Financial Statements and Notes by the calendar year in which the fiscal year commences. The results for fiscal 2025 refer to the 52-week period ended January 31, 2026, fiscal 2024 refers to 52-week period ended February 1, 2025 and fiscal 2023 refers to 53-week period ended February 3,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Management assessed the effectiveness of the Company’s internal control over financial reporting as of January 31, 2026. In making this assessment, management used the criteria established in Internal Control-Integrated Framework issued by the Committee of Sponsoring Organizations of the Treadway Commission (2013 framework) (the COSO criteria).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Based on our assessment and the COSO criteria, management believes that the Company maintained effective internal control over financial reporting as of January 31,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0"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0" w:before="180" w:after="18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Bath &amp; Body Works, Inc.</w:t>
      </w:r>
    </w:p>
    <w:p>
      <w:pPr>
        <w:pStyle w:val="TextBody"/>
        <w:bidi w:val="0"/>
        <w:spacing w:lineRule="auto" w:line="280" w:before="120" w:after="12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Bath &amp; Body Works, Inc.’s internal control over financial reporting as of January 31, 2026, based on criteria established in Internal Control—Integrated Framework issued by the Committee of Sponsoring Organizations of the Treadway Commission (2013 framework) (the COSO criteria). In our opinion, Bath &amp; Body Works, Inc. (the Company) maintained, in all material respects, effective internal control over financial reporting as of January 31, 2026, based on the COSO criteria.</w:t>
      </w:r>
    </w:p>
    <w:p>
      <w:pPr>
        <w:pStyle w:val="TextBody"/>
        <w:bidi w:val="0"/>
        <w:spacing w:lineRule="auto" w:line="280"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January 31, 2026 and February 1, 2025, the related consolidated statements of income, comprehensive income, total equity (deficit) and cash flows for each of the three years in the period ended January 31, 2026, and the related notes and our report dated March 12, 2026 expressed an unqualified opinion thereon.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0"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0"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0"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0" w:before="120" w:after="12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0"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Grandview Heights, Ohio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68" w:before="180" w:after="180"/>
        <w:jc w:val="center"/>
        <w:rPr>
          <w:rFonts w:ascii="Times New Roman;serif" w:hAnsi="Times New Roman;serif"/>
          <w:b/>
          <w:color w:val="000000"/>
          <w:sz w:val="19"/>
        </w:rPr>
      </w:pPr>
      <w:r>
        <w:rPr>
          <w:rFonts w:ascii="Times New Roman;serif" w:hAnsi="Times New Roman;serif"/>
          <w:b/>
          <w:color w:val="000000"/>
          <w:sz w:val="19"/>
        </w:rPr>
        <w:t>Report of Independent Registered Public Accounting Firm</w:t>
      </w:r>
    </w:p>
    <w:p>
      <w:pPr>
        <w:pStyle w:val="TextBody"/>
        <w:bidi w:val="0"/>
        <w:spacing w:lineRule="auto" w:line="268" w:before="120" w:after="120"/>
        <w:jc w:val="left"/>
        <w:rPr>
          <w:rFonts w:ascii="Times New Roman;serif" w:hAnsi="Times New Roman;serif"/>
          <w:b w:val="false"/>
          <w:color w:val="000000"/>
          <w:sz w:val="19"/>
        </w:rPr>
      </w:pPr>
      <w:r>
        <w:rPr>
          <w:rFonts w:ascii="Times New Roman;serif" w:hAnsi="Times New Roman;serif"/>
          <w:b w:val="false"/>
          <w:color w:val="000000"/>
          <w:sz w:val="19"/>
        </w:rPr>
        <w:t>To the Shareholders and the Board of Directors of Bath &amp; Body Works, Inc.</w:t>
      </w:r>
    </w:p>
    <w:p>
      <w:pPr>
        <w:pStyle w:val="TextBody"/>
        <w:bidi w:val="0"/>
        <w:spacing w:lineRule="auto" w:line="268" w:before="120" w:after="120"/>
        <w:jc w:val="left"/>
        <w:rPr>
          <w:rFonts w:ascii="Times New Roman;serif" w:hAnsi="Times New Roman;serif"/>
          <w:b/>
          <w:color w:val="000000"/>
          <w:sz w:val="19"/>
        </w:rPr>
      </w:pPr>
      <w:r>
        <w:rPr>
          <w:rFonts w:ascii="Times New Roman;serif" w:hAnsi="Times New Roman;serif"/>
          <w:b/>
          <w:color w:val="000000"/>
          <w:sz w:val="19"/>
        </w:rPr>
        <w:t>Opinion on the Financial Statements</w:t>
      </w:r>
    </w:p>
    <w:p>
      <w:pPr>
        <w:pStyle w:val="TextBody"/>
        <w:bidi w:val="0"/>
        <w:spacing w:lineRule="auto" w:line="268" w:before="120" w:after="120"/>
        <w:jc w:val="left"/>
        <w:rPr>
          <w:rFonts w:ascii="Times New Roman;serif" w:hAnsi="Times New Roman;serif"/>
          <w:b w:val="false"/>
          <w:color w:val="000000"/>
          <w:sz w:val="19"/>
        </w:rPr>
      </w:pPr>
      <w:r>
        <w:rPr>
          <w:rFonts w:ascii="Times New Roman;serif" w:hAnsi="Times New Roman;serif"/>
          <w:b w:val="false"/>
          <w:color w:val="000000"/>
          <w:sz w:val="19"/>
        </w:rPr>
        <w:t>We have audited the accompanying consolidated balance sheets of Bath &amp; Body Works, Inc. (the Company) as of January 31, 2026 and February 1, 2025, the related consolidated statements of income, comprehensive income, total equity (deficit) and cash flows for each of the three years in the period ended January 31, 2026, and the related notes (collectively referred to as the “consolidated financial statements”). In our opinion, the consolidated financial statements present fairly, in all material respects, the financial position of the Company at January 31, 2026 and February 1, 2025, and the results of its operations and its cash flows for each of the three years in the period ended January 31, 2026, in conformity with U.S. generally accepted accounting principles.</w:t>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We also have audited, in accordance with the standards of the Public Company Accounting Oversight Board (United States) (PCAOB), the Company’s internal control over financial reporting as of January 31, 2026, based on criteria established in Internal Control—Integrated Framework issued by the Committee of Sponsoring Organizations of the Treadway Commission (2013 framework), and our report dated March 12, 2026 expressed an unqualified opinion thereon. </w:t>
      </w:r>
    </w:p>
    <w:p>
      <w:pPr>
        <w:pStyle w:val="TextBody"/>
        <w:bidi w:val="0"/>
        <w:spacing w:lineRule="auto" w:line="268" w:before="120" w:after="120"/>
        <w:jc w:val="left"/>
        <w:rPr>
          <w:rFonts w:ascii="Times New Roman;serif" w:hAnsi="Times New Roman;serif"/>
          <w:b/>
          <w:color w:val="000000"/>
          <w:sz w:val="19"/>
        </w:rPr>
      </w:pPr>
      <w:r>
        <w:rPr>
          <w:rFonts w:ascii="Times New Roman;serif" w:hAnsi="Times New Roman;serif"/>
          <w:b/>
          <w:color w:val="000000"/>
          <w:sz w:val="19"/>
        </w:rPr>
        <w:t>Basis for Opinion</w:t>
      </w:r>
    </w:p>
    <w:p>
      <w:pPr>
        <w:pStyle w:val="TextBody"/>
        <w:bidi w:val="0"/>
        <w:spacing w:lineRule="auto" w:line="268" w:before="120" w:after="120"/>
        <w:jc w:val="left"/>
        <w:rPr>
          <w:rFonts w:ascii="Times New Roman;serif" w:hAnsi="Times New Roman;serif"/>
          <w:b w:val="false"/>
          <w:color w:val="000000"/>
          <w:sz w:val="19"/>
        </w:rPr>
      </w:pPr>
      <w:r>
        <w:rPr>
          <w:rFonts w:ascii="Times New Roman;serif" w:hAnsi="Times New Roman;serif"/>
          <w:b w:val="false"/>
          <w:color w:val="000000"/>
          <w:sz w:val="1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120" w:after="120"/>
        <w:jc w:val="left"/>
        <w:rPr>
          <w:rFonts w:ascii="Times New Roman;serif" w:hAnsi="Times New Roman;serif"/>
          <w:b w:val="false"/>
          <w:color w:val="000000"/>
          <w:sz w:val="19"/>
        </w:rPr>
      </w:pPr>
      <w:r>
        <w:rPr>
          <w:rFonts w:ascii="Times New Roman;serif" w:hAnsi="Times New Roman;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120" w:after="120"/>
        <w:jc w:val="left"/>
        <w:rPr>
          <w:rFonts w:ascii="Times New Roman;serif" w:hAnsi="Times New Roman;serif"/>
          <w:b/>
          <w:color w:val="000000"/>
          <w:sz w:val="19"/>
        </w:rPr>
      </w:pPr>
      <w:r>
        <w:rPr>
          <w:rFonts w:ascii="Times New Roman;serif" w:hAnsi="Times New Roman;serif"/>
          <w:b/>
          <w:color w:val="000000"/>
          <w:sz w:val="19"/>
        </w:rPr>
        <w:t>Critical Audit Matter</w:t>
      </w:r>
    </w:p>
    <w:p>
      <w:pPr>
        <w:pStyle w:val="TextBody"/>
        <w:bidi w:val="0"/>
        <w:spacing w:lineRule="auto" w:line="268" w:before="120" w:after="120"/>
        <w:jc w:val="left"/>
        <w:rPr>
          <w:rFonts w:ascii="Times New Roman;serif" w:hAnsi="Times New Roman;serif"/>
          <w:b w:val="false"/>
          <w:color w:val="000000"/>
          <w:sz w:val="19"/>
        </w:rPr>
      </w:pPr>
      <w:r>
        <w:rPr>
          <w:rFonts w:ascii="Times New Roman;serif" w:hAnsi="Times New Roman;serif"/>
          <w:b w:val="false"/>
          <w:color w:val="000000"/>
          <w:sz w:val="19"/>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501"/>
        <w:gridCol w:w="441"/>
        <w:gridCol w:w="443"/>
        <w:gridCol w:w="3013"/>
        <w:gridCol w:w="2751"/>
        <w:gridCol w:w="2681"/>
        <w:gridCol w:w="109"/>
        <w:gridCol w:w="109"/>
        <w:gridCol w:w="157"/>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Loyalty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Description of the Matter</w:t>
            </w:r>
          </w:p>
        </w:tc>
        <w:tc>
          <w:tcPr>
            <w:tcW w:w="844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9"/>
              </w:rPr>
            </w:pPr>
            <w:r>
              <w:rPr>
                <w:rFonts w:ascii="Times New Roman;serif" w:hAnsi="Times New Roman;serif"/>
                <w:b w:val="false"/>
                <w:color w:val="000000"/>
                <w:sz w:val="19"/>
              </w:rPr>
              <w:t>The Company offers a loyalty program that enables customers the ability to earn points and redeem rewards. As described in Note 1 to the consolidated financial statements, the Company allocates revenue to points earned on qualifying purchases and defers recognition until the rewards are redeemed. The amount of revenue deferred is based on the relative standalone selling price method, which includes an estimate for points and rewards not expected to be redeemed based on historical experience.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Auditing the Company’s estimate of loyalty deferred revenue was complex as the calculation involved management’s assumptions, such as the standalone selling price and expected redemption rate, which drive the revenue deferral.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How We Addressed the Matter in Our Audit</w:t>
            </w:r>
          </w:p>
        </w:tc>
        <w:tc>
          <w:tcPr>
            <w:tcW w:w="844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We obtained an understanding, evaluated the design, and tested the operating effectiveness of the Company’s estimation process and controls supporting the measurement and recognition of the amount of loyalty revenue deferred. This included testing controls over management’s review of the assumptions and other inputs used in the estimation and the completeness and accuracy of issuance and redemption data used in the calculation.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vMerge w:val="continue"/>
            <w:tcBorders/>
            <w:tcMar>
              <w:top w:w="0" w:type="dxa"/>
              <w:left w:w="0" w:type="dxa"/>
              <w:bottom w:w="0" w:type="dxa"/>
              <w:right w:w="0" w:type="dxa"/>
            </w:tcMar>
            <w:vAlign w:val="center"/>
          </w:tcPr>
          <w:p>
            <w:pPr>
              <w:pStyle w:val="Normal"/>
              <w:bidi w:val="0"/>
              <w:jc w:val="left"/>
              <w:rPr/>
            </w:pPr>
            <w:r>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5" w:type="dxa"/>
            <w:gridSpan w:val="3"/>
            <w:vMerge w:val="continue"/>
            <w:tcBorders/>
            <w:tcMar>
              <w:top w:w="0" w:type="dxa"/>
              <w:left w:w="0" w:type="dxa"/>
              <w:bottom w:w="0" w:type="dxa"/>
              <w:right w:w="0" w:type="dxa"/>
            </w:tcMar>
            <w:vAlign w:val="center"/>
          </w:tcPr>
          <w:p>
            <w:pPr>
              <w:pStyle w:val="Normal"/>
              <w:bidi w:val="0"/>
              <w:jc w:val="left"/>
              <w:rPr/>
            </w:pPr>
            <w:r>
              <w:rPr/>
            </w:r>
          </w:p>
        </w:tc>
        <w:tc>
          <w:tcPr>
            <w:tcW w:w="8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audit procedures included, among others, evaluating the methodology used, analyzing the significant assumptions discussed above, and testing the accuracy and completeness of the underlying data used in management’s calculation. To test the standalone selling price per reward, we validated that the price per reward was appropriate based on purchases by loyalty members. To audit the redemption rate, we tested redemption activity and compared the results of that testing to the redemption rate used by management in its estimate. We also considered recent trends in redemption activity and the impact on the redemption rate. In addition, we performed sensitivity analyses of significant assumptions to evaluate the change in the deferral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19"/>
        </w:rPr>
      </w:pPr>
      <w:r>
        <w:rPr>
          <w:rFonts w:ascii="Times New Roman;serif" w:hAnsi="Times New Roman;serif"/>
          <w:b w:val="false"/>
          <w:color w:val="000000"/>
          <w:sz w:val="19"/>
        </w:rPr>
        <w:t>/s/ Ernst &amp; Young LLP</w:t>
      </w:r>
    </w:p>
    <w:p>
      <w:pPr>
        <w:pStyle w:val="TextBody"/>
        <w:bidi w:val="0"/>
        <w:spacing w:lineRule="auto" w:line="288" w:before="60" w:after="60"/>
        <w:jc w:val="left"/>
        <w:rPr>
          <w:rFonts w:ascii="Times New Roman;serif" w:hAnsi="Times New Roman;serif"/>
          <w:b w:val="false"/>
          <w:color w:val="000000"/>
          <w:sz w:val="19"/>
        </w:rPr>
      </w:pPr>
      <w:r>
        <w:rPr>
          <w:rFonts w:ascii="Times New Roman;serif" w:hAnsi="Times New Roman;serif"/>
          <w:b w:val="false"/>
          <w:color w:val="000000"/>
          <w:sz w:val="19"/>
        </w:rPr>
        <w:t>We have served as the Company’s auditor since 2003.</w:t>
      </w:r>
    </w:p>
    <w:p>
      <w:pPr>
        <w:pStyle w:val="TextBody"/>
        <w:bidi w:val="0"/>
        <w:spacing w:lineRule="auto" w:line="288" w:before="60" w:after="60"/>
        <w:jc w:val="left"/>
        <w:rPr>
          <w:rFonts w:ascii="Times New Roman;serif" w:hAnsi="Times New Roman;serif"/>
          <w:b w:val="false"/>
          <w:color w:val="000000"/>
          <w:sz w:val="19"/>
        </w:rPr>
      </w:pPr>
      <w:r>
        <w:rPr>
          <w:rFonts w:ascii="Times New Roman;serif" w:hAnsi="Times New Roman;serif"/>
          <w:b w:val="false"/>
          <w:color w:val="000000"/>
          <w:sz w:val="19"/>
        </w:rPr>
        <w:t>Grandview Heights, Ohio</w:t>
      </w:r>
    </w:p>
    <w:p>
      <w:pPr>
        <w:pStyle w:val="TextBody"/>
        <w:bidi w:val="0"/>
        <w:spacing w:lineRule="auto" w:line="288" w:before="60" w:after="60"/>
        <w:jc w:val="both"/>
        <w:rPr>
          <w:rFonts w:ascii="Times New Roman;serif" w:hAnsi="Times New Roman;serif"/>
          <w:b w:val="false"/>
          <w:color w:val="000000"/>
          <w:sz w:val="19"/>
        </w:rPr>
      </w:pPr>
      <w:r>
        <w:rPr>
          <w:rFonts w:ascii="Times New Roman;serif" w:hAnsi="Times New Roman;serif"/>
          <w:b w:val="false"/>
          <w:color w:val="000000"/>
          <w:sz w:val="19"/>
        </w:rPr>
        <w:t>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left"/>
        <w:rPr>
          <w:color w:val="000000"/>
        </w:rPr>
      </w:pPr>
      <w:r>
        <w:rPr>
          <w:color w:val="000000"/>
        </w:rPr>
        <w:t> </w:t>
      </w:r>
    </w:p>
    <w:tbl>
      <w:tblPr>
        <w:tblW w:w="8036" w:type="dxa"/>
        <w:jc w:val="center"/>
        <w:tblInd w:w="0" w:type="dxa"/>
        <w:tblLayout w:type="fixed"/>
        <w:tblCellMar>
          <w:top w:w="28" w:type="dxa"/>
          <w:left w:w="28" w:type="dxa"/>
          <w:bottom w:w="28" w:type="dxa"/>
          <w:right w:w="28" w:type="dxa"/>
        </w:tblCellMar>
      </w:tblPr>
      <w:tblGrid>
        <w:gridCol w:w="1640"/>
        <w:gridCol w:w="1438"/>
        <w:gridCol w:w="1451"/>
        <w:gridCol w:w="211"/>
        <w:gridCol w:w="616"/>
        <w:gridCol w:w="109"/>
        <w:gridCol w:w="109"/>
        <w:gridCol w:w="109"/>
        <w:gridCol w:w="109"/>
        <w:gridCol w:w="211"/>
        <w:gridCol w:w="616"/>
        <w:gridCol w:w="109"/>
        <w:gridCol w:w="109"/>
        <w:gridCol w:w="109"/>
        <w:gridCol w:w="109"/>
        <w:gridCol w:w="211"/>
        <w:gridCol w:w="61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Buying and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Store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Basic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7557" w:type="dxa"/>
        <w:jc w:val="center"/>
        <w:tblInd w:w="0" w:type="dxa"/>
        <w:tblLayout w:type="fixed"/>
        <w:tblCellMar>
          <w:top w:w="28" w:type="dxa"/>
          <w:left w:w="28" w:type="dxa"/>
          <w:bottom w:w="28" w:type="dxa"/>
          <w:right w:w="28" w:type="dxa"/>
        </w:tblCellMar>
      </w:tblPr>
      <w:tblGrid>
        <w:gridCol w:w="1628"/>
        <w:gridCol w:w="1428"/>
        <w:gridCol w:w="1444"/>
        <w:gridCol w:w="211"/>
        <w:gridCol w:w="466"/>
        <w:gridCol w:w="109"/>
        <w:gridCol w:w="109"/>
        <w:gridCol w:w="109"/>
        <w:gridCol w:w="109"/>
        <w:gridCol w:w="211"/>
        <w:gridCol w:w="466"/>
        <w:gridCol w:w="109"/>
        <w:gridCol w:w="109"/>
        <w:gridCol w:w="109"/>
        <w:gridCol w:w="109"/>
        <w:gridCol w:w="211"/>
        <w:gridCol w:w="466"/>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Cash Flow Hedges to Earnings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45"/>
        <w:gridCol w:w="2481"/>
        <w:gridCol w:w="2470"/>
        <w:gridCol w:w="219"/>
        <w:gridCol w:w="640"/>
        <w:gridCol w:w="113"/>
        <w:gridCol w:w="109"/>
        <w:gridCol w:w="109"/>
        <w:gridCol w:w="109"/>
        <w:gridCol w:w="216"/>
        <w:gridCol w:w="633"/>
        <w:gridCol w:w="161"/>
      </w:tblGrid>
      <w:tr>
        <w:trPr/>
        <w:tc>
          <w:tcPr>
            <w:tcW w:w="2945"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Easton Assets Held for Sale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 (DEFICIT)</w:t>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(Deficit):</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Stock—$1.00 par value; 10 shares authorized; none issued</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Stock—$0.50 par value; 1,000 shares authorized; 216 and 231 shares issued; 201 and 216 shares outstanding, respectively</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at Average Cost; 15 and 15 shares, respectively</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(Deficit)</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(Deficit)</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 (Deficit)</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TOTAL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left"/>
        <w:rPr>
          <w:color w:val="000000"/>
        </w:rPr>
      </w:pPr>
      <w:r>
        <w:rPr>
          <w:color w:val="000000"/>
        </w:rPr>
        <w:t> </w:t>
      </w:r>
    </w:p>
    <w:tbl>
      <w:tblPr>
        <w:tblW w:w="11163"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421"/>
        <w:gridCol w:w="109"/>
        <w:gridCol w:w="109"/>
        <w:gridCol w:w="109"/>
        <w:gridCol w:w="109"/>
        <w:gridCol w:w="196"/>
        <w:gridCol w:w="421"/>
        <w:gridCol w:w="109"/>
        <w:gridCol w:w="109"/>
        <w:gridCol w:w="109"/>
        <w:gridCol w:w="109"/>
        <w:gridCol w:w="374"/>
        <w:gridCol w:w="632"/>
        <w:gridCol w:w="210"/>
        <w:gridCol w:w="109"/>
        <w:gridCol w:w="109"/>
        <w:gridCol w:w="109"/>
        <w:gridCol w:w="248"/>
        <w:gridCol w:w="724"/>
        <w:gridCol w:w="139"/>
        <w:gridCol w:w="109"/>
        <w:gridCol w:w="109"/>
        <w:gridCol w:w="109"/>
        <w:gridCol w:w="196"/>
        <w:gridCol w:w="461"/>
        <w:gridCol w:w="109"/>
        <w:gridCol w:w="109"/>
        <w:gridCol w:w="109"/>
        <w:gridCol w:w="109"/>
        <w:gridCol w:w="431"/>
        <w:gridCol w:w="530"/>
        <w:gridCol w:w="240"/>
        <w:gridCol w:w="109"/>
        <w:gridCol w:w="109"/>
        <w:gridCol w:w="109"/>
        <w:gridCol w:w="196"/>
        <w:gridCol w:w="5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 at</w:t>
              <w:br/>
              <w:t>Average</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 (Deficit)</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January 28, 2023</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($0.80 per share)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Retirement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February 3, 2024</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($0.80 per share)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Retirement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February 1, 2025</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($0.80 per share)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Retirement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January 31, 2026</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477" w:type="dxa"/>
        <w:jc w:val="center"/>
        <w:tblInd w:w="0" w:type="dxa"/>
        <w:tblLayout w:type="fixed"/>
        <w:tblCellMar>
          <w:top w:w="28" w:type="dxa"/>
          <w:left w:w="28" w:type="dxa"/>
          <w:bottom w:w="28" w:type="dxa"/>
          <w:right w:w="28" w:type="dxa"/>
        </w:tblCellMar>
      </w:tblPr>
      <w:tblGrid>
        <w:gridCol w:w="2216"/>
        <w:gridCol w:w="1948"/>
        <w:gridCol w:w="1956"/>
        <w:gridCol w:w="196"/>
        <w:gridCol w:w="556"/>
        <w:gridCol w:w="109"/>
        <w:gridCol w:w="109"/>
        <w:gridCol w:w="109"/>
        <w:gridCol w:w="109"/>
        <w:gridCol w:w="196"/>
        <w:gridCol w:w="631"/>
        <w:gridCol w:w="109"/>
        <w:gridCol w:w="109"/>
        <w:gridCol w:w="109"/>
        <w:gridCol w:w="109"/>
        <w:gridCol w:w="196"/>
        <w:gridCol w:w="556"/>
        <w:gridCol w:w="154"/>
      </w:tblGrid>
      <w:tr>
        <w:trPr/>
        <w:tc>
          <w:tcPr>
            <w:tcW w:w="221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Long-lived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Non-core Asset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Easton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Equity Method Investment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Non-core Asset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Easton Investments, Net of Fees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Finance Lease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related to Share-based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BATH &amp; BODY WORKS,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Bath &amp; Body Works, Inc. (the “Company”) is a global leader in personal care and home fragrance. The Company sells merchandise through its retail stores in the United States of America (“U.S.”) and Canada, and through its e-commerce sites and other channels. The Company’s international business is conducted through franchise, license and wholesale partners.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the retail calendar for reporting and its fiscal year ends on the Saturday nearest to January 31. As a result, “2025” refers to the 52-week period ended January 31, 2026, “2024” refers to the 52-week period ended February 1, 2025 and “2023” refers to the 53-week period ended February 3, 2024.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subsidiaries. All significant intercompany balances and transactions have been eliminated in consolidation. 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all unconsolidated entities is included in Other Income, Net in the Consolidated Statements of Income. The Company’s equity method investments are required to be reviewed for impairment when it is determined there may be an other-than-temporary loss in value.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deposits with financial institutions and highly liquid investments with original maturities of less than 90 days. The Company’s Cash and Cash Equivalents are considered Level 1 fair value measurements as they are valued using unadjusted quoted prices in active markets for identical assets. The Company’s outstanding checks are included in Accounts Payable on the Consolidated Balance Sheets.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and derivative contracts with various major financial institutions. The Company monitors the relative credit standing of financial institutions with whom it transacts and limits the amount of credit exposure with any one entity. The Company’s investment portfolio is primarily composed of U.S. government obligations, U.S. Treasury and AAA-rated money market funds, commercial paper and bank deposits.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periodically reviews the relative credit standing of franchise, license and wholesale partners and other entities to which it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principally valued at the lower of cost or net realizable value, on an average cost basis.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records inventory loss adjustments for estimated physical inventory losses that have occurred since the date of the last physical inventory. These estimates are based on management’s analysis of historical results and current operating trends.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Advertising and marketing costs are expensed at the time the promotion first appears in media, in the store or when the advertising is mailed. Advertising and marketing costs totaled $255 million for 2025, $242 million for 2024 and $180 million for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are recorded at cost and depreciation is computed on a straight-line basis using the following depreciable life ranges:</w:t>
      </w:r>
    </w:p>
    <w:tbl>
      <w:tblPr>
        <w:tblW w:w="9957" w:type="dxa"/>
        <w:jc w:val="left"/>
        <w:tblInd w:w="0" w:type="dxa"/>
        <w:tblLayout w:type="fixed"/>
        <w:tblCellMar>
          <w:top w:w="28" w:type="dxa"/>
          <w:left w:w="28" w:type="dxa"/>
          <w:bottom w:w="28" w:type="dxa"/>
          <w:right w:w="28" w:type="dxa"/>
        </w:tblCellMar>
      </w:tblPr>
      <w:tblGrid>
        <w:gridCol w:w="2496"/>
        <w:gridCol w:w="2198"/>
        <w:gridCol w:w="2205"/>
        <w:gridCol w:w="109"/>
        <w:gridCol w:w="109"/>
        <w:gridCol w:w="109"/>
        <w:gridCol w:w="932"/>
        <w:gridCol w:w="742"/>
        <w:gridCol w:w="1057"/>
      </w:tblGrid>
      <w:tr>
        <w:trPr/>
        <w:tc>
          <w:tcPr>
            <w:tcW w:w="249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Category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Depreciable Life Range</w:t>
            </w:r>
          </w:p>
        </w:tc>
      </w:tr>
      <w:tr>
        <w:trPr/>
        <w:tc>
          <w:tcPr>
            <w:tcW w:w="6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and Software, including software developed for internal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Store-related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3 - 10 years</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Shorter of lease term or 10 years</w:t>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Non-store related building and site improvements,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5 - 15 years</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years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Maintenance and repairs are charged to expense as incurred. Major renewals and betterments that extend useful lives are capitalized.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Long-lived store assets, which include leasehold improvements, store-related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Cloud Computing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Costs incurred to implement cloud computing service arrangements hosted by third-party vendors are capitalized when incurred during the application development phase and amortized on a straight-line basis over the expected term of the related cloud service, which is generally three years. Capitalized amounts related to such arrangements are recorded within Other Current Assets and Other Assets on the Consolidated Balance Sheets and changes in cloud computing arrangement implementation costs are classified within Operating Activities in the Consolidated Statements of Cash Flows. Cloud computing assets and related amortization were not significant for any period presented.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Leases and Leasehold Improvements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lease commencement,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 The Company uses its incremental borrowing rate, adjusted for collateral, to determine the present value of its unpaid lease payments.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leasehold improvements which are amortized over the shorter of their estimated useful lives or the period from the date the assets are placed in service to the end of the initial lease term. Leasehold improvements made after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inception of the initial lease term are depreciated over the shorter of their estimated useful lives or the remaining lease term, including renewal periods, if reasonably assured.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Intangible Assets - Goodwill and Trade Name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recorded Goodwill and Trade Name intangible assets resulting from business combinations that are recorded at cost.</w:t>
      </w:r>
    </w:p>
    <w:p>
      <w:pPr>
        <w:pStyle w:val="TextBody"/>
        <w:bidi w:val="0"/>
        <w:spacing w:lineRule="auto" w:line="288" w:before="120" w:after="120"/>
        <w:jc w:val="left"/>
        <w:rPr/>
      </w:pPr>
      <w:r>
        <w:rPr>
          <w:rFonts w:ascii="Times New Roman;serif" w:hAnsi="Times New Roman;serif"/>
          <w:b w:val="false"/>
          <w:color w:val="000000"/>
          <w:sz w:val="20"/>
        </w:rPr>
        <w:t>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a reporting unit’s fair value is less than its carrying value (including goodwill), or to proceed directly to the quantitative assessment which requires a comparison of a reporting unit’s fair value to its carrying value (including goodwill). If the Company determines that the fair value of a reporting unit is less than its carrying value, it recognizes an impairment charge equal to the difference, not to exceed the total amount of goodwill allocated to a reporting unit. The Company’s reporting units are determined in accordance with the provisions of Accounting Standards Codification (“ASC”) 350, </w:t>
      </w:r>
      <w:r>
        <w:rPr>
          <w:rFonts w:ascii="Times New Roman;serif" w:hAnsi="Times New Roman;serif"/>
          <w:b w:val="false"/>
          <w:i/>
          <w:color w:val="000000"/>
          <w:sz w:val="20"/>
        </w:rPr>
        <w:t>Intangibles - Goodwill and Other</w:t>
      </w:r>
      <w:r>
        <w:rPr>
          <w:rFonts w:ascii="Times New Roman;serif" w:hAnsi="Times New Roman;serif"/>
          <w:b w:val="false"/>
          <w:color w:val="000000"/>
          <w:sz w:val="2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Bath &amp; Body Works Trade Name is an intangible asset with an indefinite life that is reviewed for impairment each year in the fourth quarter, and may be reviewed more frequently if certain events occur or circumstances change. The Company has the option to either first perform a qualitative assessment to determine whether it is more likely than not that the Trade Name is impaired, or to proceed directly to the quantitative assessment which requires a comparison of the fair value of the trade name to its carrying value. To determine if the fair value of the Trade Name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comprise substantially all of Accumulated Other Comprehensive Income in Shareholders’ Equity (Deficit). Accumulated foreign currency translation adjustments are reclassified to Net Income when realized upon sale or upon complete, or substantially complete, liquidation of the investment in the foreign entity.</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Canadian dollar denominated earnings are subject to exchange rate risk as substantially all the Company’s merchandise sold in Canada is sourced through U.S. dollar transactions. The Company uses foreign currency forward contracts designated as cash flow hedges to mitigate this foreign currency exposure. Amounts are reclassified from Accumulated Other Comprehensive Income upon sale of the hedged merchandise to the customer. These gains and losses are recognized in Costs of Goods Sold, Buying and Occupancy in the Consolidated Statements of Income. All designated cash flow hedges are recorded on the Consolidated Balance Sheets at fair value. The fair value of designated cash flow hedges is not significant for any period presented. The Company does not use derivative financial instruments for trading purposes.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the Company implemented a supply chain finance (“SCF”) program agreement with a third-party financial institution, whereby the Company’s merchandise suppliers have the opportunity to settle outstanding payment obligations early, at a discount, facilitated by the financial institution. Since implementation, merchandise suppliers have continued to join the program. The Company’s obligations to its suppliers, including amounts due and scheduled payment terms, are not impacted by suppliers’ participation in the arrangement and the Company provides no guarantees to any third parties under the SCF program. Amounts due under the SCF program are included in Accounts Payable in the Consolidated Balance Sheets and within Operating Activities in the Consolidated Statements of Cash Flows.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SCF program activity for the year ended January 31, 2026:</w:t>
      </w:r>
    </w:p>
    <w:tbl>
      <w:tblPr>
        <w:tblW w:w="5160" w:type="dxa"/>
        <w:jc w:val="left"/>
        <w:tblInd w:w="0" w:type="dxa"/>
        <w:tblLayout w:type="fixed"/>
        <w:tblCellMar>
          <w:top w:w="28" w:type="dxa"/>
          <w:left w:w="28" w:type="dxa"/>
          <w:bottom w:w="28" w:type="dxa"/>
          <w:right w:w="28" w:type="dxa"/>
        </w:tblCellMar>
      </w:tblPr>
      <w:tblGrid>
        <w:gridCol w:w="1506"/>
        <w:gridCol w:w="1323"/>
        <w:gridCol w:w="1326"/>
        <w:gridCol w:w="255"/>
        <w:gridCol w:w="563"/>
        <w:gridCol w:w="187"/>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Obligations Outstanding as of February 1, 2025</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Confirmed during the Year</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Invoices Paid during the Year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Obligations Outstanding as of January 31, 2026</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Easton Investments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land and other investments in Easton, a planned community in Columbus, Ohio, that integrates office, hotel, retail, residential and recreational space. Beginning in the fourth quarter of 2024, certain of these investments met all of the required criteria for held for sale presentation, which requires assets to be reported at the lower of their carrying value or fair value less costs to sell. The investments classified as held for sale, consisting primarily of undeveloped land, are reported at their carrying value, which was $81 million and $96 million as of January 31, 2026 and February 1, 2025, respectively, within Current Assets on the Consolidated Balance Sheets.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changed its plan of sale for its Easton investments, causing certain of these investments to no longer meet the held for sale criteria. As a result of this change, the Company reclassified $17 million of carrying value from Current Assets to long-term Other Assets during the second quarter of 2025. The Company’s Easton investments not presented as held for sale and reported in Other Assets were $38 million and $26 million as of January 31, 2026 and February 1, 2025,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Previously included in the Company’s Easton investments were equity interests in Easton Town Center, LLC (“ETC”) and Easton Gateway, LLC (“EG”), entities that own and develop commercial entertainment and shopping centers. The Company’s investments in ETC and EG were accounted for using the equity method of accounting. In the second quarter of 2024, the Company sold its entire interest in the business associated with EG and its entire interest in ETC. The Company received aggregate cash proceeds, net of fees paid, of $40 million as a result of these sales, and recognized an aggregate pre-tax gain of $39 million, which is included in Other Income, Net, in the 2024 Consolidated Statement of Income.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Fair Value </w:t>
      </w:r>
    </w:p>
    <w:p>
      <w:pPr>
        <w:pStyle w:val="TextBody"/>
        <w:bidi w:val="0"/>
        <w:spacing w:lineRule="auto" w:line="288" w:before="120" w:after="120"/>
        <w:jc w:val="left"/>
        <w:rPr/>
      </w:pPr>
      <w:r>
        <w:rPr>
          <w:rFonts w:ascii="Times New Roman;serif" w:hAnsi="Times New Roman;serif"/>
          <w:b w:val="false"/>
          <w:color w:val="000000"/>
          <w:sz w:val="20"/>
        </w:rPr>
        <w:t xml:space="preserve">The authoritative guidance included in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 Quoted market prices in active markets for identical assets or liabilities.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 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pStyle w:val="TextBody"/>
        <w:bidi w:val="0"/>
        <w:spacing w:lineRule="auto" w:line="288" w:before="120" w:after="120"/>
        <w:jc w:val="left"/>
        <w:rPr/>
      </w:pPr>
      <w:r>
        <w:rPr>
          <w:rFonts w:ascii="Times New Roman;serif" w:hAnsi="Times New Roman;serif"/>
          <w:b w:val="false"/>
          <w:color w:val="000000"/>
          <w:sz w:val="20"/>
        </w:rPr>
        <w:t>The Company estimates the fair value of financial instruments, Property and Equipment, Net, Goodwill and its Trade Name in accordance with the provisions of ASC 820</w:t>
      </w:r>
      <w:r>
        <w:rPr>
          <w:rFonts w:ascii="Times New Roman;serif" w:hAnsi="Times New Roman;serif"/>
          <w:b w:val="false"/>
          <w:i/>
          <w:color w:val="000000"/>
          <w:sz w:val="20"/>
        </w:rPr>
        <w: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Statements of Income in the period that includes the enactment date. A valuation allowance is recorded to reduce the carrying amounts of deferred tax assets if it is more likely than not that such assets will not be realized.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determining the Company’s provision for income taxes, the Company considers permanent differences between book and tax income and statutory income tax rates. The Company’s effective income tax rate is affected by items including changes in tax law, the tax jurisdiction of the Company’s operations and the level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Self-Insurance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self-insured for medical, workers’ compensation, property, general liability and automobile liability up to certain stop-loss limits in certain cases. Such costs are accrued based on known claims and an estimate of incurred but not reported (“IBNR”) claims. IBNR claims are estimated using historical claim information and actuarial estimates.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Noncontrolling interest represents the portion of equity interests of consolidated affiliates not owned by the Company.</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recognizes all share-based payments to associates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  As part of the Company’s determination of award fair value, it assesses the impact of material nonpublic information on the share price at the time of grant. There were no such fair value adjustments to awards granted in any period presented.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cost is recognized over the service period for the fair value of awards that actually vest. Compensation expense for awards without a performance condition is recognized, net of estimated forfeitures, using a single award approach (each award is valued as one grant, irrespective of the number of vesting tranches). Compensation expense for awards with a performance condition is recognized, net of estimated forfeitures, using a multiple award approach (each vesting tranche is valued as one grant).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based on the amount it expects to receive when control of the goods or services is transferred to the customer. The Company recognizes sales upon customer receipt of merchandise, which for direct channel revenues reflects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Statements of Income. The Company also provides a reserve for projected merchandise returns based on historical experience. Net Sales exclude sales and other similar taxes collected from customers.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offers a loyalty program that allows customers to earn points based on purchasing activity. As customers accumulate points and reach point thresholds, points are converted to rewards that may be used to purchase merchandise in stores or online. Points expire if a loyalty account is inactive for a certain period of time, while rewards expire if unused after approximately three months. The Company allocates revenue to points earned on qualifying purchases and defers recognition of revenue until the rewards are redeemed. The amount of revenue deferred is based on the relative stand-alone selling price method, which includes an estimate for points and rewards not expected to be redeemed based on historical experience.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when the likelihood of the gift cards being redeemed is remote and there is no legal obligation to remit the unredeemed gift cards to relevant jurisdictions (gift card breakage). Gift card breakage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 is recognized in proportion to, and over the same period as, actual gift card redemptions. The Company determines the gift card breakage rate based on historical redemption patterns. Gift card breakage revenue is included in Net Sales in the Consolidated Statements of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Costs of Goods Sold, Buying and Occupancy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Costs of Goods Sold include merchandise costs, net of discounts and allowances, freight, tariffs and inventory shrinkage. The Company’s Buying and Occupancy Expenses primarily include; occupancy costs, including rent, common area maintenance, real estate taxes, utilities, maintenance, and fulfillment expenses; depreciation for the Company’s retail stores, warehouses, fulfillment facilities and equipment; and payroll, benefit costs and operating expenses for its buying departments and distribution network.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General, Administrative and Store 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General, Administrative and Store Operating Expenses is comprised of Selling, Marketing, and General and Administrative expenses. Selling Expenses include payroll and benefit costs for the Company’s stores and other costs associated with operating stores and e-commerce sites. Marketing Expenses include costs associated with the Company’s marketing and advertising activities. General and Administrative Expenses include payroll and benefit costs for the Company’s administrative departments (including home office and corporate functions), general corporate expenses, and most of the Company’s technology expenses.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Use of Estimates in the Preparation of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120"/>
        <w:jc w:val="left"/>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which requires enhanced income tax disclosures, primarily related to standardization and disaggregation of rate reconciliation categories and income taxes paid by jurisdiction. This standard is effective for fiscal years beginning after December 15, 2024, with early adoption permitted, and may be applied either prospectively or retrospectively. The Company adopted this standard prospectively in the fourth quarter of 2025. Refer to Note 9 for the required disclosures.</w:t>
      </w:r>
    </w:p>
    <w:p>
      <w:pPr>
        <w:pStyle w:val="TextBody"/>
        <w:bidi w:val="0"/>
        <w:spacing w:lineRule="auto" w:line="288" w:before="120" w:after="1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The Company is currently evaluating the impact of adopting this standard on its disclosures.</w:t>
      </w:r>
    </w:p>
    <w:p>
      <w:pPr>
        <w:pStyle w:val="TextBody"/>
        <w:bidi w:val="0"/>
        <w:spacing w:lineRule="auto" w:line="288" w:before="120" w:after="12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which is intended to modernize the accounting for software costs by removing project stages from capitalization criteria and further clarifies the threshold entities apply to begin capitalizing costs. This standard is effective for annual reporting of fiscal years beginning after December 15, 2027, and for interim periods within those fiscal years, with early adoption permitted. This standard can be applied prospectively, retrospectively or through a modified transition approach. The Company is currently evaluating the impacts of adopting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from revenue-generating activities were $66 million as of January 31, 2026 and $81 million as of February 1, 2025. These accounts receivable primarily relate to amounts due from the Company’s franchise, license and wholesale partners. Under these arrangements, payment terms are typically 45 to 75 days.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deferred revenue when cash payments are received in advance of transfer of control of goods or services. Deferred revenue primarily relates to gift cards, loyalty points and rewards, and direct channel shipments not received by the customer, which are all impacted by seasonal and holiday-related sales patterns. Deferred revenue, which is recorded within Accrued Expenses and Other on the Consolidated Balance Sheets, was $223 million as of January 31, 2026 and $197 million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of February 1, 2025. The Company recognized $125 million as revenue in 2025 from amounts recorded as deferred revenue at the beginning of the Company’s fiscal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disaggregation of Net Sales for 2025, 2024 and 2023:</w:t>
      </w:r>
    </w:p>
    <w:tbl>
      <w:tblPr>
        <w:tblW w:w="5862" w:type="dxa"/>
        <w:jc w:val="left"/>
        <w:tblInd w:w="0" w:type="dxa"/>
        <w:tblLayout w:type="fixed"/>
        <w:tblCellMar>
          <w:top w:w="28" w:type="dxa"/>
          <w:left w:w="28" w:type="dxa"/>
          <w:bottom w:w="28" w:type="dxa"/>
          <w:right w:w="28" w:type="dxa"/>
        </w:tblCellMar>
      </w:tblPr>
      <w:tblGrid>
        <w:gridCol w:w="851"/>
        <w:gridCol w:w="749"/>
        <w:gridCol w:w="755"/>
        <w:gridCol w:w="211"/>
        <w:gridCol w:w="616"/>
        <w:gridCol w:w="109"/>
        <w:gridCol w:w="109"/>
        <w:gridCol w:w="109"/>
        <w:gridCol w:w="109"/>
        <w:gridCol w:w="211"/>
        <w:gridCol w:w="616"/>
        <w:gridCol w:w="109"/>
        <w:gridCol w:w="109"/>
        <w:gridCol w:w="109"/>
        <w:gridCol w:w="109"/>
        <w:gridCol w:w="211"/>
        <w:gridCol w:w="61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 U.S. and Canada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 U.S. and 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(a)Results include fulfilled buy online pick up in store orders.</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(b)Results include royalties associated with franchised stores and wholesale sales.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Net Sales outside of the U.S. include sales from Company-operated stores and its e-commerce site in Canada, royalties associated with franchised stores and wholesale sales. Certain of these sales are subject to the impact of fluctuations in foreign currency. The Company’s Net Sales outside of the U.S. totaled $707 million in 2025, $691 million in 2024 and $723 million in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Net Income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Income per Basic Share is computed based on the weighted-average number of common shares outstanding. Net Income per Diluted Share includes the weighted-average effect of dilutive restricted share units, performance share units and stock options (collectively, “Dilutive Awards”) on the weighted-average common shares outstanding.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weighted-average shares utilized for the calculation of Net Income per Basic and Diluted Share for 2025, 2024 and 2023:</w:t>
      </w:r>
    </w:p>
    <w:tbl>
      <w:tblPr>
        <w:tblW w:w="4752" w:type="dxa"/>
        <w:jc w:val="left"/>
        <w:tblInd w:w="0" w:type="dxa"/>
        <w:tblLayout w:type="fixed"/>
        <w:tblCellMar>
          <w:top w:w="28" w:type="dxa"/>
          <w:left w:w="28" w:type="dxa"/>
          <w:bottom w:w="28" w:type="dxa"/>
          <w:right w:w="28" w:type="dxa"/>
        </w:tblCellMar>
      </w:tblPr>
      <w:tblGrid>
        <w:gridCol w:w="787"/>
        <w:gridCol w:w="692"/>
        <w:gridCol w:w="696"/>
        <w:gridCol w:w="233"/>
        <w:gridCol w:w="233"/>
        <w:gridCol w:w="156"/>
        <w:gridCol w:w="109"/>
        <w:gridCol w:w="109"/>
        <w:gridCol w:w="109"/>
        <w:gridCol w:w="233"/>
        <w:gridCol w:w="233"/>
        <w:gridCol w:w="156"/>
        <w:gridCol w:w="109"/>
        <w:gridCol w:w="109"/>
        <w:gridCol w:w="109"/>
        <w:gridCol w:w="233"/>
        <w:gridCol w:w="233"/>
        <w:gridCol w:w="21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Awards (a)</w:t>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(a)These awards were excluded from the calculation of Net Income per Diluted Share because their inclusion would have been anti-dilutive.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Inventories as of January 31, 2026 and February 1, 2025:</w:t>
      </w:r>
    </w:p>
    <w:tbl>
      <w:tblPr>
        <w:tblW w:w="6146" w:type="dxa"/>
        <w:jc w:val="left"/>
        <w:tblInd w:w="0" w:type="dxa"/>
        <w:tblLayout w:type="fixed"/>
        <w:tblCellMar>
          <w:top w:w="28" w:type="dxa"/>
          <w:left w:w="28" w:type="dxa"/>
          <w:bottom w:w="28" w:type="dxa"/>
          <w:right w:w="28" w:type="dxa"/>
        </w:tblCellMar>
      </w:tblPr>
      <w:tblGrid>
        <w:gridCol w:w="1379"/>
        <w:gridCol w:w="1214"/>
        <w:gridCol w:w="1217"/>
        <w:gridCol w:w="266"/>
        <w:gridCol w:w="587"/>
        <w:gridCol w:w="137"/>
        <w:gridCol w:w="109"/>
        <w:gridCol w:w="109"/>
        <w:gridCol w:w="109"/>
        <w:gridCol w:w="258"/>
        <w:gridCol w:w="571"/>
        <w:gridCol w:w="190"/>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Merchandise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Merchandise Components</w:t>
            </w:r>
          </w:p>
        </w:tc>
        <w:tc>
          <w:tcPr>
            <w:tcW w:w="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Long-lived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Property and Equipment, Net as of January 31, 2026 and February 1, 2025:</w:t>
      </w:r>
    </w:p>
    <w:tbl>
      <w:tblPr>
        <w:tblW w:w="6102" w:type="dxa"/>
        <w:jc w:val="left"/>
        <w:tblInd w:w="0" w:type="dxa"/>
        <w:tblLayout w:type="fixed"/>
        <w:tblCellMar>
          <w:top w:w="28" w:type="dxa"/>
          <w:left w:w="28" w:type="dxa"/>
          <w:bottom w:w="28" w:type="dxa"/>
          <w:right w:w="28" w:type="dxa"/>
        </w:tblCellMar>
      </w:tblPr>
      <w:tblGrid>
        <w:gridCol w:w="1365"/>
        <w:gridCol w:w="1197"/>
        <w:gridCol w:w="1203"/>
        <w:gridCol w:w="223"/>
        <w:gridCol w:w="652"/>
        <w:gridCol w:w="115"/>
        <w:gridCol w:w="109"/>
        <w:gridCol w:w="109"/>
        <w:gridCol w:w="109"/>
        <w:gridCol w:w="219"/>
        <w:gridCol w:w="641"/>
        <w:gridCol w:w="160"/>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Software and Equipment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expense was $254 million in 2025, $282 million in 2024 and $269 million in 2023. Capital Expenditures of $34 million and $24 million remained unpaid as of January 31, 2026 and February 1, 2025,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internationally-based long-lived assets, including operating lease assets, were $138 million as of January 31, 2026 and $131 million as of February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lease cost for operating leases for 2025, 2024 and 2023:</w:t>
      </w:r>
    </w:p>
    <w:tbl>
      <w:tblPr>
        <w:tblW w:w="5037" w:type="dxa"/>
        <w:jc w:val="center"/>
        <w:tblInd w:w="0" w:type="dxa"/>
        <w:tblLayout w:type="fixed"/>
        <w:tblCellMar>
          <w:top w:w="28" w:type="dxa"/>
          <w:left w:w="28" w:type="dxa"/>
          <w:bottom w:w="28" w:type="dxa"/>
          <w:right w:w="28" w:type="dxa"/>
        </w:tblCellMar>
      </w:tblPr>
      <w:tblGrid>
        <w:gridCol w:w="717"/>
        <w:gridCol w:w="629"/>
        <w:gridCol w:w="634"/>
        <w:gridCol w:w="211"/>
        <w:gridCol w:w="466"/>
        <w:gridCol w:w="109"/>
        <w:gridCol w:w="109"/>
        <w:gridCol w:w="109"/>
        <w:gridCol w:w="109"/>
        <w:gridCol w:w="211"/>
        <w:gridCol w:w="466"/>
        <w:gridCol w:w="109"/>
        <w:gridCol w:w="109"/>
        <w:gridCol w:w="109"/>
        <w:gridCol w:w="109"/>
        <w:gridCol w:w="211"/>
        <w:gridCol w:w="46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future maturities of operating lease liabilities as of January 31, 2026:</w:t>
      </w:r>
    </w:p>
    <w:tbl>
      <w:tblPr>
        <w:tblW w:w="4873" w:type="dxa"/>
        <w:jc w:val="center"/>
        <w:tblInd w:w="0" w:type="dxa"/>
        <w:tblLayout w:type="fixed"/>
        <w:tblCellMar>
          <w:top w:w="28" w:type="dxa"/>
          <w:left w:w="28" w:type="dxa"/>
          <w:bottom w:w="28" w:type="dxa"/>
          <w:right w:w="28" w:type="dxa"/>
        </w:tblCellMar>
      </w:tblPr>
      <w:tblGrid>
        <w:gridCol w:w="1399"/>
        <w:gridCol w:w="1233"/>
        <w:gridCol w:w="1237"/>
        <w:gridCol w:w="216"/>
        <w:gridCol w:w="631"/>
        <w:gridCol w:w="157"/>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Fiscal Year</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Operating Lease Liabilities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accounts for all fixed consideration in a lease as a single lease component. Therefore, the payments used to measure the lease liability include fixed minimum rentals along with fixed operating costs such as common area maintenance and utilities.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January 31, 2026, the Company had additional operating lease commitments that have not yet commenced of $43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weighted-average remaining lease term and discount rate for operating lease liabilities as of January 31, 2026 and February 1, 2025:</w:t>
      </w:r>
    </w:p>
    <w:tbl>
      <w:tblPr>
        <w:tblW w:w="6445" w:type="dxa"/>
        <w:jc w:val="left"/>
        <w:tblInd w:w="0" w:type="dxa"/>
        <w:tblLayout w:type="fixed"/>
        <w:tblCellMar>
          <w:top w:w="28" w:type="dxa"/>
          <w:left w:w="28" w:type="dxa"/>
          <w:bottom w:w="28" w:type="dxa"/>
          <w:right w:w="28" w:type="dxa"/>
        </w:tblCellMar>
      </w:tblPr>
      <w:tblGrid>
        <w:gridCol w:w="1489"/>
        <w:gridCol w:w="1308"/>
        <w:gridCol w:w="1313"/>
        <w:gridCol w:w="219"/>
        <w:gridCol w:w="219"/>
        <w:gridCol w:w="551"/>
        <w:gridCol w:w="109"/>
        <w:gridCol w:w="109"/>
        <w:gridCol w:w="109"/>
        <w:gridCol w:w="207"/>
        <w:gridCol w:w="207"/>
        <w:gridCol w:w="605"/>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cash flow information related to the Company’s operating leases for 2025, 2024 and 2023:</w:t>
      </w:r>
    </w:p>
    <w:tbl>
      <w:tblPr>
        <w:tblW w:w="10205" w:type="dxa"/>
        <w:jc w:val="left"/>
        <w:tblInd w:w="0" w:type="dxa"/>
        <w:tblLayout w:type="fixed"/>
        <w:tblCellMar>
          <w:top w:w="28" w:type="dxa"/>
          <w:left w:w="28" w:type="dxa"/>
          <w:bottom w:w="28" w:type="dxa"/>
          <w:right w:w="28" w:type="dxa"/>
        </w:tblCellMar>
      </w:tblPr>
      <w:tblGrid>
        <w:gridCol w:w="2592"/>
        <w:gridCol w:w="2274"/>
        <w:gridCol w:w="2280"/>
        <w:gridCol w:w="211"/>
        <w:gridCol w:w="466"/>
        <w:gridCol w:w="109"/>
        <w:gridCol w:w="109"/>
        <w:gridCol w:w="109"/>
        <w:gridCol w:w="109"/>
        <w:gridCol w:w="211"/>
        <w:gridCol w:w="466"/>
        <w:gridCol w:w="109"/>
        <w:gridCol w:w="109"/>
        <w:gridCol w:w="109"/>
        <w:gridCol w:w="109"/>
        <w:gridCol w:w="211"/>
        <w:gridCol w:w="466"/>
        <w:gridCol w:w="156"/>
      </w:tblGrid>
      <w:tr>
        <w:trPr/>
        <w:tc>
          <w:tcPr>
            <w:tcW w:w="259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as a result of new or modified Lease Liabilities, net of terminations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(a)These payments are included within the Operating Activities section of the Consolidated Statements of Cash Flows.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Finance Leases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fulfillment equipment under finance leases that expire at various dates through 2030. The Company records finance lease assets, net of accumulated amortization, in Property and Equipment, Net on the Consolidated Balance Sheets. Additionally, the Company records finance lease liabilities in Accrued Expenses and Other and Other Long-term Liabilities on the Consolidated Balance Sheets. Finance lease costs are comprised of the straight-line amortization of the lease asset and the accretion of interest expense under the effective interest method. The Company’s finance lease costs, assets and liabilities were not significant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Intangible Assets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Goodwill was $628 million as of January 31, 2026 and February 1,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performed its qualitative goodwill impairment assessments as of January 31, 2026 and February 1, 2025 and determined that it was not more likely than not that fair value was less than carrying value (including goodwill) as of both dates.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Trade Name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Trade Name was $165 million as of January 31, 2026 and February 1,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performed its impairment assessments of the Trade Name as of January 31, 2026 and February 1, 2025, utilizing the relief from royalty method under the income approach, and determined that its fair value was greater than its carrying value as of both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Other Assets and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about the composition of Other Current Assets as of January 31, 2026 and February 1, 2025:</w:t>
      </w:r>
    </w:p>
    <w:tbl>
      <w:tblPr>
        <w:tblW w:w="4736" w:type="dxa"/>
        <w:jc w:val="left"/>
        <w:tblInd w:w="0" w:type="dxa"/>
        <w:tblLayout w:type="fixed"/>
        <w:tblCellMar>
          <w:top w:w="28" w:type="dxa"/>
          <w:left w:w="28" w:type="dxa"/>
          <w:bottom w:w="28" w:type="dxa"/>
          <w:right w:w="28" w:type="dxa"/>
        </w:tblCellMar>
      </w:tblPr>
      <w:tblGrid>
        <w:gridCol w:w="870"/>
        <w:gridCol w:w="764"/>
        <w:gridCol w:w="766"/>
        <w:gridCol w:w="266"/>
        <w:gridCol w:w="587"/>
        <w:gridCol w:w="137"/>
        <w:gridCol w:w="109"/>
        <w:gridCol w:w="109"/>
        <w:gridCol w:w="109"/>
        <w:gridCol w:w="258"/>
        <w:gridCol w:w="571"/>
        <w:gridCol w:w="190"/>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Current Assets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about the composition of Accrued Expenses and Other as of January 31, 2026 and February 1, 2025:</w:t>
      </w:r>
    </w:p>
    <w:tbl>
      <w:tblPr>
        <w:tblW w:w="5906" w:type="dxa"/>
        <w:jc w:val="left"/>
        <w:tblInd w:w="0" w:type="dxa"/>
        <w:tblLayout w:type="fixed"/>
        <w:tblCellMar>
          <w:top w:w="28" w:type="dxa"/>
          <w:left w:w="28" w:type="dxa"/>
          <w:bottom w:w="28" w:type="dxa"/>
          <w:right w:w="28" w:type="dxa"/>
        </w:tblCellMar>
      </w:tblPr>
      <w:tblGrid>
        <w:gridCol w:w="1290"/>
        <w:gridCol w:w="1138"/>
        <w:gridCol w:w="1142"/>
        <w:gridCol w:w="266"/>
        <w:gridCol w:w="587"/>
        <w:gridCol w:w="137"/>
        <w:gridCol w:w="109"/>
        <w:gridCol w:w="109"/>
        <w:gridCol w:w="109"/>
        <w:gridCol w:w="258"/>
        <w:gridCol w:w="571"/>
        <w:gridCol w:w="190"/>
      </w:tblGrid>
      <w:tr>
        <w:trPr/>
        <w:tc>
          <w:tcPr>
            <w:tcW w:w="1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Payroll Taxes and Benefits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Claims on Self-insured Activities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Current income tax expense represents the amounts expected to be reported on the Company’s income tax returns, and deferred tax expense or benefit represents the change in net deferred tax assets and liabilities. Deferred tax assets and liabilities are determined based on the difference between the financial statement and tax bases of assets and liabilities as measured by the enacted tax rates that will be in effect when these differences reverse. Valuation allowances are recorded as appropriate to reduce deferred tax assets to the amount considered likely to be realized.</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the Company’s Income Before Income Taxes for 2025, 2024 and 2023:</w:t>
      </w:r>
    </w:p>
    <w:tbl>
      <w:tblPr>
        <w:tblW w:w="5952" w:type="dxa"/>
        <w:jc w:val="left"/>
        <w:tblInd w:w="0" w:type="dxa"/>
        <w:tblLayout w:type="fixed"/>
        <w:tblCellMar>
          <w:top w:w="28" w:type="dxa"/>
          <w:left w:w="28" w:type="dxa"/>
          <w:bottom w:w="28" w:type="dxa"/>
          <w:right w:w="28" w:type="dxa"/>
        </w:tblCellMar>
      </w:tblPr>
      <w:tblGrid>
        <w:gridCol w:w="937"/>
        <w:gridCol w:w="822"/>
        <w:gridCol w:w="836"/>
        <w:gridCol w:w="211"/>
        <w:gridCol w:w="466"/>
        <w:gridCol w:w="109"/>
        <w:gridCol w:w="109"/>
        <w:gridCol w:w="109"/>
        <w:gridCol w:w="109"/>
        <w:gridCol w:w="211"/>
        <w:gridCol w:w="616"/>
        <w:gridCol w:w="109"/>
        <w:gridCol w:w="109"/>
        <w:gridCol w:w="109"/>
        <w:gridCol w:w="109"/>
        <w:gridCol w:w="211"/>
        <w:gridCol w:w="61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Non-U.S.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the Company’s Provision for Income Taxes for 2025, 2024 and 2023:</w:t>
      </w:r>
    </w:p>
    <w:tbl>
      <w:tblPr>
        <w:tblW w:w="5531" w:type="dxa"/>
        <w:jc w:val="left"/>
        <w:tblInd w:w="0" w:type="dxa"/>
        <w:tblLayout w:type="fixed"/>
        <w:tblCellMar>
          <w:top w:w="28" w:type="dxa"/>
          <w:left w:w="28" w:type="dxa"/>
          <w:bottom w:w="28" w:type="dxa"/>
          <w:right w:w="28" w:type="dxa"/>
        </w:tblCellMar>
      </w:tblPr>
      <w:tblGrid>
        <w:gridCol w:w="895"/>
        <w:gridCol w:w="786"/>
        <w:gridCol w:w="793"/>
        <w:gridCol w:w="211"/>
        <w:gridCol w:w="466"/>
        <w:gridCol w:w="109"/>
        <w:gridCol w:w="109"/>
        <w:gridCol w:w="109"/>
        <w:gridCol w:w="109"/>
        <w:gridCol w:w="211"/>
        <w:gridCol w:w="466"/>
        <w:gridCol w:w="109"/>
        <w:gridCol w:w="109"/>
        <w:gridCol w:w="109"/>
        <w:gridCol w:w="109"/>
        <w:gridCol w:w="211"/>
        <w:gridCol w:w="46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reconciliation between the statutory federal income tax rate and the effective tax rate for 2025:</w:t>
      </w:r>
    </w:p>
    <w:tbl>
      <w:tblPr>
        <w:tblW w:w="7692" w:type="dxa"/>
        <w:jc w:val="left"/>
        <w:tblInd w:w="0" w:type="dxa"/>
        <w:tblLayout w:type="fixed"/>
        <w:tblCellMar>
          <w:top w:w="28" w:type="dxa"/>
          <w:left w:w="28" w:type="dxa"/>
          <w:bottom w:w="28" w:type="dxa"/>
          <w:right w:w="28" w:type="dxa"/>
        </w:tblCellMar>
      </w:tblPr>
      <w:tblGrid>
        <w:gridCol w:w="2013"/>
        <w:gridCol w:w="1772"/>
        <w:gridCol w:w="1779"/>
        <w:gridCol w:w="257"/>
        <w:gridCol w:w="569"/>
        <w:gridCol w:w="133"/>
        <w:gridCol w:w="109"/>
        <w:gridCol w:w="109"/>
        <w:gridCol w:w="109"/>
        <w:gridCol w:w="233"/>
        <w:gridCol w:w="233"/>
        <w:gridCol w:w="376"/>
      </w:tblGrid>
      <w:tr>
        <w:trPr/>
        <w:tc>
          <w:tcPr>
            <w:tcW w:w="201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at U.S. Federal Statutory Tax Rate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 (a)</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State and local taxes in California, New York, Illinois, New Jersey, Tennessee, Florida, and Pennsylvania contributed to the majority of the tax effect in this category.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reconciliation between the statutory federal income tax rate and the effective tax rate for 2024 and 2023:</w:t>
      </w:r>
    </w:p>
    <w:tbl>
      <w:tblPr>
        <w:tblW w:w="6480" w:type="dxa"/>
        <w:jc w:val="left"/>
        <w:tblInd w:w="0" w:type="dxa"/>
        <w:tblLayout w:type="fixed"/>
        <w:tblCellMar>
          <w:top w:w="28" w:type="dxa"/>
          <w:left w:w="28" w:type="dxa"/>
          <w:bottom w:w="28" w:type="dxa"/>
          <w:right w:w="28" w:type="dxa"/>
        </w:tblCellMar>
      </w:tblPr>
      <w:tblGrid>
        <w:gridCol w:w="1612"/>
        <w:gridCol w:w="1415"/>
        <w:gridCol w:w="1427"/>
        <w:gridCol w:w="233"/>
        <w:gridCol w:w="233"/>
        <w:gridCol w:w="331"/>
        <w:gridCol w:w="109"/>
        <w:gridCol w:w="109"/>
        <w:gridCol w:w="109"/>
        <w:gridCol w:w="263"/>
        <w:gridCol w:w="263"/>
        <w:gridCol w:w="376"/>
      </w:tblGrid>
      <w:tr>
        <w:trPr/>
        <w:tc>
          <w:tcPr>
            <w:tcW w:w="16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Income Tax Effect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Non-U.S. Operations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Deferred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liabilities represent the future effects on income taxes resulting from temporary differences and carryforwards at the end of the respective year.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effect of temporary differences that cause deferred income taxes as of January 31, 2026 and February 1, 2025:</w:t>
      </w:r>
    </w:p>
    <w:tbl>
      <w:tblPr>
        <w:tblW w:w="9875" w:type="dxa"/>
        <w:jc w:val="left"/>
        <w:tblInd w:w="0" w:type="dxa"/>
        <w:tblLayout w:type="fixed"/>
        <w:tblCellMar>
          <w:top w:w="28" w:type="dxa"/>
          <w:left w:w="28" w:type="dxa"/>
          <w:bottom w:w="28" w:type="dxa"/>
          <w:right w:w="28" w:type="dxa"/>
        </w:tblCellMar>
      </w:tblPr>
      <w:tblGrid>
        <w:gridCol w:w="1207"/>
        <w:gridCol w:w="1058"/>
        <w:gridCol w:w="1064"/>
        <w:gridCol w:w="211"/>
        <w:gridCol w:w="466"/>
        <w:gridCol w:w="109"/>
        <w:gridCol w:w="109"/>
        <w:gridCol w:w="109"/>
        <w:gridCol w:w="109"/>
        <w:gridCol w:w="211"/>
        <w:gridCol w:w="541"/>
        <w:gridCol w:w="109"/>
        <w:gridCol w:w="109"/>
        <w:gridCol w:w="109"/>
        <w:gridCol w:w="109"/>
        <w:gridCol w:w="211"/>
        <w:gridCol w:w="466"/>
        <w:gridCol w:w="109"/>
        <w:gridCol w:w="109"/>
        <w:gridCol w:w="109"/>
        <w:gridCol w:w="109"/>
        <w:gridCol w:w="211"/>
        <w:gridCol w:w="466"/>
        <w:gridCol w:w="109"/>
        <w:gridCol w:w="109"/>
        <w:gridCol w:w="109"/>
        <w:gridCol w:w="109"/>
        <w:gridCol w:w="211"/>
        <w:gridCol w:w="541"/>
        <w:gridCol w:w="109"/>
        <w:gridCol w:w="109"/>
        <w:gridCol w:w="109"/>
        <w:gridCol w:w="109"/>
        <w:gridCol w:w="211"/>
        <w:gridCol w:w="46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 2025</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jc w:val="left"/>
        <w:rPr/>
      </w:pPr>
      <w:r>
        <w:rPr>
          <w:rFonts w:ascii="Times New Roman;serif" w:hAnsi="Times New Roman;serif"/>
          <w:b w:val="false"/>
          <w:color w:val="000000"/>
          <w:sz w:val="20"/>
        </w:rPr>
        <w:t xml:space="preserve">As of January 31, 2026, the Company had loss carryforwards of $338 million, of which $237 million had an indefinite carryforward. The remainder of the U.S. and non-U.S. carryforwards, if unused, will expire at various dates from 2026 through 2040 and </w:t>
      </w:r>
      <w:r>
        <w:rPr>
          <w:rFonts w:ascii="Times New Roman;serif" w:hAnsi="Times New Roman;serif"/>
          <w:b w:val="false"/>
          <w:color w:val="000000"/>
          <w:sz w:val="20"/>
          <w:shd w:fill="FFFFFF" w:val="clear"/>
        </w:rPr>
        <w:t>2033 through 2041, re</w:t>
      </w:r>
      <w:r>
        <w:rPr>
          <w:rFonts w:ascii="Times New Roman;serif" w:hAnsi="Times New Roman;serif"/>
          <w:b w:val="false"/>
          <w:color w:val="000000"/>
          <w:sz w:val="20"/>
        </w:rPr>
        <w:t xml:space="preserve">spectively. For certain jurisdictions where the Company has determined that it is more 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than not that the loss carryforwards will not be realized, a valuation allowance has been provided on those loss carryforwards as well as other net deferred tax assets.</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the Company's income tax payments (net of refunds received) for 2025, 2024 and 2023:</w:t>
      </w:r>
    </w:p>
    <w:tbl>
      <w:tblPr>
        <w:tblW w:w="5067" w:type="dxa"/>
        <w:jc w:val="left"/>
        <w:tblInd w:w="0" w:type="dxa"/>
        <w:tblLayout w:type="fixed"/>
        <w:tblCellMar>
          <w:top w:w="28" w:type="dxa"/>
          <w:left w:w="28" w:type="dxa"/>
          <w:bottom w:w="28" w:type="dxa"/>
          <w:right w:w="28" w:type="dxa"/>
        </w:tblCellMar>
      </w:tblPr>
      <w:tblGrid>
        <w:gridCol w:w="727"/>
        <w:gridCol w:w="639"/>
        <w:gridCol w:w="644"/>
        <w:gridCol w:w="211"/>
        <w:gridCol w:w="466"/>
        <w:gridCol w:w="109"/>
        <w:gridCol w:w="109"/>
        <w:gridCol w:w="109"/>
        <w:gridCol w:w="109"/>
        <w:gridCol w:w="211"/>
        <w:gridCol w:w="466"/>
        <w:gridCol w:w="109"/>
        <w:gridCol w:w="109"/>
        <w:gridCol w:w="109"/>
        <w:gridCol w:w="109"/>
        <w:gridCol w:w="211"/>
        <w:gridCol w:w="46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jc w:val="left"/>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unrecognized tax benefits for U.S. federal, state and non-U.S. tax jurisdictions for 2025, 2024 and 2023, without interest and penalties:</w:t>
      </w:r>
    </w:p>
    <w:tbl>
      <w:tblPr>
        <w:tblW w:w="10205" w:type="dxa"/>
        <w:jc w:val="left"/>
        <w:tblInd w:w="0" w:type="dxa"/>
        <w:tblLayout w:type="fixed"/>
        <w:tblCellMar>
          <w:top w:w="28" w:type="dxa"/>
          <w:left w:w="28" w:type="dxa"/>
          <w:bottom w:w="28" w:type="dxa"/>
          <w:right w:w="28" w:type="dxa"/>
        </w:tblCellMar>
      </w:tblPr>
      <w:tblGrid>
        <w:gridCol w:w="2591"/>
        <w:gridCol w:w="2276"/>
        <w:gridCol w:w="2280"/>
        <w:gridCol w:w="211"/>
        <w:gridCol w:w="466"/>
        <w:gridCol w:w="109"/>
        <w:gridCol w:w="109"/>
        <w:gridCol w:w="109"/>
        <w:gridCol w:w="109"/>
        <w:gridCol w:w="211"/>
        <w:gridCol w:w="466"/>
        <w:gridCol w:w="109"/>
        <w:gridCol w:w="109"/>
        <w:gridCol w:w="109"/>
        <w:gridCol w:w="109"/>
        <w:gridCol w:w="211"/>
        <w:gridCol w:w="466"/>
        <w:gridCol w:w="155"/>
      </w:tblGrid>
      <w:tr>
        <w:trPr/>
        <w:tc>
          <w:tcPr>
            <w:tcW w:w="259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Unrecognized Tax Benefits, as of the Beginning of the Fiscal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to Unrecognized Tax Benefits for Prior Years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to Unrecognized Tax Benefits for Prior Years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to Unrecognized Tax Benefits as a Result of Current Year Activity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to Unrecognized Tax Benefits Relating to Settlements with Taxing Authorities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to Unrecognized Tax Benefits as a Result of a Lapse of the Applicable Statute of Limitations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Unrecognized Tax Benefits, as of the End of the Fiscal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Of the total gross unrecognized tax benefits, approximately $75 million, $91 million and $131 million, at January 31, 2026, February 1, 2025, and February 3, 2024, respectively, represent the amount of unrecognized tax benefits that, if recognized, would favorably affect the effective income tax rate in future periods. These amounts are net of the offsetting tax effects from other tax jurisdictions.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as components of income tax expense. The Company recognized an income tax expense from interest and penalties of approximately $6 million for 2025, $11 million for 2024 and $9 million for 2023. The Company had accrued $36 million and $30 million for the payment of interest and penalties as of January 31, 2026 and February 1, 2025, respectively. Accrued interest and penalties are included within Other Long-term Liabilities on the Consolidated Balance Sheets.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files U.S. federal income tax returns as well as income tax returns in various states and in non-U.S. jurisdictions. The Company is a participant in the Compliance Assurance Process, which is a program made available by the Internal Revenue Service (“IRS”) to certain qualifying large taxpayers, under which participants work collaboratively with the IRS to identify and resolve potential tax issues through open, cooperative and transparent interaction prior to the annual filing of their federal income tax returns. The IRS is currently examining the Company’s 2020 to 2025 consolidated U.S. federal income tax returns.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various state and local income tax examinations for the years 2018 to 2024. Finally, the Company is subject to multiple non-U.S. tax jurisdiction examinations for the years 2021 to 2023.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Long-term Debt and Borrowing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outstanding debt balances, net of unamortized debt issuance costs and discounts, as of January 31, 2026 and February 1, 2025:</w:t>
      </w:r>
    </w:p>
    <w:tbl>
      <w:tblPr>
        <w:tblW w:w="9431" w:type="dxa"/>
        <w:jc w:val="left"/>
        <w:tblInd w:w="0" w:type="dxa"/>
        <w:tblLayout w:type="fixed"/>
        <w:tblCellMar>
          <w:top w:w="28" w:type="dxa"/>
          <w:left w:w="28" w:type="dxa"/>
          <w:bottom w:w="28" w:type="dxa"/>
          <w:right w:w="28" w:type="dxa"/>
        </w:tblCellMar>
      </w:tblPr>
      <w:tblGrid>
        <w:gridCol w:w="2568"/>
        <w:gridCol w:w="2259"/>
        <w:gridCol w:w="2267"/>
        <w:gridCol w:w="223"/>
        <w:gridCol w:w="652"/>
        <w:gridCol w:w="115"/>
        <w:gridCol w:w="109"/>
        <w:gridCol w:w="109"/>
        <w:gridCol w:w="109"/>
        <w:gridCol w:w="219"/>
        <w:gridCol w:w="641"/>
        <w:gridCol w:w="160"/>
      </w:tblGrid>
      <w:tr>
        <w:trPr/>
        <w:tc>
          <w:tcPr>
            <w:tcW w:w="2568"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 with Subsidiary Guarantee</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$284 million, 6.694% Fixed Interest Rate Notes due January 2027 (“2027 Notes”)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$444 million, 5.250% Fixed Interest Rate Notes due February 2028 (“2028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$482 million, 7.500% Fixed Interest Rate Notes due June 2029 (“2029 Notes”)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$844 million, 6.625% Fixed Interest Rate Notes due October 2030 (“2030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$802 million, 6.875% Fixed Interest Rate Notes due November 2035 (“2035 Notes”)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million, 6.750% Fixed Interest Rate Notes due July 2036 (“2036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 with Subsidiary Guarantee</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Senior Debt</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$284 million, 6.950% Fixed Interest Rate Debentures due March 2033 (“2033 Notes”)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 million, 7.600% Fixed Interest Rate Notes due July 2037 (“2037 Notes”)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Debt</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principal payments due on outstanding debt in the next five fiscal years and the remaining years thereafter:</w:t>
      </w:r>
    </w:p>
    <w:tbl>
      <w:tblPr>
        <w:tblW w:w="2427" w:type="dxa"/>
        <w:jc w:val="left"/>
        <w:tblInd w:w="0" w:type="dxa"/>
        <w:tblLayout w:type="fixed"/>
        <w:tblCellMar>
          <w:top w:w="28" w:type="dxa"/>
          <w:left w:w="28" w:type="dxa"/>
          <w:bottom w:w="28" w:type="dxa"/>
          <w:right w:w="28" w:type="dxa"/>
        </w:tblCellMar>
      </w:tblPr>
      <w:tblGrid>
        <w:gridCol w:w="396"/>
        <w:gridCol w:w="349"/>
        <w:gridCol w:w="350"/>
        <w:gridCol w:w="109"/>
        <w:gridCol w:w="109"/>
        <w:gridCol w:w="109"/>
        <w:gridCol w:w="255"/>
        <w:gridCol w:w="564"/>
        <w:gridCol w:w="186"/>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paid for interest was $263 million in 2025, $289 million in 2024 and $346 million in 2023.</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Repurchases of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losses and gains on the extinguishment of debt, which include the write-offs of unamortized issuance costs and discounts, are included in Other Income, Net in the Consolidated Statements of Income. There were no repurchases of outstanding senior notes in 2025. </w:t>
      </w:r>
    </w:p>
    <w:p>
      <w:pPr>
        <w:pStyle w:val="TextBody"/>
        <w:bidi w:val="0"/>
        <w:spacing w:lineRule="auto" w:line="288" w:before="120" w:after="120"/>
        <w:jc w:val="left"/>
        <w:rPr/>
      </w:pPr>
      <w:r>
        <w:rPr>
          <w:rFonts w:ascii="Times New Roman;serif" w:hAnsi="Times New Roman;serif"/>
          <w:b w:val="false"/>
          <w:color w:val="000000"/>
          <w:sz w:val="20"/>
        </w:rPr>
        <w:t>2024</w:t>
      </w:r>
      <w:r>
        <w:rPr>
          <w:color w:val="000000"/>
        </w:rPr>
        <w:t xml:space="preserve"> </w:t>
      </w:r>
      <w:r>
        <w:rPr>
          <w:rFonts w:ascii="Times New Roman;serif" w:hAnsi="Times New Roman;serif"/>
          <w:b w:val="false"/>
          <w:i/>
          <w:color w:val="000000"/>
          <w:sz w:val="20"/>
        </w:rPr>
        <w:t>Repurchases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2024, the Company repurchased in the open market and extinguished $200 million principal amount of its outstanding senior notes. The aggregate repurchase price for these notes was $202 million, resulting in an aggregate pre-tax loss of $3 million, including the write-off of unamortized issuance costs and discounts.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2024, the Company also completed a make-whole call to repurchase the remaining $314 million principal amount of its outstanding 2025 Notes. The repurchase price for these notes was $320 million, resulting in a pre-tax loss of $7 million, including the write-off of unamortized issuance costs and discounts.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outstanding principal amounts of senior notes repurchased and extinguished during 2024:</w:t>
      </w:r>
    </w:p>
    <w:tbl>
      <w:tblPr>
        <w:tblW w:w="2208"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211"/>
        <w:gridCol w:w="466"/>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Asset-backed Revolving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and certain of the Company’s 100% owned subsidiaries guarantee and pledge collateral to secure an asset-backed revolving credit facility (“ABL Facility”). The ABL Facility, which allows borrowings and letters of credit in U.S. and Canadian dollars, has aggregate commitments of $750 million.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May 2025, the Company entered into an amendment and restatement (“Amendment”) of the ABL Facility. The Amendment removed the interest rate credit spread adjustment of 0.10%, extended the expiration date from August 2026 to May 2030 and included certain other technical amendments.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Availability under the ABL Facility is the lesser of (i) the borrowing base, determined primarily based on the Company’s eligible U.S. and Canadian credit card receivables, accounts receivable, inventory and eligible real property, or (ii) the aggregate commitment. If at any time the outstanding amount under the ABL Facility exceeds the lesser of (i) the borrowing base and (ii) the aggregate commitment, the Company is required to repay the outstanding amounts under the ABL Facility to the extent of such excess. As of January 31, 2026, the Company’s borrowing base was $482 million and it had no borrowings outstanding under the ABL Facility.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ABL Facility supports the Company’s letter of credit program. The Company had $9 million of outstanding letters of credit as of January 31, 2026 that reduced its availability under the ABL Facility. As of January 31, 2026, the Company’s availability under the ABL Facility was $473 million.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31, 2026, the ABL Facility fees related to committed and unutilized amounts were 0.30% per annum, and the fees related to outstanding letters of credit were 1.25% per annum. In addition, the interest rate on outstanding U.S. dollar borrowings was the Term Secured Overnight Financing Rate plus 1.25% per annum. The interest rate on outstanding Canadian dollar-denominated borrowings was the Canadian Overnight Repo Rate Average plus 1.25% per annum.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ABL Facility requires the Company to maintain a fixed charge coverage ratio of not less than 1.00 to 1.00 during an event of default or any period commencing on any day when specified excess availability is less than the greater of (i) $70 million or (ii) 10% of the maximum borrowing amount. As of January 31, 2026, the Company was not required to maintain this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principal value and estimated fair value of the Company’s outstanding debt as of January 31, 2026 and February 1, 2025:</w:t>
      </w:r>
    </w:p>
    <w:tbl>
      <w:tblPr>
        <w:tblW w:w="4451" w:type="dxa"/>
        <w:jc w:val="left"/>
        <w:tblInd w:w="0" w:type="dxa"/>
        <w:tblLayout w:type="fixed"/>
        <w:tblCellMar>
          <w:top w:w="28" w:type="dxa"/>
          <w:left w:w="28" w:type="dxa"/>
          <w:bottom w:w="28" w:type="dxa"/>
          <w:right w:w="28" w:type="dxa"/>
        </w:tblCellMar>
      </w:tblPr>
      <w:tblGrid>
        <w:gridCol w:w="766"/>
        <w:gridCol w:w="671"/>
        <w:gridCol w:w="677"/>
        <w:gridCol w:w="223"/>
        <w:gridCol w:w="652"/>
        <w:gridCol w:w="115"/>
        <w:gridCol w:w="109"/>
        <w:gridCol w:w="109"/>
        <w:gridCol w:w="109"/>
        <w:gridCol w:w="219"/>
        <w:gridCol w:w="641"/>
        <w:gridCol w:w="160"/>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Value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Estimated (a)</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estimated fair value of the Company’s debt is based on reported transaction prices, which are considered Level 2 inputs in accordance with ASC 820. The estimates presented are not necessarily indicative of the amounts that the Company could realize in a current market exchange.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carrying values of the Company’s Accounts Receivable, Accounts Payable and Accrued Expenses approximate their fair values as of January 31, 2026 because of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contingencies related to lawsuits, taxes, insurance, regulatory and other matters arising in the ordinary course of business. Actions filed against the Company from time to time may include commercial, tort, intellectual property, tax, customer, employment, wage and hour, data privacy, securities, anti-corruption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Lease Guarantees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spin-off of Victoria’s Secret &amp; Co., the Company had remaining contingent obligations of $215 million as of January 31, 2026 related to lease payments under the current terms of noncancelable leases, primarily related to office space, expiring at various dates through 2037. These obligations include minimum rent and additional payments covering taxes, common area costs and certain other expenses and relate to leases that commenced prior to the spin-off. The Company’s reserves related to these obligations were not significant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Shareholders’ Equity (Deficit)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Common Stock Repurchases and Retirements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authority of the Company’s Board, the Company repurchased shares of its common stock under the following repurchase programs during 2025 and 2024:</w:t>
      </w:r>
    </w:p>
    <w:p>
      <w:pPr>
        <w:pStyle w:val="TextBody"/>
        <w:bidi w:val="0"/>
        <w:spacing w:before="0" w:after="0"/>
        <w:jc w:val="left"/>
        <w:rPr/>
      </w:pPr>
      <w:r>
        <w:rPr/>
      </w:r>
    </w:p>
    <w:tbl>
      <w:tblPr>
        <w:tblW w:w="9816"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216"/>
        <w:gridCol w:w="632"/>
        <w:gridCol w:w="111"/>
        <w:gridCol w:w="109"/>
        <w:gridCol w:w="109"/>
        <w:gridCol w:w="109"/>
        <w:gridCol w:w="360"/>
        <w:gridCol w:w="361"/>
        <w:gridCol w:w="156"/>
        <w:gridCol w:w="115"/>
        <w:gridCol w:w="115"/>
        <w:gridCol w:w="115"/>
        <w:gridCol w:w="360"/>
        <w:gridCol w:w="361"/>
        <w:gridCol w:w="158"/>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Repurchase </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Stock Price</w:t>
            </w:r>
          </w:p>
        </w:tc>
      </w:tr>
      <w:tr>
        <w:trPr/>
        <w:tc>
          <w:tcPr>
            <w:tcW w:w="13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were share repurchases of $1 million reflected in Accounts Payable on the Consolidated Balance Sheet as of February 1, 2025. On February 27, 2025, the Company cancelled the remaining $121 million authorization available under the January 2024 Program and began repurchasing shares under the January 2025 Program.</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January 2025 Program had $117 million and $500 million of remaining authority as of January 31, 2026 and February 1, 2025, respectively. There were no share repurchases reflected in Accounts Payable on the Consolidated Balance Sheet as of January 31,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Shares repurchased under these programs are retired and cancelled upon repurchase. As a result, the Company retired the 15.072 million and 10.425 million shares repurchased during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Company paid the following dividends during 2025, 2024 and 2023:</w:t>
      </w:r>
    </w:p>
    <w:tbl>
      <w:tblPr>
        <w:tblW w:w="5437" w:type="dxa"/>
        <w:jc w:val="left"/>
        <w:tblInd w:w="0" w:type="dxa"/>
        <w:tblLayout w:type="fixed"/>
        <w:tblCellMar>
          <w:top w:w="28" w:type="dxa"/>
          <w:left w:w="28" w:type="dxa"/>
          <w:bottom w:w="28" w:type="dxa"/>
          <w:right w:w="28" w:type="dxa"/>
        </w:tblCellMar>
      </w:tblPr>
      <w:tblGrid>
        <w:gridCol w:w="494"/>
        <w:gridCol w:w="433"/>
        <w:gridCol w:w="437"/>
        <w:gridCol w:w="392"/>
        <w:gridCol w:w="950"/>
        <w:gridCol w:w="202"/>
        <w:gridCol w:w="109"/>
        <w:gridCol w:w="961"/>
        <w:gridCol w:w="109"/>
        <w:gridCol w:w="109"/>
        <w:gridCol w:w="109"/>
        <w:gridCol w:w="109"/>
        <w:gridCol w:w="109"/>
        <w:gridCol w:w="232"/>
        <w:gridCol w:w="513"/>
        <w:gridCol w:w="169"/>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Dividends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Paid</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459" w:type="dxa"/>
            <w:gridSpan w:val="8"/>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Total</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2024 Total</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2023</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2023 Total</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March 6, 2026, the Company paid its first quarter 2026 ordinary dividend of $0.20 per share to stockholders of record at the close of business on February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14. Share-based Compensation</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Plan Summary</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2020, the Company’s stockholders approved the 2020 Stock Option and Performance Incentive Plan (“2020 Plan”). The 2020 Plan replaced the 2015 Stock Option and Performance Incentive Plan (together with the 2020 Plan, the “Plans”). The Plans provide for the grant of incentive stock options, non-qualified stock options, stock appreciation rights, restricted stock units, restricted stock, performance share units and unrestricted shares. Historically, the Company granted stock options at a price equal to the fair market value of the stock on the date of grant. Stock options have a maximum term of 10 years. Stock options and restricted stock units generally vest over three-to-five-years. Performance share units generally cliff vest at the end of a three-year performance period based upon the Company’s achievement of pre-established goals over the performance period.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Under the Plans, 206 million options, restricted and unrestricted shares have been authorized to be granted to associates and directors. There were 10 million shares of common stock available for future issuance under the Plans as of January 31, 2026.</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Income Statement Impacts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Share-based Compensation Expense included in the Consolidated Statements of Income for 2025, 2024 and 2023:</w:t>
      </w:r>
    </w:p>
    <w:tbl>
      <w:tblPr>
        <w:tblW w:w="7272" w:type="dxa"/>
        <w:jc w:val="left"/>
        <w:tblInd w:w="0" w:type="dxa"/>
        <w:tblLayout w:type="fixed"/>
        <w:tblCellMar>
          <w:top w:w="28" w:type="dxa"/>
          <w:left w:w="28" w:type="dxa"/>
          <w:bottom w:w="28" w:type="dxa"/>
          <w:right w:w="28" w:type="dxa"/>
        </w:tblCellMar>
      </w:tblPr>
      <w:tblGrid>
        <w:gridCol w:w="1639"/>
        <w:gridCol w:w="1443"/>
        <w:gridCol w:w="1448"/>
        <w:gridCol w:w="211"/>
        <w:gridCol w:w="361"/>
        <w:gridCol w:w="109"/>
        <w:gridCol w:w="109"/>
        <w:gridCol w:w="109"/>
        <w:gridCol w:w="109"/>
        <w:gridCol w:w="211"/>
        <w:gridCol w:w="361"/>
        <w:gridCol w:w="109"/>
        <w:gridCol w:w="109"/>
        <w:gridCol w:w="109"/>
        <w:gridCol w:w="109"/>
        <w:gridCol w:w="211"/>
        <w:gridCol w:w="361"/>
        <w:gridCol w:w="154"/>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Buying and Occupancy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Store Operating Expenses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 recognized incremental tax expense associated with share-based compensation of $2 million in 2025 and $1 million for 2023. There was no incremental tax expense associated with share-based compensation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Restricted Stock Units and Performance Share Units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restricted stock unit and performance share unit activity on a combined basis for the year ended January 31, 2026:</w:t>
      </w:r>
    </w:p>
    <w:tbl>
      <w:tblPr>
        <w:tblW w:w="6115" w:type="dxa"/>
        <w:jc w:val="left"/>
        <w:tblInd w:w="0" w:type="dxa"/>
        <w:tblLayout w:type="fixed"/>
        <w:tblCellMar>
          <w:top w:w="28" w:type="dxa"/>
          <w:left w:w="28" w:type="dxa"/>
          <w:bottom w:w="28" w:type="dxa"/>
          <w:right w:w="28" w:type="dxa"/>
        </w:tblCellMar>
      </w:tblPr>
      <w:tblGrid>
        <w:gridCol w:w="1033"/>
        <w:gridCol w:w="906"/>
        <w:gridCol w:w="911"/>
        <w:gridCol w:w="373"/>
        <w:gridCol w:w="373"/>
        <w:gridCol w:w="378"/>
        <w:gridCol w:w="109"/>
        <w:gridCol w:w="109"/>
        <w:gridCol w:w="109"/>
        <w:gridCol w:w="389"/>
        <w:gridCol w:w="1140"/>
        <w:gridCol w:w="285"/>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 Value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as of February 1, 2025</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as of January 31, 2026</w:t>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restricted stock unit and performance share unit awards is generally based on the market value of the Company’s common stock on the grant date adjusted for anticipated dividend yields. The weighted-average estimated fair value of awards granted was $27.80 per share for 2025, $44.65 per share for 2024 and $35.93 per share for 2023.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total intrinsic value of awards that vested was $28 million for 2025, $50 million for 2024 and $31 million for 2023. The Company’s total fair value at grant date of awards that vested was $38 million for 2025, $48 million for 2024 and $36 million 2023.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Tax benefits realized from tax deductions associated with awards that vested were $4 million for 2025, $8 million for 2024 and $6 million for 2023.</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As of January 31, 2026, there was $29 million of total unrecognized compensation cost, net of estimated forfeitures, related to unvested restricted stock and performance share units. This cost is expected to be recognized over a weighted-average period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 is managed at the consolidated level and therefore operates and reports as a single segment. The Company’s Chief Executive Officer is its Chief Operating Decision Maker (“CODM”), and the measure of profitability included in the financial information regularly provided to the CODM is total Company Adjusted Operating Income, or Operating Income in periods where there are no adjustments. The Company’s CODM assesses Adjusted Operating Income performance in comparison to forecasts and historical results to make decisions on the reinvestment of profits into the business and capital allocation strategies.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significant segment expenses that were regularly provided to the CODM in 2025, 2024, and 2023:</w:t>
      </w:r>
    </w:p>
    <w:p>
      <w:pPr>
        <w:pStyle w:val="TextBody"/>
        <w:bidi w:val="0"/>
        <w:spacing w:before="0" w:after="0"/>
        <w:jc w:val="left"/>
        <w:rPr/>
      </w:pPr>
      <w:r>
        <w:rPr/>
      </w:r>
    </w:p>
    <w:tbl>
      <w:tblPr>
        <w:tblW w:w="7451" w:type="dxa"/>
        <w:jc w:val="left"/>
        <w:tblInd w:w="0" w:type="dxa"/>
        <w:tblLayout w:type="fixed"/>
        <w:tblCellMar>
          <w:top w:w="28" w:type="dxa"/>
          <w:left w:w="28" w:type="dxa"/>
          <w:bottom w:w="28" w:type="dxa"/>
          <w:right w:w="28" w:type="dxa"/>
        </w:tblCellMar>
      </w:tblPr>
      <w:tblGrid>
        <w:gridCol w:w="1430"/>
        <w:gridCol w:w="1252"/>
        <w:gridCol w:w="1262"/>
        <w:gridCol w:w="211"/>
        <w:gridCol w:w="616"/>
        <w:gridCol w:w="109"/>
        <w:gridCol w:w="109"/>
        <w:gridCol w:w="109"/>
        <w:gridCol w:w="109"/>
        <w:gridCol w:w="211"/>
        <w:gridCol w:w="616"/>
        <w:gridCol w:w="109"/>
        <w:gridCol w:w="109"/>
        <w:gridCol w:w="109"/>
        <w:gridCol w:w="109"/>
        <w:gridCol w:w="211"/>
        <w:gridCol w:w="61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Costs of Goods Sold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Buying and Occupancy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Activities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Leadership Transition Costs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(a)In 2025, the Company recognized aggregate pre-tax costs of $15 million, resulting from business transformation activities, and primarily related to severance benefits, in connection with the Consumer First Formula, of which $1 million and $14 million were excluded from Costs of Goods Sold and General and Administrative Expenses, respectively, in the Adjusted Operating Income details provided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 2025, the Company recognized aggregate pre-tax costs of $15 million due to the transition of certain members of the leadership team, primarily related to severance benefits, which were excluded from General and Administrative Expenses in the Adjusted Operating Income details provided to the CODM.</w:t>
      </w:r>
    </w:p>
    <w:p>
      <w:pPr>
        <w:pStyle w:val="TextBody"/>
        <w:bidi w:val="0"/>
        <w:spacing w:lineRule="auto" w:line="276" w:before="0" w:after="0"/>
        <w:jc w:val="left"/>
        <w:rPr/>
      </w:pPr>
      <w:r>
        <w:rPr>
          <w:rFonts w:ascii="Times New Roman;serif" w:hAnsi="Times New Roman;serif"/>
          <w:b w:val="false"/>
          <w:color w:val="000000"/>
          <w:sz w:val="20"/>
        </w:rPr>
        <w:t xml:space="preserve">As a single reportable segment entity, the other disclosures required by ASC 280,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 xml:space="preserve">can be found in the Company’s Consolidated Financial Statements and the Notes thereto, including the Company’s measure of segment assets,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which is total consolidated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Subsequent to January 31, 2026, the Company received cash proceeds of $88 million, net of legal fees, related to the favorable settlement of payment card interchange fee litigation.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Subsequent to January 31, 2026, the Company issued notice of redemption for any and all outstanding of its 6.694% Senior Notes due January 2027. The Company expects the aggregate redemption price to be approximately $289 million, and to recognize a pre-tax loss of approximately $9 million in the first quarter of fiscal 2026 as a result of this redemption.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Subsequent to January 31, 2026, the Company recognized a tax benefit of $62 million, due to the resolution of certain tax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00" w:after="100"/>
        <w:jc w:val="left"/>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pStyle w:val="TextBody"/>
        <w:bidi w:val="0"/>
        <w:spacing w:lineRule="auto" w:line="288" w:before="100" w:after="100"/>
        <w:jc w:val="left"/>
        <w:rPr/>
      </w:pPr>
      <w:r>
        <w:rPr>
          <w:rFonts w:ascii="Times New Roman;serif" w:hAnsi="Times New Roman;serif"/>
          <w:b w:val="false"/>
          <w:i/>
          <w:color w:val="000000"/>
          <w:sz w:val="20"/>
        </w:rPr>
        <w:t>Management’s Report on Internal Control Over Financial Reporting</w:t>
      </w:r>
      <w:r>
        <w:rPr>
          <w:rFonts w:ascii="Times New Roman;serif" w:hAnsi="Times New Roman;serif"/>
          <w:b w:val="false"/>
          <w:color w:val="000000"/>
          <w:sz w:val="20"/>
        </w:rPr>
        <w:t>. Management’s Report on Internal Control Over Financial Reporting as of January 31, 2026 is set forth in Item 8. Financial Statements and Supplementary Data.</w:t>
      </w:r>
    </w:p>
    <w:p>
      <w:pPr>
        <w:pStyle w:val="TextBody"/>
        <w:bidi w:val="0"/>
        <w:spacing w:lineRule="auto" w:line="288" w:before="100" w:after="100"/>
        <w:jc w:val="left"/>
        <w:rPr/>
      </w:pPr>
      <w:r>
        <w:rPr>
          <w:rFonts w:ascii="Times New Roman;serif" w:hAnsi="Times New Roman;serif"/>
          <w:b w:val="false"/>
          <w:i/>
          <w:color w:val="000000"/>
          <w:sz w:val="20"/>
        </w:rPr>
        <w:t>Attestation Report of the Registered Public Accounting Firm</w:t>
      </w:r>
      <w:r>
        <w:rPr>
          <w:rFonts w:ascii="Times New Roman;serif" w:hAnsi="Times New Roman;serif"/>
          <w:b w:val="false"/>
          <w:color w:val="000000"/>
          <w:sz w:val="20"/>
        </w:rPr>
        <w:t>. The Report of Independent Registered Public Accounting Firm on Internal Control Over Financial Reporting as of January 31, 2026 is set forth in Item 8. Financial Statements and Supplementary Data.</w:t>
      </w:r>
    </w:p>
    <w:p>
      <w:pPr>
        <w:pStyle w:val="TextBody"/>
        <w:bidi w:val="0"/>
        <w:spacing w:lineRule="auto" w:line="288" w:before="100" w:after="100"/>
        <w:jc w:val="left"/>
        <w:rPr/>
      </w:pP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There were no changes in our internal control over financial reporting that occurred in the fourth quarter of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68" w:before="100" w:after="120"/>
        <w:ind w:left="0" w:right="0" w:hanging="1440"/>
        <w:jc w:val="left"/>
        <w:rPr>
          <w:rFonts w:ascii="Times New Roman;serif" w:hAnsi="Times New Roman;serif"/>
          <w:b/>
          <w:i/>
          <w:color w:val="000000"/>
          <w:sz w:val="20"/>
        </w:rPr>
      </w:pPr>
      <w:r>
        <w:rPr>
          <w:rFonts w:ascii="Times New Roman;serif" w:hAnsi="Times New Roman;serif"/>
          <w:b/>
          <w:i/>
          <w:color w:val="000000"/>
          <w:sz w:val="20"/>
        </w:rPr>
        <w:t>Securities Trading Plans of Directors and Executive Officers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None of our directors or executive officers adopted or terminated a “Rule 10b5-1 trading arrangement” or a “non-Rule 10b5-1 trading arrangement” (as such terms are defined in Item 408(c) of Regulation S-K) during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80"/>
        <w:jc w:val="left"/>
        <w:rPr>
          <w:rFonts w:ascii="Times New Roman;serif" w:hAnsi="Times New Roman;serif"/>
          <w:b/>
          <w:color w:val="000000"/>
          <w:sz w:val="20"/>
        </w:rPr>
      </w:pPr>
      <w:r>
        <w:rPr>
          <w:rFonts w:ascii="Times New Roman;serif" w:hAnsi="Times New Roman;serif"/>
          <w:b/>
          <w:color w:val="000000"/>
          <w:sz w:val="20"/>
        </w:rPr>
        <w:t>ITEM 10. DIRECTORS AND EXECUTIVE OFFICERS AND CORPORATE GOVERNANCE.</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Information required by Item 10 regarding our directors, executive officers and corporate governance is included in our Proxy Statement related to our 2026 Annual Meeting of Stockholders and is incorporated herein by reference. Information regarding compliance with Section 16(A) of the Exchange Act is included in our Proxy Statement related to our 2026 Annual Meeting of Stockholders and is incorporated herein by reference.</w:t>
      </w:r>
    </w:p>
    <w:p>
      <w:pPr>
        <w:pStyle w:val="TextBody"/>
        <w:bidi w:val="0"/>
        <w:spacing w:lineRule="auto" w:line="288" w:before="80" w:after="80"/>
        <w:jc w:val="left"/>
        <w:rPr/>
      </w:pPr>
      <w:r>
        <w:rPr>
          <w:rFonts w:ascii="Times New Roman;serif" w:hAnsi="Times New Roman;serif"/>
          <w:b w:val="false"/>
          <w:color w:val="000000"/>
          <w:sz w:val="20"/>
        </w:rPr>
        <w:t xml:space="preserve">The Company has a written Code of Conduct that applies to members of the Company’s Board and associates, including the Company’s Chief Executive Officer (Principal Executive Officer) and Chief Financial Officer (Principal Financial and Accounting Officer). The Code of Conduct is available on the Company’s website at </w:t>
      </w:r>
      <w:r>
        <w:rPr>
          <w:rFonts w:ascii="Times New Roman;serif" w:hAnsi="Times New Roman;serif"/>
          <w:b w:val="false"/>
          <w:i/>
          <w:color w:val="000000"/>
          <w:sz w:val="20"/>
        </w:rPr>
        <w:t>www.bbwinc.com</w:t>
      </w:r>
      <w:r>
        <w:rPr>
          <w:color w:val="000000"/>
        </w:rPr>
        <w:t xml:space="preserve"> </w:t>
      </w:r>
      <w:r>
        <w:rPr>
          <w:rFonts w:ascii="Times New Roman;serif" w:hAnsi="Times New Roman;serif"/>
          <w:b w:val="false"/>
          <w:color w:val="000000"/>
          <w:sz w:val="20"/>
        </w:rPr>
        <w:t xml:space="preserve">(accessible by clicking on the “Investors” link on the main page followed by the “Governance” and “Committee Charters and Governance Materials” links), and a printed copy will be delivered free of charge on request by writing to the Corporate Secretary of the Company at Three Limited Parkway, Columbus, Ohio 43230, c/o Bath &amp; Body Works Legal Department. Any amendments to, or waivers from, a provision of the Company’s Code of Conduct that applies to the Company’s Principal Executive Officer and Principal Financial and Accounting Officer and that relates to any element of the code of ethics enumerated in paragraph (b) of Item 406 of Regulation S-K shall be disclosed by posting such information on the Company’s website at </w:t>
      </w:r>
      <w:r>
        <w:rPr>
          <w:rFonts w:ascii="Times New Roman;serif" w:hAnsi="Times New Roman;serif"/>
          <w:b w:val="false"/>
          <w:i/>
          <w:color w:val="000000"/>
          <w:sz w:val="20"/>
        </w:rPr>
        <w:t>www.bbwinc.com</w:t>
      </w:r>
      <w:r>
        <w:rPr>
          <w:rFonts w:ascii="Times New Roman;serif" w:hAnsi="Times New Roman;serif"/>
          <w:b w:val="false"/>
          <w:color w:val="000000"/>
          <w:sz w:val="20"/>
        </w:rPr>
        <w:t>.</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The Company has an Insider Trading Policy governing all transactions in the Company’s securities by members of the Company’s Board and associates (including officers), as well as any other person designated by the Chief Legal Officer or Chief Financial Officer. The Insider Trading Policy is reasonably designed to promote compliance with insider trading laws, rules and regulations, and applicable listing standards. For more information, please refer to the Insider Trading Policy incorporated by reference as Exhibit 19 to this Annual Report on Form 10-K, or to disclosure included in our Proxy Statement related to our 2026 Annual Meeting of Stockholders that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Information required by Item 11 regarding executive compensation is included in our Proxy Statement related to our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Information required by Item 12 regarding the security ownership of certain beneficial owners and management is included in our Proxy Statement related to our 2026 Annual Meeting of Stockholders and is incorporated herein by reference.</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and exercise price information about the Company’s equity compensation plans as of January 31, 2026:</w:t>
      </w:r>
    </w:p>
    <w:tbl>
      <w:tblPr>
        <w:tblW w:w="10205" w:type="dxa"/>
        <w:jc w:val="left"/>
        <w:tblInd w:w="0" w:type="dxa"/>
        <w:tblLayout w:type="fixed"/>
        <w:tblCellMar>
          <w:top w:w="28" w:type="dxa"/>
          <w:left w:w="28" w:type="dxa"/>
          <w:bottom w:w="28" w:type="dxa"/>
          <w:right w:w="28" w:type="dxa"/>
        </w:tblCellMar>
      </w:tblPr>
      <w:tblGrid>
        <w:gridCol w:w="684"/>
        <w:gridCol w:w="602"/>
        <w:gridCol w:w="606"/>
        <w:gridCol w:w="109"/>
        <w:gridCol w:w="109"/>
        <w:gridCol w:w="109"/>
        <w:gridCol w:w="931"/>
        <w:gridCol w:w="651"/>
        <w:gridCol w:w="653"/>
        <w:gridCol w:w="109"/>
        <w:gridCol w:w="109"/>
        <w:gridCol w:w="109"/>
        <w:gridCol w:w="401"/>
        <w:gridCol w:w="1174"/>
        <w:gridCol w:w="210"/>
        <w:gridCol w:w="109"/>
        <w:gridCol w:w="109"/>
        <w:gridCol w:w="109"/>
        <w:gridCol w:w="1172"/>
        <w:gridCol w:w="879"/>
        <w:gridCol w:w="882"/>
        <w:gridCol w:w="109"/>
        <w:gridCol w:w="109"/>
        <w:gridCol w:w="161"/>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 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 Number of securities remaining available for future issuance under equity compensation plans (excluding securities reflected in column (a))</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2,652,901 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2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12,498,953 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2,652,901 </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12,498,953 </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the 2020 Stock Option and Performance Incentive Plan (the “2020 Plan”) and the 2015 Stock Option and Performance Incentive Plan.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(2)Includes the weighted-average exercise price for stock options only.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securities remaining available for future issuance for each of the following plans: the 2020 Plan (10,385,336) and the Associate Stock Purchase Plan (2,113,617).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Information required by Item 13 regarding certain relationships and related transactions is included in our Proxy Statement related to our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Information required by Item 14 regarding principal accountant fees and services is included in our Proxy Statement related to our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6"/>
        <w:gridCol w:w="341"/>
        <w:gridCol w:w="341"/>
        <w:gridCol w:w="341"/>
        <w:gridCol w:w="341"/>
        <w:gridCol w:w="341"/>
        <w:gridCol w:w="2613"/>
        <w:gridCol w:w="1783"/>
        <w:gridCol w:w="1838"/>
        <w:gridCol w:w="109"/>
        <w:gridCol w:w="109"/>
        <w:gridCol w:w="109"/>
        <w:gridCol w:w="109"/>
        <w:gridCol w:w="109"/>
        <w:gridCol w:w="109"/>
        <w:gridCol w:w="10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of Bath &amp; Body Works, Inc. are filed as part of this report under Item 8. Financial Statements and Supplementary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58">
              <w:r>
                <w:rPr>
                  <w:rStyle w:val="InternetLink"/>
                  <w:rFonts w:ascii="Times New Roman;serif" w:hAnsi="Times New Roman;serif"/>
                  <w:b w:val="false"/>
                  <w:color w:val="0000FF"/>
                  <w:sz w:val="20"/>
                  <w:u w:val="single"/>
                </w:rPr>
                <w:t>Management’s Report on Internal Control Over Financial Reporting</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61">
              <w:r>
                <w:rPr>
                  <w:rStyle w:val="InternetLink"/>
                  <w:rFonts w:ascii="Times New Roman;serif" w:hAnsi="Times New Roman;serif"/>
                  <w:b w:val="false"/>
                  <w:color w:val="0000FF"/>
                  <w:sz w:val="20"/>
                  <w:u w:val="single"/>
                </w:rPr>
                <w:t>Report of Independent Registered Public Accounting Firm on Internal Control Over Financial Reporting</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64">
              <w:r>
                <w:rPr>
                  <w:rStyle w:val="InternetLink"/>
                  <w:rFonts w:ascii="Times New Roman;serif" w:hAnsi="Times New Roman;serif"/>
                  <w:b w:val="false"/>
                  <w:color w:val="0000FF"/>
                  <w:sz w:val="20"/>
                  <w:u w:val="single"/>
                </w:rPr>
                <w:t>Report of Independent Registered Public Accounting Firm on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67">
              <w:r>
                <w:rPr>
                  <w:rStyle w:val="InternetLink"/>
                  <w:rFonts w:ascii="Times New Roman;serif" w:hAnsi="Times New Roman;serif"/>
                  <w:b w:val="false"/>
                  <w:color w:val="0000FF"/>
                  <w:sz w:val="20"/>
                  <w:u w:val="single"/>
                </w:rPr>
                <w:t>Consolidated Statements of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67">
              <w:r>
                <w:rPr>
                  <w:rStyle w:val="InternetLink"/>
                  <w:rFonts w:ascii="Times New Roman;serif" w:hAnsi="Times New Roman;serif"/>
                  <w:b w:val="false"/>
                  <w:color w:val="0000FF"/>
                  <w:sz w:val="20"/>
                  <w:u w:val="single"/>
                </w:rPr>
                <w:t xml:space="preserve">Consolidated Statements of Comprehensive Income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0">
              <w:r>
                <w:rPr>
                  <w:rStyle w:val="InternetLink"/>
                  <w:rFonts w:ascii="Times New Roman;serif" w:hAnsi="Times New Roman;serif"/>
                  <w:b w:val="false"/>
                  <w:color w:val="0000FF"/>
                  <w:sz w:val="20"/>
                  <w:u w:val="single"/>
                </w:rPr>
                <w:t>Consolidated Balance Sheets</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3">
              <w:r>
                <w:rPr>
                  <w:rStyle w:val="InternetLink"/>
                  <w:rFonts w:ascii="Times New Roman;serif" w:hAnsi="Times New Roman;serif"/>
                  <w:b w:val="false"/>
                  <w:color w:val="0000FF"/>
                  <w:sz w:val="20"/>
                  <w:u w:val="single"/>
                </w:rPr>
                <w:t>Consolidated Statements of Total Equity (Deficit)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6">
              <w:r>
                <w:rPr>
                  <w:rStyle w:val="InternetLink"/>
                  <w:rFonts w:ascii="Times New Roman;serif" w:hAnsi="Times New Roman;serif"/>
                  <w:b w:val="false"/>
                  <w:color w:val="0000FF"/>
                  <w:sz w:val="20"/>
                  <w:u w:val="single"/>
                </w:rPr>
                <w:t>Consolidated Statements of Cash Flows</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0eb9fc916d4aec970dab25c2f372f3_79">
              <w:r>
                <w:rPr>
                  <w:rStyle w:val="InternetLink"/>
                  <w:rFonts w:ascii="Times New Roman;serif" w:hAnsi="Times New Roman;serif"/>
                  <w:b w:val="false"/>
                  <w:color w:val="0000FF"/>
                  <w:sz w:val="20"/>
                  <w:u w:val="singl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have been omitted because they are not required or are not applicable or because the</w:t>
              <w:br/>
              <w:t>information required to be set forth therein either is not material or is included in the financial</w:t>
              <w:br/>
              <w:t>statements or notes thereto.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8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 of Exhibits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Incorporation and Bylaws.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 xml:space="preserve">Amended and Restated Certificate of Incorporation of the Company (incorporated by reference to Exhibit 3.1 to the Company’s Current Report on Form 8-K, dated May 20, 2020), </w:t>
              </w:r>
            </w:hyperlink>
            <w:hyperlink r:id="rId4">
              <w:r>
                <w:rPr>
                  <w:rStyle w:val="InternetLink"/>
                  <w:rFonts w:ascii="Times New Roman;serif" w:hAnsi="Times New Roman;serif"/>
                  <w:b w:val="false"/>
                  <w:color w:val="000080"/>
                  <w:sz w:val="20"/>
                  <w:u w:val="single"/>
                </w:rPr>
                <w:t>as amended by the Certificate of Amendment of the Amended and Restated Certificate of Incorporation of the Company (incorporated by reference to Exhibit 3.1 to the Company’s Current Report on Form 8-K dated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the Company (incorporated by reference to Exhibit 3.1 to the Company’s Current Report on Form 8-K dated June 27,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Defining the Rights of Security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Conformed copy of the Indenture dated as of March 15, 1988 between the Company and The Bank of New York, incorporated by reference to Exhibit 4.1 to the Company’s Registration Statement on Form S-3 (File No. 333-105484) filed on May 22, 2003.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First Supplemental Indenture dated as of May 31, 2005 among the Company, The Bank of New York and The Bank of New York Trust Company, N.A., incorporated by reference to Exhibit 4.1.2 to the Company’s Registration Statement on Form S-3 (Reg. No. 333-125561) filed on June 6, 2005.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Second Supplemental Indenture dated as of July 17, 2007 between the Company and The Bank of New York Trust Company, N.A., incorporated by reference to Exhibit 4.1.3 to the Company’s Registration Statement on Form S-3 (Reg. No. 333-146420) filed on October 1, 2007.</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Seventh Supplemental Indenture dated as of March 22, 2013 among the Company, the guarantors named therein and The Bank of New York Mellon Trust Company, N.A., incorporated by reference to Exhibit 4.1.8 to the Company’s Registration Statement on Form S-3 (Reg. No. 333-191968) filed on October 29, 2013.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Twelfth Supplemental Indenture dated as of August 2, 2021 among the Company, the guarantors named therein and The Bank of New York Mellon Trust Company, N.A., as trustee, incorporated by reference to Exhibit 4.26 to the Company’s Annual Report on Form 10-K for the year ended January 29,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February 19, 2003 between the Company and The Bank of New York, incorporated by reference to Exhibit 4 to the Company’s Registration Statement on Form S-4 (Reg. No. 333-104633) filed on April 18, 2003.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gridCol w:w="154"/>
        <w:gridCol w:w="158"/>
        <w:gridCol w:w="109"/>
        <w:gridCol w:w="109"/>
        <w:gridCol w:w="109"/>
        <w:gridCol w:w="2622"/>
        <w:gridCol w:w="2489"/>
        <w:gridCol w:w="2495"/>
        <w:gridCol w:w="109"/>
        <w:gridCol w:w="109"/>
        <w:gridCol w:w="109"/>
        <w:gridCol w:w="109"/>
        <w:gridCol w:w="109"/>
        <w:gridCol w:w="109"/>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First Supplemental Indenture dated as of August 2, 2021 among the Company, the guarantors named therein and The Bank of New York Mellon Trust Company, N.A., as trustee, incorporated by reference to Exhibit 4.27 to the Company’s Annual Report on Form 10-K for the year ended January 29,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Indenture dated as of October 30, 2015 among the Company, the guarantors named therein and The Bank of New York Mellon Trust Company, N.A., as trustee, incorporated by reference to Exhibit 4.1 to the Company’s Current Report on Form 8-K dated November 3, 2015.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First Supplemental Indenture dated as of August 2, 2021 among the Company, the guarantors named therein and The Bank of New York Mellon Trust Company, N.A., as trustee, incorporated by reference to Exhibit 4.28 to the Company’s Annual Report on Form 10-K for the year ended January 29,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Indenture, dated as of June 16, 2016, between the Company and U.S. Bank National Association, as trustee, incorporated by reference to Exhibit 4.1 to the Company’s Current Report on Form 8-K dated June 16, 2016.</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First Supplemental Indenture dated as of June 16, 2016 among the Company, the guarantors named therein and U.S. Bank National Association, as trustee, incorporated by reference to Exhibit 4.2 to the Company’s Current Report on Form 8-K dated June 16, 2016.</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Second Supplemental Indenture dated as of January 23, 2018 among the Company, the guarantors named therein and U.S. Bank National Association, as trustee, incorporated by reference to Exhibit 4.2 to the Company’s Current Report on Form 8-K dated January 23, 2018.</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Third Supplemental Indenture dated as of June 20, 2019 among the Company, the guarantors named therein and U.S. Bank National Association, as trustee, incorporated by reference to Exhibit 4.2 to the Company’s Current Report on Form 8-K dated June 24, 2019.</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Fourth Supplemental Indenture dated as of June 30, 2019 among the Company, the guarantors named therein and U.S. Bank National Association, as trustee, incorporated by reference to Exhibit 4.1 to the Company’s Quarterly Report on Form 10-Q for the quarter ended August 3, 2019.</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20"/>
                  <w:u w:val="single"/>
                </w:rPr>
                <w:t>Fifth Supplemental Indenture dated as of August 2, 2021 among the Company, the guarantors named therein and U.S. Bank National Association, as trustee, incorporated by reference to Exhibit 4.29 to the Company’s Annual Report on Form 10-K for the year ended January 29,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Indenture dated as of June 18, 2018 among the Company, the guarantors named therein and U.S. Bank National Association, as trustee, incorporated by reference to Exhibit 4.25 to the Company’s Registration Statement on Form S-4 (Reg. No. 333-227288) filed on September 11, 2018.</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Supplemental Indenture No. 1 dated as of June 29, 2018 among the Company, the guarantors named therein and U.S. Bank National Association, as trustee, incorporated by reference to Exhibit 4.26 to the Company’s Registration Statement on Form S-4 (Reg. No. 333-227288) filed on September 11, 2018.</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Indenture dated as of September 30, 2020 among the Company, the guarantors named therein and U.S. Bank National Association, as trustee, incorporated by reference to Exhibit 4.1 to the Company’s Current Report on Form 8-K dated September 30,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erif" w:hAnsi="Times New Roman;serif"/>
                  <w:b w:val="false"/>
                  <w:color w:val="0000FF"/>
                  <w:sz w:val="20"/>
                  <w:u w:val="single"/>
                </w:rPr>
                <w:t>First Supplemental Indenture dated as of August 2, 2021 among the Company, the guarantors named therein and U.S. Bank National Association, as trustee, incorporated by reference to Exhibit 4.33 to the Company’s Annual Report on Form 10-K for the year ended January 29,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erif" w:hAnsi="Times New Roman;serif"/>
                  <w:b w:val="false"/>
                  <w:color w:val="0000FF"/>
                  <w:sz w:val="20"/>
                  <w:u w:val="single"/>
                </w:rPr>
                <w:t>Second Supplemental Indenture dated as of November 17, 2021 among the Company, the guarantors named therein and U.S. Bank National Association, as trustee, incorporated by reference to Exhibit 4.36 to the Company’s Annual Report on Form 10-K for the year ended January 29,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421.htm">
              <w:r>
                <w:rPr>
                  <w:rStyle w:val="InternetLink"/>
                  <w:rFonts w:ascii="Times New Roman;serif" w:hAnsi="Times New Roman;serif"/>
                  <w:b w:val="false"/>
                  <w:color w:val="0000FF"/>
                  <w:sz w:val="20"/>
                  <w:u w:val="single"/>
                </w:rPr>
                <w:t>Description of the Registrant’s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Indemnification Agreement incorporated by reference to Exhibit 10.1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2015 Stock Option and Performance Incentive Plan, incorporated by reference to Exhibit 99.1 to the Company’s Registration Statement on Form S-8 (Reg. No. 333-206787) filed on September 4, 2015.**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2015 Stock Option and Performance Incentive Plan Terms and Conditions of Stock Option Grant, incorporated by reference to Exhibit 10.2 to the Company’s Quarterly Report on Form 10-Q for the quarter ended August 1, 2015.**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2020 Stock Option and Performance Incentive Plan, incorporated by reference to Appendix C to the Company’s Proxy Statement dated April 2,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9"/>
        <w:gridCol w:w="189"/>
        <w:gridCol w:w="193"/>
        <w:gridCol w:w="109"/>
        <w:gridCol w:w="109"/>
        <w:gridCol w:w="109"/>
        <w:gridCol w:w="2583"/>
        <w:gridCol w:w="2456"/>
        <w:gridCol w:w="2462"/>
        <w:gridCol w:w="109"/>
        <w:gridCol w:w="109"/>
        <w:gridCol w:w="109"/>
        <w:gridCol w:w="109"/>
        <w:gridCol w:w="109"/>
        <w:gridCol w:w="109"/>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2020 Stock Option and Performance Incentive Plan Restricted Share Unit Award Agreement (Form of Associate Award), incorporated by reference to Exhibit 10.1 to the Company’s Quarterly Report on Form 10-Q for the quarter ended May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2020 Stock Option and Performance Incentive Plan Performance Share Unit Award Agreement, incorporated by reference to Exhibit 10.2 to the Company’s Quarterly Report on Form 10-Q for the quarter ended May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2020 Stock Option and Performance Incentive Plan Stock Option Award Agreement, incorporated by reference to Exhibit 10.3 to the Company’s Quarterly Report on Form 10-Q for the quarter ended May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2020 Stock Option and Performance Incentive Plan Restricted Share Unit Award Agreement (Form of Director Award Agreement), incorporated by reference to Exhibit 10.11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Amended and Restated 2015 Cash Incentive Compensation Performance Plan, incorporated by reference to Exhibit 10.1 to the Company’s Quarterly Report on Form 10-Q for the quarter ended October 29,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Cash Incentive Compensation Performance Plan incorporated by reference to Exhibit 10.12 to the Company’s Annual Report on Form 10-K for the year ended February 3,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Associate Stock Purchase Plan, incorporated by reference to Exhibit 10.1 to the Company’s Current Report on Form 8-K dated May 13,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Offer Letter between the Company and Daniel Heaf, dated as of May 16, 2025, incorporated by reference to Exhibit 10.2 to the Company’s Quarterly Report on Form 10-Q for the quarter ended May 3, 2025.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Executive Severance Agreement between the Company and Daniel Heaf, dated as of May 16, 2025, incorporated by reference to Exhibit 10.3 to the Company’s Quarterly Report on Form 10-Q for the quarter ended May 3, 2025.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Master Aircraft Time Sharing Agreement between the Company and Daniel Heaf, effective as of September 12, 2025, incorporated by reference to Exhibit 10.1 to the Company’s Quarterly Report on Form 10-Q for the quarter ended November 1, 2025.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Executive Severance Agreement between the Company and Gina Boswell, dated as of December 1, 2022, incorporated by reference to Exhibit 10.16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Offer Letter between the Company and Eva Boratto, dated as of July 18, 2023, incorporated by reference to Exhibit 10.3 to the Company’s Quarterly Report on Form 10-Q for the quarter ended July 29,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Confidentiality, Non-Competition and Intellectual Property Agreement between the Company and Eva Boratto, dated as of August 1, 2023, incorporated by reference to Exhibit 10.4 to the Company’s Quarterly Report on Form 10-Q for the quarter ended July 29,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Executive Severance Agreement between the Company and Eva Boratto, dated as of August 1, 2023, incorporated by reference to Exhibit 10.5 to the Company’s Quarterly Report on Form 10-Q for the quarter ended July 29,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Letter Agreement between the Company and Eva Boratto, dated July 21, 2025, incorporated by reference to Exhibit 10.1 to the Company’s Quarterly Report on Form 10-Q for the quarter ended August 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Offer Letter between the Company and Michael Wu, dated as of April 19, 2021, incorporated by reference to Exhibit 10.30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Confidentiality, Non-Competition and Intellectual Property Agreement between the Company and Michael Wu, dated as of April 19, 2021, incorporated by reference to Exhibit 10.29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Executive Severance Agreement between the Company and Michael Wu, dated as of May 13, 2022, incorporated by reference to Exhibit 10.31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executivesevera.htm">
              <w:r>
                <w:rPr>
                  <w:rStyle w:val="InternetLink"/>
                  <w:rFonts w:ascii="Times New Roman;serif" w:hAnsi="Times New Roman;serif"/>
                  <w:b w:val="false"/>
                  <w:color w:val="0000FF"/>
                  <w:sz w:val="20"/>
                  <w:u w:val="single"/>
                </w:rPr>
                <w:t>Executive Severance Agreement between the Company and Thomas Mazurek, dated as of May 23,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confidentiality.htm">
              <w:r>
                <w:rPr>
                  <w:rStyle w:val="InternetLink"/>
                  <w:rFonts w:ascii="Times New Roman;serif" w:hAnsi="Times New Roman;serif"/>
                  <w:b w:val="false"/>
                  <w:color w:val="0000FF"/>
                  <w:sz w:val="20"/>
                  <w:u w:val="single"/>
                </w:rPr>
                <w:t>Confidentiality, Non-Competition and Intellectual Property Agreement between the Company and Thomas Mazurek, dated as of July 20, 2006.**</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
        <w:gridCol w:w="216"/>
        <w:gridCol w:w="217"/>
        <w:gridCol w:w="109"/>
        <w:gridCol w:w="109"/>
        <w:gridCol w:w="109"/>
        <w:gridCol w:w="2572"/>
        <w:gridCol w:w="2421"/>
        <w:gridCol w:w="2428"/>
        <w:gridCol w:w="109"/>
        <w:gridCol w:w="109"/>
        <w:gridCol w:w="109"/>
        <w:gridCol w:w="109"/>
        <w:gridCol w:w="109"/>
        <w:gridCol w:w="109"/>
        <w:gridCol w:w="10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Separation and Distribution Agreement between the Company and Victoria’s Secret &amp; Co., dated as of August 2, 2021, incorporated by reference to Exhibit 2.1 to the Company’s Current Report on Form 8-K dated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L Brands to VS Transition Services Agreement between the Company and Victoria’s Secret &amp; Co., dated as of August 2, 2021, incorporated by reference to Exhibit 10.1 to the Company’s Current Report on Form 8-K dated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Amendment No. 1 to L Brands to VS Transition Services Agreement between the Company and Victoria’s Secret &amp; Co., dated as of July 20, 2022, incorporated by reference to Exhibit 10.9 to the Company’s Quarterly Report on Form 10-Q for the quarter ended July 30,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Amendment No. 2 to L Brands to VS Transition Services Agreement between the Company and Victoria’s Secret &amp; Co., dated as of January 23, 2023, incorporated by reference to Exhibit 10.39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VS to L Brands Transition Services Agreement between the Company and Victoria’s Secret &amp; Co., dated as of August 2, 2021, incorporated by reference to Exhibit 10.2 to the Company’s Current Report on Form 8-K dated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Amendment No. 1 to VS to L Brands Transition Services Agreement between the Company and Victoria’s Secret &amp; Co., dated as of July 20, 2022, incorporated by reference to Exhibit 10.10 to the Company’s Quarterly Report on Form 10-Q for the quarter ended July 30,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Amendment No. 2 to VS to L Brands Transition Services Agreement between the Company and Victoria’s Secret &amp; Co., dated as of January 23, 2023, incorporated by reference to Exhibit 10.42 to the Company’s Annual Report on Form 10-K for the year ended January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 xml:space="preserve">Amendment No. 3 to VS to L Brands Transition Services Agreement between the Company and Victoria’s Secret &amp; Co., dated as of July 21, 2023, incorporated by reference to Exhibit 10.2 to the Company’s Quarterly Report on Form 10-Q for the quarter ended July 29, 2023.***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Tax Matters Agreement between the Company and Victoria’s Secret &amp; Co., dated as of August 2, 2021, incorporated by reference to Exhibit 10.3 to the Company’s Current Report on Form 8-K dated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Employee Matters Agreement between the Company and Victoria’s Secret &amp; Co., dated as of August 2, 2021, incorporated by reference to Exhibit 10.4 to the Company’s Current Report on Form 8-K dated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Domestic Transportation Services Agreement between Mast Logistics Services, LLC and Victoria’s Secret &amp; Co., dated as of August 2, 2021, incorporated by reference to Exhibit 10.5 to the Company’s Current Report on Form 8-K dated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Second Amended and Restated Revolving Credit Agreement by and among Bath &amp; Body Works, Inc. and JPMorgan Chase Bank, N.A., dated May 22, 2025, incorporated by reference to Exhibit 10.1 to the Company's Form 8-K dated May 22,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1037.htm">
              <w:r>
                <w:rPr>
                  <w:rStyle w:val="InternetLink"/>
                  <w:rFonts w:ascii="Times New Roman;serif" w:hAnsi="Times New Roman;serif"/>
                  <w:b w:val="false"/>
                  <w:color w:val="000080"/>
                  <w:sz w:val="20"/>
                  <w:u w:val="single"/>
                </w:rPr>
                <w:t>Annual Incentive Plan</w:t>
              </w:r>
            </w:hyperlink>
            <w:hyperlink w:anchor="bbwi131202610kexhibit1037.htm">
              <w:r>
                <w:rPr>
                  <w:rStyle w:val="InternetLink"/>
                  <w:rFonts w:ascii="Times New Roman;serif" w:hAnsi="Times New Roman;serif"/>
                  <w:b w:val="false"/>
                  <w:color w:val="000080"/>
                  <w:sz w:val="20"/>
                  <w:u w:val="single"/>
                </w:rPr>
                <w:t>.</w:t>
              </w:r>
            </w:hyperlink>
            <w:hyperlink w:anchor="bbwi131202610kexhibit1037.htm">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Bath and Body Works Insider Trading Policy, incorporated by reference to Exhibit 19 to the Company's Form 10-K dated March 14,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21.htm">
              <w:r>
                <w:rPr>
                  <w:rStyle w:val="InternetLink"/>
                  <w:rFonts w:ascii="Times New Roman;serif" w:hAnsi="Times New Roman;serif"/>
                  <w:b w:val="false"/>
                  <w:color w:val="0000FF"/>
                  <w:sz w:val="20"/>
                  <w:u w:val="single"/>
                </w:rPr>
                <w:t>Subsidiaries of the Registrant.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22.htm">
              <w:r>
                <w:rPr>
                  <w:rStyle w:val="InternetLink"/>
                  <w:rFonts w:ascii="Times New Roman;serif" w:hAnsi="Times New Roman;serif"/>
                  <w:b w:val="false"/>
                  <w:color w:val="0000FF"/>
                  <w:sz w:val="20"/>
                  <w:u w:val="single"/>
                </w:rPr>
                <w:t>List of Guarantor Subsidiaries.</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231.htm">
              <w:r>
                <w:rPr>
                  <w:rStyle w:val="InternetLink"/>
                  <w:rFonts w:ascii="Times New Roman;serif" w:hAnsi="Times New Roman;serif"/>
                  <w:b w:val="false"/>
                  <w:color w:val="0000FF"/>
                  <w:sz w:val="20"/>
                  <w:u w:val="single"/>
                </w:rPr>
                <w:t>Consent of Ernst &amp; Young LLP.</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311.htm">
              <w:r>
                <w:rPr>
                  <w:rStyle w:val="InternetLink"/>
                  <w:rFonts w:ascii="Times New Roman;serif" w:hAnsi="Times New Roman;serif"/>
                  <w:b w:val="false"/>
                  <w:color w:val="0000FF"/>
                  <w:sz w:val="20"/>
                  <w:u w:val="single"/>
                </w:rPr>
                <w:t>Section 302 Certification of CEO.</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312.htm">
              <w:r>
                <w:rPr>
                  <w:rStyle w:val="InternetLink"/>
                  <w:rFonts w:ascii="Times New Roman;serif" w:hAnsi="Times New Roman;serif"/>
                  <w:b w:val="false"/>
                  <w:color w:val="0000FF"/>
                  <w:sz w:val="20"/>
                  <w:u w:val="single"/>
                </w:rPr>
                <w:t>Section 302 Certification of CFO.</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bwi131202610kexhibit32.htm">
              <w:r>
                <w:rPr>
                  <w:rStyle w:val="InternetLink"/>
                  <w:rFonts w:ascii="Times New Roman;serif" w:hAnsi="Times New Roman;serif"/>
                  <w:b w:val="false"/>
                  <w:color w:val="0000FF"/>
                  <w:sz w:val="20"/>
                  <w:u w:val="single"/>
                </w:rPr>
                <w:t>Section 906 Certification (by CEO and CFO).</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Financial Restatement Compensation Recoupment Policy incorporated by reference to Exhibit 97 to the Company’s Annual Report on Form 10-K for the year ended February 3,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
        <w:gridCol w:w="280"/>
        <w:gridCol w:w="282"/>
        <w:gridCol w:w="109"/>
        <w:gridCol w:w="109"/>
        <w:gridCol w:w="109"/>
        <w:gridCol w:w="2409"/>
        <w:gridCol w:w="2406"/>
        <w:gridCol w:w="2414"/>
        <w:gridCol w:w="109"/>
        <w:gridCol w:w="109"/>
        <w:gridCol w:w="109"/>
        <w:gridCol w:w="109"/>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tbl>
      <w:tblPr>
        <w:tblW w:w="10205" w:type="dxa"/>
        <w:jc w:val="left"/>
        <w:tblInd w:w="0" w:type="dxa"/>
        <w:tblLayout w:type="fixed"/>
        <w:tblCellMar>
          <w:top w:w="28" w:type="dxa"/>
          <w:left w:w="28" w:type="dxa"/>
          <w:bottom w:w="28" w:type="dxa"/>
          <w:right w:w="28" w:type="dxa"/>
        </w:tblCellMar>
      </w:tblPr>
      <w:tblGrid>
        <w:gridCol w:w="138"/>
        <w:gridCol w:w="121"/>
        <w:gridCol w:w="121"/>
        <w:gridCol w:w="2924"/>
        <w:gridCol w:w="2855"/>
        <w:gridCol w:w="4046"/>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Identifies management contracts or compensatory plans or arrangements.</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exhibits and schedules have been omitted pursuant to Item 601(a)(5) of Regulation S-K. The registrant hereby undertakes to furnish supplementally a copy of any omitted exhibit or schedule upon request by the Securities and Exchange Commission.</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exhibits to this report are listed in section (a)(3) of Item 15 above.</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350eb9fc916d4aec970dab25c2f372f3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12, 2026 </w:t>
      </w:r>
    </w:p>
    <w:tbl>
      <w:tblPr>
        <w:tblW w:w="3791" w:type="dxa"/>
        <w:jc w:val="left"/>
        <w:tblInd w:w="0" w:type="dxa"/>
        <w:tblLayout w:type="fixed"/>
        <w:tblCellMar>
          <w:top w:w="28" w:type="dxa"/>
          <w:left w:w="28" w:type="dxa"/>
          <w:bottom w:w="28" w:type="dxa"/>
          <w:right w:w="28" w:type="dxa"/>
        </w:tblCellMar>
      </w:tblPr>
      <w:tblGrid>
        <w:gridCol w:w="124"/>
        <w:gridCol w:w="109"/>
        <w:gridCol w:w="109"/>
        <w:gridCol w:w="535"/>
        <w:gridCol w:w="535"/>
        <w:gridCol w:w="535"/>
        <w:gridCol w:w="539"/>
        <w:gridCol w:w="539"/>
        <w:gridCol w:w="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BATH &amp; BODY WORKS, INC. (Registrant)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EVA C. BORATTO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Eva C. Boratto</w:t>
              <w:br/>
              <w:t xml:space="preserve">Chief Financial Officer </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on March 12, 2026:</w:t>
      </w:r>
    </w:p>
    <w:tbl>
      <w:tblPr>
        <w:tblW w:w="7392" w:type="dxa"/>
        <w:jc w:val="left"/>
        <w:tblInd w:w="0" w:type="dxa"/>
        <w:tblLayout w:type="fixed"/>
        <w:tblCellMar>
          <w:top w:w="28" w:type="dxa"/>
          <w:left w:w="28" w:type="dxa"/>
          <w:bottom w:w="28" w:type="dxa"/>
          <w:right w:w="28" w:type="dxa"/>
        </w:tblCellMar>
      </w:tblPr>
      <w:tblGrid>
        <w:gridCol w:w="911"/>
        <w:gridCol w:w="803"/>
        <w:gridCol w:w="806"/>
        <w:gridCol w:w="109"/>
        <w:gridCol w:w="109"/>
        <w:gridCol w:w="109"/>
        <w:gridCol w:w="1319"/>
        <w:gridCol w:w="1319"/>
        <w:gridCol w:w="1907"/>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DANIEL J. HEAF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 and Chief Executive Officer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Daniel J. Heaf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Executive Officer)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EVA C. BORATTO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Eva C. Boratto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Financial Officer and Principal Accounting Officer)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SARAH E. NASH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Chair of the Board of Directors</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Sarah E. Nash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ALESSANDRO BOGLIOLO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Alessandro Bogliolo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LUCY O. BRADY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Lucy O. Brady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FRANCIS A. HONDAL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Francis A. Hondal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DANIELLE M.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Danielle M.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JUAN RAJLIN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Juan Rajlin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STEPHEN D. STEINOUR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Stephen D. Steinour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JAMES K. SYMANCYK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James K. Symancyk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STEVEN E. VOSKUIL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Steven E. Voskuil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4.21</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DESCRIPTION OF THE REGISTRANT’S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REGISTERED PURSUANT TO SECTION 12 OF THE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EXCHANGE ACT OF 1934</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terms of our securities registered under Section 12 of the Securities Exchange Act of 1934, as amended (the “Exchange Act”). The following description of the terms of our common stock is not meant to be complete and is qualified by reference to our restated certificate of incorporation (“certificate of incorporation”) and our amended and restated bylaws (“bylaws”), each of which is incorporated by reference as an exhibit to our Annual Report on Form 10</w:t>
        <w:noBreakHyphen/>
        <w:t>K, of which this exhibit is a part. We encourage you to read our certificate of incorporation, our bylaws and the applicable provisions of the Delaware General Corporation Law for additional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our Common Stock</w:t>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Authorized Capital Stock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our authorized capital stock consists of one billion shares of common stock with $0.50 par value and 10 million shares of preferred stock with $1.00 par value.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outstanding shares of common stock are, and any shares of common stock issued will be, duly authorized, validly issued, fully paid and nonassessable. There are no restrictions on the alienability of shares of our common stock, and there are no sinking fund provisions for the redemption or purchase of shares of our common stock. The rights of holders of shares of our common stock will be subject to, and may be adversely affected by, the rights of holders of any shares of preferred stock that our Board of Directors may authorize and issue in the future, and may be modified by amendments to our certificate of incorporation and Delaware corporate law.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under the symbol “BBWI.”</w: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holder of common stock is entitled to one vote for each share of common stock held of record on the applicable record date on all matters submitted to a vote of stockholders. Holders of common stock do not have cumulative voting rights.</w: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Subject to the rights of holders of any shares of preferred stock which may at the time be outstanding, holders of common stock are entitled to receive dividends as may be declared from time to time by our Board of Directors out of funds legally available therefor.</w: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Rights upon Liquidation or Dissolution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of liquidation or dissolution, each share of common stock is entitled to share pro rata in any distribution of our assets after payment or providing for the payment of liabilities and the liquidation preference of any outstanding preferred stock. Holders of our common stock have no preferential, preemptive, conversion or redemption rights.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without further stockholder action, our Board of Directors is authorized to provide for the issuance of up to ten million shares of preferred stock without any further approval from our stockholders. Preferred stock may be issued in one or more series, with such designations of titles, number of shares to comprise each series, dividend rates, any redemption provisions, special or relative rights in the event of liquidation, dissolution or winding-up of Bath &amp; Body Works, Inc., any sinking fund provisions, any conversion provisions, any voting rights and any other preferences, rights and limitations as shall be set forth as and when established by our Board of Directors.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Acting under this authority, our Board of Directors could create and issue a series of preferred stock with rights, preferences and limitations, and adopt a stockholder rights plan having the effect of, discriminating against an existing or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prospective holder of securities as a result of such stockholder beneficially owning or commencing a tender offer for a substantial amount of our common stock. One of the effects of authorized but unissued and unreserved shares of preferred stock may be to render more difficult or discourage an attempt by a potential acquirer to obtain control of Bath &amp; Body Works, Inc. by means of a merger, tender offer, proxy contest or otherwise, and thereby protect the continuity of our management. The issuance of such shares of preferred stock may have the effect of delaying, deferring or preventing a change in control of Bath &amp; Body Works, Inc. without any further action by our stockholders. We have no present intention to adopt a stockholder rights plan, but could do so without stockholder approval at any future time.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shares of any series of preferred stock will be, when issued, fully paid and nonassessable and the holders will have no preemptive rights in connection with the preferred stock.</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Certain Provisions of our Certificate of Incorporation and Bylaws</w: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Board Nominations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bylaws provide that the number of directors will be fixed from time to time pursuant to a resolution adopted by a majority of the Board of Directors but must consist of not less than six or more than fifteen directors.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Nominations for the election of directors may be made by the Board of Directors or by any stockholder entitled to vote for the election of directors. Any such nomination of a person for election at our annual meeting, if not made by the Board of Directors, must be made by notice in writing to our Secretary and must contain the information required by and adhere to the procedures within our bylaws. Such notice must be delivered or mailed and received at our principal executive offices, not less than 90 days nor more than 120 days prior to the first anniversary of the preceding year’s annual meeting of stockholders; provided that in the event that the date of the annual meeting is advanced more than 30 days prior to such anniversary date or delayed more than 60 days after such anniversary date, then such notice must be received no later than the later of 70 days prior to the meeting or the 10th day following the day on which public announcement of the date of the meeting was made. Pursuant to our proxy access bylaw, up to 20 stockholders owning 3% or more of the outstanding shares of our common stock continuously for at least three years may nominate the greater of two directors or up to 20% of our Board of Directors (rounded down to the nearest whole number), and include those nominees in our proxy materials. Notice of stockholder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stockholders for the immediately preceding annual meeting of stockholders.</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holders of preferred stock may be granted the right to elect a specific number of directors without any vote of the holders of shares of our common stock.</w:t>
      </w:r>
      <w:r>
        <w:rPr>
          <w:color w:val="000000"/>
        </w:rPr>
        <w:t xml:space="preserve"> </w: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Amendments to Our Bylaws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grants our Board of Directors the authority to amend our bylaws without a stockholder vote.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Certain Anti-Takeover Effects</w: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Certain Business Combinations and Transactions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certain business combinations with any entity that beneficially owns 20% or more of the outstanding shares of our common stock and any outstanding shares of preferred stock entitled to vote on each matter on which the holders of record of our common stock shall be entitled to vote (the “Voting Shares”) (such entity, an “Interested Person”) will require for its approval the affirmative vote of at least a majority of the Voting Shares held by stockholders other than the Interested Person.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provision does not apply if two-thirds of the Continuing Directors (as defined below) approved either the business combination or the acquisition of the Voting Shares which caused the Interested Person to own 20% or more of the Voting Shares. This provision also does not apply to any business combination where two-thirds of the Continuing Directors determine the consideration per share to be received by holders of the Voting Shares in connection with the business combination to be not less than the highest price per share paid by the Interested Person in acquiring the Voting Shares.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 “Continuing Director” means a director who was a member of our Board of Directors immediately prior to the time that such Interested Person became an Interested Person, or a director who was elected or appointed to fill a vacancy after the date that such Interested Person became an Interested Person by a majority of the then-current Continuing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Delaware Business Combination Statute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203 of the Delaware General Corporation Law is applicable to us and restricts certain transactions and “business combinations” between a corporation and a 15% stockholder for a period of three years after the date of the transaction in which the stockholder acquires 15% or more of the company’s outstanding voting stock unless the business combination is approved in a prescribed manner. A “business combination” includes mergers, asset sales and other transactions resulting in a financial benefit to the interested stockholder.</w:t>
      </w:r>
    </w:p>
    <w:p>
      <w:pPr>
        <w:pStyle w:val="TextBody"/>
        <w:bidi w:val="0"/>
        <w:spacing w:lineRule="auto" w:line="288" w:before="0" w:after="200"/>
        <w:ind w:left="0" w:right="0" w:firstLine="180"/>
        <w:jc w:val="left"/>
        <w:rPr>
          <w:rFonts w:ascii="Times New Roman;serif" w:hAnsi="Times New Roman;serif"/>
          <w:b/>
          <w:i/>
          <w:color w:val="000000"/>
          <w:sz w:val="20"/>
        </w:rPr>
      </w:pPr>
      <w:r>
        <w:rPr>
          <w:rFonts w:ascii="Times New Roman;serif" w:hAnsi="Times New Roman;serif"/>
          <w:b/>
          <w:i/>
          <w:color w:val="000000"/>
          <w:sz w:val="20"/>
        </w:rPr>
        <w:t>Registrar and Transfer Agent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register of holders of our shares of common stock is maintained by American Stock Transfer, who serves as registrar and transfer agent.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EXECUTIVE SEVERANCE AGREEMENT</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erif" w:hAnsi="Times New Roman;serif"/>
          <w:b w:val="false"/>
          <w:color w:val="000000"/>
          <w:sz w:val="24"/>
        </w:rPr>
        <w:t>THIS EXECUTIVE SEVERANCE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as of May 23, 2022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Bath &amp; Body Works, Inc. and on behalf of all of its subsidiaries and affiliates (collectively,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Thomas E. Mazurek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(hereinafter collectively referred to as the “Parties”).</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WHEREAS, the Executive currently serves as a key employee of the Company and the Executive’s services and knowledge are valuable to the Company; and</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WHEREAS, in consideration of the Executive’s continued employment, the Company has determined that it is in its best interests to provide the Executive with the severance protections in accordance with the terms and conditions of this Agreement.</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in view of the promises and other good and valuable consideration described in this Agreement (the sufficiency and receipt of which are hereby acknowledged), the Parties agree as follows:</w:t>
      </w:r>
    </w:p>
    <w:p>
      <w:pPr>
        <w:pStyle w:val="TextBody"/>
        <w:bidi w:val="0"/>
        <w:spacing w:before="0" w:after="0"/>
        <w:jc w:val="left"/>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Effective Date and Term of this Agreement</w:t>
      </w:r>
      <w:r>
        <w:rPr>
          <w:rFonts w:ascii="Times New Roman;serif" w:hAnsi="Times New Roman;serif"/>
          <w:b w:val="false"/>
          <w:color w:val="000000"/>
          <w:sz w:val="24"/>
        </w:rPr>
        <w:t>. This Agreement shall be effective on the Effective Date and will remain in effect unless and until (i) the Executive’s employment with the Company is terminated by either Party in accordance with Section 2, and (ii) all payments and/or benefits to which the Executive is entitled under this Agreement, if any, have been made or provided to the Executive in accordance with the terms of this Agreement.</w:t>
      </w:r>
    </w:p>
    <w:p>
      <w:pPr>
        <w:pStyle w:val="TextBody"/>
        <w:bidi w:val="0"/>
        <w:spacing w:before="0" w:after="0"/>
        <w:jc w:val="left"/>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The Executive’s employment with the Company shall terminate upon the earlier of: (i) automatically sixty (60) days after the Executive provides a Notice of Termination of the Executive’s resignation for any reason other than for Good Reason; (ii) thirty (30) days following the Executive providing a Notice of Termination indicating the existence of a condition(s) constituting Good Reason other than to the extent that such condition is cured; (iii) immediately upon the Executive’s Total Disability or death; (iv) automatically thirty days after the Executive receives Notice of Termination from the Company of the Executive’s Termination without Cause; or (v) the date set forth in the Notice of Termination from the Company of the Executive’s termination of employment with the Company for Cause (collectively, the earliest of being the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 The Company may, in its sole discretion, waive all or any part of the notice periods set forth in subsection (i) or (iv) in the immediately preceding sentence and pay the Executive in lieu of any such waived period the compensation and other benefits that the Executive would have otherwise received in such period, but in either case the Executive or the Company, as applicable, will deliver such Notice of Termination.</w:t>
      </w:r>
    </w:p>
    <w:p>
      <w:pPr>
        <w:pStyle w:val="TextBody"/>
        <w:bidi w:val="0"/>
        <w:spacing w:before="0" w:after="0"/>
        <w:jc w:val="left"/>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Non-Qualifying Termination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herein or in any other agreement to the contrary, if the Executive’s employment is terminated by the Company for Cause, the Company’s sole obligation shall be to pay the Executive the Accrued Amounts and the Executive shall not be entitled to severance benefits under this Agreement or any other agreement or severance plan, policy or program of the Company.</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herein or in any other agreement to the contrary, to the extent that the Executive experiences a Termination for any reason while a Company-led internal investigation into facts that could reasonably give rise to the Executive’s Termination for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15975"/>
                <wp:effectExtent l="0" t="0" r="0" b="0"/>
                <wp:wrapNone/>
                <wp:docPr id="80" name="Frame7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Cause is pending: (i) the Executive shall not be entitled to receive any severance benefits under this Agreement (other than the Accrued Amounts) or any other agreement or severance plan, policy or program of the Company; and (ii) the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the Executive experiences a Termination by reason of the Executive’s death or if the Executive gives the Company a Notice of Termination other than for Good Reason, the Company’s sole obligation shall be to pay the Executive the Accrued Amounts.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the Executive experiences a Termination by reason of the Executive’s Total Disability, the Company shall provide the Executive with the following: (i) the Accrued Amounts; and (ii) the Executive shall be entitled to receive disability benefits available under the Company’s long-term disability plan as then in effect, to the extent applicable.</w:t>
      </w:r>
    </w:p>
    <w:p>
      <w:pPr>
        <w:pStyle w:val="TextBody"/>
        <w:bidi w:val="0"/>
        <w:spacing w:before="0" w:after="0"/>
        <w:jc w:val="left"/>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Severance Upon a Qualifying Termination Not Within the Protection Period</w:t>
      </w:r>
      <w:r>
        <w:rPr>
          <w:rFonts w:ascii="Times New Roman;serif" w:hAnsi="Times New Roman;serif"/>
          <w:b w:val="false"/>
          <w:color w:val="000000"/>
          <w:sz w:val="24"/>
        </w:rPr>
        <w:t>. If the Executive experiences a Qualifying Termination not within the Protection Period, then, subject to Section 6, the Company shall provide the Executive with the following (collectively, the “</w:t>
      </w:r>
      <w:r>
        <w:rPr>
          <w:rFonts w:ascii="Times New Roman;serif" w:hAnsi="Times New Roman;serif"/>
          <w:b w:val="false"/>
          <w:color w:val="000000"/>
          <w:sz w:val="24"/>
          <w:u w:val="single"/>
        </w:rPr>
        <w:t>Severance Benefits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Accrued Amounts;</w:t>
      </w:r>
    </w:p>
    <w:p>
      <w:pPr>
        <w:pStyle w:val="TextBody"/>
        <w:bidi w:val="0"/>
        <w:spacing w:before="0" w:after="0"/>
        <w:ind w:left="0" w:right="0" w:firstLine="153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continue to pay the Executive’s Base Salary for a period of two (2) years following the Qualifying Termination, less applicable withholding, payable as follows: (i) on the Company’s first regularly scheduled pay date falling on or after sixty (60) days from the Executive’s Termination Date (the “</w:t>
      </w:r>
      <w:r>
        <w:rPr>
          <w:rFonts w:ascii="Times New Roman;serif" w:hAnsi="Times New Roman;serif"/>
          <w:b w:val="false"/>
          <w:color w:val="000000"/>
          <w:sz w:val="24"/>
          <w:u w:val="single"/>
        </w:rPr>
        <w:t>First Payment Date</w:t>
      </w:r>
      <w:r>
        <w:rPr>
          <w:color w:val="000000"/>
        </w:rPr>
        <w:t>”</w:t>
      </w:r>
      <w:r>
        <w:rPr>
          <w:rFonts w:ascii="Times New Roman;serif" w:hAnsi="Times New Roman;serif"/>
          <w:b w:val="false"/>
          <w:color w:val="000000"/>
          <w:sz w:val="24"/>
        </w:rPr>
        <w:t>), the Company will pay the Executive, without interest, the number of missed payroll installments that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shall pay the Executive an amount equal to two (2) years’ of COBRA premiums (based on the premium rate in effect on the Termination Date) in a single lump sum payment less applicable withholding (“</w:t>
      </w:r>
      <w:r>
        <w:rPr>
          <w:rFonts w:ascii="Times New Roman;serif" w:hAnsi="Times New Roman;serif"/>
          <w:b w:val="false"/>
          <w:color w:val="000000"/>
          <w:sz w:val="24"/>
          <w:u w:val="single"/>
        </w:rPr>
        <w:t>COBRA Payment</w:t>
      </w:r>
      <w:r>
        <w:rPr>
          <w:color w:val="000000"/>
        </w:rPr>
        <w:t>”</w:t>
      </w:r>
      <w:r>
        <w:rPr>
          <w:rFonts w:ascii="Times New Roman;serif" w:hAnsi="Times New Roman;serif"/>
          <w:b w:val="false"/>
          <w:color w:val="000000"/>
          <w:sz w:val="24"/>
        </w:rPr>
        <w:t>). The COBRA Payment shall be paid (i) on the Company’s first regularly scheduled pay date falling on or after sixty (60) days from the Executive’s Termination Date and (ii) regardless of whether the Executive elects COBRA continuation coverage under the Company’s group health plan;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Company shall pay the Executive any incentive compensation under the IC Plan as follows: (i) the incentive compensation that the Executive would have received for the season which includes the Executive’s Termination Date if the Executive had remained employed with the Company through the completion of such season, pro-rated to such Termination Date and based on actual performance; and (ii) the incentive compensation under the IC Plan that the Executive would have received if the Executive had remained employed with the Company for a period of two (2) years (i.e., four (4) seasons under the IC Plan) after the Termination Date based on actual performance, less applicable withholding, subject to the terms of the IC Plan. The foregoing payments shall be paid at the same time as payments under the IC Plan are typically paid,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15975"/>
                <wp:effectExtent l="0" t="0" r="0" b="0"/>
                <wp:wrapNone/>
                <wp:docPr id="81" name="Frame8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but in no event later than March 15th of the year following the year in which the applicable season is completed;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treatment of any outstanding equity awards shall be determined as follows:</w:t>
      </w:r>
    </w:p>
    <w:p>
      <w:pPr>
        <w:pStyle w:val="TextBody"/>
        <w:bidi w:val="0"/>
        <w:spacing w:before="0" w:after="0"/>
        <w:ind w:left="0" w:right="0" w:firstLine="1890"/>
        <w:jc w:val="both"/>
        <w:rPr/>
      </w:pPr>
      <w:r>
        <w:rPr/>
      </w:r>
    </w:p>
    <w:p>
      <w:pPr>
        <w:pStyle w:val="TextBody"/>
        <w:bidi w:val="0"/>
        <w:spacing w:lineRule="auto" w:line="268" w:before="0" w:after="0"/>
        <w:ind w:left="0" w:right="0" w:firstLine="2294"/>
        <w:jc w:val="both"/>
        <w:rPr/>
      </w:pPr>
      <w:r>
        <w:rPr>
          <w:rFonts w:ascii="Times New Roman;serif" w:hAnsi="Times New Roman;serif"/>
          <w:b w:val="false"/>
          <w:color w:val="000000"/>
          <w:sz w:val="24"/>
        </w:rPr>
        <w:t>(i)</w:t>
      </w:r>
      <w:r>
        <w:rPr>
          <w:rFonts w:ascii="Times New Roman;serif" w:hAnsi="Times New Roman;serif"/>
          <w:b w:val="false"/>
          <w:color w:val="000000"/>
          <w:sz w:val="24"/>
        </w:rPr>
        <w:t>A pro-rata portion of the outstanding unvested equity awards that are held by the Executive as of the Termination Date and vest only based on the passage of time shall vest and be settled on the First Payment Date, which pro-rata vesting shall be determined by (A) multiplying (x) 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pStyle w:val="TextBody"/>
        <w:bidi w:val="0"/>
        <w:spacing w:before="0" w:after="0"/>
        <w:ind w:left="0" w:right="0" w:firstLine="2250"/>
        <w:jc w:val="both"/>
        <w:rPr/>
      </w:pPr>
      <w:r>
        <w:rPr/>
      </w:r>
    </w:p>
    <w:p>
      <w:pPr>
        <w:pStyle w:val="TextBody"/>
        <w:bidi w:val="0"/>
        <w:spacing w:lineRule="auto" w:line="268" w:before="0" w:after="0"/>
        <w:ind w:left="0" w:right="0" w:firstLine="2227"/>
        <w:jc w:val="both"/>
        <w:rPr/>
      </w:pPr>
      <w:r>
        <w:rPr>
          <w:rFonts w:ascii="Times New Roman;serif" w:hAnsi="Times New Roman;serif"/>
          <w:b w:val="false"/>
          <w:color w:val="000000"/>
          <w:sz w:val="24"/>
        </w:rPr>
        <w:t>(ii)</w:t>
      </w:r>
      <w:r>
        <w:rPr>
          <w:rFonts w:ascii="Times New Roman;serif" w:hAnsi="Times New Roman;serif"/>
          <w:b w:val="false"/>
          <w:color w:val="000000"/>
          <w:sz w:val="24"/>
        </w:rPr>
        <w:t>A pro-rata portion of the outstanding unvested equity awards that are held by the Executive as of the Termination Date and vest based, at least in part, on the satisfaction of performance goals shall vest and be settled promptly following the end of the performance period, but in any event not earlier than the First Payment Date or later than the end of the calendar year in which performance period ends, which pro-rata vesting shall be determined by (A) multiplying the number of shares that the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vesting period;</w:t>
      </w:r>
    </w:p>
    <w:p>
      <w:pPr>
        <w:pStyle w:val="TextBody"/>
        <w:bidi w:val="0"/>
        <w:spacing w:before="0" w:after="0"/>
        <w:ind w:left="0" w:right="0" w:firstLine="2520"/>
        <w:jc w:val="both"/>
        <w:rPr/>
      </w:pPr>
      <w:r>
        <w:rPr/>
      </w:r>
    </w:p>
    <w:p>
      <w:pPr>
        <w:pStyle w:val="TextBody"/>
        <w:bidi w:val="0"/>
        <w:spacing w:lineRule="auto" w:line="268" w:before="0" w:after="0"/>
        <w:ind w:left="0" w:right="0" w:firstLine="2161"/>
        <w:jc w:val="both"/>
        <w:rPr/>
      </w:pPr>
      <w:r>
        <w:rPr>
          <w:rFonts w:ascii="Times New Roman;serif" w:hAnsi="Times New Roman;serif"/>
          <w:b w:val="false"/>
          <w:color w:val="000000"/>
          <w:sz w:val="24"/>
        </w:rPr>
        <w:t>(iii)</w:t>
      </w:r>
      <w:r>
        <w:rPr>
          <w:rFonts w:ascii="Times New Roman;serif" w:hAnsi="Times New Roman;serif"/>
          <w:b w:val="false"/>
          <w:color w:val="000000"/>
          <w:sz w:val="24"/>
        </w:rPr>
        <w:t>To the extent that any outstanding unvested equity award that is held by the Executive as of the Termination Date would vest at a greater percentage under the terms of the applicable plan and award agreement than as provided for under Sections 4(e)(i)-(ii), the terms of such award agreement shall instead determine the number of shares covered by such equity award that will vest under this Section 4(e), subject to Sections 4(e)(iv)-(v);</w:t>
      </w:r>
    </w:p>
    <w:p>
      <w:pPr>
        <w:pStyle w:val="TextBody"/>
        <w:bidi w:val="0"/>
        <w:spacing w:before="0" w:after="0"/>
        <w:ind w:left="0" w:right="0" w:firstLine="2520"/>
        <w:jc w:val="both"/>
        <w:rPr/>
      </w:pPr>
      <w:r>
        <w:rPr/>
      </w:r>
    </w:p>
    <w:p>
      <w:pPr>
        <w:pStyle w:val="TextBody"/>
        <w:bidi w:val="0"/>
        <w:spacing w:lineRule="auto" w:line="268" w:before="0" w:after="0"/>
        <w:ind w:left="0" w:right="0" w:firstLine="2174"/>
        <w:jc w:val="both"/>
        <w:rPr/>
      </w:pPr>
      <w:r>
        <w:rPr>
          <w:rFonts w:ascii="Times New Roman;serif" w:hAnsi="Times New Roman;serif"/>
          <w:b w:val="false"/>
          <w:color w:val="000000"/>
          <w:sz w:val="24"/>
        </w:rPr>
        <w:t>(iv)</w:t>
      </w:r>
      <w:r>
        <w:rPr>
          <w:rFonts w:ascii="Times New Roman;serif" w:hAnsi="Times New Roman;serif"/>
          <w:b w:val="false"/>
          <w:color w:val="000000"/>
          <w:sz w:val="24"/>
        </w:rPr>
        <w:t>Notwithstanding the foregoing, no equity awards that are outstanding as of the Termination Date will be forfeited during the three (3)-month period commencing upon the Termination Date, provided, that, (x) to the extent a Change in Control occurs during such three (3)-month period, any such equity awards that are outstanding and unvested as of the Change in Control will instead be treated in accordance with Section 5; and (y) to the extent a Change in Control does not occur during such three (3)-month period, any portion of the equity awards outstanding as of Termination Date that do not vest pursuant to Sections 4(e)(i)-(iii) shall be forfeited; and</w:t>
      </w:r>
    </w:p>
    <w:p>
      <w:pPr>
        <w:pStyle w:val="TextBody"/>
        <w:bidi w:val="0"/>
        <w:spacing w:before="0" w:after="0"/>
        <w:ind w:left="0" w:right="0" w:firstLine="2520"/>
        <w:jc w:val="both"/>
        <w:rPr/>
      </w:pPr>
      <w:r>
        <w:rPr/>
      </w:r>
    </w:p>
    <w:p>
      <w:pPr>
        <w:pStyle w:val="TextBody"/>
        <w:bidi w:val="0"/>
        <w:spacing w:lineRule="auto" w:line="268" w:before="0" w:after="0"/>
        <w:ind w:left="0" w:right="0" w:firstLine="2240"/>
        <w:jc w:val="both"/>
        <w:rPr/>
      </w:pPr>
      <w:r>
        <w:rPr>
          <w:rFonts w:ascii="Times New Roman;serif" w:hAnsi="Times New Roman;serif"/>
          <w:b w:val="false"/>
          <w:color w:val="000000"/>
          <w:sz w:val="24"/>
        </w:rPr>
        <w:t>(v)</w:t>
      </w:r>
      <w:r>
        <w:rPr>
          <w:rFonts w:ascii="Times New Roman;serif" w:hAnsi="Times New Roman;serif"/>
          <w:b w:val="false"/>
          <w:color w:val="000000"/>
          <w:sz w:val="24"/>
        </w:rPr>
        <w:t>To the extent that the payment or settlement of any equity awards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w:t>
      </w:r>
    </w:p>
    <w:p>
      <w:pPr>
        <w:pStyle w:val="TextBody"/>
        <w:bidi w:val="0"/>
        <w:spacing w:before="0" w:after="0"/>
        <w:jc w:val="left"/>
        <w:rPr/>
      </w:pPr>
      <w:r>
        <w:rPr/>
      </w:r>
    </w:p>
    <w:p>
      <w:pPr>
        <w:pStyle w:val="TextBody"/>
        <w:bidi w:val="0"/>
        <w:spacing w:lineRule="auto" w:line="240" w:before="0" w:after="0"/>
        <w:ind w:left="0" w:right="0" w:firstLine="63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Severance Upon a Qualifying Termination Within the Protection Period</w:t>
      </w:r>
      <w:r>
        <w:rPr>
          <w:rFonts w:ascii="Times New Roman;serif" w:hAnsi="Times New Roman;serif"/>
          <w:b w:val="false"/>
          <w:color w:val="000000"/>
          <w:sz w:val="24"/>
        </w:rPr>
        <w:t xml:space="preserve">. If the Executive has a Qualifying Termination within the Protection Period, then, subject to Section 6,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15975"/>
                <wp:effectExtent l="0" t="0" r="0" b="0"/>
                <wp:wrapNone/>
                <wp:docPr id="82" name="Frame8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the Company will provide the Executive with the following (collectively, the “</w:t>
      </w:r>
      <w:r>
        <w:rPr>
          <w:rFonts w:ascii="Times New Roman;serif" w:hAnsi="Times New Roman;serif"/>
          <w:b w:val="false"/>
          <w:color w:val="000000"/>
          <w:sz w:val="24"/>
          <w:u w:val="single"/>
        </w:rPr>
        <w:t>Change in Control Severance Benefits</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payments and benefits described in Sections 4(a), (b), and (c);</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 payment equal to the sum of the incentive compensation payouts that the Executive actually received under the IC Plan for the four (4) completed seasons immediately preceding the Termination Date (the “</w:t>
      </w:r>
      <w:r>
        <w:rPr>
          <w:rFonts w:ascii="Times New Roman;serif" w:hAnsi="Times New Roman;serif"/>
          <w:b w:val="false"/>
          <w:color w:val="000000"/>
          <w:sz w:val="24"/>
          <w:u w:val="single"/>
        </w:rPr>
        <w:t>Bonus Amount</w:t>
      </w:r>
      <w:r>
        <w:rPr>
          <w:color w:val="000000"/>
        </w:rPr>
        <w:t>”</w:t>
      </w:r>
      <w:r>
        <w:rPr>
          <w:rFonts w:ascii="Times New Roman;serif" w:hAnsi="Times New Roman;serif"/>
          <w:b w:val="false"/>
          <w:color w:val="000000"/>
          <w:sz w:val="24"/>
        </w:rPr>
        <w:t>). The Bonus Amount shall be paid, less applicable withholding, in a lump sum cash payment on the First Payment Date;</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 payment equal to the product of (i) the average of the incentive compensation payouts that the Executive actually received under the IC Plan for the four (4) completed seasons immediately preceding the Executive’s Termination Date, multiplied by (ii) a fraction, the numerator of which is the number of days in the season (within the meaning of the IC Plan) in which the Termination Date occurs that elapsed through the Termination Date and the denominator of which is the total number of days in such season. The foregoing payment, less applicable withholding, shall be paid on the First Payment Date;</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any action at law, in equity, or arbitration, including an action for declaratory relief, is brought by the Executive to obtain or enforce any rights provided by this Section 5, and Executive prevails in such action, the Company shall reimburse the Executive for all documented legal fees and expenses reasonably incurred by the Executive in such action; provided that such reasonable legal fees and expenses incurred by the Executive within the first six (6) months following the Executive’s Termination Date shall be reimbursed by the Company during the seventh (7th) month after the Executive’s Termination Date. Expenses incurred thereafter shall be reimbursed on a monthly basis for expenses incurred in the preceding month by the Company in accordance with the Company’s expense policies applicable to employees; and</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All of the outstanding and unvested equity awards held by the Executive immediately before such Qualifying Termination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to be achieved at maximum levels.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that the Termination Date occurs during the portion of the Protection Period that precedes a Change in Control and the Executive has already commenced receiving payments and/or benefits under Section 4 prior to the Change in Control, then (i) the Executive will be entitled to the payments and benefits under this Section 5 in lieu of any additional payments or benefits under Section 4, but only to the extent an equivalent payment and/or benefit has not already been paid or provided pursuant to Section 4; and (ii) any payments that the Executive would have otherwise been entitled to under this Section 5 that have not otherwise been paid to the Executive as of the Change in Control will be paid to the Executive in a single lump sum payment as soon as administratively practicable, but no later than sixty (60) calendar days following the occurrence of the Change in Control.</w:t>
      </w:r>
    </w:p>
    <w:p>
      <w:pPr>
        <w:pStyle w:val="TextBody"/>
        <w:bidi w:val="0"/>
        <w:spacing w:before="0" w:after="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Notwithstanding any other provisions of this Agreement to the contrary, the Company shall not make or provide the Severance Benefits or the Change in Control Severance Benefits (in each case, other than the Accrued Amounts) or waive its rights under Section 7(e) unless the Executive timely executes and delivers to the Company a release of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15975"/>
                <wp:effectExtent l="0" t="0" r="0" b="0"/>
                <wp:wrapNone/>
                <wp:docPr id="83" name="Frame8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claims in favor of the Company, its affiliates and their respective officers and directors in a form provided by the Company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and such Release becomes effective and irrevocable within sixty (60) days following the Executive’s Termination Date. If the foregoing requirements are not satisfied by the Executive, then no Severance Benefits nor Change in Control Severance Benefits (in each case, other than the Accrued Amounts) shall be due to the Executive pursuant to this Agreement.</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Effect on Other Plans, Agreements and Benefits</w:t>
      </w:r>
      <w:r>
        <w:rPr>
          <w:rFonts w:ascii="Times New Roman;serif" w:hAnsi="Times New Roman;serif"/>
          <w:b w:val="false"/>
          <w:color w:val="000000"/>
          <w:sz w:val="24"/>
        </w:rPr>
        <w:t>.</w:t>
      </w:r>
    </w:p>
    <w:p>
      <w:pPr>
        <w:pStyle w:val="TextBody"/>
        <w:bidi w:val="0"/>
        <w:spacing w:before="0" w:after="0"/>
        <w:ind w:left="0" w:right="0" w:firstLine="99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severance benefits payable to the Executive under this Agreement will be in lieu of and not in addition to: (i) any severance benefits to which the Executive would otherwise be entitled under any general severance policy or severance plan maintained by the Company or any agreement between the Executive and the Company that provides for severance benefits (for the avoidance, other than any special written retention agreements); and (ii) any salary continuation provided for under the Confidentiality, Noncompetition and Intellectual Property Agreement.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severance benefits payable to the Executive under this Agreement will not be counted as compensation for purposes of determining benefits under any other benefit policies or plans of the Company, except to the extent expressly provided therein.</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Executive’s entitlement to any other benefits not expressly referenced herein shall be determined in accordance with the applicable employee benefit plans then in effect.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Executive expressly agrees that any amounts the Executive may owe to the Company as of the Termination Date may be deducted from the amounts that the Company would otherwise owe to the Executive under this Agreement, subject to the requirements of Section 409A of the Code.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 anything herein or in any other agreement to the contrary, if the Executive incurs a Termination for Cause, then all Variable Compensation shall be immediately canceled for no consideration. If the Executive incurs a Termination for Cause, or the Company becomes aware (after the Executive’s Termination) of conduct on the part of the Executive that would have been grounds for a Termination for Cause, then the Company retains the right to require the Executive to deliver to the Company, immediately upon request, the Variable Compensation (in shares and/or cash) granted on or after the Effective Date and paid or delivered to the Executive within the three (3) years prior to the Termination Date, including the profit the Executive realized upon the exercise of stock options, if any.</w:t>
      </w:r>
    </w:p>
    <w:p>
      <w:pPr>
        <w:pStyle w:val="TextBody"/>
        <w:bidi w:val="0"/>
        <w:spacing w:before="0" w:after="0"/>
        <w:ind w:left="0" w:right="0" w:firstLine="180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Section 280G of the Code</w:t>
      </w:r>
      <w:r>
        <w:rPr>
          <w:rFonts w:ascii="Times New Roman;serif" w:hAnsi="Times New Roman;serif"/>
          <w:b w:val="false"/>
          <w:color w:val="000000"/>
          <w:sz w:val="24"/>
        </w:rPr>
        <w:t>.</w:t>
      </w:r>
    </w:p>
    <w:p>
      <w:pPr>
        <w:pStyle w:val="TextBody"/>
        <w:bidi w:val="0"/>
        <w:spacing w:before="0" w:after="0"/>
        <w:ind w:left="0" w:right="0" w:firstLine="99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15975"/>
                <wp:effectExtent l="0" t="0" r="0" b="0"/>
                <wp:wrapNone/>
                <wp:docPr id="84" name="Frame8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Executive will be subject to the excise tax imposed by Section 4999 of the Code or (b) paid in full, whichever produces the better “net after-tax position” to the Executive (taking into account any applicable excise tax under Section 4999 of the Code and any other applicable taxes).</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in its sole discretion (the “</w:t>
      </w:r>
      <w:r>
        <w:rPr>
          <w:rFonts w:ascii="Times New Roman;serif" w:hAnsi="Times New Roman;serif"/>
          <w:b w:val="false"/>
          <w:color w:val="000000"/>
          <w:sz w:val="24"/>
          <w:u w:val="single"/>
        </w:rPr>
        <w:t>280G Firm</w:t>
      </w:r>
      <w:r>
        <w:rPr>
          <w:color w:val="000000"/>
        </w:rPr>
        <w:t>”</w:t>
      </w:r>
      <w:r>
        <w:rPr>
          <w:rFonts w:ascii="Times New Roman;serif" w:hAnsi="Times New Roman;serif"/>
          <w:b w:val="false"/>
          <w:color w:val="000000"/>
          <w:sz w:val="24"/>
        </w:rPr>
        <w:t>). In order to assess whether payments under this Agreement or otherwise qualify as reasonable compensation that is exempt from being a parachute payment under Section 280G of the Code, the 280G Firm or the Company may retain the services of an independent valuation expert.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a reduced payment or benefit is made or provided and through error or otherwise that payment or benefit, when aggregated with other payments and benefits from the Company used in determining if a “parachute payment” exists, exceeds $1.00 less than three (3) times the Executive’s base amount, then the Executive must immediately repay such excess to the Company upon notification that an overpayment has been made. Nothing in this Section 8 will require the Company to be responsible for, or have any liability or obligation with respect to, the Executive’s excise tax liabilities under Section 4999 of the Code.</w:t>
      </w:r>
    </w:p>
    <w:p>
      <w:pPr>
        <w:pStyle w:val="TextBody"/>
        <w:bidi w:val="0"/>
        <w:spacing w:before="0" w:after="0"/>
        <w:ind w:left="0" w:right="0" w:firstLine="180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Arbitration and Class and Representative Action Waiver</w:t>
      </w:r>
      <w:r>
        <w:rPr>
          <w:rFonts w:ascii="Times New Roman;serif" w:hAnsi="Times New Roman;serif"/>
          <w:b w:val="false"/>
          <w:color w:val="000000"/>
          <w:sz w:val="24"/>
        </w:rPr>
        <w:t>.</w:t>
      </w:r>
    </w:p>
    <w:p>
      <w:pPr>
        <w:pStyle w:val="TextBody"/>
        <w:bidi w:val="0"/>
        <w:spacing w:before="0" w:after="0"/>
        <w:ind w:left="0" w:right="0" w:firstLine="99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agree that, subject to Section 9(b), any controversy or claim between the Company and the Executive arising out of or relating to this Agreement or its termination shall be settled and determined by a single arbitrator whose award shall be accepted as final and binding upon the Parties. If the Executive initiates arbitration, the Executive will be responsible for paying one-half of the filing fee. Each Party will be responsible for their own attorney’s fees, subject to Section 5(d). The Parties shall jointly select an arbitrator from JAMS, Inc. (“</w:t>
      </w:r>
      <w:r>
        <w:rPr>
          <w:rFonts w:ascii="Times New Roman;serif" w:hAnsi="Times New Roman;serif"/>
          <w:b w:val="false"/>
          <w:color w:val="000000"/>
          <w:sz w:val="24"/>
          <w:u w:val="single"/>
        </w:rPr>
        <w:t>JAMS</w:t>
      </w:r>
      <w:r>
        <w:rPr>
          <w:color w:val="000000"/>
        </w:rPr>
        <w:t>”</w:t>
      </w:r>
      <w:r>
        <w:rPr>
          <w:rFonts w:ascii="Times New Roman;serif" w:hAnsi="Times New Roman;serif"/>
          <w:b w:val="false"/>
          <w:color w:val="000000"/>
          <w:sz w:val="24"/>
        </w:rPr>
        <w:t>) or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xml:space="preserve">) with at least ten (10) years of experience in employment disputes. The arbitration shall be conducted on a confidential basis by the AAA or JAMS and administered under their Employment Arbitration Rules, which are currently available at http://www.adr.org and http://www.jamsadr.com,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the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15975"/>
                <wp:effectExtent l="0" t="0" r="0" b="0"/>
                <wp:wrapNone/>
                <wp:docPr id="85" name="Frame8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expenses, and reasonable attorneys’ fees. Judgment on the award may be entered in any court having jurisdiction.</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This Arbitration provision does not include:</w:t>
      </w:r>
    </w:p>
    <w:p>
      <w:pPr>
        <w:pStyle w:val="TextBody"/>
        <w:bidi w:val="0"/>
        <w:spacing w:before="0" w:after="0"/>
        <w:ind w:left="0" w:right="0" w:firstLine="1800"/>
        <w:jc w:val="both"/>
        <w:rPr/>
      </w:pPr>
      <w:r>
        <w:rPr/>
      </w:r>
    </w:p>
    <w:p>
      <w:pPr>
        <w:pStyle w:val="TextBody"/>
        <w:bidi w:val="0"/>
        <w:spacing w:lineRule="auto" w:line="268" w:before="0" w:after="0"/>
        <w:ind w:left="0" w:right="0" w:firstLine="2294"/>
        <w:jc w:val="both"/>
        <w:rPr/>
      </w:pPr>
      <w:r>
        <w:rPr>
          <w:rFonts w:ascii="Times New Roman;serif" w:hAnsi="Times New Roman;serif"/>
          <w:b w:val="false"/>
          <w:color w:val="000000"/>
          <w:sz w:val="24"/>
        </w:rPr>
        <w:t>(i)</w:t>
      </w:r>
      <w:r>
        <w:rPr>
          <w:rFonts w:ascii="Times New Roman;serif" w:hAnsi="Times New Roman;serif"/>
          <w:b w:val="false"/>
          <w:color w:val="000000"/>
          <w:sz w:val="24"/>
        </w:rPr>
        <w:t>Any claim arising under or related to the Confidentiality, Noncompetition and Intellectual Property Agreement;</w:t>
      </w:r>
    </w:p>
    <w:p>
      <w:pPr>
        <w:pStyle w:val="TextBody"/>
        <w:bidi w:val="0"/>
        <w:spacing w:before="0" w:after="0"/>
        <w:ind w:left="0" w:right="0" w:firstLine="1800"/>
        <w:jc w:val="both"/>
        <w:rPr/>
      </w:pPr>
      <w:r>
        <w:rPr/>
      </w:r>
    </w:p>
    <w:p>
      <w:pPr>
        <w:pStyle w:val="TextBody"/>
        <w:bidi w:val="0"/>
        <w:spacing w:lineRule="auto" w:line="268" w:before="0" w:after="0"/>
        <w:ind w:left="0" w:right="0" w:firstLine="2227"/>
        <w:jc w:val="both"/>
        <w:rPr/>
      </w:pPr>
      <w:r>
        <w:rPr>
          <w:rFonts w:ascii="Times New Roman;serif" w:hAnsi="Times New Roman;serif"/>
          <w:b w:val="false"/>
          <w:color w:val="000000"/>
          <w:sz w:val="24"/>
        </w:rPr>
        <w:t>(ii)</w:t>
      </w:r>
      <w:r>
        <w:rPr>
          <w:rFonts w:ascii="Times New Roman;serif" w:hAnsi="Times New Roman;serif"/>
          <w:b w:val="false"/>
          <w:color w:val="000000"/>
          <w:sz w:val="24"/>
        </w:rPr>
        <w:t>A claim for workers’ compensation benefits;</w:t>
      </w:r>
    </w:p>
    <w:p>
      <w:pPr>
        <w:pStyle w:val="TextBody"/>
        <w:bidi w:val="0"/>
        <w:spacing w:before="0" w:after="0"/>
        <w:ind w:left="0" w:right="0" w:firstLine="2520"/>
        <w:jc w:val="both"/>
        <w:rPr/>
      </w:pPr>
      <w:r>
        <w:rPr/>
      </w:r>
    </w:p>
    <w:p>
      <w:pPr>
        <w:pStyle w:val="TextBody"/>
        <w:bidi w:val="0"/>
        <w:spacing w:lineRule="auto" w:line="268" w:before="0" w:after="0"/>
        <w:ind w:left="0" w:right="0" w:firstLine="2161"/>
        <w:jc w:val="both"/>
        <w:rPr/>
      </w:pPr>
      <w:r>
        <w:rPr>
          <w:rFonts w:ascii="Times New Roman;serif" w:hAnsi="Times New Roman;serif"/>
          <w:b w:val="false"/>
          <w:color w:val="000000"/>
          <w:sz w:val="24"/>
        </w:rPr>
        <w:t>(iii)</w:t>
      </w:r>
      <w:r>
        <w:rPr>
          <w:rFonts w:ascii="Times New Roman;serif" w:hAnsi="Times New Roman;serif"/>
          <w:b w:val="false"/>
          <w:color w:val="000000"/>
          <w:sz w:val="24"/>
        </w:rPr>
        <w:t>A claim for unemployment compensation benefits;</w:t>
      </w:r>
    </w:p>
    <w:p>
      <w:pPr>
        <w:pStyle w:val="TextBody"/>
        <w:bidi w:val="0"/>
        <w:spacing w:before="0" w:after="0"/>
        <w:ind w:left="0" w:right="0" w:firstLine="2520"/>
        <w:jc w:val="both"/>
        <w:rPr/>
      </w:pPr>
      <w:r>
        <w:rPr/>
      </w:r>
    </w:p>
    <w:p>
      <w:pPr>
        <w:pStyle w:val="TextBody"/>
        <w:bidi w:val="0"/>
        <w:spacing w:lineRule="auto" w:line="268" w:before="0" w:after="0"/>
        <w:ind w:left="0" w:right="0" w:firstLine="2174"/>
        <w:jc w:val="both"/>
        <w:rPr/>
      </w:pPr>
      <w:r>
        <w:rPr>
          <w:rFonts w:ascii="Times New Roman;serif" w:hAnsi="Times New Roman;serif"/>
          <w:b w:val="false"/>
          <w:color w:val="000000"/>
          <w:sz w:val="24"/>
        </w:rPr>
        <w:t>(iv)</w:t>
      </w:r>
      <w:r>
        <w:rPr>
          <w:rFonts w:ascii="Times New Roman;serif" w:hAnsi="Times New Roman;serif"/>
          <w:b w:val="false"/>
          <w:color w:val="000000"/>
          <w:sz w:val="24"/>
        </w:rPr>
        <w:t>A claim based upon the Company’s current (successor or future) employee benefits and/or welfare plans that contain an appeal procedure or other procedure for the resolution of disputes under this Agreement; and</w:t>
      </w:r>
    </w:p>
    <w:p>
      <w:pPr>
        <w:pStyle w:val="TextBody"/>
        <w:bidi w:val="0"/>
        <w:spacing w:before="0" w:after="0"/>
        <w:ind w:left="0" w:right="0" w:firstLine="2520"/>
        <w:jc w:val="both"/>
        <w:rPr/>
      </w:pPr>
      <w:r>
        <w:rPr/>
      </w:r>
    </w:p>
    <w:p>
      <w:pPr>
        <w:pStyle w:val="TextBody"/>
        <w:bidi w:val="0"/>
        <w:spacing w:lineRule="auto" w:line="268" w:before="0" w:after="0"/>
        <w:ind w:left="0" w:right="0" w:firstLine="2240"/>
        <w:jc w:val="both"/>
        <w:rPr/>
      </w:pPr>
      <w:r>
        <w:rPr>
          <w:rFonts w:ascii="Times New Roman;serif" w:hAnsi="Times New Roman;serif"/>
          <w:b w:val="false"/>
          <w:color w:val="000000"/>
          <w:sz w:val="24"/>
        </w:rPr>
        <w:t>(v)</w:t>
      </w:r>
      <w:r>
        <w:rPr>
          <w:rFonts w:ascii="Times New Roman;serif" w:hAnsi="Times New Roman;serif"/>
          <w:b w:val="false"/>
          <w:color w:val="000000"/>
          <w:sz w:val="24"/>
        </w:rPr>
        <w:t>A claim of sexual harassment, including hostile work environment, “sexual assault” (defined as actual or threatened unwelcomed touching of a sexual nature), gender discrimination, and retaliation related to same.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This Agreement also does not prevent the Executive from filing a claim or charge with a federal, state or local administrative agency, such as the Equal Employment Opportunity Commission, the National Labor Relations Board, or similar state or local agencies.</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u w:val="single"/>
        </w:rPr>
        <w:t>CLASS ACTION WAIVER</w:t>
      </w:r>
      <w:r>
        <w:rPr>
          <w:rFonts w:ascii="Times New Roman;serif" w:hAnsi="Times New Roman;serif"/>
          <w:b/>
          <w:color w:val="000000"/>
          <w:sz w:val="24"/>
        </w:rPr>
        <w:t xml:space="preserve">. </w:t>
      </w:r>
      <w:r>
        <w:rPr>
          <w:rFonts w:ascii="Times New Roman;serif" w:hAnsi="Times New Roman;serif"/>
          <w:b w:val="false"/>
          <w:color w:val="000000"/>
          <w:sz w:val="24"/>
        </w:rPr>
        <w:t>To the extent permissible by law, there shall be no right or authority for any dispute to be arbitrated as a class action or collective action (“</w:t>
      </w:r>
      <w:r>
        <w:rPr>
          <w:rFonts w:ascii="Times New Roman;serif" w:hAnsi="Times New Roman;serif"/>
          <w:b w:val="false"/>
          <w:color w:val="000000"/>
          <w:sz w:val="24"/>
          <w:u w:val="single"/>
        </w:rPr>
        <w:t>Class Action Waiver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THIS MEANS THAT, EXCEPT AS EXPLICITLY PROVIDED HEREIN, ALL DISPUTES BETWEEN THE PARTIES THAT ARISE, OR HAVE ARISEN, OUT OF THE EXECUTIVE’S EMPLOYMENT OR THE TERMINATION OF THE EXECUTIVE’S EMPLOYMENT SHALL PROCEED IN ARBITRATION SOLELY ON AN INDIVIDUAL BASIS, AND THAT THE ARBITRATOR’S AUTHORITY TO RESOLVE ANY DISPUTE AND TO MAKE WRITTEN AWARDS WILL BE LIMITED TO THE EXECUTIVE’S INDIVIDUAL CLAIMS.</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u w:val="single"/>
        </w:rPr>
        <w:t>REPRESENTATIVE ACTION WAIVER</w:t>
      </w:r>
      <w:r>
        <w:rPr>
          <w:rFonts w:ascii="Times New Roman;serif" w:hAnsi="Times New Roman;serif"/>
          <w:b/>
          <w:color w:val="000000"/>
          <w:sz w:val="24"/>
        </w:rPr>
        <w:t xml:space="preserve">. </w:t>
      </w:r>
      <w:r>
        <w:rPr>
          <w:rFonts w:ascii="Times New Roman;serif" w:hAnsi="Times New Roman;serif"/>
          <w:b w:val="false"/>
          <w:color w:val="000000"/>
          <w:sz w:val="24"/>
        </w:rPr>
        <w:t>To the extent permissible by law, there shall be no right or authority for any dispute to be arbitrated as a representative action or as a private attorney general action, including but not limited to claims brought pursuant to the Private Attorney General Act of 2004, Cal. Lab. Code § 2698, et seq. (“</w:t>
      </w:r>
      <w:r>
        <w:rPr>
          <w:rFonts w:ascii="Times New Roman;serif" w:hAnsi="Times New Roman;serif"/>
          <w:b w:val="false"/>
          <w:color w:val="000000"/>
          <w:sz w:val="24"/>
          <w:u w:val="single"/>
        </w:rPr>
        <w:t>Representative Action Waiver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THIS MEANS THAT, TO THE EXTENT CONSISTENT WITH APPLICABLE LAW, THE EXECUTIVE MAY NOT SEEK RELIEF ON BEHALF OF OTHERS IN ARBITRATION, INCLUDING BUT NOT LIMITED TO SIMILARLY AGGRIEVED EMPLOYEES. THE ARBITRATOR’S AUTHORITY TO RESOLVE ANY DISPUTE AND TO MAKE WRITTEN AWARDS WILL BE LIMITED TO THE EXECUTIVE’S INDIVIDUAL CLAIMS.</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15975"/>
                <wp:effectExtent l="0" t="0" r="0" b="0"/>
                <wp:wrapNone/>
                <wp:docPr id="86" name="Frame8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Parties agree that only a court of competent jurisdiction may interpret this Section 9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9 and all arbitration proceedings under this Agreement.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Any conflict between the rules and procedures set forth in either the JAMS or AAA rules and those set forth in this Agreement shall be resolved in favor of those in this Agreement.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burden of proof at an arbitration shall at all times be on the Party seeking relief.</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and the Family and Medical Leave Act.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The aggrieved Party must give written notice of any claim to the other Party as soon as possible after the aggrieved Party first knew or should have known of the facts giving rise to the claim. The written notice shall describe the nature of all claims asserted and the facts upon which those claims are based, and shall set forth the aggrieved Party’s intention to pursue arbitration. The notice shall be mailed to the other Party by certified or registered mail, return receipt requested.</w:t>
      </w:r>
    </w:p>
    <w:p>
      <w:pPr>
        <w:pStyle w:val="TextBody"/>
        <w:bidi w:val="0"/>
        <w:spacing w:before="0" w:after="0"/>
        <w:jc w:val="left"/>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Amendment</w:t>
      </w:r>
      <w:r>
        <w:rPr>
          <w:rFonts w:ascii="Times New Roman;serif" w:hAnsi="Times New Roman;serif"/>
          <w:b w:val="false"/>
          <w:color w:val="000000"/>
          <w:sz w:val="24"/>
        </w:rPr>
        <w:t>. No provision of this Agreement may be modified, waived, or discharged unless such waiver, modification, or discharge is agreed to in writing and signed by the Executive and the Company.</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At-Will Employment</w:t>
      </w:r>
      <w:r>
        <w:rPr>
          <w:rFonts w:ascii="Times New Roman;serif" w:hAnsi="Times New Roman;serif"/>
          <w:b w:val="false"/>
          <w:color w:val="000000"/>
          <w:sz w:val="24"/>
        </w:rPr>
        <w:t>. This Agreement does not alter the status of the Executive as an at-will employee of the Company. Nothing contained herein shall be deemed to give the Executive the right to remain employed by the Company or to interfere with the rights of the Company to terminate the employment of the Executive at any time, with or without Cause.</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9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pStyle w:val="TextBody"/>
        <w:bidi w:val="0"/>
        <w:spacing w:before="0" w:after="0"/>
        <w:ind w:left="0" w:right="0" w:firstLine="990"/>
        <w:jc w:val="both"/>
        <w:rPr/>
      </w:pPr>
      <w:r>
        <w:rPr/>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15975"/>
                <wp:effectExtent l="0" t="0" r="0" b="0"/>
                <wp:wrapNone/>
                <wp:docPr id="87" name="Frame8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ind w:left="0" w:right="0" w:firstLine="63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Headings and Subheadings</w:t>
      </w:r>
      <w:r>
        <w:rPr>
          <w:rFonts w:ascii="Times New Roman;serif" w:hAnsi="Times New Roman;serif"/>
          <w:b w:val="false"/>
          <w:color w:val="000000"/>
          <w:sz w:val="24"/>
        </w:rPr>
        <w:t>. Headings and subheadings contained in this Agreement are intended solely for convenience and no provision of this Agreement is to be construed by reference to the heading or subheading of any section or paragraph.</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Unfunded Obligations</w:t>
      </w:r>
      <w:r>
        <w:rPr>
          <w:rFonts w:ascii="Times New Roman;serif" w:hAnsi="Times New Roman;serif"/>
          <w:b w:val="false"/>
          <w:color w:val="000000"/>
          <w:sz w:val="24"/>
        </w:rPr>
        <w:t>. The amounts to be paid to the Executive under this Agreement are unfunded obligations of the Company. The Company is not required to segregate any monies or other assets from its general funds with respect to these obligations. The Executive shall not have any preference or security interest in any assets of the Company other than as a general unsecured creditor.</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Notice</w:t>
      </w:r>
      <w:r>
        <w:rPr>
          <w:rFonts w:ascii="Times New Roman;serif" w:hAnsi="Times New Roman;serif"/>
          <w:b w:val="false"/>
          <w:color w:val="000000"/>
          <w:sz w:val="24"/>
        </w:rPr>
        <w:t>. For the purposes of this Agreement, notices and all other communications provided for in this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pStyle w:val="TextBody"/>
        <w:bidi w:val="0"/>
        <w:spacing w:before="0" w:after="0"/>
        <w:jc w:val="left"/>
        <w:rPr/>
      </w:pPr>
      <w:r>
        <w:rPr/>
      </w:r>
    </w:p>
    <w:p>
      <w:pPr>
        <w:pStyle w:val="TextBody"/>
        <w:bidi w:val="0"/>
        <w:spacing w:lineRule="auto" w:line="268" w:before="0" w:after="0"/>
        <w:ind w:left="0" w:right="0" w:firstLine="1559"/>
        <w:jc w:val="left"/>
        <w:rPr/>
      </w:pPr>
      <w:r>
        <w:rPr>
          <w:rFonts w:ascii="Times New Roman;serif" w:hAnsi="Times New Roman;serif"/>
          <w:b w:val="false"/>
          <w:color w:val="000000"/>
          <w:sz w:val="24"/>
          <w:u w:val="single"/>
        </w:rPr>
        <w:t>To the Executive</w:t>
      </w:r>
      <w:r>
        <w:rPr>
          <w:rFonts w:ascii="Times New Roman;serif" w:hAnsi="Times New Roman;serif"/>
          <w:b w:val="false"/>
          <w:color w:val="000000"/>
          <w:sz w:val="24"/>
        </w:rPr>
        <w:t>:</w:t>
      </w:r>
    </w:p>
    <w:p>
      <w:pPr>
        <w:pStyle w:val="TextBody"/>
        <w:bidi w:val="0"/>
        <w:spacing w:lineRule="auto" w:line="268" w:before="0" w:after="0"/>
        <w:ind w:left="0" w:right="0" w:firstLine="1560"/>
        <w:jc w:val="left"/>
        <w:rPr>
          <w:rFonts w:ascii="Times New Roman;serif" w:hAnsi="Times New Roman;serif"/>
          <w:b w:val="false"/>
          <w:color w:val="000000"/>
          <w:sz w:val="24"/>
        </w:rPr>
      </w:pPr>
      <w:r>
        <w:rPr>
          <w:rFonts w:ascii="Times New Roman;serif" w:hAnsi="Times New Roman;serif"/>
          <w:b w:val="false"/>
          <w:color w:val="000000"/>
          <w:sz w:val="24"/>
        </w:rPr>
        <w:t>At the most recent address contained in the Company’s personnel files.</w:t>
      </w:r>
    </w:p>
    <w:p>
      <w:pPr>
        <w:pStyle w:val="TextBody"/>
        <w:bidi w:val="0"/>
        <w:spacing w:before="0" w:after="0"/>
        <w:jc w:val="left"/>
        <w:rPr/>
      </w:pPr>
      <w:r>
        <w:rPr/>
      </w:r>
    </w:p>
    <w:p>
      <w:pPr>
        <w:pStyle w:val="TextBody"/>
        <w:bidi w:val="0"/>
        <w:spacing w:lineRule="auto" w:line="268" w:before="0" w:after="0"/>
        <w:ind w:left="0" w:right="0" w:firstLine="1560"/>
        <w:jc w:val="left"/>
        <w:rPr/>
      </w:pPr>
      <w:r>
        <w:rPr>
          <w:rFonts w:ascii="Times New Roman;serif" w:hAnsi="Times New Roman;serif"/>
          <w:b w:val="false"/>
          <w:color w:val="000000"/>
          <w:sz w:val="24"/>
          <w:u w:val="single"/>
        </w:rPr>
        <w:t>To the Company</w:t>
      </w:r>
      <w:r>
        <w:rPr>
          <w:rFonts w:ascii="Times New Roman;serif" w:hAnsi="Times New Roman;serif"/>
          <w:b w:val="false"/>
          <w:color w:val="000000"/>
          <w:sz w:val="24"/>
        </w:rPr>
        <w:t>:</w:t>
      </w:r>
    </w:p>
    <w:p>
      <w:pPr>
        <w:pStyle w:val="TextBody"/>
        <w:bidi w:val="0"/>
        <w:spacing w:lineRule="auto" w:line="268" w:before="0" w:after="0"/>
        <w:ind w:left="0" w:right="0" w:firstLine="1560"/>
        <w:jc w:val="left"/>
        <w:rPr>
          <w:rFonts w:ascii="Times New Roman;serif" w:hAnsi="Times New Roman;serif"/>
          <w:b w:val="false"/>
          <w:color w:val="000000"/>
          <w:sz w:val="24"/>
        </w:rPr>
      </w:pPr>
      <w:r>
        <w:rPr>
          <w:rFonts w:ascii="Times New Roman;serif" w:hAnsi="Times New Roman;serif"/>
          <w:b w:val="false"/>
          <w:color w:val="000000"/>
          <w:sz w:val="24"/>
        </w:rPr>
        <w:t xml:space="preserve">Bath &amp; Body Works, Inc. </w:t>
      </w:r>
    </w:p>
    <w:p>
      <w:pPr>
        <w:pStyle w:val="TextBody"/>
        <w:bidi w:val="0"/>
        <w:spacing w:lineRule="auto" w:line="268" w:before="0" w:after="0"/>
        <w:ind w:left="0" w:right="0" w:firstLine="1560"/>
        <w:jc w:val="left"/>
        <w:rPr>
          <w:rFonts w:ascii="Times New Roman;serif" w:hAnsi="Times New Roman;serif"/>
          <w:b w:val="false"/>
          <w:color w:val="000000"/>
          <w:sz w:val="24"/>
        </w:rPr>
      </w:pPr>
      <w:r>
        <w:rPr>
          <w:rFonts w:ascii="Times New Roman;serif" w:hAnsi="Times New Roman;serif"/>
          <w:b w:val="false"/>
          <w:color w:val="000000"/>
          <w:sz w:val="24"/>
        </w:rPr>
        <w:t xml:space="preserve">Three Limited Parkway, </w:t>
      </w:r>
    </w:p>
    <w:p>
      <w:pPr>
        <w:pStyle w:val="TextBody"/>
        <w:bidi w:val="0"/>
        <w:spacing w:lineRule="auto" w:line="268" w:before="0" w:after="0"/>
        <w:ind w:left="0" w:right="0" w:firstLine="1560"/>
        <w:jc w:val="left"/>
        <w:rPr>
          <w:rFonts w:ascii="Times New Roman;serif" w:hAnsi="Times New Roman;serif"/>
          <w:b w:val="false"/>
          <w:color w:val="000000"/>
          <w:sz w:val="24"/>
        </w:rPr>
      </w:pPr>
      <w:r>
        <w:rPr>
          <w:rFonts w:ascii="Times New Roman;serif" w:hAnsi="Times New Roman;serif"/>
          <w:b w:val="false"/>
          <w:color w:val="000000"/>
          <w:sz w:val="24"/>
        </w:rPr>
        <w:t xml:space="preserve">Columbus, Ohio 43230 </w:t>
      </w:r>
    </w:p>
    <w:p>
      <w:pPr>
        <w:pStyle w:val="TextBody"/>
        <w:bidi w:val="0"/>
        <w:spacing w:lineRule="auto" w:line="268" w:before="0" w:after="0"/>
        <w:ind w:left="0" w:right="0" w:firstLine="1560"/>
        <w:jc w:val="left"/>
        <w:rPr>
          <w:rFonts w:ascii="Times New Roman;serif" w:hAnsi="Times New Roman;serif"/>
          <w:b w:val="false"/>
          <w:color w:val="000000"/>
          <w:sz w:val="24"/>
        </w:rPr>
      </w:pPr>
      <w:r>
        <w:rPr>
          <w:rFonts w:ascii="Times New Roman;serif" w:hAnsi="Times New Roman;serif"/>
          <w:b w:val="false"/>
          <w:color w:val="000000"/>
          <w:sz w:val="24"/>
        </w:rPr>
        <w:t>Attn: Chief Legal Officer</w:t>
      </w:r>
    </w:p>
    <w:p>
      <w:pPr>
        <w:pStyle w:val="TextBody"/>
        <w:bidi w:val="0"/>
        <w:spacing w:before="0" w:after="0"/>
        <w:jc w:val="left"/>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its rights and obligations under this Agreement without the Executive’s consent: to (a) an affiliate of the Company, or (b)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the Executive’s legal representatives, except by will or by the laws of descent and distribution. This Agreement shall inure to the benefit of and be enforceable by the Executive’s legal personal representative.</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Waiver</w:t>
      </w:r>
      <w:r>
        <w:rPr>
          <w:rFonts w:ascii="Times New Roman;serif" w:hAnsi="Times New Roman;serif"/>
          <w:b w:val="false"/>
          <w:color w:val="000000"/>
          <w:sz w:val="24"/>
        </w:rPr>
        <w:t>. Any Party’s failure to enforce any provision or provisions of this Agreement will not in any way be construed as a waiver of any such provision or provisions, nor prevent any Party from thereafter enforcing each and every other provision of this Agreement.</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all of which taken together shall be deemed to constitute one and the same original.</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Governing Law</w:t>
      </w:r>
      <w:r>
        <w:rPr>
          <w:rFonts w:ascii="Times New Roman;serif" w:hAnsi="Times New Roman;serif"/>
          <w:b w:val="false"/>
          <w:color w:val="000000"/>
          <w:sz w:val="24"/>
        </w:rPr>
        <w:t>. Unless otherwise noted in this Agreement, this Agreement shall be construed in accordance with and governed by the laws of the State of Ohio without regard to conflicts of law principles.</w:t>
      </w:r>
    </w:p>
    <w:p>
      <w:pPr>
        <w:pStyle w:val="TextBody"/>
        <w:bidi w:val="0"/>
        <w:spacing w:before="0" w:after="0"/>
        <w:ind w:left="0" w:right="0" w:firstLine="990"/>
        <w:jc w:val="both"/>
        <w:rPr/>
      </w:pPr>
      <w:r>
        <w:rPr/>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15975"/>
                <wp:effectExtent l="0" t="0" r="0" b="0"/>
                <wp:wrapNone/>
                <wp:docPr id="88" name="Frame8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ind w:left="0" w:right="0" w:firstLine="63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shall have the right to withhold from any amount payable hereunder any Federal, state and local taxes in order for the Company to satisfy any withholding tax obligation it may have under any applicable law or regulation.</w:t>
      </w:r>
    </w:p>
    <w:p>
      <w:pPr>
        <w:pStyle w:val="TextBody"/>
        <w:bidi w:val="0"/>
        <w:spacing w:before="0" w:after="0"/>
        <w:ind w:left="0" w:right="0" w:firstLine="990"/>
        <w:jc w:val="both"/>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Section 409A of the Code</w:t>
      </w:r>
      <w:r>
        <w:rPr>
          <w:rFonts w:ascii="Times New Roman;serif" w:hAnsi="Times New Roman;serif"/>
          <w:b w:val="false"/>
          <w:color w:val="000000"/>
          <w:sz w:val="24"/>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pStyle w:val="TextBody"/>
        <w:bidi w:val="0"/>
        <w:spacing w:before="0" w:after="0"/>
        <w:ind w:left="0" w:right="0" w:firstLine="99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payment that the Executive may receive under this Agreement shall be treated as a “separate payment” for purposes of Section 409A of the Code.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1.409A- 1(b)(9)(iii), or otherwise. Any payments and benefits provided under this Agreement may be accelerated in time or schedule by the Company, in its sole discretion, to the extent permitted by Section 409A of the Code.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 anything in this Agreement to the contrary, in no event, shall the Company be liable for any tax, interest or penalty imposed on the Executive under Section 409A of the Code or any damages for failing to comply with Section 409A of the Code.</w:t>
      </w:r>
    </w:p>
    <w:p>
      <w:pPr>
        <w:pStyle w:val="TextBody"/>
        <w:bidi w:val="0"/>
        <w:spacing w:before="0" w:after="0"/>
        <w:jc w:val="left"/>
        <w:rPr/>
      </w:pPr>
      <w:r>
        <w:rPr/>
      </w:r>
    </w:p>
    <w:p>
      <w:pPr>
        <w:pStyle w:val="TextBody"/>
        <w:bidi w:val="0"/>
        <w:spacing w:lineRule="auto" w:line="268" w:before="0" w:after="0"/>
        <w:ind w:left="0" w:right="0" w:firstLine="63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otherwise defined herein have the meanings set forth in this Section 22.</w:t>
      </w:r>
    </w:p>
    <w:p>
      <w:pPr>
        <w:pStyle w:val="TextBody"/>
        <w:bidi w:val="0"/>
        <w:spacing w:before="0" w:after="0"/>
        <w:ind w:left="0" w:right="0" w:firstLine="99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2020 Stock Plan</w:t>
      </w:r>
      <w:r>
        <w:rPr>
          <w:color w:val="000000"/>
        </w:rPr>
        <w:t xml:space="preserve">” </w:t>
      </w:r>
      <w:r>
        <w:rPr>
          <w:rFonts w:ascii="Times New Roman;serif" w:hAnsi="Times New Roman;serif"/>
          <w:b w:val="false"/>
          <w:color w:val="000000"/>
          <w:sz w:val="24"/>
        </w:rPr>
        <w:t>means the Company’s 2020 Stock Option and Performance Incentive Plan, as amended from time to time.</w:t>
      </w:r>
    </w:p>
    <w:p>
      <w:pPr>
        <w:pStyle w:val="TextBody"/>
        <w:bidi w:val="0"/>
        <w:spacing w:before="0" w:after="0"/>
        <w:ind w:left="0" w:right="0" w:firstLine="1800"/>
        <w:jc w:val="both"/>
        <w:rPr/>
      </w:pPr>
      <w:r>
        <w:rPr/>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15975"/>
                <wp:effectExtent l="0" t="0" r="0" b="0"/>
                <wp:wrapNone/>
                <wp:docPr id="89" name="Frame8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Accrued Amounts</w:t>
      </w:r>
      <w:r>
        <w:rPr>
          <w:color w:val="000000"/>
        </w:rPr>
        <w:t xml:space="preserve">” </w:t>
      </w:r>
      <w:r>
        <w:rPr>
          <w:rFonts w:ascii="Times New Roman;serif" w:hAnsi="Times New Roman;serif"/>
          <w:b w:val="false"/>
          <w:color w:val="000000"/>
          <w:sz w:val="24"/>
        </w:rPr>
        <w:t>mean: (i) unpaid Base Salary through the Termination Date; and (ii) unreimbursed business expenses incurred by the Executive on behalf of the Company during the term of their employment in accordance with the Company’s standard policies (including expense verification policies) regarding the reimbursement of business expenses, as the same may be modified from time to time.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means the Executive’s annual base salary in effect as of the Termination Date (without giving effect to any reduction resulting in a Qualifying Termination for Good Reason).</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as determined by the Company in its sole discretion, that the Executive (i) was grossly negligent in the performance of the Executive’s duties with the Company (other than a failure resulting from the Executive’s incapacity due to physical or mental illness); (ii) has pled “guilty” or “no contest” to, or has been convicted of, an act which is defined as a felony under federal or state law; (iii) engaged in misconduct in bad faith that could reasonably be expected to materially harm the Company’s business or its reputation; or (iv) commits or engages in Subject Conduct. In the event of any of the conditions described above, the Company shall provide the Executive a Notice of Termination stating the grounds for immediate termination. Notwithstanding anything in this Agreement to the contrary, if the Executive’s experiences a Termination other than by the Company for Cause, the Company shall have the sole discretion to later use after-acquired evidence to retroactively re-characterize the prior Termination as a Termination for Cause if such after-acquired evidences supports such an action.</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Change in Control” means a “Change in Control</w:t>
      </w:r>
      <w:r>
        <w:rPr>
          <w:color w:val="000000"/>
        </w:rPr>
        <w:t xml:space="preserve">” </w:t>
      </w:r>
      <w:r>
        <w:rPr>
          <w:rFonts w:ascii="Times New Roman;serif" w:hAnsi="Times New Roman;serif"/>
          <w:b w:val="false"/>
          <w:color w:val="000000"/>
          <w:sz w:val="24"/>
        </w:rPr>
        <w:t>under the 2020 Stock Plan.</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Any reference to a section of the Code shall be deemed to include a reference to any regulations promulgated thereunder.</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Confidentiality, Noncompetition and Intellectual Property Agreement</w:t>
      </w:r>
      <w:r>
        <w:rPr>
          <w:color w:val="000000"/>
        </w:rPr>
        <w:t xml:space="preserve">” </w:t>
      </w:r>
      <w:r>
        <w:rPr>
          <w:rFonts w:ascii="Times New Roman;serif" w:hAnsi="Times New Roman;serif"/>
          <w:b w:val="false"/>
          <w:color w:val="000000"/>
          <w:sz w:val="24"/>
        </w:rPr>
        <w:t>means the written Confidentiality, Noncompetition and Intellectual Property Agreement or other similar agreement between the Executive and the Company as may be in effect from time to time.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means (i) a material diminution in the Executive’s position as of the Effective Date; (ii) the assignment to the Executive of any duties materially inconsistent with and that constitute a material adverse change to the Executive’s duties, authority, responsibilities or reporting requirements or structure, as of the Effective Date, including ceasing being a direct report of the Chief Executive Officer of the Company; (iii) the failure of the Company to obtain the assumption in writing of its obligation to perform this Agreement by any successor to all or substantially all of the assets of the Company within fifteen (15) days after a merger, consolidation, sale, or similar transaction; or (iv) the Executive’s mandatory relocation to an office location more than fifty (50) miles from Executive’s principal office location in the Columbus, Ohio area on the Effective Date. “Good Reason” shall not include acts taken by the Company by reason of the Executive’s physical or mental infirmity which impairs the Executive’s ability to substantially perform their duties. Notwithstanding the foregoing provisions of this definition, any assertion by the Executive of a termination for Good Reason shall not be effective unless all of the following conditions are satisfied: (x) the Executive has provided a Notice of Termination to the Company indicating the existence of the condition(s) providing grounds for termination for Good Reason within sixty (60) days of the initial existence of such condition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15975"/>
                <wp:effectExtent l="0" t="0" r="0" b="0"/>
                <wp:wrapNone/>
                <wp:docPr id="90" name="Frame8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becoming known (or should have become known) to them; (y) the condition(s) specified in such notice must remain uncorrected by the Company for thirty (30) days following the Company’s receipt of such written notice; and (x) the Executive terminates employment immediately following the expiration of such thirty-day (30) period.</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IC Plan</w:t>
      </w:r>
      <w:r>
        <w:rPr>
          <w:color w:val="000000"/>
        </w:rPr>
        <w:t xml:space="preserve">” </w:t>
      </w:r>
      <w:r>
        <w:rPr>
          <w:rFonts w:ascii="Times New Roman;serif" w:hAnsi="Times New Roman;serif"/>
          <w:b w:val="false"/>
          <w:color w:val="000000"/>
          <w:sz w:val="24"/>
        </w:rPr>
        <w:t>means the incentive compensation plan of the Company in which the Executive participates as of the Termination Date.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Notice of Termination</w:t>
      </w:r>
      <w:r>
        <w:rPr>
          <w:color w:val="000000"/>
        </w:rPr>
        <w:t xml:space="preserve">” </w:t>
      </w:r>
      <w:r>
        <w:rPr>
          <w:rFonts w:ascii="Times New Roman;serif" w:hAnsi="Times New Roman;serif"/>
          <w:b w:val="false"/>
          <w:color w:val="000000"/>
          <w:sz w:val="24"/>
        </w:rPr>
        <w:t>means a written notice that (i) indicates the specific termination provision in this Agreement relied upon, if applicable, (ii) to the extent applicable, sets forth in reasonable detail the facts and circumstances claimed to provide a basis for the Executive’s Termination under the provision so indicated, and (iii) if the Termination Date is other than the date of receipt of such notice, specifies the Termination Date.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Protection Period</w:t>
      </w:r>
      <w:r>
        <w:rPr>
          <w:color w:val="000000"/>
        </w:rPr>
        <w:t xml:space="preserve">” </w:t>
      </w:r>
      <w:r>
        <w:rPr>
          <w:rFonts w:ascii="Times New Roman;serif" w:hAnsi="Times New Roman;serif"/>
          <w:b w:val="false"/>
          <w:color w:val="000000"/>
          <w:sz w:val="24"/>
        </w:rPr>
        <w:t>means, (i) the period beginning three (3) months prior to a Change in Control and ending twenty-four (24) months following a Change in Control.</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Qualifying Termination</w:t>
      </w:r>
      <w:r>
        <w:rPr>
          <w:color w:val="000000"/>
        </w:rPr>
        <w:t xml:space="preserve">” </w:t>
      </w:r>
      <w:r>
        <w:rPr>
          <w:rFonts w:ascii="Times New Roman;serif" w:hAnsi="Times New Roman;serif"/>
          <w:b w:val="false"/>
          <w:color w:val="000000"/>
          <w:sz w:val="24"/>
        </w:rPr>
        <w:t>means the Executive’s Termination either: (i) by the Company without Cause; or (ii) by the Executive for Good Reason.</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Subject Conduct</w:t>
      </w:r>
      <w:r>
        <w:rPr>
          <w:color w:val="000000"/>
        </w:rPr>
        <w:t xml:space="preserve">” </w:t>
      </w:r>
      <w:r>
        <w:rPr>
          <w:rFonts w:ascii="Times New Roman;serif" w:hAnsi="Times New Roman;serif"/>
          <w:b w:val="false"/>
          <w:color w:val="000000"/>
          <w:sz w:val="24"/>
        </w:rPr>
        <w:t>means sexual harassment (including creation of a hostile work environment), gender discrimination and retaliation related to the foregoing or a violation of any policy of the Company relating to sexual harassment (including creation of a hostile work environment), gender discrimination and retaliation related to the foregoing.</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u w:val="single"/>
        </w:rPr>
        <w:t>Termination</w:t>
      </w:r>
      <w:r>
        <w:rPr>
          <w:color w:val="000000"/>
        </w:rPr>
        <w:t xml:space="preserve">” </w:t>
      </w:r>
      <w:r>
        <w:rPr>
          <w:rFonts w:ascii="Times New Roman;serif" w:hAnsi="Times New Roman;serif"/>
          <w:b w:val="false"/>
          <w:color w:val="000000"/>
          <w:sz w:val="24"/>
        </w:rPr>
        <w:t>means the Executive’s termination of employment with the Company, for any reason, whether voluntary or involuntary, provided that such termination constitutes a “separation from service” as defined and applied under Section 409A of the Code.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(o)</w:t>
      </w:r>
      <w:r>
        <w:rPr>
          <w:color w:val="000000"/>
        </w:rPr>
        <w:t>“</w:t>
      </w:r>
      <w:r>
        <w:rPr>
          <w:rFonts w:ascii="Times New Roman;serif" w:hAnsi="Times New Roman;serif"/>
          <w:b w:val="false"/>
          <w:color w:val="000000"/>
          <w:sz w:val="24"/>
          <w:u w:val="single"/>
        </w:rPr>
        <w:t>Total Disability</w:t>
      </w:r>
      <w:r>
        <w:rPr>
          <w:color w:val="000000"/>
        </w:rPr>
        <w:t xml:space="preserve">” </w:t>
      </w:r>
      <w:r>
        <w:rPr>
          <w:rFonts w:ascii="Times New Roman;serif" w:hAnsi="Times New Roman;serif"/>
          <w:b w:val="false"/>
          <w:color w:val="000000"/>
          <w:sz w:val="24"/>
        </w:rPr>
        <w:t>means “total disability” as defined in the Company’s long-term disability plan as in effect from time to time.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u w:val="single"/>
        </w:rPr>
        <w:t>Variable Compensation</w:t>
      </w:r>
      <w:r>
        <w:rPr>
          <w:color w:val="000000"/>
        </w:rPr>
        <w:t xml:space="preserve">” </w:t>
      </w:r>
      <w:r>
        <w:rPr>
          <w:rFonts w:ascii="Times New Roman;serif" w:hAnsi="Times New Roman;serif"/>
          <w:b w:val="false"/>
          <w:color w:val="000000"/>
          <w:sz w:val="24"/>
        </w:rPr>
        <w:t>means any cash-based performance or incentive award paid by or any equity or equity-based compensation awarded by the Company, including, but not limited to, under the 2020 Stock Plan (and any successor thereto) and the IC Plan.</w:t>
      </w:r>
    </w:p>
    <w:p>
      <w:pPr>
        <w:pStyle w:val="TextBody"/>
        <w:bidi w:val="0"/>
        <w:spacing w:before="0" w:after="0"/>
        <w:jc w:val="left"/>
        <w:rPr/>
      </w:pPr>
      <w:r>
        <w:rPr/>
      </w:r>
    </w:p>
    <w:p>
      <w:pPr>
        <w:pStyle w:val="TextBody"/>
        <w:bidi w:val="0"/>
        <w:spacing w:lineRule="auto" w:line="268" w:before="0" w:after="0"/>
        <w:ind w:left="0" w:right="0" w:firstLine="2256"/>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840"/>
        <w:jc w:val="both"/>
        <w:rPr/>
      </w:pPr>
      <w:r>
        <w:rPr/>
      </w:r>
    </w:p>
    <w:p>
      <w:pPr>
        <w:pStyle w:val="TextBody"/>
        <w:bidi w:val="0"/>
        <w:spacing w:lineRule="auto" w:line="268" w:before="0" w:after="0"/>
        <w:ind w:left="0" w:right="0" w:firstLine="84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Agreement to be executed by its duly authorized officer and the Executive has executed this Agreement as of the date(s) set forth below to be effective as of the Effective Date.</w:t>
      </w:r>
    </w:p>
    <w:p>
      <w:pPr>
        <w:pStyle w:val="TextBody"/>
        <w:bidi w:val="0"/>
        <w:spacing w:before="0" w:after="0"/>
        <w:jc w:val="left"/>
        <w:rPr/>
      </w:pPr>
      <w:r>
        <w:rPr/>
      </w:r>
    </w:p>
    <w:p>
      <w:pPr>
        <w:pStyle w:val="TextBody"/>
        <w:bidi w:val="0"/>
        <w:spacing w:lineRule="auto" w:line="268" w:before="0" w:after="0"/>
        <w:ind w:left="0" w:right="0" w:firstLine="120"/>
        <w:jc w:val="left"/>
        <w:rPr>
          <w:rFonts w:ascii="Times New Roman;serif" w:hAnsi="Times New Roman;serif"/>
          <w:b w:val="false"/>
          <w:color w:val="000000"/>
          <w:sz w:val="24"/>
        </w:rPr>
      </w:pPr>
      <w:r>
        <w:rPr>
          <w:rFonts w:ascii="Times New Roman;serif" w:hAnsi="Times New Roman;serif"/>
          <w:b w:val="false"/>
          <w:color w:val="000000"/>
          <w:sz w:val="24"/>
        </w:rPr>
        <w:t>THOMAS E. MAZUREK                DATE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u w:val="single"/>
        </w:rPr>
        <w:t>/s/ THOMAS E. MAZUREK</w:t>
      </w:r>
      <w:r>
        <w:rPr>
          <w:color w:val="000000"/>
        </w:rPr>
        <w:t>                </w:t>
      </w:r>
      <w:r>
        <w:rPr>
          <w:rFonts w:ascii="Times New Roman;serif" w:hAnsi="Times New Roman;serif"/>
          <w:b w:val="false"/>
          <w:color w:val="000000"/>
          <w:sz w:val="24"/>
          <w:u w:val="single"/>
        </w:rPr>
        <w:t>5/25/2022</w:t>
      </w:r>
    </w:p>
    <w:p>
      <w:pPr>
        <w:pStyle w:val="TextBody"/>
        <w:bidi w:val="0"/>
        <w:spacing w:before="0" w:after="0"/>
        <w:jc w:val="left"/>
        <w:rPr/>
      </w:pPr>
      <w:r>
        <w:rPr/>
      </w:r>
    </w:p>
    <w:p>
      <w:pPr>
        <w:pStyle w:val="TextBody"/>
        <w:bidi w:val="0"/>
        <w:spacing w:lineRule="auto" w:line="268" w:before="0" w:after="0"/>
        <w:ind w:left="0" w:right="0" w:firstLine="120"/>
        <w:jc w:val="left"/>
        <w:rPr>
          <w:rFonts w:ascii="Times New Roman;serif" w:hAnsi="Times New Roman;serif"/>
          <w:b w:val="false"/>
          <w:color w:val="000000"/>
          <w:sz w:val="24"/>
        </w:rPr>
      </w:pPr>
      <w:r>
        <w:rPr>
          <w:rFonts w:ascii="Times New Roman;serif" w:hAnsi="Times New Roman;serif"/>
          <w:b w:val="false"/>
          <w:color w:val="000000"/>
          <w:sz w:val="24"/>
        </w:rPr>
        <w:t>BATH &amp; BODY WORKS, INC.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15975"/>
                <wp:effectExtent l="0" t="0" r="0" b="0"/>
                <wp:wrapNone/>
                <wp:docPr id="91" name="Frame9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11" w:before="0" w:after="0"/>
        <w:ind w:left="0" w:right="0" w:firstLine="1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SARAH E. NASH</w:t>
      </w:r>
      <w:r>
        <w:rPr>
          <w:color w:val="000000"/>
        </w:rPr>
        <w:t>                </w:t>
      </w:r>
      <w:r>
        <w:rPr>
          <w:rFonts w:ascii="Times New Roman;serif" w:hAnsi="Times New Roman;serif"/>
          <w:b w:val="false"/>
          <w:color w:val="000000"/>
          <w:sz w:val="24"/>
          <w:u w:val="single"/>
        </w:rPr>
        <w:t>5/25/2022</w:t>
      </w:r>
    </w:p>
    <w:p>
      <w:pPr>
        <w:pStyle w:val="TextBody"/>
        <w:bidi w:val="0"/>
        <w:spacing w:lineRule="auto" w:line="288" w:before="0" w:after="0"/>
        <w:ind w:left="0" w:right="0" w:firstLine="120"/>
        <w:jc w:val="left"/>
        <w:rPr>
          <w:rFonts w:ascii="Times New Roman;serif" w:hAnsi="Times New Roman;serif"/>
          <w:b w:val="false"/>
          <w:color w:val="000000"/>
          <w:sz w:val="24"/>
        </w:rPr>
      </w:pPr>
      <w:r>
        <w:rPr>
          <w:rFonts w:ascii="Times New Roman;serif" w:hAnsi="Times New Roman;serif"/>
          <w:b w:val="false"/>
          <w:color w:val="000000"/>
          <w:sz w:val="24"/>
        </w:rPr>
        <w:t xml:space="preserve">Title: Executive Chair and Interim </w:t>
      </w:r>
    </w:p>
    <w:p>
      <w:pPr>
        <w:pStyle w:val="TextBody"/>
        <w:bidi w:val="0"/>
        <w:spacing w:lineRule="auto" w:line="288" w:before="0" w:after="0"/>
        <w:ind w:left="0" w:right="0" w:firstLine="12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Executive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10.24</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15975"/>
                <wp:effectExtent l="0" t="0" r="0" b="0"/>
                <wp:wrapNone/>
                <wp:docPr id="92" name="Frame9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216" w:after="283"/>
        <w:ind w:left="0" w:right="0" w:hanging="323"/>
        <w:jc w:val="left"/>
        <w:rPr/>
      </w:pPr>
      <w:r>
        <w:rPr>
          <w:rFonts w:ascii="Times New Roman;serif" w:hAnsi="Times New Roman;serif"/>
          <w:b/>
          <w:color w:val="000000"/>
          <w:sz w:val="24"/>
          <w:u w:val="single"/>
        </w:rPr>
        <w:t>CONFIDENTIALITY, NON-COMPETITION AND</w:t>
      </w:r>
      <w:r>
        <w:rPr>
          <w:color w:val="000000"/>
        </w:rPr>
        <w:t xml:space="preserve"> </w:t>
      </w:r>
      <w:r>
        <w:rPr>
          <w:rFonts w:ascii="Times New Roman;serif" w:hAnsi="Times New Roman;serif"/>
          <w:b/>
          <w:color w:val="000000"/>
          <w:sz w:val="24"/>
          <w:u w:val="single"/>
        </w:rPr>
        <w:t>INTELLECTUAL PROPERTY AGREEMENT</w:t>
      </w:r>
    </w:p>
    <w:p>
      <w:pPr>
        <w:pStyle w:val="TextBody"/>
        <w:bidi w:val="0"/>
        <w:spacing w:before="9" w:after="283"/>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an executive associate of a subsidiary of Limited Brands or one of it's affiliates (collectively, the "Company"), I have access to or may develop trade secrets, intellectual property, and other confidential or proprietary information ("Confidential Information") of the Company.</w:t>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THEREFORE, in consideration of both my employment with the Company and my right to receive options to acquire 1,175 shares of the common stock of Limited Brands pursuant to the terms of the Stock Option Plan as amended, and in recognition of the highly competitive nature of the business conduct by the Company, I agree as follows: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I will at all times during and after my employment with the Company faithfully hold the Company's Confidential Information in the strictest confidence, and I will use my best efforts and highest diligence to guard against its disclosure to anyone other than as required in the performance of my duties to the Company. I will not use Confidential Information for my personal benefit or for the benefit of any competitor or other person. I understand that Confidential Information includes all information and materials relating to Intellectual Property, as defined below, the Company's trade secrets and all information relating to the Company that the Company has not made available to the public. By way of example, Confidential Information includes information about the Company's products, designs, processes, advertising, marketing, promotional plans, technical procedures, strategies, financial information, and many other types of information and materials. Upon termination of my employment with the Company, regardless of the reason for such termination, I will return to the Company all documents and other materials of any kind that contain Confidential Information.</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4"/>
        </w:rPr>
        <w:t>If I leave the Company for any reason whatsoever, then for a period of twelve (12) months after my separation from the Company, I will not directly or indirectly solicit, induce or attempt to influence any associate to leave the employment of the Company, nor will I in any way assist anyone else in doing so.</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4"/>
        </w:rPr>
        <w:t>I understand that my employment with the Company is and at all times shall be "at will," which means that either the Company or I may terminate my employment at any time, for any reason or for no reason. However, if my employment with the Company is terminated by the Company for reasons other than for cause as defined below, I understand that the Company will continue to pay me my base salary for a period of twenty-six (26) weeks (paid in accordance with the Company's normal payroll practices), minus the deductions required by law and subject to a deduction for any salary or compensation that I earn from other employment or self-employment during the time period in question, regardless of when such amount is payable. cause for termination of my employment shall exist in the event I: (1) willfully fail to perform my duties with the Company (other than a failure resulting from my incapacity due to physical or mental illness); or (2) plead "guilty" or "no contest" to or am convicted of an act which is defined as a felony under federal or state law; or (3) engage in willful misconduct in bad faith which could reasonably be expected to materially harm the Company's business or its reputation.</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4"/>
        </w:rPr>
        <w:t>If I decide to resign my employment with the Company, I will provide the Company with thirty (30) days prior written notice.</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4"/>
        </w:rPr>
        <w:t>If I resign my employment or if my employment is terminated by the Company for cause, I will not, for a period of six (6) months after my separation from the Company, directly or indirectly, work for or contribute to the efforts of any business organization that competes, or plans to compete, with the Company or its products.</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4"/>
        </w:rPr>
        <w:t xml:space="preserve">I agree that all inventions, designs and ideas conceived, produced, created, or reduced to practice, either solely or jointly with others, during my employment with the Company,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10.24</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15975"/>
                <wp:effectExtent l="0" t="0" r="0" b="0"/>
                <wp:wrapNone/>
                <wp:docPr id="93" name="Frame9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including those developed on my own time, which relate to or are useful in the Company's business ("Intellectual Property") shall be owned solely by the Company. I understand that whether in preliminary or final form, such Intellectual Property includes, for example, all ideas, inventions, discoveries, designs, innovations, improvements, trade secrets, and other intellectual property. All Intellectual Property is either work made for hire for the Company within the meaning of the U. 5. Copyright Act, or, if such Intellectual Property is determined not to be work made for hire, then I irrevocably assign all right, title and interest in and to the Intellectual Property to the Company, including all copyrights, patents, and/or trademarks. I will, without any additional consideration, execute all documents and take all other actions needed to convey my complete ownership of the Intellectual Property to the Company so that the Company may own and protect such Intellectual Property and obtain patent, copyright and trademark registrations for it. I agree that the Company may alter or modify the Intellectual Property at the Company's sole discretion, and I waive all right to claim or disclaim authorship. I represent and warrant that any Intellectual Property that I assign to the Company, except as otherwise disclosed in writing at the time of assignment, will be my sole, exclusive, original work. I have not previously invented any Intellectual Property or I have advised the Company in writing of any prior inventions or ideas.</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4"/>
          <w:u w:val="single"/>
        </w:rPr>
        <w:t>Compensation Upon Certain Terminations During the 24-Month Period Following a Change in Control as Defined in the Company's Stock Option Plan as Amended</w: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If the Executive's employment is terminated by the Company other than for "Cause" (as defined below) during the 24 month-consecutive month period immediately following a Change in Control, the Company's sole obligations hereunder subject to the Executive's execution of a General Release, shall be as follows:</w:t>
      </w:r>
    </w:p>
    <w:p>
      <w:pPr>
        <w:pStyle w:val="TextBody"/>
        <w:bidi w:val="0"/>
        <w:spacing w:before="0" w:after="0"/>
        <w:ind w:left="0" w:right="0" w:firstLine="1800"/>
        <w:jc w:val="both"/>
        <w:rPr/>
      </w:pPr>
      <w:r>
        <w:rPr/>
      </w:r>
    </w:p>
    <w:p>
      <w:pPr>
        <w:pStyle w:val="TextBody"/>
        <w:bidi w:val="0"/>
        <w:spacing w:lineRule="auto" w:line="240" w:before="0" w:after="0"/>
        <w:ind w:left="0" w:right="0" w:firstLine="2313"/>
        <w:jc w:val="both"/>
        <w:rPr/>
      </w:pPr>
      <w:r>
        <w:rPr>
          <w:rFonts w:ascii="Times New Roman;serif" w:hAnsi="Times New Roman;serif"/>
          <w:b w:val="false"/>
          <w:color w:val="000000"/>
          <w:sz w:val="22"/>
        </w:rPr>
        <w:t>(i)</w:t>
      </w:r>
      <w:r>
        <w:rPr>
          <w:rFonts w:ascii="Times New Roman;serif" w:hAnsi="Times New Roman;serif"/>
          <w:b w:val="false"/>
          <w:color w:val="000000"/>
          <w:sz w:val="24"/>
        </w:rPr>
        <w:t>the Company shall pay the Executive the any amounts earned but not paid as of the termination date such as base salary, reimbursement for expenses incurred prior to the termination date and any earned compensation which the Executive had previously deferred (including any interest credited thereon);</w:t>
      </w:r>
    </w:p>
    <w:p>
      <w:pPr>
        <w:pStyle w:val="TextBody"/>
        <w:bidi w:val="0"/>
        <w:spacing w:before="0" w:after="0"/>
        <w:ind w:left="0" w:right="0" w:firstLine="2880"/>
        <w:jc w:val="both"/>
        <w:rPr/>
      </w:pPr>
      <w:r>
        <w:rPr/>
      </w:r>
    </w:p>
    <w:p>
      <w:pPr>
        <w:pStyle w:val="TextBody"/>
        <w:bidi w:val="0"/>
        <w:spacing w:lineRule="auto" w:line="240" w:before="0" w:after="0"/>
        <w:ind w:left="0" w:right="0" w:firstLine="2252"/>
        <w:jc w:val="both"/>
        <w:rPr/>
      </w:pPr>
      <w:r>
        <w:rPr>
          <w:rFonts w:ascii="Times New Roman;serif" w:hAnsi="Times New Roman;serif"/>
          <w:b w:val="false"/>
          <w:color w:val="000000"/>
          <w:sz w:val="22"/>
        </w:rPr>
        <w:t>(ii)</w:t>
      </w:r>
      <w:r>
        <w:rPr>
          <w:rFonts w:ascii="Times New Roman;serif" w:hAnsi="Times New Roman;serif"/>
          <w:b w:val="false"/>
          <w:color w:val="000000"/>
          <w:sz w:val="24"/>
        </w:rPr>
        <w:t>the Company shall pay the Executive a lump sum payment in cash no later than ten business days after the termination date an amount equal to Executive's annual base salary;</w:t>
      </w:r>
    </w:p>
    <w:p>
      <w:pPr>
        <w:pStyle w:val="TextBody"/>
        <w:bidi w:val="0"/>
        <w:spacing w:before="0" w:after="0"/>
        <w:ind w:left="0" w:right="0" w:firstLine="2880"/>
        <w:jc w:val="both"/>
        <w:rPr/>
      </w:pPr>
      <w:r>
        <w:rPr/>
      </w:r>
    </w:p>
    <w:p>
      <w:pPr>
        <w:pStyle w:val="TextBody"/>
        <w:bidi w:val="0"/>
        <w:spacing w:lineRule="auto" w:line="240" w:before="0" w:after="0"/>
        <w:ind w:left="0" w:right="0" w:firstLine="2191"/>
        <w:jc w:val="both"/>
        <w:rPr/>
      </w:pPr>
      <w:r>
        <w:rPr>
          <w:rFonts w:ascii="Times New Roman;serif" w:hAnsi="Times New Roman;serif"/>
          <w:b w:val="false"/>
          <w:color w:val="000000"/>
          <w:sz w:val="22"/>
        </w:rPr>
        <w:t>(iii)</w:t>
      </w:r>
      <w:r>
        <w:rPr>
          <w:rFonts w:ascii="Times New Roman;serif" w:hAnsi="Times New Roman;serif"/>
          <w:b w:val="false"/>
          <w:color w:val="000000"/>
          <w:sz w:val="24"/>
        </w:rPr>
        <w:t>the Company shall pay the Executive a lump sum payment in cash no later than ten (10) business days after the date of termination an amount equal to the sum of the last two (2) bonus payments the Executive received under the Company's incentive compensation plan: and</w:t>
      </w:r>
    </w:p>
    <w:p>
      <w:pPr>
        <w:pStyle w:val="TextBody"/>
        <w:bidi w:val="0"/>
        <w:spacing w:before="0" w:after="0"/>
        <w:ind w:left="0" w:right="0" w:firstLine="2880"/>
        <w:jc w:val="both"/>
        <w:rPr/>
      </w:pPr>
      <w:r>
        <w:rPr/>
      </w:r>
    </w:p>
    <w:p>
      <w:pPr>
        <w:pStyle w:val="TextBody"/>
        <w:bidi w:val="0"/>
        <w:spacing w:lineRule="auto" w:line="240" w:before="0" w:after="0"/>
        <w:ind w:left="0" w:right="0" w:firstLine="2203"/>
        <w:jc w:val="both"/>
        <w:rPr/>
      </w:pPr>
      <w:r>
        <w:rPr>
          <w:rFonts w:ascii="Times New Roman;serif" w:hAnsi="Times New Roman;serif"/>
          <w:b w:val="false"/>
          <w:color w:val="000000"/>
          <w:sz w:val="22"/>
        </w:rPr>
        <w:t>(iv)</w:t>
      </w:r>
      <w:r>
        <w:rPr>
          <w:rFonts w:ascii="Times New Roman;serif" w:hAnsi="Times New Roman;serif"/>
          <w:b w:val="false"/>
          <w:color w:val="000000"/>
          <w:sz w:val="24"/>
        </w:rPr>
        <w:t xml:space="preserve">the Company shall provide the Executive and Executive's beneficiaries medical and dental benefits substantially similar to those which the Executive was receiving immediately prior to the date of termination for a period of twelve (12) months after the termination date: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that the Company's obligation with respect to the foregoing medical and dental benefits shall cease in the event Executive becomes employed.</w:t>
      </w:r>
    </w:p>
    <w:p>
      <w:pPr>
        <w:pStyle w:val="TextBody"/>
        <w:bidi w:val="0"/>
        <w:spacing w:before="0" w:after="0"/>
        <w:ind w:left="0" w:right="0" w:firstLine="2880"/>
        <w:jc w:val="both"/>
        <w:rPr/>
      </w:pPr>
      <w:r>
        <w:rPr/>
      </w:r>
    </w:p>
    <w:p>
      <w:pPr>
        <w:pStyle w:val="TextBody"/>
        <w:bidi w:val="0"/>
        <w:spacing w:lineRule="auto" w:line="240" w:before="0" w:after="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Except as provided in Section 7(a)(iv) hereof, the Executive shall not be required to mitigate the amount of any payment provided for in this Section 7 by seeking other employment or otherwise, nor shall the amount of any payment or benefit provided for in this Section 7 be reduced by an compensation earned by the Executive as the result of employment by another employer, by retirement benefits, by offset against any amount claimed to be owed by the Executive to the Company, or otherwise.</w:t>
      </w:r>
    </w:p>
    <w:p>
      <w:pPr>
        <w:pStyle w:val="TextBody"/>
        <w:bidi w:val="0"/>
        <w:spacing w:before="0" w:after="0"/>
        <w:ind w:left="0" w:right="0" w:firstLine="1800"/>
        <w:jc w:val="left"/>
        <w:rPr/>
      </w:pPr>
      <w:r>
        <w:rPr/>
      </w:r>
    </w:p>
    <w:p>
      <w:pPr>
        <w:pStyle w:val="TextBody"/>
        <w:bidi w:val="0"/>
        <w:spacing w:lineRule="auto" w:line="240" w:before="0" w:after="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4"/>
        </w:rPr>
        <w:t xml:space="preserve">For purposes of this Agreement, "Cause" shall mean that the Executive (1) willfully failed to perform his duties with the Company (other than a failure resulting from the Executive's incapacity due to physical or mental illness); or (2) has plead "guilty" or "no contest" to or has been convicted of an act which is defined as a felony under federal or state law; or (3) </w:t>
      </w: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10.24</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15975"/>
                <wp:effectExtent l="0" t="0" r="0" b="0"/>
                <wp:wrapNone/>
                <wp:docPr id="94" name="Frame9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engaged in willful misconduct in bad faith which could reasonably be expected to materially harm the Company's business or its reputation.</w:t>
      </w:r>
    </w:p>
    <w:p>
      <w:pPr>
        <w:pStyle w:val="TextBody"/>
        <w:bidi w:val="0"/>
        <w:spacing w:before="0" w:after="0"/>
        <w:ind w:left="0" w:right="0" w:firstLine="1800"/>
        <w:jc w:val="left"/>
        <w:rPr/>
      </w:pPr>
      <w:r>
        <w:rPr/>
      </w:r>
    </w:p>
    <w:p>
      <w:pPr>
        <w:pStyle w:val="TextBody"/>
        <w:bidi w:val="0"/>
        <w:spacing w:lineRule="auto" w:line="240" w:before="0" w:after="0"/>
        <w:ind w:left="0" w:right="0" w:firstLine="1440"/>
        <w:jc w:val="left"/>
        <w:rPr/>
      </w:pPr>
      <w:r>
        <w:rPr>
          <w:rFonts w:ascii="Times New Roman;serif" w:hAnsi="Times New Roman;serif"/>
          <w:b w:val="false"/>
          <w:color w:val="000000"/>
          <w:sz w:val="22"/>
        </w:rPr>
        <w:t>8.</w:t>
      </w:r>
      <w:r>
        <w:rPr>
          <w:rFonts w:ascii="Times New Roman;serif" w:hAnsi="Times New Roman;serif"/>
          <w:b w:val="false"/>
          <w:color w:val="000000"/>
          <w:sz w:val="24"/>
        </w:rPr>
        <w:t>This Agreement cannot be changed in any way unless the Company agrees in writing and this Agreement will be governed by and interpreted in accordance with Ohio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840"/>
        <w:jc w:val="both"/>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Date: July 19, 2006            </w:t>
      </w:r>
      <w:r>
        <w:rPr>
          <w:rFonts w:ascii="Times New Roman;serif" w:hAnsi="Times New Roman;serif"/>
          <w:b w:val="false"/>
          <w:color w:val="000000"/>
          <w:sz w:val="24"/>
          <w:u w:val="single"/>
        </w:rPr>
        <w:t>Thomas E. Mazurek</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Printed Name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Date: July 20, 2006            </w:t>
      </w:r>
      <w:r>
        <w:rPr>
          <w:rFonts w:ascii="Times New Roman;serif" w:hAnsi="Times New Roman;serif"/>
          <w:b w:val="false"/>
          <w:color w:val="000000"/>
          <w:sz w:val="24"/>
          <w:u w:val="single"/>
        </w:rPr>
        <w:t>/s/ THOMAS E. MAZUREK</w:t>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10.37</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15975"/>
                <wp:effectExtent l="0" t="0" r="0" b="0"/>
                <wp:wrapNone/>
                <wp:docPr id="95" name="Frame9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BATH &amp; BODY WORKS, INC.</w:t>
        <w:br/>
        <w:t>ANNUAL INCENTIVE PLAN</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Adopted as of February 23, 2026</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w:t>
      </w:r>
      <w:r>
        <w:rPr>
          <w:rFonts w:ascii="Times New Roman;serif" w:hAnsi="Times New Roman;serif"/>
          <w:b w:val="false"/>
          <w:i/>
          <w:color w:val="000000"/>
          <w:sz w:val="24"/>
        </w:rPr>
        <w:t>Purpose</w:t>
      </w:r>
      <w:r>
        <w:rPr>
          <w:rFonts w:ascii="Times New Roman;serif" w:hAnsi="Times New Roman;serif"/>
          <w:b w:val="false"/>
          <w:color w:val="000000"/>
          <w:sz w:val="24"/>
        </w:rPr>
        <w:t>. The purpose of the Bath &amp; Body Works, Inc. Annual Incentive Plan (as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is to provide certain associates of Bath &amp; Body Works, Inc. (together with any successor thereto,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xml:space="preserve">) and its Subsidiaries (as defined below) short-term incentive compensation in order to enhance the Company’s ability to attract and retain highly qualified executive and managerial-level associates and to provide additional financial incentives to such associates to promote the success of the Company and its Subsidiaries.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2.</w:t>
      </w:r>
      <w:r>
        <w:rPr>
          <w:rFonts w:ascii="Times New Roman;serif" w:hAnsi="Times New Roman;serif"/>
          <w:b w:val="false"/>
          <w:i/>
          <w:color w:val="000000"/>
          <w:sz w:val="24"/>
        </w:rPr>
        <w:t>Definitions</w:t>
      </w:r>
      <w:r>
        <w:rPr>
          <w:rFonts w:ascii="Times New Roman;serif" w:hAnsi="Times New Roman;serif"/>
          <w:b w:val="false"/>
          <w:color w:val="000000"/>
          <w:sz w:val="24"/>
        </w:rPr>
        <w:t>. As used in the Plan, the following terms shall have the meanings set forth below:</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Award</w:t>
      </w:r>
      <w:r>
        <w:rPr>
          <w:color w:val="000000"/>
        </w:rPr>
        <w:t xml:space="preserve">” </w:t>
      </w:r>
      <w:r>
        <w:rPr>
          <w:rFonts w:ascii="Times New Roman;serif" w:hAnsi="Times New Roman;serif"/>
          <w:b w:val="false"/>
          <w:color w:val="000000"/>
          <w:sz w:val="24"/>
        </w:rPr>
        <w:t>means a Short-Term Incentive Compensation (as defined below) award opportunity granted to a Participant under the Plan with respect to a Performance Period in accordance with Section 5 of the Plan.</w:t>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Beneficiary</w:t>
      </w:r>
      <w:r>
        <w:rPr>
          <w:color w:val="000000"/>
        </w:rPr>
        <w:t xml:space="preserve">” </w:t>
      </w:r>
      <w:r>
        <w:rPr>
          <w:rFonts w:ascii="Times New Roman;serif" w:hAnsi="Times New Roman;serif"/>
          <w:b w:val="false"/>
          <w:color w:val="000000"/>
          <w:sz w:val="24"/>
        </w:rPr>
        <w:t>means a Person entitled to receive payments or other benefits or exercise rights that are available under the Plan in the event of the Participant’s death. If no such Person can be named or is named by the Participant, or if no Beneficiary designated by such Participant is eligible to receive payments or other benefits or exercise rights that are available under the Plan at the Participant’s death, such Participant’s Beneficiary shall be such Participant’s estate.</w:t>
      </w:r>
    </w:p>
    <w:p>
      <w:pPr>
        <w:pStyle w:val="TextBody"/>
        <w:bidi w:val="0"/>
        <w:spacing w:lineRule="auto" w:line="240" w:before="0" w:after="240"/>
        <w:ind w:left="0" w:right="0" w:firstLine="936"/>
        <w:jc w:val="left"/>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936"/>
        <w:jc w:val="left"/>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 xml:space="preserve">means that the Participant (1) was grossly negligent in the performance of the Participant’s duties with the Company (other than a failure resulting from the Participant’s incapacity due to physical or mental illness); (2) has plead “guilty” or “no contest” to or has been convicted of an act which is defined as a felony under federal or state law; or (3) engaged in misconduct in bad faith which could reasonably be expected to materially harm the Company’s business or its reputation;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Participant is covered by a Recoupment Policy, the term “Cause” shall have the meaning set forth in such Recoupment Policy.</w:t>
      </w:r>
    </w:p>
    <w:p>
      <w:pPr>
        <w:pStyle w:val="TextBody"/>
        <w:bidi w:val="0"/>
        <w:spacing w:lineRule="auto" w:line="240" w:before="0" w:after="240"/>
        <w:ind w:left="0" w:right="0" w:firstLine="936"/>
        <w:jc w:val="left"/>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has the meaning set forth in the SOPIP.</w:t>
      </w:r>
    </w:p>
    <w:p>
      <w:pPr>
        <w:pStyle w:val="TextBody"/>
        <w:bidi w:val="0"/>
        <w:spacing w:lineRule="auto" w:line="240" w:before="0" w:after="240"/>
        <w:ind w:left="0" w:right="0" w:firstLine="936"/>
        <w:jc w:val="left"/>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 from time to time, and the rules, regulations and guidance thereunder. Any reference to a provision in the Code shall include any successor provision thereto.</w:t>
      </w:r>
    </w:p>
    <w:p>
      <w:pPr>
        <w:pStyle w:val="TextBody"/>
        <w:bidi w:val="0"/>
        <w:spacing w:lineRule="auto" w:line="240" w:before="0" w:after="240"/>
        <w:ind w:left="0" w:right="0" w:firstLine="936"/>
        <w:jc w:val="left"/>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Committee</w:t>
      </w:r>
      <w:r>
        <w:rPr>
          <w:color w:val="000000"/>
        </w:rPr>
        <w:t xml:space="preserve">” </w:t>
      </w:r>
      <w:r>
        <w:rPr>
          <w:rFonts w:ascii="Times New Roman;serif" w:hAnsi="Times New Roman;serif"/>
          <w:b w:val="false"/>
          <w:color w:val="000000"/>
          <w:sz w:val="24"/>
        </w:rPr>
        <w:t xml:space="preserve">means the Human Capital &amp; Compensation Committee of the Board or such other committee or subcommittee appointed by the Board to administer the Plan. </w:t>
      </w:r>
    </w:p>
    <w:p>
      <w:pPr>
        <w:pStyle w:val="TextBody"/>
        <w:bidi w:val="0"/>
        <w:spacing w:lineRule="auto" w:line="240" w:before="0" w:after="240"/>
        <w:ind w:left="0" w:right="0" w:firstLine="936"/>
        <w:jc w:val="left"/>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 xml:space="preserve">means the Securities Exchange Act of 1934, as amended. </w:t>
      </w:r>
    </w:p>
    <w:p>
      <w:pPr>
        <w:pStyle w:val="TextBody"/>
        <w:bidi w:val="0"/>
        <w:spacing w:lineRule="auto" w:line="240" w:before="0" w:after="240"/>
        <w:ind w:left="0" w:right="0" w:firstLine="936"/>
        <w:jc w:val="left"/>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Executives</w:t>
      </w:r>
      <w:r>
        <w:rPr>
          <w:color w:val="000000"/>
        </w:rPr>
        <w:t xml:space="preserve">” </w:t>
      </w:r>
      <w:r>
        <w:rPr>
          <w:rFonts w:ascii="Times New Roman;serif" w:hAnsi="Times New Roman;serif"/>
          <w:b w:val="false"/>
          <w:color w:val="000000"/>
          <w:sz w:val="24"/>
        </w:rPr>
        <w:t xml:space="preserve">means, collectively, each (i) “officer” of the Company (as defined under Rule 16a-1(f) under the Exchange Act) and (ii) other members of senior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management as designated by the Board or the Committee from time to time to be an “Executive”. </w:t>
      </w:r>
    </w:p>
    <w:p>
      <w:pPr>
        <w:pStyle w:val="TextBody"/>
        <w:bidi w:val="0"/>
        <w:spacing w:lineRule="auto" w:line="240" w:before="0" w:after="240"/>
        <w:ind w:left="0" w:right="0" w:firstLine="936"/>
        <w:jc w:val="left"/>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Final Award</w:t>
      </w:r>
      <w:r>
        <w:rPr>
          <w:color w:val="000000"/>
        </w:rPr>
        <w:t xml:space="preserve">” </w:t>
      </w:r>
      <w:r>
        <w:rPr>
          <w:rFonts w:ascii="Times New Roman;serif" w:hAnsi="Times New Roman;serif"/>
          <w:b w:val="false"/>
          <w:color w:val="000000"/>
          <w:sz w:val="24"/>
        </w:rPr>
        <w:t>means, with respect to a Performance Period, the amount of an Award that will become payable to a Participant, subject to any additional terms and conditions applicable to the Award, as determined by the Committee under Section 7 of the Plan.</w:t>
      </w:r>
    </w:p>
    <w:p>
      <w:pPr>
        <w:pStyle w:val="TextBody"/>
        <w:bidi w:val="0"/>
        <w:spacing w:lineRule="auto" w:line="240" w:before="0" w:after="240"/>
        <w:ind w:left="0" w:right="0" w:firstLine="936"/>
        <w:jc w:val="left"/>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Short-Term</w:t>
      </w:r>
      <w:r>
        <w:rPr>
          <w:color w:val="000000"/>
        </w:rPr>
        <w:t xml:space="preserve"> </w:t>
      </w:r>
      <w:r>
        <w:rPr>
          <w:rFonts w:ascii="Times New Roman;serif" w:hAnsi="Times New Roman;serif"/>
          <w:b/>
          <w:color w:val="000000"/>
          <w:sz w:val="24"/>
        </w:rPr>
        <w:t>Incentive Compensation</w:t>
      </w:r>
      <w:r>
        <w:rPr>
          <w:color w:val="000000"/>
        </w:rPr>
        <w:t xml:space="preserve">” </w:t>
      </w:r>
      <w:r>
        <w:rPr>
          <w:rFonts w:ascii="Times New Roman;serif" w:hAnsi="Times New Roman;serif"/>
          <w:b w:val="false"/>
          <w:color w:val="000000"/>
          <w:sz w:val="24"/>
        </w:rPr>
        <w:t>means, for each Participant, compensation to be paid in the amount determined by the Committee pursuant to Section 7 and Section 8 of the Plan.</w:t>
      </w:r>
    </w:p>
    <w:p>
      <w:pPr>
        <w:pStyle w:val="TextBody"/>
        <w:bidi w:val="0"/>
        <w:spacing w:lineRule="auto" w:line="240" w:before="0" w:after="240"/>
        <w:ind w:left="0" w:right="0" w:firstLine="936"/>
        <w:jc w:val="left"/>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Participant</w:t>
      </w:r>
      <w:r>
        <w:rPr>
          <w:color w:val="000000"/>
        </w:rPr>
        <w:t xml:space="preserve">” </w:t>
      </w:r>
      <w:r>
        <w:rPr>
          <w:rFonts w:ascii="Times New Roman;serif" w:hAnsi="Times New Roman;serif"/>
          <w:b w:val="false"/>
          <w:color w:val="000000"/>
          <w:sz w:val="24"/>
        </w:rPr>
        <w:t>means, with respect to any fiscal year, an associate of the Company or any of its Subsidiaries who is eligible to participate in the Plan for such fiscal year in accordance with Section 4 of the Plan.</w:t>
      </w:r>
    </w:p>
    <w:p>
      <w:pPr>
        <w:pStyle w:val="TextBody"/>
        <w:bidi w:val="0"/>
        <w:spacing w:lineRule="auto" w:line="240" w:before="0" w:after="240"/>
        <w:ind w:left="0" w:right="0" w:firstLine="936"/>
        <w:jc w:val="left"/>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Performance Goals</w:t>
      </w:r>
      <w:r>
        <w:rPr>
          <w:color w:val="000000"/>
        </w:rPr>
        <w:t xml:space="preserve">” </w:t>
      </w:r>
      <w:r>
        <w:rPr>
          <w:rFonts w:ascii="Times New Roman;serif" w:hAnsi="Times New Roman;serif"/>
          <w:b w:val="false"/>
          <w:color w:val="000000"/>
          <w:sz w:val="24"/>
        </w:rPr>
        <w:t>means any one or more performance goals (including, without limitation, any financial, operational, strategic or individual measures and/or key performance indicators), as determined by the Committee in its sole discretion. Performance Goals may be measured on an absolute (e.g., plan or budget) or relative basis, may be established on a corporate-wide basis or with respect to one or more business units, divisions, Subsidiaries or business or product segments, may be based on a ratio or separate calculation of any performance criteria and may be made relative to an index, one or more of the performance goals themselves, a previous period’s results or to a designated comparison group.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performance objectives or the related minimum acceptable level of achievement, in whole or in part, as the Committee deems appropriate and equitable. Performance Goals may vary from Award to Award and from Participant to Participant, and may be established on a stand-alone basis, in tandem or in the alternative. Unless otherwise determined by the Committee, Performance Goals for a Performance Period shall include a minimum performance standard below which no payments of Short-Term Incentive Compensation will be made, and a maximum performance standard in which any performance that exceeds this standard will not increase the payment of Short-Term Incentive Compensation.</w:t>
      </w:r>
    </w:p>
    <w:p>
      <w:pPr>
        <w:pStyle w:val="TextBody"/>
        <w:bidi w:val="0"/>
        <w:spacing w:lineRule="auto" w:line="240" w:before="0" w:after="240"/>
        <w:ind w:left="0" w:right="0" w:firstLine="936"/>
        <w:jc w:val="left"/>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Performance Period</w:t>
      </w:r>
      <w:r>
        <w:rPr>
          <w:color w:val="000000"/>
        </w:rPr>
        <w:t xml:space="preserve">” </w:t>
      </w:r>
      <w:r>
        <w:rPr>
          <w:rFonts w:ascii="Times New Roman;serif" w:hAnsi="Times New Roman;serif"/>
          <w:b w:val="false"/>
          <w:color w:val="000000"/>
          <w:sz w:val="24"/>
        </w:rPr>
        <w:t xml:space="preserve">means the fiscal year of the Company or (ii) any other period of time established by the Committee pursuant to Section 5 of the Plan within which the Performance Goals relating to any Award are to be achieved. Any Performance Period may be subject to earlier lapse or other modification pursuant to Section 18 of the Plan in the event of termination of employment without Cause, death or Total Disability of the Participant, Retirement or a Change in Control or as otherwise determined by the Committee. </w:t>
      </w:r>
    </w:p>
    <w:p>
      <w:pPr>
        <w:pStyle w:val="TextBody"/>
        <w:bidi w:val="0"/>
        <w:spacing w:lineRule="auto" w:line="240" w:before="0" w:after="240"/>
        <w:ind w:left="0" w:right="0" w:firstLine="936"/>
        <w:jc w:val="left"/>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 xml:space="preserve">has the meaning ascribed to such term in Section 3(a)(9) of the Exchange Act and used in Sections 13(d) and 14(d) thereof, including a “group” as defined in Section 13(d) thereof. </w:t>
      </w:r>
    </w:p>
    <w:p>
      <w:pPr>
        <w:pStyle w:val="TextBody"/>
        <w:bidi w:val="0"/>
        <w:spacing w:lineRule="auto" w:line="240" w:before="0" w:after="240"/>
        <w:ind w:left="0" w:right="0" w:firstLine="936"/>
        <w:jc w:val="left"/>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Recoupment Policies</w:t>
      </w:r>
      <w:r>
        <w:rPr>
          <w:color w:val="000000"/>
        </w:rPr>
        <w:t xml:space="preserve">” </w:t>
      </w:r>
      <w:r>
        <w:rPr>
          <w:rFonts w:ascii="Times New Roman;serif" w:hAnsi="Times New Roman;serif"/>
          <w:b w:val="false"/>
          <w:color w:val="000000"/>
          <w:sz w:val="24"/>
        </w:rPr>
        <w:t xml:space="preserve">means, collectively, (i) the Bath &amp; Body Works, Inc. Supplemental Compensation Recoupment Policy, (ii) the Bath &amp; Body Works, Inc.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Financial Restatement Compensation Recoupment Policy and (iii) any other compensation “clawback” or recoupment policy of the Company in effect from time to time, in each case as may be amended from time to time.</w:t>
      </w:r>
    </w:p>
    <w:p>
      <w:pPr>
        <w:pStyle w:val="TextBody"/>
        <w:bidi w:val="0"/>
        <w:spacing w:lineRule="auto" w:line="240" w:before="0" w:after="240"/>
        <w:ind w:left="0" w:right="0" w:firstLine="936"/>
        <w:jc w:val="left"/>
        <w:rPr/>
      </w:pPr>
      <w:r>
        <w:rPr>
          <w:rFonts w:ascii="Times New Roman;serif" w:hAnsi="Times New Roman;serif"/>
          <w:b w:val="false"/>
          <w:color w:val="000000"/>
          <w:sz w:val="24"/>
        </w:rPr>
        <w:t>(q)</w:t>
      </w:r>
      <w:r>
        <w:rPr>
          <w:color w:val="000000"/>
        </w:rPr>
        <w:t>“</w:t>
      </w:r>
      <w:r>
        <w:rPr>
          <w:rFonts w:ascii="Times New Roman;serif" w:hAnsi="Times New Roman;serif"/>
          <w:b/>
          <w:color w:val="000000"/>
          <w:sz w:val="24"/>
        </w:rPr>
        <w:t xml:space="preserve">Retirement” </w:t>
      </w:r>
      <w:r>
        <w:rPr>
          <w:rFonts w:ascii="Times New Roman;serif" w:hAnsi="Times New Roman;serif"/>
          <w:b w:val="false"/>
          <w:color w:val="000000"/>
          <w:sz w:val="24"/>
        </w:rPr>
        <w:t>means a Participant’s Termination of Employment following the date on which a Participant has attained age 55 and completed seven years of service with the Company.</w:t>
      </w:r>
    </w:p>
    <w:p>
      <w:pPr>
        <w:pStyle w:val="TextBody"/>
        <w:bidi w:val="0"/>
        <w:spacing w:lineRule="auto" w:line="240" w:before="0" w:after="240"/>
        <w:ind w:left="0" w:right="0" w:firstLine="936"/>
        <w:jc w:val="left"/>
        <w:rPr/>
      </w:pPr>
      <w:r>
        <w:rPr>
          <w:rFonts w:ascii="Times New Roman;serif" w:hAnsi="Times New Roman;serif"/>
          <w:b w:val="false"/>
          <w:color w:val="000000"/>
          <w:sz w:val="24"/>
        </w:rPr>
        <w:t>(r)</w:t>
      </w:r>
      <w:r>
        <w:rPr>
          <w:color w:val="000000"/>
        </w:rPr>
        <w:t>“</w:t>
      </w:r>
      <w:r>
        <w:rPr>
          <w:rFonts w:ascii="Times New Roman;serif" w:hAnsi="Times New Roman;serif"/>
          <w:b/>
          <w:color w:val="000000"/>
          <w:sz w:val="24"/>
        </w:rPr>
        <w:t>SOPIP</w:t>
      </w:r>
      <w:r>
        <w:rPr>
          <w:color w:val="000000"/>
        </w:rPr>
        <w:t xml:space="preserve">” </w:t>
      </w:r>
      <w:r>
        <w:rPr>
          <w:rFonts w:ascii="Times New Roman;serif" w:hAnsi="Times New Roman;serif"/>
          <w:b w:val="false"/>
          <w:color w:val="000000"/>
          <w:sz w:val="24"/>
        </w:rPr>
        <w:t>means the Bath &amp; Body Works, Inc. 2020 Stock Option and Performance Incentive Plan, as may be amended or amended and restated from time to time, and any successor plan thereto.</w:t>
      </w:r>
    </w:p>
    <w:p>
      <w:pPr>
        <w:pStyle w:val="TextBody"/>
        <w:bidi w:val="0"/>
        <w:spacing w:lineRule="auto" w:line="240" w:before="0" w:after="240"/>
        <w:ind w:left="0" w:right="0" w:firstLine="936"/>
        <w:jc w:val="left"/>
        <w:rPr/>
      </w:pPr>
      <w:r>
        <w:rPr>
          <w:rFonts w:ascii="Times New Roman;serif" w:hAnsi="Times New Roman;serif"/>
          <w:b w:val="false"/>
          <w:color w:val="000000"/>
          <w:sz w:val="24"/>
        </w:rPr>
        <w:t>(s)</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an entity of which the Company directly or indirectly holds all or a majority of the value of the outstanding equity interests of such entity or a majority of the voting power with respect to the voting securities of such entity.</w:t>
      </w:r>
    </w:p>
    <w:p>
      <w:pPr>
        <w:pStyle w:val="TextBody"/>
        <w:bidi w:val="0"/>
        <w:spacing w:lineRule="auto" w:line="240" w:before="0" w:after="240"/>
        <w:ind w:left="0" w:right="0" w:firstLine="936"/>
        <w:jc w:val="left"/>
        <w:rPr/>
      </w:pPr>
      <w:r>
        <w:rPr>
          <w:rFonts w:ascii="Times New Roman;serif" w:hAnsi="Times New Roman;serif"/>
          <w:b w:val="false"/>
          <w:color w:val="000000"/>
          <w:sz w:val="24"/>
        </w:rPr>
        <w:t>(t)</w:t>
      </w:r>
      <w:r>
        <w:rPr>
          <w:color w:val="000000"/>
        </w:rPr>
        <w:t>“</w:t>
      </w:r>
      <w:r>
        <w:rPr>
          <w:rFonts w:ascii="Times New Roman;serif" w:hAnsi="Times New Roman;serif"/>
          <w:b/>
          <w:color w:val="000000"/>
          <w:sz w:val="24"/>
        </w:rPr>
        <w:t>Target Award</w:t>
      </w:r>
      <w:r>
        <w:rPr>
          <w:color w:val="000000"/>
        </w:rPr>
        <w:t xml:space="preserve">” </w:t>
      </w:r>
      <w:r>
        <w:rPr>
          <w:rFonts w:ascii="Times New Roman;serif" w:hAnsi="Times New Roman;serif"/>
          <w:b w:val="false"/>
          <w:color w:val="000000"/>
          <w:sz w:val="24"/>
        </w:rPr>
        <w:t>means the amount that a Participant may earn under an Award if targeted performance levels are achieved, as determined by the Committee in accordance with the terms of the Plan. Target Awards may be denominated as a percentage of base salary or a dollar amount.</w:t>
      </w:r>
    </w:p>
    <w:p>
      <w:pPr>
        <w:pStyle w:val="TextBody"/>
        <w:bidi w:val="0"/>
        <w:spacing w:lineRule="auto" w:line="240" w:before="0" w:after="240"/>
        <w:ind w:left="0" w:right="0" w:firstLine="936"/>
        <w:jc w:val="left"/>
        <w:rPr/>
      </w:pPr>
      <w:r>
        <w:rPr>
          <w:rFonts w:ascii="Times New Roman;serif" w:hAnsi="Times New Roman;serif"/>
          <w:b w:val="false"/>
          <w:color w:val="000000"/>
          <w:sz w:val="24"/>
        </w:rPr>
        <w:t>(u)</w:t>
      </w:r>
      <w:r>
        <w:rPr>
          <w:color w:val="000000"/>
        </w:rPr>
        <w:t>“</w:t>
      </w:r>
      <w:r>
        <w:rPr>
          <w:rFonts w:ascii="Times New Roman;serif" w:hAnsi="Times New Roman;serif"/>
          <w:b/>
          <w:color w:val="000000"/>
          <w:sz w:val="24"/>
        </w:rPr>
        <w:t>Termination of Employment</w:t>
      </w:r>
      <w:r>
        <w:rPr>
          <w:color w:val="000000"/>
        </w:rPr>
        <w:t xml:space="preserve">” </w:t>
      </w:r>
      <w:r>
        <w:rPr>
          <w:rFonts w:ascii="Times New Roman;serif" w:hAnsi="Times New Roman;serif"/>
          <w:b w:val="false"/>
          <w:color w:val="000000"/>
          <w:sz w:val="24"/>
        </w:rPr>
        <w:t xml:space="preserve">means cessation of the employment relationship such that the Participant is no longer employed by the Company or any Subsidiary;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transfer of employment from the Company to a Subsidiary, from a Subsidiary to the Company or from one Subsidiary to another Subsidiary shall not be deemed a cessation of service that would constitute a Termination of Employment;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unless otherwise determined by the Committee, a Termination of Employment shall be deemed to occur for a Participant employed by, or performing services for, a Subsidiary when such Subsidiary ceases to be a Subsidiary unless such Participant’s employment or service continues with the Company or another Subsidiary. Notwithstanding the foregoing, with respect to any Award subject to Section 409A of the Code (and not exempt therefrom), a Termination of Employment occurs when a Participant experiences a “separation of service” (as such term is defined under Section 409A of the Code). </w:t>
      </w:r>
    </w:p>
    <w:p>
      <w:pPr>
        <w:pStyle w:val="TextBody"/>
        <w:bidi w:val="0"/>
        <w:spacing w:lineRule="auto" w:line="240" w:before="0" w:after="240"/>
        <w:ind w:left="0" w:right="0" w:firstLine="936"/>
        <w:jc w:val="left"/>
        <w:rPr/>
      </w:pPr>
      <w:r>
        <w:rPr>
          <w:rFonts w:ascii="Times New Roman;serif" w:hAnsi="Times New Roman;serif"/>
          <w:b w:val="false"/>
          <w:color w:val="000000"/>
          <w:sz w:val="24"/>
        </w:rPr>
        <w:t>(v)</w:t>
      </w:r>
      <w:r>
        <w:rPr>
          <w:color w:val="000000"/>
        </w:rPr>
        <w:t>“</w:t>
      </w:r>
      <w:r>
        <w:rPr>
          <w:rFonts w:ascii="Times New Roman;serif" w:hAnsi="Times New Roman;serif"/>
          <w:b/>
          <w:color w:val="000000"/>
          <w:sz w:val="24"/>
        </w:rPr>
        <w:t>Total Disability</w:t>
      </w:r>
      <w:r>
        <w:rPr>
          <w:color w:val="000000"/>
        </w:rPr>
        <w:t xml:space="preserve">” </w:t>
      </w:r>
      <w:r>
        <w:rPr>
          <w:rFonts w:ascii="Times New Roman;serif" w:hAnsi="Times New Roman;serif"/>
          <w:b w:val="false"/>
          <w:color w:val="000000"/>
          <w:sz w:val="24"/>
        </w:rPr>
        <w:t xml:space="preserve">has the meaning set forth in the Company’s Long-Term Disability Plan or its successor plan, as amended from time to time.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w:t>
      </w:r>
      <w:r>
        <w:rPr>
          <w:rFonts w:ascii="Times New Roman;serif" w:hAnsi="Times New Roman;serif"/>
          <w:b w:val="false"/>
          <w:i/>
          <w:color w:val="000000"/>
          <w:sz w:val="24"/>
        </w:rPr>
        <w:t>Administration</w:t>
      </w:r>
      <w:r>
        <w:rPr>
          <w:rFonts w:ascii="Times New Roman;serif" w:hAnsi="Times New Roman;serif"/>
          <w:b w:val="false"/>
          <w:color w:val="000000"/>
          <w:sz w:val="24"/>
        </w:rPr>
        <w:t>.</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Plan shall be administered by the Committee. All decisions of the Committee shall be final, conclusive and binding upon all parties, including the Company, its stockholders, Participants and any Beneficiaries thereof. The Committee may issue rules and regulations for administration of the Plan. </w:t>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the terms of the Plan and applicable law, the Committee shall have full power, discretion and authority to: (i) construe, interpret and administer the Plan and any instrument or agreement relating to, or Award made under, the Plan; (ii) subject to Section 4 of the Plan, designate eligible individuals who will be Participants; (iii) determine the terms and conditions of any Award; (iv) determine whether, to what extent and under what circumstances amounts payable with respect to an Award under the Plan shall be deferred either automatically or at the election of the Participant or of the Committee; (v) establish, amend, suspend or waive such rules and regulations as it shall deem appropriate for the proper administration of the Plan and due compliance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applicable law or accounting or tax rules and regulations; (vi) establish, adjust, pay or decline to pay Short-Term Incentive Compensation for each Participant; (vii) make any other determination and take any other action that the Committee in its sole discretion deems necessary or desirable for the administration of the Plan and due compliance with applicable law or accounting or tax rules and regulations; and (vii) correct any defect, supply any omission and reconcile any inconsistency in the Plan or any Award, in the manner and to the extent it shall deem desirable to carry the Plan into effect.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pStyle w:val="TextBody"/>
        <w:bidi w:val="0"/>
        <w:spacing w:lineRule="auto" w:line="240" w:before="0" w:after="240"/>
        <w:ind w:left="0" w:right="0" w:firstLine="936"/>
        <w:jc w:val="left"/>
        <w:rPr/>
      </w:pPr>
      <w:r>
        <w:rPr>
          <w:rFonts w:ascii="Times New Roman;serif" w:hAnsi="Times New Roman;serif"/>
          <w:b w:val="false"/>
          <w:color w:val="000000"/>
          <w:sz w:val="24"/>
        </w:rPr>
        <w:t>(c)</w:t>
      </w:r>
      <w:r>
        <w:rPr>
          <w:rFonts w:ascii="Times New Roman;serif" w:hAnsi="Times New Roman;serif"/>
          <w:b w:val="false"/>
          <w:color w:val="000000"/>
          <w:sz w:val="24"/>
        </w:rPr>
        <w:t>To the extent necessary or desirable to comply with applicable regulatory regimes, any action by the Committee shall require the approval of Committee members who are independent, within the meaning of and to the extent required by applicable rulings and interpretations of the applicable stock market or exchange on which any equity securities issued by the Company are quoted or traded.</w:t>
      </w:r>
    </w:p>
    <w:p>
      <w:pPr>
        <w:pStyle w:val="TextBody"/>
        <w:bidi w:val="0"/>
        <w:spacing w:lineRule="auto" w:line="240" w:before="0" w:after="240"/>
        <w:ind w:left="0" w:right="0" w:firstLine="936"/>
        <w:jc w:val="left"/>
        <w:rPr/>
      </w:pPr>
      <w:r>
        <w:rPr>
          <w:rFonts w:ascii="Times New Roman;serif" w:hAnsi="Times New Roman;serif"/>
          <w:b w:val="false"/>
          <w:color w:val="000000"/>
          <w:sz w:val="24"/>
        </w:rPr>
        <w:t>(d)</w:t>
      </w:r>
      <w:r>
        <w:rPr>
          <w:rFonts w:ascii="Times New Roman;serif" w:hAnsi="Times New Roman;serif"/>
          <w:b w:val="false"/>
          <w:color w:val="000000"/>
          <w:sz w:val="24"/>
        </w:rPr>
        <w:t>To the extent permitted by applicable law, the Committee may delegate to one or more members of the Committee or officers of the Company some or all of its authority under the Plan with respect to Participants other than Executives, including, without limitation, the authority to establish the terms of Awards (including Performance Goals), assess the level of achievement of any Performance Goals, determine Final Awards or take any other actions permitted under the Plan, in each case within any limits established by the Committee.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w:t>
      </w:r>
      <w:r>
        <w:rPr>
          <w:rFonts w:ascii="Times New Roman;serif" w:hAnsi="Times New Roman;serif"/>
          <w:b w:val="false"/>
          <w:i/>
          <w:color w:val="000000"/>
          <w:sz w:val="24"/>
        </w:rPr>
        <w:t>Eligibility</w:t>
      </w:r>
      <w:r>
        <w:rPr>
          <w:rFonts w:ascii="Times New Roman;serif" w:hAnsi="Times New Roman;serif"/>
          <w:b w:val="false"/>
          <w:color w:val="000000"/>
          <w:sz w:val="24"/>
        </w:rPr>
        <w:t>. Any associate or other individual who is employed by the Company or any Subsidiary (including any Executive) may be designated by the Committee as a Participant from time to 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5.</w:t>
      </w:r>
      <w:r>
        <w:rPr>
          <w:rFonts w:ascii="Times New Roman;serif" w:hAnsi="Times New Roman;serif"/>
          <w:b w:val="false"/>
          <w:i/>
          <w:color w:val="000000"/>
          <w:sz w:val="24"/>
        </w:rPr>
        <w:t>Establishment of Award Terms</w:t>
      </w:r>
      <w:r>
        <w:rPr>
          <w:rFonts w:ascii="Times New Roman;serif" w:hAnsi="Times New Roman;serif"/>
          <w:b w:val="false"/>
          <w:color w:val="000000"/>
          <w:sz w:val="24"/>
        </w:rPr>
        <w:t>.</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limitations described in Section 8 of the Plan, unless otherwise determined by the Committee, the Committee shall establish: (i) the terms of each Award, including the Performance Period; (ii) the positions or names of the associates who will be Participants for the applicable Performance Period; (iii) the Target Award for each Participant or group of Participants (including any minimum or maximum amount); (iv) the applicable Performance Goals and any other additional goals, formulas or performance-based measures relating to the Company, any business unit, division, Subsidiary or business or product segment of the Company or to an individual Participant’s performance; (v) targeted achievement levels (including any minimum or maximum achievement levels) relating to such Performance Goals or other goals; and (vi) the formula or methodology that will be applied to determine the extent to which Awards have been earned and any other terms that will be applicable to the Awards, including the payment date, payment conditions and any service-based or other vesting schedule applicable to any Final Award. </w:t>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to the contrary herein, Target Awards shall range from 0% to 300% of each Participant’s base salary. In determining a Participant’s Target Award, the Committee may consider the level and functional responsibility of such Participant’s position, size of the business for which the Participant is responsible, competitive practices and any other criteria the Committee deems to be appropriate. The amount of Short-Term Incentive Compensation paid to Participants may range from zero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to double their Target Award, based upon the extent to which Performance Goals are achieved or exceeded. </w:t>
      </w:r>
    </w:p>
    <w:p>
      <w:pPr>
        <w:pStyle w:val="TextBody"/>
        <w:bidi w:val="0"/>
        <w:spacing w:lineRule="auto" w:line="240" w:before="0" w:after="240"/>
        <w:ind w:left="0" w:right="0" w:firstLine="936"/>
        <w:jc w:val="left"/>
        <w:rPr/>
      </w:pPr>
      <w:r>
        <w:rPr>
          <w:rFonts w:ascii="Times New Roman;serif" w:hAnsi="Times New Roman;serif"/>
          <w:b w:val="false"/>
          <w:color w:val="000000"/>
          <w:sz w:val="24"/>
        </w:rPr>
        <w:t>(c)</w:t>
      </w:r>
      <w:r>
        <w:rPr>
          <w:rFonts w:ascii="Times New Roman;serif" w:hAnsi="Times New Roman;serif"/>
          <w:b w:val="false"/>
          <w:color w:val="000000"/>
          <w:sz w:val="24"/>
        </w:rPr>
        <w:t>In connection with any Award, the Committee may require a Participant to enter into such agreements as the Committee considers appropriate. Awards may be subject to conditions established by the Committee, which may include, but are not limited to, continuous service with the Company or any Subsidiary. The failure by a Participant to satisfy any of the requirements or conditions imposed on any Award by the Committee shall, in the discretion of the Committee, result in the immediate forfeiture and cancellation of any unpaid portion of such Participant’s Award, and such Participant will not be entitled to receive any consideration with respect to such cancellation.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w:t>
      </w:r>
      <w:r>
        <w:rPr>
          <w:rFonts w:ascii="Times New Roman;serif" w:hAnsi="Times New Roman;serif"/>
          <w:b w:val="false"/>
          <w:i/>
          <w:color w:val="000000"/>
          <w:sz w:val="24"/>
        </w:rPr>
        <w:t xml:space="preserve">Adjustments to Goals and Formulas. </w:t>
      </w:r>
      <w:r>
        <w:rPr>
          <w:rFonts w:ascii="Times New Roman;serif" w:hAnsi="Times New Roman;serif"/>
          <w:b w:val="false"/>
          <w:color w:val="000000"/>
          <w:sz w:val="24"/>
        </w:rPr>
        <w:t xml:space="preserve">The Committee may adjust, in whole or in part, any Performance Goals or any other applicable goals, formulas or performance-based measures, the targeted achievement levels (including any minimum or maximum achievement levels) relating to such Performance Goals or other goals, formulas or performance-based measures, the formula or methodology to be applied against the Performance Goals or other goals, formulas or performance-based measures, and the final payout levels of Awards, in each case as the Committee may deem appropriate and equitable and to avoid undue harm or enrichment to account for any events that occur during a Performance Period.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w:t>
      </w:r>
      <w:r>
        <w:rPr>
          <w:rFonts w:ascii="Times New Roman;serif" w:hAnsi="Times New Roman;serif"/>
          <w:b w:val="false"/>
          <w:i/>
          <w:color w:val="000000"/>
          <w:sz w:val="24"/>
        </w:rPr>
        <w:t>Determination of Final Awards</w:t>
      </w:r>
      <w:r>
        <w:rPr>
          <w:rFonts w:ascii="Times New Roman;serif" w:hAnsi="Times New Roman;serif"/>
          <w:b w:val="false"/>
          <w:color w:val="000000"/>
          <w:sz w:val="24"/>
        </w:rPr>
        <w:t>.</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Following the end of each Performance Period, the Committee shall determine the extent to which the targeted achievement levels of the applicable Performance Goals and any other goals, formulas or performance-based measures applicable to each Award have been satisfied.</w:t>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The Committee may, in its sole discretion, adjust (upward or downward) the amount of any Award payable to any Participant or group of Participants, subject to and in accordance with the requirements of any applicable plan, program, policy or arrangement maintained or entered into by the Company, as may be in effect from time to time, to the extent applicable to any such Participant.</w:t>
      </w:r>
    </w:p>
    <w:p>
      <w:pPr>
        <w:pStyle w:val="TextBody"/>
        <w:bidi w:val="0"/>
        <w:spacing w:lineRule="auto" w:line="240" w:before="0" w:after="240"/>
        <w:ind w:left="0" w:right="0" w:firstLine="936"/>
        <w:jc w:val="left"/>
        <w:rPr/>
      </w:pPr>
      <w:r>
        <w:rPr>
          <w:rFonts w:ascii="Times New Roman;serif" w:hAnsi="Times New Roman;serif"/>
          <w:b w:val="false"/>
          <w:color w:val="000000"/>
          <w:sz w:val="24"/>
        </w:rPr>
        <w:t>(c)</w:t>
      </w:r>
      <w:r>
        <w:rPr>
          <w:rFonts w:ascii="Times New Roman;serif" w:hAnsi="Times New Roman;serif"/>
          <w:b w:val="false"/>
          <w:color w:val="000000"/>
          <w:sz w:val="24"/>
        </w:rPr>
        <w:t>The Committee shall determine the Final Award for any Participant after making the determinations set forth in Section 7(a) of the Plan and applying any adjustments described in Section 7(b) of the Plan, subject to the limitations described in Section 8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8.</w:t>
      </w:r>
      <w:r>
        <w:rPr>
          <w:rFonts w:ascii="Times New Roman;serif" w:hAnsi="Times New Roman;serif"/>
          <w:b w:val="false"/>
          <w:i/>
          <w:color w:val="000000"/>
          <w:sz w:val="24"/>
        </w:rPr>
        <w:t>Payment of Awards</w:t>
      </w:r>
      <w:r>
        <w:rPr>
          <w:rFonts w:ascii="Times New Roman;serif" w:hAnsi="Times New Roman;serif"/>
          <w:b w:val="false"/>
          <w:color w:val="000000"/>
          <w:sz w:val="24"/>
        </w:rPr>
        <w:t>.</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Section 9 of the Plan, payment of the Final Awards for a Performance Period shall be made on or as soon as administratively practicable after the Committee’s determination of the Final Awards (or if later, any vesting date or dates applicable to the Final Award), but in no event later than sixty (60) days following the end of the applicable Performance Period (or the applicable vesting date or dates);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at the time of grant, subject to Section 19 of the Plan, the Committee may determine that an Award will be paid at a later date. Unless otherwise determined by the Committee or as otherwise set forth in the Plan, the payment of a Final Award shall be conditioned upon each Participant’s continued employment or service with the Company or its Subsidiaries through the date such Final Award is paid.</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Notwithstanding Section 8(a) of the Plan, the Company may, in its sole discretion, permit or require the deferral of payment of any Final Award in accordance with the terms of any deferred compensation plan, program or arrangement established or maintained by the Company or its Subsidiaries from time to time.</w:t>
      </w:r>
    </w:p>
    <w:p>
      <w:pPr>
        <w:pStyle w:val="TextBody"/>
        <w:bidi w:val="0"/>
        <w:spacing w:lineRule="auto" w:line="240" w:before="0" w:after="240"/>
        <w:ind w:left="0" w:right="0" w:firstLine="936"/>
        <w:jc w:val="left"/>
        <w:rPr/>
      </w:pPr>
      <w:r>
        <w:rPr>
          <w:rFonts w:ascii="Times New Roman;serif" w:hAnsi="Times New Roman;serif"/>
          <w:b w:val="false"/>
          <w:color w:val="000000"/>
          <w:sz w:val="24"/>
        </w:rPr>
        <w:t>(c)</w:t>
      </w:r>
      <w:r>
        <w:rPr>
          <w:rFonts w:ascii="Times New Roman;serif" w:hAnsi="Times New Roman;serif"/>
          <w:b w:val="false"/>
          <w:color w:val="000000"/>
          <w:sz w:val="24"/>
        </w:rPr>
        <w:t>To the extent provided by the Committee, in its sole discretion, the Short-Term Incentive Compensation may be paid in the form of cash or shares of common stock, $0.50 par value per share, of the Company under the SOPIP, subject to the terms and conditions of the SOPIP.</w:t>
      </w:r>
    </w:p>
    <w:p>
      <w:pPr>
        <w:pStyle w:val="TextBody"/>
        <w:bidi w:val="0"/>
        <w:spacing w:lineRule="auto" w:line="240" w:before="0" w:after="240"/>
        <w:ind w:left="0" w:right="0" w:firstLine="936"/>
        <w:jc w:val="left"/>
        <w:rPr/>
      </w:pPr>
      <w:r>
        <w:rPr>
          <w:rFonts w:ascii="Times New Roman;serif" w:hAnsi="Times New Roman;serif"/>
          <w:b w:val="false"/>
          <w:color w:val="000000"/>
          <w:sz w:val="24"/>
        </w:rPr>
        <w:t>(d)</w:t>
      </w:r>
      <w:r>
        <w:rPr>
          <w:rFonts w:ascii="Times New Roman;serif" w:hAnsi="Times New Roman;serif"/>
          <w:b w:val="false"/>
          <w:color w:val="000000"/>
          <w:sz w:val="24"/>
        </w:rPr>
        <w:t>Notwithstanding any other provision of the Plan, the Committee may determine at any time and in its sole discretion to accelerate or to delay any amounts payable with respect to any Award, or grant Awards subject to accelerated or delayed payment terms, subject to the requirements of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w:t>
      </w:r>
      <w:r>
        <w:rPr>
          <w:rFonts w:ascii="Times New Roman;serif" w:hAnsi="Times New Roman;serif"/>
          <w:b w:val="false"/>
          <w:i/>
          <w:color w:val="000000"/>
          <w:sz w:val="24"/>
        </w:rPr>
        <w:t>Effect of a Termination of Employment or Change in Control</w:t>
      </w:r>
      <w:r>
        <w:rPr>
          <w:rFonts w:ascii="Times New Roman;serif" w:hAnsi="Times New Roman;serif"/>
          <w:b w:val="false"/>
          <w:color w:val="000000"/>
          <w:sz w:val="24"/>
        </w:rPr>
        <w:t xml:space="preserve">. </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Unless otherwise provided (i) in any agreement or arrangement in effect between the Company (or any Subsidiary) and the applicable Participant, (ii) by the Committee at the time of the grant of the Award or (iii) as the Committee may determine in any individual case:</w:t>
      </w:r>
    </w:p>
    <w:p>
      <w:pPr>
        <w:pStyle w:val="TextBody"/>
        <w:bidi w:val="0"/>
        <w:spacing w:lineRule="auto" w:line="240" w:before="0" w:after="24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(i)upon the Participant’s involuntary Termination of Employment without Cause, such Participant’s Award shall vest and become payable on a pro rata basis in accordance with Section 8 of the Plan and the Company’s practices in effect from time to time; </w:t>
      </w:r>
    </w:p>
    <w:p>
      <w:pPr>
        <w:pStyle w:val="TextBody"/>
        <w:bidi w:val="0"/>
        <w:spacing w:lineRule="auto" w:line="240" w:before="0" w:after="240"/>
        <w:ind w:left="0" w:right="0" w:firstLine="1080"/>
        <w:jc w:val="left"/>
        <w:rPr/>
      </w:pP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 xml:space="preserve">upon the Participant’s voluntary Termination of Employment or involuntary Termination of Employment for Cause, any unpaid portion of any Award shall be forfeited; </w:t>
      </w:r>
    </w:p>
    <w:p>
      <w:pPr>
        <w:pStyle w:val="TextBody"/>
        <w:bidi w:val="0"/>
        <w:spacing w:lineRule="auto" w:line="240" w:before="0" w:after="240"/>
        <w:ind w:left="0" w:right="0" w:firstLine="1080"/>
        <w:jc w:val="left"/>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upon the Participant’s Retirement, such Participant’s Award shall be payable pro rata in accordance with Section 8 of the Plan and the Company’s practices in effect from time to time; and</w:t>
      </w:r>
    </w:p>
    <w:p>
      <w:pPr>
        <w:pStyle w:val="TextBody"/>
        <w:bidi w:val="0"/>
        <w:spacing w:lineRule="auto" w:line="240" w:before="0" w:after="240"/>
        <w:ind w:left="0" w:right="0" w:firstLine="1080"/>
        <w:jc w:val="left"/>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 xml:space="preserve">upon the Participants death or Total Disability, such Participant’s Award shall be payable pro rata in accordance with Section 8 of the Plan and the Company’s practices in effect from time to time. </w:t>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In the event of a Change in Control, unless set forth in any agreement or arrangement in effect between the Company (or any Subsidiary) and the applicable Participant, any unpaid Award held by such Participant under the Plan shall be subject to treatment as determined by the Committee in its discretion.</w:t>
      </w:r>
      <w:r>
        <w:rPr>
          <w:color w:val="000000"/>
        </w:rPr>
        <w:t xml:space="preserve"> </w:t>
      </w:r>
    </w:p>
    <w:p>
      <w:pPr>
        <w:pStyle w:val="TextBody"/>
        <w:bidi w:val="0"/>
        <w:spacing w:lineRule="auto" w:line="240" w:before="0" w:after="240"/>
        <w:ind w:left="0" w:right="0" w:firstLine="936"/>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Any actions with respect to Awards under this Section 9 need not be uniform with respect to all Participants and/or Awards.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10.</w:t>
      </w:r>
      <w:r>
        <w:rPr>
          <w:rFonts w:ascii="Times New Roman;serif" w:hAnsi="Times New Roman;serif"/>
          <w:b w:val="false"/>
          <w:i/>
          <w:color w:val="000000"/>
          <w:sz w:val="24"/>
        </w:rPr>
        <w:t>Clawback</w:t>
      </w:r>
      <w:r>
        <w:rPr>
          <w:rFonts w:ascii="Times New Roman;serif" w:hAnsi="Times New Roman;serif"/>
          <w:b w:val="false"/>
          <w:color w:val="000000"/>
          <w:sz w:val="24"/>
        </w:rPr>
        <w:t>.</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If the Committee determines in good faith either that: (i) if required by applicable law with respect to a Participant or (ii) (x) a Participant engaged in fraudulent conduct or activities relating to the Company or other conduct that may constitute Cause, (y) a Participant has knowledge of such conduct or activities, or (z) a Participant, based upon the Participant’s position, duties or responsibilities, should have had knowledge of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such conduct or activities, the Committee shall have the power and authority under the Plan to terminate without payment all outstanding Awards for such Participant. If required by applicable law with respect to a Participant or if a Participant described in clause (ii) above has been paid Short-Term Incentive Compensation that is based on or results from such conduct or activities, such Participant shall promptly reimburse to the Company a sum equal to either an amount required by such law or the amount of such Short-Term Incentive Compensation paid in respect of the year in which such conduct or activities occurred, as applicable. </w:t>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 other provision of the Plan to the contrary, commencing with Short-Term Incentive Compensation granted in respect of fiscal year 2024 and all future fiscal years thereafter, any Short-Term Incentive Compensation shall be subject to cancellation, recoupment or other action in accordance with the terms and conditions of the Recoupment Policies. As a material condition to receiving any Short-Term Incentive Compensation, the Participant shall agree and consent to the Company’s application, implementation and enforcement of (a) the Recoupment Policies or any similar policy established by the Company that may apply to the Participant and (b) any provision of applicable law or stock market or exchange rules or regulations relating to cancellation or recoupment of compensation, and expressly agree that the Company may take such actions as are necessary to effectuate the Recoupment Policies, any similar policy (as applicable to the Participant) or applicable law or stock market or exchange rules or regulations without further consent or action being required by the Participant in respect of such Short-Term Incentive Compensation. </w:t>
      </w:r>
    </w:p>
    <w:p>
      <w:pPr>
        <w:pStyle w:val="TextBody"/>
        <w:bidi w:val="0"/>
        <w:spacing w:lineRule="auto" w:line="240" w:before="0" w:after="240"/>
        <w:ind w:left="0" w:right="0" w:firstLine="936"/>
        <w:jc w:val="left"/>
        <w:rPr/>
      </w:pPr>
      <w:r>
        <w:rPr>
          <w:rFonts w:ascii="Times New Roman;serif" w:hAnsi="Times New Roman;serif"/>
          <w:b w:val="false"/>
          <w:color w:val="000000"/>
          <w:sz w:val="24"/>
        </w:rPr>
        <w:t>(c)</w:t>
      </w:r>
      <w:r>
        <w:rPr>
          <w:rFonts w:ascii="Times New Roman;serif" w:hAnsi="Times New Roman;serif"/>
          <w:b w:val="false"/>
          <w:color w:val="000000"/>
          <w:sz w:val="24"/>
        </w:rPr>
        <w:t>To the extent that the terms of the Plan and the Recoupment Policies conflict, then the terms of the applicable Recoupment Policies shall prevail. In addition, by accepting any award of Short-Term Incentive Compensation hereunder, the Participant shall be deemed to have agreed and acknowledged that (x) copies of the Recoupment Policies applicable to such Participant have been made available to the Participant, (y) the Participant has reviewed the Recoupment Policies and (z) the Participant understands that the award of Short-Term Incentive Compensation will be subject to the Recoupment Policies.</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w:t>
      </w:r>
      <w:r>
        <w:rPr>
          <w:rFonts w:ascii="Times New Roman;serif" w:hAnsi="Times New Roman;serif"/>
          <w:b w:val="false"/>
          <w:i/>
          <w:color w:val="000000"/>
          <w:sz w:val="24"/>
        </w:rPr>
        <w:t>Withholding</w:t>
      </w:r>
      <w:r>
        <w:rPr>
          <w:rFonts w:ascii="Times New Roman;serif" w:hAnsi="Times New Roman;serif"/>
          <w:b w:val="false"/>
          <w:color w:val="000000"/>
          <w:sz w:val="24"/>
        </w:rPr>
        <w:t xml:space="preserve">. The Company (or any Subsidiary) shall have the right to withhold, or require a Participant to remit to the Company, an amount sufficient to satisfy any applicable federal, state, local or foreign withholding tax requirements imposed with respect to the payment of any Short-Term Incentive Compensation. The Company (or any Subsidiary) shall have the right to offset from any amount payable hereunder any amount that the Participant owes to the Company or to any Subsidiary without the consent of the Participant (or Beneficiary, in the event of the Participant’s death). The Company (or any Subsidiary) shall also have the right to withhold from Short-Term Incentive Compensation any amounts that may be required to be withheld from other taxable noncash compensation or taxable reimbursements payable to a Participant that may themselves have not been subjected to withholding at the time of payment.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w:t>
      </w:r>
      <w:r>
        <w:rPr>
          <w:rFonts w:ascii="Times New Roman;serif" w:hAnsi="Times New Roman;serif"/>
          <w:b w:val="false"/>
          <w:i/>
          <w:color w:val="000000"/>
          <w:sz w:val="24"/>
        </w:rPr>
        <w:t xml:space="preserve">Nontransferability; Beneficiaries. </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Except as expressly provided by the Committee or the laws of descent, the rights and benefits under the Plan are personal to the Participant and no Award and no right under any Award may be voluntarily or involuntarily assigned, alienated, pledged, sold, transferred or otherwise disposed, including as between spouses or pursuant to a domestic relations order in connection with dissolution of marriage, or by operation of law.</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Any designation of a Beneficiary to receive all or part of any Award will be governed by local law. To make a Beneficiary designation, the Participant must coordinate with his or her personal tax or estate planning representative. Any Award (or portion thereof) that becomes payable upon the Participant’s death will be distributed to his or her estate in accordance with local law rules. A Participant may replace or revoke the Participant’s Beneficiary designation at any time in accordance with the procedures adopted by the Committee.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13.</w:t>
      </w:r>
      <w:r>
        <w:rPr>
          <w:rFonts w:ascii="Times New Roman;serif" w:hAnsi="Times New Roman;serif"/>
          <w:b w:val="false"/>
          <w:i/>
          <w:color w:val="000000"/>
          <w:sz w:val="24"/>
        </w:rPr>
        <w:t>Unfunded Plan</w:t>
      </w:r>
      <w:r>
        <w:rPr>
          <w:rFonts w:ascii="Times New Roman;serif" w:hAnsi="Times New Roman;serif"/>
          <w:b w:val="false"/>
          <w:color w:val="000000"/>
          <w:sz w:val="24"/>
        </w:rPr>
        <w:t xml:space="preserve">. The Company shall have no obligation to reserve or otherwise fund in advance any amounts that are or may in the future become payable under the Plan. Any funds that the Company, acting in its sole and absolute discretion, determines to reserve for future payments under the Plan may be commingled with other funds of the Company and need not in any way be segregated from other assets or funds held by the Company. A Participant’s rights to payment under the Plan shall be limited to those of a general unsecured creditor of the Company. </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14.</w:t>
      </w:r>
      <w:r>
        <w:rPr>
          <w:rFonts w:ascii="Times New Roman;serif" w:hAnsi="Times New Roman;serif"/>
          <w:b w:val="false"/>
          <w:i/>
          <w:color w:val="000000"/>
          <w:sz w:val="24"/>
        </w:rPr>
        <w:t>Other Policies; Other Incentive Compensation</w:t>
      </w:r>
      <w:r>
        <w:rPr>
          <w:rFonts w:ascii="Times New Roman;serif" w:hAnsi="Times New Roman;serif"/>
          <w:b w:val="false"/>
          <w:color w:val="000000"/>
          <w:sz w:val="24"/>
        </w:rPr>
        <w:t>. Nothing contained in the Plan shall prevent the Board, the Committee or the Company from adopting other non-shareholder approved plans, policies and arrangements for granting incentives and other compensation to employees of the Company and its Subsidiaries or adopting or continuing in effect other or additional compensation arrangements, and such arrangements may be either generally applicable or applicable only in specific cases. Notwithstanding anything to the contrary in the Plan, the Company reserves the right to pay discretionary bonuses, or other types of compensation outside of the Plan, including, without limitation, under any other cash incentive program or retention program adopted by the Company from time to time, the SOPIP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w:t>
      </w:r>
      <w:r>
        <w:rPr>
          <w:rFonts w:ascii="Times New Roman;serif" w:hAnsi="Times New Roman;serif"/>
          <w:b w:val="false"/>
          <w:i/>
          <w:color w:val="000000"/>
          <w:sz w:val="24"/>
        </w:rPr>
        <w:t xml:space="preserve">No Right to Bonus or Continued Employment. </w:t>
      </w:r>
      <w:r>
        <w:rPr>
          <w:rFonts w:ascii="Times New Roman;serif" w:hAnsi="Times New Roman;serif"/>
          <w:b w:val="false"/>
          <w:color w:val="000000"/>
          <w:sz w:val="24"/>
        </w:rPr>
        <w:t>Neither the establishment of the Plan, the provision for or payment of any amounts hereunder, nor any action of the Company, the Board or the Committee with respect to the Plan shall be held or construed to confer upon any Person (a) any legal right to receive, or any interest in, any Short-Term Incentive Compensation or any other benefit under the Plan or (b) any legal right to continue to serve as an officer or associate of the Company, any Subsidiary or any other affiliate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w:t>
      </w:r>
      <w:r>
        <w:rPr>
          <w:rFonts w:ascii="Times New Roman;serif" w:hAnsi="Times New Roman;serif"/>
          <w:b w:val="false"/>
          <w:i/>
          <w:color w:val="000000"/>
          <w:sz w:val="24"/>
        </w:rPr>
        <w:t>No Uniform Treatment</w:t>
      </w:r>
      <w:r>
        <w:rPr>
          <w:rFonts w:ascii="Times New Roman;serif" w:hAnsi="Times New Roman;serif"/>
          <w:b w:val="false"/>
          <w:color w:val="000000"/>
          <w:sz w:val="24"/>
        </w:rPr>
        <w:t>. No associate, Participant or other Person shall have any claim to be granted any Award under the Plan, and there is no obligation for uniformity of treatment of associates, Participants or Beneficiaries under the Plan. The terms and conditions of Awards need not be the same with respect to each recipient. Any Award granted under the Plan shall be a one-time Award that does not constitute a promise of future grants</w:t>
      </w:r>
      <w:r>
        <w:rPr>
          <w:rFonts w:ascii="Times New Roman;serif" w:hAnsi="Times New Roman;serif"/>
          <w:b w:val="false"/>
          <w:i/>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17.</w:t>
      </w:r>
      <w:r>
        <w:rPr>
          <w:rFonts w:ascii="Times New Roman;serif" w:hAnsi="Times New Roman;serif"/>
          <w:b w:val="false"/>
          <w:i/>
          <w:color w:val="000000"/>
          <w:sz w:val="24"/>
        </w:rPr>
        <w:t>Severability</w:t>
      </w:r>
      <w:r>
        <w:rPr>
          <w:rFonts w:ascii="Times New Roman;serif" w:hAnsi="Times New Roman;serif"/>
          <w:b w:val="false"/>
          <w:color w:val="000000"/>
          <w:sz w:val="24"/>
        </w:rPr>
        <w:t>. If any provision of the Plan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such provision shall be stricken as to such jurisdiction, person or Award, and the remainder of the Plan shall remain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18.</w:t>
      </w:r>
      <w:r>
        <w:rPr>
          <w:rFonts w:ascii="Times New Roman;serif" w:hAnsi="Times New Roman;serif"/>
          <w:b w:val="false"/>
          <w:i/>
          <w:color w:val="000000"/>
          <w:sz w:val="24"/>
        </w:rPr>
        <w:t>Amendment, Modification, Suspension and Termination of the Plan; Corrections</w:t>
      </w:r>
      <w:r>
        <w:rPr>
          <w:rFonts w:ascii="Times New Roman;serif" w:hAnsi="Times New Roman;serif"/>
          <w:b w:val="false"/>
          <w:color w:val="000000"/>
          <w:sz w:val="24"/>
        </w:rPr>
        <w:t xml:space="preserve">. </w:t>
      </w:r>
    </w:p>
    <w:p>
      <w:pPr>
        <w:pStyle w:val="TextBody"/>
        <w:bidi w:val="0"/>
        <w:spacing w:lineRule="auto" w:line="240" w:before="0" w:after="240"/>
        <w:ind w:left="0" w:right="0" w:firstLine="936"/>
        <w:jc w:val="left"/>
        <w:rPr/>
      </w:pPr>
      <w:r>
        <w:rPr>
          <w:rFonts w:ascii="Times New Roman;serif" w:hAnsi="Times New Roman;serif"/>
          <w:b w:val="false"/>
          <w:color w:val="000000"/>
          <w:sz w:val="24"/>
        </w:rPr>
        <w:t>(a)</w:t>
      </w:r>
      <w:r>
        <w:rPr>
          <w:rFonts w:ascii="Times New Roman;serif" w:hAnsi="Times New Roman;serif"/>
          <w:b w:val="false"/>
          <w:color w:val="000000"/>
          <w:sz w:val="24"/>
        </w:rPr>
        <w:t>Except to the extent prohibited by applicable law, subject to the limitations set forth in subsection (b) below, the Committee may at any time suspend, discontinue or terminate the Plan and may amend, modify or alter it from time to time in such respects as the Committee may deem advisable. The Committee may correct any defect, supply any omission or reconcile any inconsistency in the Plan or any Award in the manner and to the extent it shall deem desirable to carry the Plan into effect.</w:t>
      </w:r>
    </w:p>
    <w:p>
      <w:pPr>
        <w:pStyle w:val="TextBody"/>
        <w:bidi w:val="0"/>
        <w:spacing w:lineRule="auto" w:line="240" w:before="0" w:after="240"/>
        <w:ind w:left="0" w:right="0" w:firstLine="936"/>
        <w:jc w:val="left"/>
        <w:rPr/>
      </w:pPr>
      <w:r>
        <w:rPr>
          <w:rFonts w:ascii="Times New Roman;serif" w:hAnsi="Times New Roman;serif"/>
          <w:b w:val="false"/>
          <w:color w:val="000000"/>
          <w:sz w:val="24"/>
        </w:rPr>
        <w:t>(b)</w:t>
      </w:r>
      <w:r>
        <w:rPr>
          <w:rFonts w:ascii="Times New Roman;serif" w:hAnsi="Times New Roman;serif"/>
          <w:b w:val="false"/>
          <w:color w:val="000000"/>
          <w:sz w:val="24"/>
        </w:rPr>
        <w:t>No amendment, modification, alteration, suspension, discontinuance or termination of the Plan shall, without the consent of the Person affected thereby, materially, adversely alter or impair any rights or obligations with respect to any Short-Term Incentive Compensation previously awarded under the Plan, except to the extent any such action is undertaken to cause the Plan to comply with applicable law, stock market or exchange rules and regulations or accounting or tax rules and regulations.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19.</w:t>
      </w:r>
      <w:r>
        <w:rPr>
          <w:rFonts w:ascii="Times New Roman;serif" w:hAnsi="Times New Roman;serif"/>
          <w:b w:val="false"/>
          <w:i/>
          <w:color w:val="000000"/>
          <w:sz w:val="24"/>
        </w:rPr>
        <w:t xml:space="preserve">Section 409A of the Code. </w:t>
      </w:r>
      <w:r>
        <w:rPr>
          <w:rFonts w:ascii="Times New Roman;serif" w:hAnsi="Times New Roman;serif"/>
          <w:b w:val="false"/>
          <w:color w:val="000000"/>
          <w:sz w:val="24"/>
        </w:rPr>
        <w:t>The Plan, and all Awards granted hereunder, are intended to be exempt from, or otherwise comply with, Section 409A of the Code. The provisions of the Plan and all Awards hereunder shall be interpreted and construed in a manner consistent with such intent,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Times New Roman;serif" w:hAnsi="Times New Roman;serif"/>
          <w:b w:val="false"/>
          <w:i/>
          <w:color w:val="000000"/>
          <w:sz w:val="24"/>
        </w:rPr>
        <w:t xml:space="preserve">. </w:t>
      </w:r>
      <w:r>
        <w:rPr>
          <w:rFonts w:ascii="Times New Roman;serif" w:hAnsi="Times New Roman;serif"/>
          <w:b w:val="false"/>
          <w:color w:val="000000"/>
          <w:sz w:val="24"/>
        </w:rPr>
        <w:t>If an amount payable under an Award as a result of the Participant’s termination of employment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employment, except as permitted under Section 409A of the Code. Any right to a series of installment payments under the Plan or any Award shall be treated as a right to a series of separate payments for purposes of Section 409A of the Code. To the extent any amount that is “nonqualified deferred compensation” for purposes of Section 409A of the Code becomes payable upon a termination of employment, such termination of employment shall not be deemed to have occurred any earlier than a “separation from service” would occur under Section 409A of the Code, and related regulations and guidance thereunder. Notwithstanding any of the foregoing, the Company and its Subsidiaries make no representations or warranties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 In no event shall the Company or any Subsidiary be liable for any additional tax, interest or penalty that may be imposed on any Participant, Beneficiary or any other Person under Section 409A of the Code or liabilities or damages for failing to comply with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20.</w:t>
      </w:r>
      <w:r>
        <w:rPr>
          <w:rFonts w:ascii="Times New Roman;serif" w:hAnsi="Times New Roman;serif"/>
          <w:b w:val="false"/>
          <w:i/>
          <w:color w:val="000000"/>
          <w:sz w:val="24"/>
        </w:rPr>
        <w:t xml:space="preserve">Governing Law. </w:t>
      </w:r>
      <w:r>
        <w:rPr>
          <w:rFonts w:ascii="Times New Roman;serif" w:hAnsi="Times New Roman;serif"/>
          <w:b w:val="false"/>
          <w:color w:val="000000"/>
          <w:sz w:val="24"/>
        </w:rPr>
        <w:t>The validity, interpretation and effect of the Plan, and the rights of all Persons hereunder, shall be governed by and determined in accordance with the laws of the State of Ohio, other than the choice of law rules thereof.</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SUBSIDIARIES OF THE REGISTRANT </w:t>
      </w:r>
    </w:p>
    <w:p>
      <w:pPr>
        <w:pStyle w:val="TextBody"/>
        <w:bidi w:val="0"/>
        <w:spacing w:lineRule="auto" w:line="288" w:before="0" w:after="0"/>
        <w:jc w:val="left"/>
        <w:rPr>
          <w:color w:val="000000"/>
        </w:rPr>
      </w:pPr>
      <w:r>
        <w:rPr>
          <w:color w:val="000000"/>
        </w:rPr>
        <w:t> </w:t>
      </w:r>
    </w:p>
    <w:tbl>
      <w:tblPr>
        <w:tblW w:w="5517" w:type="dxa"/>
        <w:jc w:val="center"/>
        <w:tblInd w:w="0" w:type="dxa"/>
        <w:tblLayout w:type="fixed"/>
        <w:tblCellMar>
          <w:top w:w="28" w:type="dxa"/>
          <w:left w:w="28" w:type="dxa"/>
          <w:bottom w:w="28" w:type="dxa"/>
          <w:right w:w="28" w:type="dxa"/>
        </w:tblCellMar>
      </w:tblPr>
      <w:tblGrid>
        <w:gridCol w:w="1380"/>
        <w:gridCol w:w="1212"/>
        <w:gridCol w:w="1217"/>
        <w:gridCol w:w="109"/>
        <w:gridCol w:w="109"/>
        <w:gridCol w:w="109"/>
        <w:gridCol w:w="404"/>
        <w:gridCol w:w="404"/>
        <w:gridCol w:w="573"/>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w:t>
              <w:br/>
              <w:t>Incorporation</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Brand Management,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Direct,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beautyAvenues,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Specialty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Brands Holdings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Brands (Overseas),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 Brands Service Company,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Luxembourg (Overseas) Holdings S.à.r.l.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Luxembourg</w:t>
            </w:r>
          </w:p>
        </w:tc>
      </w:tr>
      <w:tr>
        <w:trPr/>
        <w:tc>
          <w:tcPr>
            <w:tcW w:w="38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PCAB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PCAB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Retail Store Operations,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ind w:left="0" w:right="0" w:hanging="315"/>
        <w:jc w:val="left"/>
        <w:rPr/>
      </w:pPr>
      <w:r>
        <w:rPr/>
      </w:r>
    </w:p>
    <w:p>
      <w:pPr>
        <w:pStyle w:val="TextBody"/>
        <w:bidi w:val="0"/>
        <w:spacing w:lineRule="auto" w:line="288" w:before="0" w:after="0"/>
        <w:ind w:left="0" w:right="0" w:hanging="315"/>
        <w:jc w:val="left"/>
        <w:rPr>
          <w:rFonts w:ascii="Times New Roman;serif" w:hAnsi="Times New Roman;serif"/>
          <w:b w:val="false"/>
          <w:color w:val="000000"/>
          <w:sz w:val="20"/>
        </w:rPr>
      </w:pPr>
      <w:r>
        <w:rPr>
          <w:rFonts w:ascii="Times New Roman;serif" w:hAnsi="Times New Roman;serif"/>
          <w:b w:val="false"/>
          <w:color w:val="000000"/>
          <w:sz w:val="20"/>
        </w:rPr>
        <w:t xml:space="preserve">(a)    The names of certain subsidiaries are omitted because such unnamed subsidiaries, considered in the aggregate as a single subsidiary, would not constitute a significant subsidiary as of January 31,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Guarantor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2027 Notes, 2028 Notes, 2029 Notes, 2030 Notes, 2035 Notes and 2036 Notes are jointly and severally guaranteed on a full and unconditional basis by Bath &amp; Body Works, Inc. (incorporated in Delaware) and the following 100% owned subsidiaries of Bath &amp; Body Works, Inc. as of January 31, 2026:</w:t>
      </w:r>
    </w:p>
    <w:tbl>
      <w:tblPr>
        <w:tblW w:w="7859" w:type="dxa"/>
        <w:jc w:val="center"/>
        <w:tblInd w:w="0" w:type="dxa"/>
        <w:tblLayout w:type="fixed"/>
        <w:tblCellMar>
          <w:top w:w="28" w:type="dxa"/>
          <w:left w:w="28" w:type="dxa"/>
          <w:bottom w:w="28" w:type="dxa"/>
          <w:right w:w="28" w:type="dxa"/>
        </w:tblCellMar>
      </w:tblPr>
      <w:tblGrid>
        <w:gridCol w:w="1377"/>
        <w:gridCol w:w="1208"/>
        <w:gridCol w:w="1224"/>
        <w:gridCol w:w="1184"/>
        <w:gridCol w:w="1184"/>
        <w:gridCol w:w="1682"/>
      </w:tblGrid>
      <w:tr>
        <w:trPr/>
        <w:tc>
          <w:tcPr>
            <w:tcW w:w="137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Entity</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 or Organization</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Brand Management,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Direct,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beautyAvenues,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Specialty Holding,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Brands Service Company,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both"/>
        <w:rPr/>
      </w:pPr>
      <w:r>
        <w:rPr/>
      </w:r>
    </w:p>
    <w:p>
      <w:pPr>
        <w:pStyle w:val="TextBody"/>
        <w:bidi w:val="0"/>
        <w:spacing w:lineRule="auto" w:line="266"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(1)Registration Statement (Form S-3 ASR No. 333-285833) of Bath &amp; Body Works, Inc.,</w:t>
      </w:r>
    </w:p>
    <w:p>
      <w:pPr>
        <w:pStyle w:val="TextBody"/>
        <w:bidi w:val="0"/>
        <w:spacing w:lineRule="auto" w:line="266"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(2)Registration Statement (Form S-8 No. 333-265379) pertaining to the Bath &amp; Body Works, Inc. Associate Stock Purchase Plan,</w:t>
      </w:r>
    </w:p>
    <w:p>
      <w:pPr>
        <w:pStyle w:val="TextBody"/>
        <w:bidi w:val="0"/>
        <w:spacing w:lineRule="auto" w:line="266"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(3)Registration Statement (Form S-8 No. 333-251226) pertaining to the L Brands, Inc. 2020 Stock Option and Performance Incentive Plan, and</w:t>
      </w:r>
    </w:p>
    <w:p>
      <w:pPr>
        <w:pStyle w:val="TextBody"/>
        <w:bidi w:val="0"/>
        <w:spacing w:lineRule="auto" w:line="266"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(4)Registration Statement (Form S-8 No. 333-206787) pertaining to the L Brands, Inc. 2015 Stock Option and Performance Incentive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our reports dated March 12, 2026, with respect to the consolidated financial statements of Bath &amp; Body Works, Inc. and the effectiveness of internal control over financial reporting of Bath &amp; Body Works, Inc. included in this Annual Report (Form 10-K) of Bath &amp; Body Works, Inc. for the year ended January 31,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Grandview Heights, Ohio</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March 12,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Daniel J. Heaf,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Bath &amp; Body Works,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J. HEAF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J. Heaf</w:t>
              <w:br/>
              <w:t>Chief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Eva C. Boratto,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Bath &amp; Body Works,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EVA C. BORATTO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Eva C. Boratto</w:t>
              <w:br/>
              <w:t>Chief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906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Daniel J. Heaf, the Chief Executive Officer, and Eva C. Boratto, the Chief Financial Officer, of Bath &amp; Body Works, Inc. (the “Company”), each certifies that, to the best of our knowledge: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(i)the Annual Report of the Company on Form 10-K dated March 12, 2026 for the fiscal year ended January 31, 2026 (the “Form 10-K”), fully complies with the requirements of Section 13(a) or 15(d) of the Securities Exchange Act of 1934;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Form 10-K fairly presents, in all material respects, the financial condition and results of operations of the Company.</w:t>
      </w:r>
    </w:p>
    <w:p>
      <w:pPr>
        <w:pStyle w:val="TextBody"/>
        <w:bidi w:val="0"/>
        <w:spacing w:before="0" w:after="0"/>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J. HEAF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J. Heaf</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EVA C. BORATTO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 C. Boratto</w:t>
              <w:br/>
              <w:t>Chief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01985/000095010320009937/dp128284_ex0301.htm" TargetMode="External"/><Relationship Id="rId4" Type="http://schemas.openxmlformats.org/officeDocument/2006/relationships/hyperlink" Target="https://www.sec.gov/Archives/edgar/data/701985/000114036121026658/nt10026698x7_ex3-1.htm" TargetMode="External"/><Relationship Id="rId5" Type="http://schemas.openxmlformats.org/officeDocument/2006/relationships/hyperlink" Target="https://www.sec.gov/Archives/edgar/data/701985/000095010324009021/dp213553_ex0301.htm" TargetMode="External"/><Relationship Id="rId6" Type="http://schemas.openxmlformats.org/officeDocument/2006/relationships/hyperlink" Target="https://www.sec.gov/Archives/edgar/data/701985/000095010303001339/may2003_ex0401.txt" TargetMode="External"/><Relationship Id="rId7" Type="http://schemas.openxmlformats.org/officeDocument/2006/relationships/hyperlink" Target="https://www.sec.gov/Archives/edgar/data/701985/000095010305001555/ex040102.htm" TargetMode="External"/><Relationship Id="rId8" Type="http://schemas.openxmlformats.org/officeDocument/2006/relationships/hyperlink" Target="https://www.sec.gov/Archives/edgar/data/701985/000119312507211040/dex413.htm" TargetMode="External"/><Relationship Id="rId9" Type="http://schemas.openxmlformats.org/officeDocument/2006/relationships/hyperlink" Target="https://www.sec.gov/Archives/edgar/data/701985/000095010313006223/dp41492_ex040108.htm" TargetMode="External"/><Relationship Id="rId10" Type="http://schemas.openxmlformats.org/officeDocument/2006/relationships/hyperlink" Target="https://www.sec.gov/Archives/edgar/data/701985/000070198522000009/bbwi129202210kexhibit426.htm" TargetMode="External"/><Relationship Id="rId11" Type="http://schemas.openxmlformats.org/officeDocument/2006/relationships/hyperlink" Target="https://www.sec.gov/Archives/edgar/data/701985/000095010303001167/apr1403_ex04.txt" TargetMode="External"/><Relationship Id="rId12" Type="http://schemas.openxmlformats.org/officeDocument/2006/relationships/hyperlink" Target="https://www.sec.gov/Archives/edgar/data/701985/000070198522000009/bbwi129202210kexhibit427.htm" TargetMode="External"/><Relationship Id="rId13" Type="http://schemas.openxmlformats.org/officeDocument/2006/relationships/hyperlink" Target="https://www.sec.gov/Archives/edgar/data/701985/000070198515000035/a41october2015indenture.htm" TargetMode="External"/><Relationship Id="rId14" Type="http://schemas.openxmlformats.org/officeDocument/2006/relationships/hyperlink" Target="https://www.sec.gov/Archives/edgar/data/701985/000070198522000009/bbwi129202210kexhibit428.htm" TargetMode="External"/><Relationship Id="rId15" Type="http://schemas.openxmlformats.org/officeDocument/2006/relationships/hyperlink" Target="https://www.sec.gov/Archives/edgar/data/701985/000119312516623095/d167047dex41.htm" TargetMode="External"/><Relationship Id="rId16" Type="http://schemas.openxmlformats.org/officeDocument/2006/relationships/hyperlink" Target="https://www.sec.gov/Archives/edgar/data/701985/000119312516623095/d167047dex42.htm" TargetMode="External"/><Relationship Id="rId17" Type="http://schemas.openxmlformats.org/officeDocument/2006/relationships/hyperlink" Target="https://www.sec.gov/Archives/edgar/data/701985/000119312518016808/d527009dex42.htm" TargetMode="External"/><Relationship Id="rId18" Type="http://schemas.openxmlformats.org/officeDocument/2006/relationships/hyperlink" Target="https://www.sec.gov/Archives/edgar/data/701985/000114036119011439/nc10002653x1_ex4-2.htm" TargetMode="External"/><Relationship Id="rId19" Type="http://schemas.openxmlformats.org/officeDocument/2006/relationships/hyperlink" Target="https://www.sec.gov/Archives/edgar/data/701985/000070198519000039/ltd-201983ex41.htm" TargetMode="External"/><Relationship Id="rId20" Type="http://schemas.openxmlformats.org/officeDocument/2006/relationships/hyperlink" Target="https://www.sec.gov/Archives/edgar/data/701985/000070198522000009/bbwi129202210kexhibit429.htm" TargetMode="External"/><Relationship Id="rId21" Type="http://schemas.openxmlformats.org/officeDocument/2006/relationships/hyperlink" Target="https://www.sec.gov/Archives/edgar/data/701985/000114036118038258/s002352x1_ex4-25.htm" TargetMode="External"/><Relationship Id="rId22" Type="http://schemas.openxmlformats.org/officeDocument/2006/relationships/hyperlink" Target="https://www.sec.gov/Archives/edgar/data/701985/000114036118038258/s002352x1_ex4-26.htm" TargetMode="External"/><Relationship Id="rId23" Type="http://schemas.openxmlformats.org/officeDocument/2006/relationships/hyperlink" Target="https://www.sec.gov/Archives/edgar/data/701985/000095010320019266/dp137636_ex0401.htm" TargetMode="External"/><Relationship Id="rId24" Type="http://schemas.openxmlformats.org/officeDocument/2006/relationships/hyperlink" Target="https://www.sec.gov/Archives/edgar/data/701985/000070198522000009/bbwi129202210kexhibit433.htm" TargetMode="External"/><Relationship Id="rId25" Type="http://schemas.openxmlformats.org/officeDocument/2006/relationships/hyperlink" Target="https://www.sec.gov/Archives/edgar/data/701985/000070198522000009/bbwi129202210kexhibit436.htm" TargetMode="External"/><Relationship Id="rId26" Type="http://schemas.openxmlformats.org/officeDocument/2006/relationships/hyperlink" Target="https://www.sec.gov/Archives/edgar/data/701985/000070198523000008/bbwi128202310kexhibit101.htm" TargetMode="External"/><Relationship Id="rId27" Type="http://schemas.openxmlformats.org/officeDocument/2006/relationships/hyperlink" Target="https://www.sec.gov/Archives/edgar/data/701985/000070198515000031/lb2015sbcs-8_ex9912015lbsb.htm" TargetMode="External"/><Relationship Id="rId28" Type="http://schemas.openxmlformats.org/officeDocument/2006/relationships/hyperlink" Target="https://www.sec.gov/Archives/edgar/data/701985/000070198515000030/ltd-201581_ex102.htm" TargetMode="External"/><Relationship Id="rId29" Type="http://schemas.openxmlformats.org/officeDocument/2006/relationships/hyperlink" Target="https://www.sec.gov/Archives/edgar/data/701985/000114036120007807/nc10007975x3_def14a.htm" TargetMode="External"/><Relationship Id="rId30" Type="http://schemas.openxmlformats.org/officeDocument/2006/relationships/hyperlink" Target="https://www.sec.gov/Archives/edgar/data/701985/000070198521000020/ltd-202151_ex101.htm" TargetMode="External"/><Relationship Id="rId31" Type="http://schemas.openxmlformats.org/officeDocument/2006/relationships/hyperlink" Target="https://www.sec.gov/Archives/edgar/data/701985/000070198521000020/ltd-202151_ex102.htm" TargetMode="External"/><Relationship Id="rId32" Type="http://schemas.openxmlformats.org/officeDocument/2006/relationships/hyperlink" Target="https://www.sec.gov/Archives/edgar/data/701985/000070198521000020/ltd-202151_ex103.htm" TargetMode="External"/><Relationship Id="rId33" Type="http://schemas.openxmlformats.org/officeDocument/2006/relationships/hyperlink" Target="https://www.sec.gov/Archives/edgar/data/701985/000070198523000008/bbwi128202310kexhibit1011.htm" TargetMode="External"/><Relationship Id="rId34" Type="http://schemas.openxmlformats.org/officeDocument/2006/relationships/hyperlink" Target="https://www.sec.gov/Archives/edgar/data/701985/000070198522000040/bbwi-20221029_ex101.htm" TargetMode="External"/><Relationship Id="rId35" Type="http://schemas.openxmlformats.org/officeDocument/2006/relationships/hyperlink" Target="https://www.sec.gov/Archives/edgar/data/701985/000070198524000010/bbwi23202410kexhibit1012.htm" TargetMode="External"/><Relationship Id="rId36" Type="http://schemas.openxmlformats.org/officeDocument/2006/relationships/hyperlink" Target="https://www.sec.gov/Archives/edgar/data/701985/000095010322008474/dp172990_ex1001.htm" TargetMode="External"/><Relationship Id="rId37" Type="http://schemas.openxmlformats.org/officeDocument/2006/relationships/hyperlink" Target="https://www.sec.gov/Archives/edgar/data/701985/000070198525000021/bbwi-202553_ex102.htm" TargetMode="External"/><Relationship Id="rId38" Type="http://schemas.openxmlformats.org/officeDocument/2006/relationships/hyperlink" Target="https://www.sec.gov/Archives/edgar/data/701985/000070198525000021/bbwi-202553_ex103.htm" TargetMode="External"/><Relationship Id="rId39" Type="http://schemas.openxmlformats.org/officeDocument/2006/relationships/hyperlink" Target="https://www.sec.gov/Archives/edgar/data/701985/000070198525000035/bbwi-2025111_ex101.htm" TargetMode="External"/><Relationship Id="rId40" Type="http://schemas.openxmlformats.org/officeDocument/2006/relationships/hyperlink" Target="https://www.sec.gov/Archives/edgar/data/701985/000070198523000008/bbwi128202310kexhibit1016.htm" TargetMode="External"/><Relationship Id="rId41" Type="http://schemas.openxmlformats.org/officeDocument/2006/relationships/hyperlink" Target="https://www.sec.gov/Archives/edgar/data/701985/000070198523000030/bbwi-2023729_ex103.htm" TargetMode="External"/><Relationship Id="rId42" Type="http://schemas.openxmlformats.org/officeDocument/2006/relationships/hyperlink" Target="https://www.sec.gov/Archives/edgar/data/701985/000070198523000030/bbwi-2023729_ex104.htm" TargetMode="External"/><Relationship Id="rId43" Type="http://schemas.openxmlformats.org/officeDocument/2006/relationships/hyperlink" Target="https://www.sec.gov/Archives/edgar/data/701985/000070198523000030/bbwi-2023729_ex105.htm" TargetMode="External"/><Relationship Id="rId44" Type="http://schemas.openxmlformats.org/officeDocument/2006/relationships/hyperlink" Target="https://www.sec.gov/Archives/edgar/data/701985/000070198525000030/bbwi-202582_ex101.htm" TargetMode="External"/><Relationship Id="rId45" Type="http://schemas.openxmlformats.org/officeDocument/2006/relationships/hyperlink" Target="https://www.sec.gov/Archives/edgar/data/701985/000070198523000008/bbwi128202310kexhibit1030.htm" TargetMode="External"/><Relationship Id="rId46" Type="http://schemas.openxmlformats.org/officeDocument/2006/relationships/hyperlink" Target="https://www.sec.gov/Archives/edgar/data/701985/000070198523000008/bbwi128202310kexhibit1029.htm" TargetMode="External"/><Relationship Id="rId47" Type="http://schemas.openxmlformats.org/officeDocument/2006/relationships/hyperlink" Target="https://www.sec.gov/Archives/edgar/data/701985/000070198523000008/bbwi128202310kexhibit1031.htm" TargetMode="External"/><Relationship Id="rId48" Type="http://schemas.openxmlformats.org/officeDocument/2006/relationships/hyperlink" Target="https://www.sec.gov/Archives/edgar/data/0000701985/000114036121026658/nt10026698x7_ex2-1.htm" TargetMode="External"/><Relationship Id="rId49" Type="http://schemas.openxmlformats.org/officeDocument/2006/relationships/hyperlink" Target="https://www.sec.gov/Archives/edgar/data/0000701985/000114036121026658/nt10026698x7_ex10-1.htm" TargetMode="External"/><Relationship Id="rId50" Type="http://schemas.openxmlformats.org/officeDocument/2006/relationships/hyperlink" Target="https://www.sec.gov/Archives/edgar/data/701985/000070198522000032/bbwi-2022730_ex109.htm" TargetMode="External"/><Relationship Id="rId51" Type="http://schemas.openxmlformats.org/officeDocument/2006/relationships/hyperlink" Target="https://www.sec.gov/Archives/edgar/data/701985/000070198523000008/bbwi128202310kexhibit1039.htm" TargetMode="External"/><Relationship Id="rId52" Type="http://schemas.openxmlformats.org/officeDocument/2006/relationships/hyperlink" Target="https://www.sec.gov/Archives/edgar/data/0000701985/000114036121026658/nt10026698x7_ex10-2.htm" TargetMode="External"/><Relationship Id="rId53" Type="http://schemas.openxmlformats.org/officeDocument/2006/relationships/hyperlink" Target="https://www.sec.gov/Archives/edgar/data/701985/000070198522000032/bbwi-2022730_ex1010.htm" TargetMode="External"/><Relationship Id="rId54" Type="http://schemas.openxmlformats.org/officeDocument/2006/relationships/hyperlink" Target="https://www.sec.gov/Archives/edgar/data/701985/000070198523000008/bbwi128202310kexhibit1042.htm" TargetMode="External"/><Relationship Id="rId55" Type="http://schemas.openxmlformats.org/officeDocument/2006/relationships/hyperlink" Target="https://www.sec.gov/Archives/edgar/data/701985/000070198523000030/bbwi-2023729_ex102.htm" TargetMode="External"/><Relationship Id="rId56" Type="http://schemas.openxmlformats.org/officeDocument/2006/relationships/hyperlink" Target="https://www.sec.gov/Archives/edgar/data/0000701985/000114036121026658/nt10026698x7_ex10-3.htm" TargetMode="External"/><Relationship Id="rId57" Type="http://schemas.openxmlformats.org/officeDocument/2006/relationships/hyperlink" Target="https://www.sec.gov/Archives/edgar/data/0000701985/000114036121026658/nt10026698x7_ex10-4.htm" TargetMode="External"/><Relationship Id="rId58" Type="http://schemas.openxmlformats.org/officeDocument/2006/relationships/hyperlink" Target="https://www.sec.gov/Archives/edgar/data/0000701985/000114036121026658/nt10026698x7_ex10-5.htm" TargetMode="External"/><Relationship Id="rId59" Type="http://schemas.openxmlformats.org/officeDocument/2006/relationships/hyperlink" Target="https://www.sec.gov/Archives/edgar/data/701985/000095010325006354/dp229149_ex1001.htm" TargetMode="External"/><Relationship Id="rId60" Type="http://schemas.openxmlformats.org/officeDocument/2006/relationships/hyperlink" Target="https://www.sec.gov/Archives/edgar/data/701985/000070198525000011/bbwi21202510kexhibit19.htm" TargetMode="External"/><Relationship Id="rId61" Type="http://schemas.openxmlformats.org/officeDocument/2006/relationships/hyperlink" Target="https://www.sec.gov/Archives/edgar/data/701985/000070198524000010/bbwi23202410kexhibit97.htm" TargetMode="External"/><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58765</Words>
  <Characters>324638</Characters>
  <CharactersWithSpaces>381041</CharactersWithSpaces>
  <Paragraphs>3928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