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20, 2004</w:t>
      </w:r>
    </w:p>
    <w:p>
      <w:pPr>
        <w:spacing w:after="0" w:line="21" w:lineRule="exact"/>
        <w:rPr>
          <w:sz w:val="24"/>
          <w:szCs w:val="24"/>
          <w:color w:val="auto"/>
        </w:rPr>
      </w:pPr>
    </w:p>
    <w:p>
      <w:pPr>
        <w:ind w:left="9880"/>
        <w:spacing w:after="0"/>
        <w:rPr>
          <w:sz w:val="20"/>
          <w:szCs w:val="20"/>
          <w:color w:val="auto"/>
        </w:rPr>
      </w:pPr>
      <w:r>
        <w:rPr>
          <w:rFonts w:ascii="Arial" w:cs="Arial" w:eastAsia="Arial" w:hAnsi="Arial"/>
          <w:sz w:val="18"/>
          <w:szCs w:val="18"/>
          <w:b w:val="1"/>
          <w:bCs w:val="1"/>
          <w:color w:val="auto"/>
        </w:rPr>
        <w:t>Reg.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-17780</wp:posOffset>
            </wp:positionV>
            <wp:extent cx="3346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170180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LIMITED BRANDS,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4460" w:type="dxa"/>
            <w:vAlign w:val="bottom"/>
          </w:tcPr>
          <w:p>
            <w:pPr>
              <w:jc w:val="center"/>
              <w:ind w:right="2082"/>
              <w:spacing w:after="0"/>
              <w:rPr>
                <w:sz w:val="20"/>
                <w:szCs w:val="20"/>
                <w:color w:val="auto"/>
              </w:rPr>
            </w:pPr>
            <w:r>
              <w:rPr>
                <w:rFonts w:ascii="Arial" w:cs="Arial" w:eastAsia="Arial" w:hAnsi="Arial"/>
                <w:sz w:val="18"/>
                <w:szCs w:val="18"/>
                <w:b w:val="1"/>
                <w:bCs w:val="1"/>
                <w:color w:val="auto"/>
                <w:w w:val="88"/>
              </w:rPr>
              <w:t>Delaware</w:t>
            </w:r>
          </w:p>
        </w:tc>
        <w:tc>
          <w:tcPr>
            <w:tcW w:w="3200" w:type="dxa"/>
            <w:vAlign w:val="bottom"/>
          </w:tcPr>
          <w:p>
            <w:pPr>
              <w:jc w:val="right"/>
              <w:ind w:right="24"/>
              <w:spacing w:after="0"/>
              <w:rPr>
                <w:sz w:val="20"/>
                <w:szCs w:val="20"/>
                <w:color w:val="auto"/>
              </w:rPr>
            </w:pPr>
            <w:r>
              <w:rPr>
                <w:rFonts w:ascii="Arial" w:cs="Arial" w:eastAsia="Arial" w:hAnsi="Arial"/>
                <w:sz w:val="18"/>
                <w:szCs w:val="18"/>
                <w:b w:val="1"/>
                <w:bCs w:val="1"/>
                <w:color w:val="auto"/>
              </w:rPr>
              <w:t>31-1029810</w:t>
            </w:r>
          </w:p>
        </w:tc>
      </w:tr>
      <w:tr>
        <w:trPr>
          <w:trHeight w:val="149"/>
        </w:trPr>
        <w:tc>
          <w:tcPr>
            <w:tcW w:w="4460" w:type="dxa"/>
            <w:vAlign w:val="bottom"/>
          </w:tcPr>
          <w:p>
            <w:pPr>
              <w:jc w:val="center"/>
              <w:ind w:right="208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200" w:type="dxa"/>
            <w:vAlign w:val="bottom"/>
          </w:tcPr>
          <w:p>
            <w:pPr>
              <w:jc w:val="center"/>
              <w:ind w:left="208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4460" w:type="dxa"/>
            <w:vAlign w:val="bottom"/>
          </w:tcPr>
          <w:p>
            <w:pPr>
              <w:jc w:val="center"/>
              <w:ind w:right="2082"/>
              <w:spacing w:after="0"/>
              <w:rPr>
                <w:sz w:val="20"/>
                <w:szCs w:val="20"/>
                <w:color w:val="auto"/>
              </w:rPr>
            </w:pPr>
            <w:r>
              <w:rPr>
                <w:rFonts w:ascii="Arial" w:cs="Arial" w:eastAsia="Arial" w:hAnsi="Arial"/>
                <w:sz w:val="14"/>
                <w:szCs w:val="14"/>
                <w:b w:val="1"/>
                <w:bCs w:val="1"/>
                <w:color w:val="auto"/>
                <w:w w:val="89"/>
              </w:rPr>
              <w:t>incorporation or organization)</w:t>
            </w:r>
          </w:p>
        </w:tc>
        <w:tc>
          <w:tcPr>
            <w:tcW w:w="3200" w:type="dxa"/>
            <w:vAlign w:val="bottom"/>
          </w:tcPr>
          <w:p>
            <w:pPr>
              <w:jc w:val="center"/>
              <w:ind w:left="2084"/>
              <w:spacing w:after="0"/>
              <w:rPr>
                <w:sz w:val="20"/>
                <w:szCs w:val="20"/>
                <w:color w:val="auto"/>
              </w:rPr>
            </w:pPr>
            <w:r>
              <w:rPr>
                <w:rFonts w:ascii="Arial" w:cs="Arial" w:eastAsia="Arial" w:hAnsi="Arial"/>
                <w:sz w:val="14"/>
                <w:szCs w:val="14"/>
                <w:b w:val="1"/>
                <w:bCs w:val="1"/>
                <w:color w:val="auto"/>
                <w:w w:val="87"/>
              </w:rPr>
              <w:t>Identification No.)</w:t>
            </w:r>
          </w:p>
        </w:tc>
      </w:tr>
      <w:tr>
        <w:trPr>
          <w:trHeight w:val="351"/>
        </w:trPr>
        <w:tc>
          <w:tcPr>
            <w:tcW w:w="4460" w:type="dxa"/>
            <w:vAlign w:val="bottom"/>
          </w:tcPr>
          <w:p>
            <w:pPr>
              <w:jc w:val="center"/>
              <w:ind w:right="2082"/>
              <w:spacing w:after="0"/>
              <w:rPr>
                <w:sz w:val="20"/>
                <w:szCs w:val="20"/>
                <w:color w:val="auto"/>
              </w:rPr>
            </w:pPr>
            <w:r>
              <w:rPr>
                <w:rFonts w:ascii="Arial" w:cs="Arial" w:eastAsia="Arial" w:hAnsi="Arial"/>
                <w:sz w:val="18"/>
                <w:szCs w:val="18"/>
                <w:b w:val="1"/>
                <w:bCs w:val="1"/>
                <w:color w:val="auto"/>
                <w:w w:val="92"/>
              </w:rPr>
              <w:t>Three Limited Parkway</w:t>
            </w:r>
          </w:p>
        </w:tc>
        <w:tc>
          <w:tcPr>
            <w:tcW w:w="3200" w:type="dxa"/>
            <w:vAlign w:val="bottom"/>
          </w:tcPr>
          <w:p>
            <w:pPr>
              <w:spacing w:after="0"/>
              <w:rPr>
                <w:sz w:val="24"/>
                <w:szCs w:val="24"/>
                <w:color w:val="auto"/>
              </w:rPr>
            </w:pPr>
          </w:p>
        </w:tc>
      </w:tr>
      <w:tr>
        <w:trPr>
          <w:trHeight w:val="231"/>
        </w:trPr>
        <w:tc>
          <w:tcPr>
            <w:tcW w:w="4460" w:type="dxa"/>
            <w:vAlign w:val="bottom"/>
          </w:tcPr>
          <w:p>
            <w:pPr>
              <w:jc w:val="center"/>
              <w:ind w:right="2082"/>
              <w:spacing w:after="0"/>
              <w:rPr>
                <w:sz w:val="20"/>
                <w:szCs w:val="20"/>
                <w:color w:val="auto"/>
              </w:rPr>
            </w:pPr>
            <w:r>
              <w:rPr>
                <w:rFonts w:ascii="Arial" w:cs="Arial" w:eastAsia="Arial" w:hAnsi="Arial"/>
                <w:sz w:val="18"/>
                <w:szCs w:val="18"/>
                <w:b w:val="1"/>
                <w:bCs w:val="1"/>
                <w:color w:val="auto"/>
                <w:w w:val="87"/>
              </w:rPr>
              <w:t>Columbus, Ohio</w:t>
            </w:r>
          </w:p>
        </w:tc>
        <w:tc>
          <w:tcPr>
            <w:tcW w:w="3200" w:type="dxa"/>
            <w:vAlign w:val="bottom"/>
          </w:tcPr>
          <w:p>
            <w:pPr>
              <w:jc w:val="right"/>
              <w:ind w:right="224"/>
              <w:spacing w:after="0"/>
              <w:rPr>
                <w:sz w:val="20"/>
                <w:szCs w:val="20"/>
                <w:color w:val="auto"/>
              </w:rPr>
            </w:pPr>
            <w:r>
              <w:rPr>
                <w:rFonts w:ascii="Arial" w:cs="Arial" w:eastAsia="Arial" w:hAnsi="Arial"/>
                <w:sz w:val="18"/>
                <w:szCs w:val="18"/>
                <w:b w:val="1"/>
                <w:bCs w:val="1"/>
                <w:color w:val="auto"/>
              </w:rPr>
              <w:t>43216</w:t>
            </w:r>
          </w:p>
        </w:tc>
      </w:tr>
      <w:tr>
        <w:trPr>
          <w:trHeight w:val="174"/>
        </w:trPr>
        <w:tc>
          <w:tcPr>
            <w:tcW w:w="4460" w:type="dxa"/>
            <w:vAlign w:val="bottom"/>
          </w:tcPr>
          <w:p>
            <w:pPr>
              <w:jc w:val="center"/>
              <w:ind w:right="208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200" w:type="dxa"/>
            <w:vAlign w:val="bottom"/>
          </w:tcPr>
          <w:p>
            <w:pPr>
              <w:jc w:val="center"/>
              <w:ind w:left="2084"/>
              <w:spacing w:after="0"/>
              <w:rPr>
                <w:sz w:val="20"/>
                <w:szCs w:val="20"/>
                <w:color w:val="auto"/>
              </w:rPr>
            </w:pPr>
            <w:r>
              <w:rPr>
                <w:rFonts w:ascii="Arial" w:cs="Arial" w:eastAsia="Arial" w:hAnsi="Arial"/>
                <w:sz w:val="14"/>
                <w:szCs w:val="14"/>
                <w:b w:val="1"/>
                <w:bCs w:val="1"/>
                <w:color w:val="auto"/>
                <w:w w:val="92"/>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Limited Brands, Inc. 1993 Stock Option and Performance Incentive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(2004 Restatement)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156210</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Samuel P. Fried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Limited Brands,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Three Limited Parkway, P.O. Box 16000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Columbus, Ohio 43216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(614) 415-7000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156210</wp:posOffset>
            </wp:positionV>
            <wp:extent cx="1534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3480" w:type="dxa"/>
            <w:vAlign w:val="bottom"/>
          </w:tcPr>
          <w:p>
            <w:pPr>
              <w:spacing w:after="0"/>
              <w:rPr>
                <w:sz w:val="12"/>
                <w:szCs w:val="12"/>
                <w:color w:val="auto"/>
              </w:rPr>
            </w:pPr>
          </w:p>
        </w:tc>
        <w:tc>
          <w:tcPr>
            <w:tcW w:w="3000" w:type="dxa"/>
            <w:vAlign w:val="bottom"/>
          </w:tcPr>
          <w:p>
            <w:pPr>
              <w:jc w:val="center"/>
              <w:ind w:left="387"/>
              <w:spacing w:after="0" w:line="149" w:lineRule="exact"/>
              <w:rPr>
                <w:sz w:val="20"/>
                <w:szCs w:val="20"/>
                <w:color w:val="auto"/>
              </w:rPr>
            </w:pPr>
            <w:r>
              <w:rPr>
                <w:rFonts w:ascii="Arial" w:cs="Arial" w:eastAsia="Arial" w:hAnsi="Arial"/>
                <w:sz w:val="14"/>
                <w:szCs w:val="14"/>
                <w:b w:val="1"/>
                <w:bCs w:val="1"/>
                <w:color w:val="auto"/>
                <w:w w:val="86"/>
              </w:rPr>
              <w:t>Amount</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maximum</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maximum</w:t>
            </w: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3480" w:type="dxa"/>
            <w:vAlign w:val="bottom"/>
          </w:tcPr>
          <w:p>
            <w:pPr>
              <w:spacing w:after="0"/>
              <w:rPr>
                <w:sz w:val="12"/>
                <w:szCs w:val="12"/>
                <w:color w:val="auto"/>
              </w:rPr>
            </w:pPr>
          </w:p>
        </w:tc>
        <w:tc>
          <w:tcPr>
            <w:tcW w:w="3000" w:type="dxa"/>
            <w:vAlign w:val="bottom"/>
          </w:tcPr>
          <w:p>
            <w:pPr>
              <w:jc w:val="center"/>
              <w:ind w:left="367"/>
              <w:spacing w:after="0" w:line="149" w:lineRule="exact"/>
              <w:rPr>
                <w:sz w:val="20"/>
                <w:szCs w:val="20"/>
                <w:color w:val="auto"/>
              </w:rPr>
            </w:pPr>
            <w:r>
              <w:rPr>
                <w:rFonts w:ascii="Arial" w:cs="Arial" w:eastAsia="Arial" w:hAnsi="Arial"/>
                <w:sz w:val="14"/>
                <w:szCs w:val="14"/>
                <w:b w:val="1"/>
                <w:bCs w:val="1"/>
                <w:color w:val="auto"/>
                <w:w w:val="83"/>
              </w:rPr>
              <w:t>to be</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offering price</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560" w:type="dxa"/>
            <w:vAlign w:val="bottom"/>
          </w:tcPr>
          <w:p>
            <w:pPr>
              <w:spacing w:after="0"/>
              <w:rPr>
                <w:sz w:val="12"/>
                <w:szCs w:val="12"/>
                <w:color w:val="auto"/>
              </w:rPr>
            </w:pPr>
          </w:p>
        </w:tc>
        <w:tc>
          <w:tcPr>
            <w:tcW w:w="780" w:type="dxa"/>
            <w:vAlign w:val="bottom"/>
          </w:tcPr>
          <w:p>
            <w:pPr>
              <w:jc w:val="right"/>
              <w:ind w:right="62"/>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 of securities To be registered</w:t>
            </w:r>
          </w:p>
        </w:tc>
        <w:tc>
          <w:tcPr>
            <w:tcW w:w="3000" w:type="dxa"/>
            <w:vAlign w:val="bottom"/>
            <w:tcBorders>
              <w:bottom w:val="single" w:sz="8" w:color="auto"/>
            </w:tcBorders>
          </w:tcPr>
          <w:p>
            <w:pPr>
              <w:jc w:val="center"/>
              <w:ind w:left="367"/>
              <w:spacing w:after="0"/>
              <w:rPr>
                <w:sz w:val="20"/>
                <w:szCs w:val="20"/>
                <w:color w:val="auto"/>
              </w:rPr>
            </w:pPr>
            <w:r>
              <w:rPr>
                <w:rFonts w:ascii="Arial" w:cs="Arial" w:eastAsia="Arial" w:hAnsi="Arial"/>
                <w:sz w:val="14"/>
                <w:szCs w:val="14"/>
                <w:b w:val="1"/>
                <w:bCs w:val="1"/>
                <w:color w:val="auto"/>
                <w:w w:val="85"/>
              </w:rPr>
              <w:t>Registered (1)</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share (2)</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offering price (2)</w:t>
            </w:r>
          </w:p>
        </w:tc>
        <w:tc>
          <w:tcPr>
            <w:tcW w:w="134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w w:val="83"/>
              </w:rPr>
              <w:t>Registration fee</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Common Stock, $.50 par value</w:t>
            </w:r>
          </w:p>
        </w:tc>
        <w:tc>
          <w:tcPr>
            <w:tcW w:w="3000" w:type="dxa"/>
            <w:vAlign w:val="bottom"/>
          </w:tcPr>
          <w:p>
            <w:pPr>
              <w:ind w:left="1300"/>
              <w:spacing w:after="0"/>
              <w:rPr>
                <w:sz w:val="20"/>
                <w:szCs w:val="20"/>
                <w:color w:val="auto"/>
              </w:rPr>
            </w:pPr>
            <w:r>
              <w:rPr>
                <w:rFonts w:ascii="Arial" w:cs="Arial" w:eastAsia="Arial" w:hAnsi="Arial"/>
                <w:sz w:val="18"/>
                <w:szCs w:val="18"/>
                <w:color w:val="auto"/>
              </w:rPr>
              <w:t>20,000,000 shares</w:t>
            </w:r>
          </w:p>
        </w:tc>
        <w:tc>
          <w:tcPr>
            <w:tcW w:w="1620" w:type="dxa"/>
            <w:vAlign w:val="bottom"/>
          </w:tcPr>
          <w:p>
            <w:pPr>
              <w:jc w:val="center"/>
              <w:spacing w:after="0"/>
              <w:rPr>
                <w:sz w:val="20"/>
                <w:szCs w:val="20"/>
                <w:color w:val="auto"/>
              </w:rPr>
            </w:pPr>
            <w:r>
              <w:rPr>
                <w:rFonts w:ascii="Arial" w:cs="Arial" w:eastAsia="Arial" w:hAnsi="Arial"/>
                <w:sz w:val="18"/>
                <w:szCs w:val="18"/>
                <w:color w:val="auto"/>
                <w:w w:val="97"/>
              </w:rPr>
              <w:t>$   18.815</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  376,300,000</w:t>
            </w:r>
          </w:p>
        </w:tc>
        <w:tc>
          <w:tcPr>
            <w:tcW w:w="56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47,678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22" w:lineRule="exact"/>
        <w:rPr>
          <w:sz w:val="24"/>
          <w:szCs w:val="24"/>
          <w:color w:val="auto"/>
        </w:rPr>
      </w:pPr>
    </w:p>
    <w:p>
      <w:pPr>
        <w:ind w:left="460" w:right="360" w:hanging="452"/>
        <w:spacing w:after="0" w:line="25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an indeterminate number of shares of Common Stock as may be issuable in the event of stock splits, stock dividends or similar transactions in accordance with Rule 416 under the Securities Act of 1933, as amended (the “Securities Act”).</w:t>
      </w:r>
    </w:p>
    <w:p>
      <w:pPr>
        <w:ind w:left="460" w:right="26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determining the registration fee pursuant to Rule 457(h) of the Securities Act based upon the average of the high and low prices reported in the New York Stock Exchange consolidated reporting system on August 13,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documents, as filed under the Securities Exchange Act of 1934 (the “1934 Act”) (1934 Act File No. 001-08344) with the Securities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 (the “Commission”) by Limited Brands, Inc. (the “Company” or “Registrant”), are incorporated herein by reference:</w:t>
      </w:r>
    </w:p>
    <w:p>
      <w:pPr>
        <w:spacing w:after="0" w:line="70" w:lineRule="exact"/>
        <w:rPr>
          <w:sz w:val="20"/>
          <w:szCs w:val="20"/>
          <w:color w:val="auto"/>
        </w:rPr>
      </w:pPr>
    </w:p>
    <w:p>
      <w:pPr>
        <w:ind w:left="900" w:right="44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January 31, 2004 (including the portions of the Proxy Statement for our Annual Meeting of Stockholders held on May 17, 2004 incorporated by reference therein);</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fiscal quarter ended May 1, 2004;</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Reports on Form 8-K filed on May 17, 2004 and August 5, 2004;</w:t>
      </w:r>
    </w:p>
    <w:p>
      <w:pPr>
        <w:spacing w:after="0" w:line="76"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Company’s Common Stock contained in the Company’s 1934 Act Registration Statement on Form 8-A, dated May 10, 1982, amended by the Company’s 1934 Act Report on Form 8, dated September 1, 1989, each filed pursuant to Section 12(b) of the 1934 Act, including any subsequent amendment or report filed for the purpose of updating such description.</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documents filed by the Company with the Commission pursuant to Sections 13(a), 13(c), 14 and 15(d) of the Securities Exchange Act of 1934 after the date hereof, and prior to the filing of a post-effective amendment which indicates that all securities offered hereunder have been sold or which deregisters all securities then remaining unsold under this registration statement, shall be deemed to be incorporated by reference herein and to be part hereof from the date of filing of such documents (such documents, and the documents enumerated above, being hereinafter referred to as “</w:t>
      </w:r>
      <w:r>
        <w:rPr>
          <w:rFonts w:ascii="Arial" w:cs="Arial" w:eastAsia="Arial" w:hAnsi="Arial"/>
          <w:sz w:val="16"/>
          <w:szCs w:val="16"/>
          <w:i w:val="1"/>
          <w:iCs w:val="1"/>
          <w:color w:val="auto"/>
        </w:rPr>
        <w:t>Incorporated Documents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documents enumerated above or subsequently filed by the Company pursuant to Sections 13(a), 13(c), 14 and 15(d) of the 1934 Act in each year during which the offering made pursuant to the registration statement is in effect prior to the filing with the Commission of the Company’s Annual Report on Form 10-K covering such year shall not be Incorporated Documents or be a part hereof from and after the filing of such Annual Report on Form 10-K.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 Interests of Named Experts and Counsel.</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Fried, General Counsel of the Company, beneficially owns equity securities of the Company with an aggregate value in excess of $50,000.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145 of the Delaware General Corporation Law provides for indemnification of directors and officers against any legal liability (other than liability arising from derivative suits) if the officer or director acted in good faith and in a manner that he or she reasonably believed to be in or not opposed to the best interests of the corporation. In criminal actions, the officer or director must also have had no reasonable cause to believe that his or her conduct was unlawful. A corporation may indemnify an officer or director in a derivative suit if the officer or director acted in good faith and in a manner that he or she reasonably believed to be in or not opposed to the best interest of the corporation unless the officer or director is found liable to the corporation. However, if the Court of Chancery or the court in which such action or suit was brought determines that the officer or director is fairly and reasonably entitled to indemnity, then the Court of Chancery or such other court may permit indemnity for such officer or director to the extent it deems proper.</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Registrant’s Bylaws provide generally that the Registrant shall indemnify its present and past directors and officers to the fullest extent permitted by the laws of Delaware as they may exist from time to time. Directors and officers of the Registrant and its subsidiaries are indemnified generally against expenses actually and reasonably incurred in connection with proceedings, whether civil or criminal. The Registrant’s Bylaws also provide that indemnification thereunder is not exclusive, and the Registrant may agree to indemnify any person as provided therein. The Registrant is a party to indemnification agreements with its directors and officers. The agreements provide that the Registrant will indemnify such directors and officers to the fullest extent permitted by applicable law, and require the Registrant to maintain directors’ and officers’ liability insurance at the level in effect when the relevant indemnification agreement was executed and to advance expenses upon the request of an officer or director.</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Registrant’s Certificate of Incorporation provides that directors of the Registrant shall not be held personally liable to the Registrant or its stockholders for monetary damages arising from certain breaches of their fiduciary duties. The provision does not insulate directors from personal liability for (i) breaches of their duty of loyalty to the Registrant or its stockholders, (ii) acts or omissions not taken in good faith or that involve intentional misconduct of knowing violation of law, (iii) transactions in which the director derives an improper personal benefit, (iv) unlawfully voting to pay dividends or to repurchase or redeem stock.</w:t>
      </w:r>
    </w:p>
    <w:p>
      <w:pPr>
        <w:spacing w:after="0" w:line="99"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Registrant maintains insurance policies providing for indemnification of directors and officers and for reimbursement to the Registrant for monies which it may pay as indemnity to any director or officer, subject to the conditions and exclusions of the policies and specified deductible provisions.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 Exemption from Registration Claimed.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83" w:lineRule="exact"/>
        <w:rPr>
          <w:sz w:val="20"/>
          <w:szCs w:val="20"/>
          <w:color w:val="auto"/>
        </w:rPr>
      </w:pPr>
    </w:p>
    <w:p>
      <w:pPr>
        <w:ind w:left="1220" w:right="320" w:hanging="742"/>
        <w:spacing w:after="0" w:line="268" w:lineRule="auto"/>
        <w:tabs>
          <w:tab w:leader="none" w:pos="12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Certificate of Incorporation of the Company, dated March 8, 1982 incorporated by reference to Exhibit 3.1 to the Company’s Annual Report on Form 10-K for the fiscal year ended February 3, 2001.</w:t>
      </w:r>
    </w:p>
    <w:p>
      <w:pPr>
        <w:spacing w:after="0" w:line="78" w:lineRule="exact"/>
        <w:rPr>
          <w:sz w:val="20"/>
          <w:szCs w:val="20"/>
          <w:color w:val="auto"/>
        </w:rPr>
      </w:pPr>
    </w:p>
    <w:p>
      <w:pPr>
        <w:ind w:left="1220" w:right="20" w:hanging="742"/>
        <w:spacing w:after="0" w:line="268" w:lineRule="auto"/>
        <w:tabs>
          <w:tab w:leader="none" w:pos="12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Certificate of Amendment of Certificate of Incorporation, dated May 19, 1986 incorporated by reference to Exhibit 3.2 to the Company’s Annual Report on Form 10-K for the fiscal year ended February 3, 2001.</w:t>
      </w:r>
    </w:p>
    <w:p>
      <w:pPr>
        <w:spacing w:after="0" w:line="78" w:lineRule="exact"/>
        <w:rPr>
          <w:sz w:val="20"/>
          <w:szCs w:val="20"/>
          <w:color w:val="auto"/>
        </w:rPr>
      </w:pPr>
    </w:p>
    <w:p>
      <w:pPr>
        <w:ind w:left="1220" w:right="20" w:hanging="742"/>
        <w:spacing w:after="0" w:line="268" w:lineRule="auto"/>
        <w:tabs>
          <w:tab w:leader="none" w:pos="12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Certificate of Amendment of Certificate of Incorporation, dated May 19, 1987 incorporated by reference to Exhibit 3.3 to the Company’s Annual Report on Form 10-K for the fiscal year ended February 3, 2001.</w:t>
      </w:r>
    </w:p>
    <w:p>
      <w:pPr>
        <w:spacing w:after="0" w:line="78" w:lineRule="exact"/>
        <w:rPr>
          <w:sz w:val="20"/>
          <w:szCs w:val="20"/>
          <w:color w:val="auto"/>
        </w:rPr>
      </w:pPr>
    </w:p>
    <w:p>
      <w:pPr>
        <w:ind w:left="1220" w:right="20" w:hanging="742"/>
        <w:spacing w:after="0" w:line="268" w:lineRule="auto"/>
        <w:tabs>
          <w:tab w:leader="none" w:pos="12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Certificate of Amendment of Certificate of Incorporation, dated May 31, 2001 incorporated by reference to Exhibit 3.1 to the Company’s Quarterly Report on Form 10-Q for the quarter ended May 5, 2001.</w:t>
      </w:r>
    </w:p>
    <w:p>
      <w:pPr>
        <w:spacing w:after="0" w:line="78" w:lineRule="exact"/>
        <w:rPr>
          <w:sz w:val="20"/>
          <w:szCs w:val="20"/>
          <w:color w:val="auto"/>
        </w:rPr>
      </w:pPr>
    </w:p>
    <w:p>
      <w:pPr>
        <w:ind w:left="1220" w:right="100" w:hanging="742"/>
        <w:spacing w:after="0" w:line="268" w:lineRule="auto"/>
        <w:tabs>
          <w:tab w:leader="none" w:pos="12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Restated Bylaws of the Company incorporated by reference to Exhibit 3.2 to the Company’s Annual Report on Form 10-K for the fiscal year ended January 30, 1999.</w:t>
      </w:r>
    </w:p>
    <w:p>
      <w:pPr>
        <w:spacing w:after="0" w:line="78" w:lineRule="exact"/>
        <w:rPr>
          <w:sz w:val="20"/>
          <w:szCs w:val="20"/>
          <w:color w:val="auto"/>
        </w:rPr>
      </w:pPr>
    </w:p>
    <w:p>
      <w:pPr>
        <w:ind w:left="1220" w:hanging="742"/>
        <w:spacing w:after="0" w:line="268" w:lineRule="auto"/>
        <w:tabs>
          <w:tab w:leader="none" w:pos="12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Limited Brands, Inc. 1993 Stock Option and Performance Incentive Plan (2004 Restatement) incorporated by reference to Appendix A to the Company’s Proxy Statement dated April 14, 2004.</w:t>
      </w:r>
    </w:p>
    <w:p>
      <w:pPr>
        <w:spacing w:after="0" w:line="78"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color w:val="auto"/>
        </w:rPr>
        <w:t>Opinion of Samuel P. Fried, Esq., regarding legality of securities.</w:t>
      </w:r>
    </w:p>
    <w:p>
      <w:pPr>
        <w:spacing w:after="0" w:line="117"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w:t>
      </w:r>
    </w:p>
    <w:p>
      <w:pPr>
        <w:spacing w:after="0" w:line="117"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Samuel P. Fried, Esq. (included in his opinion filed as Exhibit 5.1).</w:t>
      </w:r>
    </w:p>
    <w:p>
      <w:pPr>
        <w:spacing w:after="0" w:line="117"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5"/>
          <w:szCs w:val="15"/>
          <w:color w:val="auto"/>
        </w:rPr>
        <w:t>Consent of PricewaterhouseCoopers LLP.</w:t>
      </w:r>
    </w:p>
    <w:p>
      <w:pPr>
        <w:spacing w:after="0" w:line="117"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Powers of Attorney (included on signature page).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8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UPDATING DISCLOSURE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15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240" w:top="274" w:right="799" w:bottom="1440" w:gutter="0" w:footer="0" w:header="0"/>
        </w:sectPr>
      </w:pPr>
    </w:p>
    <w:bookmarkStart w:id="4" w:name="page5"/>
    <w:bookmarkEnd w:id="4"/>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file, during any period in which offers or sales are being made, a post-effective amendment to this Registration Statement:</w:t>
      </w:r>
    </w:p>
    <w:p>
      <w:pPr>
        <w:spacing w:after="0" w:line="76" w:lineRule="exact"/>
        <w:rPr>
          <w:rFonts w:ascii="Arial" w:cs="Arial" w:eastAsia="Arial" w:hAnsi="Arial"/>
          <w:sz w:val="18"/>
          <w:szCs w:val="18"/>
          <w:color w:val="auto"/>
        </w:rPr>
      </w:pPr>
    </w:p>
    <w:p>
      <w:pPr>
        <w:ind w:left="1140" w:hanging="219"/>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76" w:lineRule="exact"/>
        <w:rPr>
          <w:rFonts w:ascii="Arial" w:cs="Arial" w:eastAsia="Arial" w:hAnsi="Arial"/>
          <w:sz w:val="18"/>
          <w:szCs w:val="18"/>
          <w:color w:val="auto"/>
        </w:rPr>
      </w:pPr>
    </w:p>
    <w:p>
      <w:pPr>
        <w:ind w:left="920" w:firstLine="1"/>
        <w:spacing w:after="0" w:line="314" w:lineRule="auto"/>
        <w:tabs>
          <w:tab w:leader="none" w:pos="1178" w:val="left"/>
        </w:tabs>
        <w:numPr>
          <w:ilvl w:val="1"/>
          <w:numId w:val="4"/>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0" w:lineRule="exact"/>
        <w:rPr>
          <w:rFonts w:ascii="Arial" w:cs="Arial" w:eastAsia="Arial" w:hAnsi="Arial"/>
          <w:sz w:val="15"/>
          <w:szCs w:val="15"/>
          <w:color w:val="auto"/>
        </w:rPr>
      </w:pPr>
    </w:p>
    <w:p>
      <w:pPr>
        <w:ind w:left="920" w:right="580" w:firstLine="1"/>
        <w:spacing w:after="0" w:line="268" w:lineRule="auto"/>
        <w:tabs>
          <w:tab w:leader="none" w:pos="1227"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7"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(1)(i) and (1)(ii) of this section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periodic reports filed with or furnished to the Commission by the registrant pursuant to section 13 or section 15(d) of the 1934 Act that are incorporated by reference in the registration statement.</w:t>
      </w:r>
    </w:p>
    <w:p>
      <w:pPr>
        <w:spacing w:after="0" w:line="46" w:lineRule="exact"/>
        <w:rPr>
          <w:sz w:val="20"/>
          <w:szCs w:val="20"/>
          <w:color w:val="auto"/>
        </w:rPr>
      </w:pPr>
    </w:p>
    <w:p>
      <w:pPr>
        <w:ind w:left="460" w:right="260" w:firstLine="4"/>
        <w:spacing w:after="0" w:line="259" w:lineRule="auto"/>
        <w:tabs>
          <w:tab w:leader="none" w:pos="709"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45" w:lineRule="exact"/>
        <w:rPr>
          <w:rFonts w:ascii="Arial" w:cs="Arial" w:eastAsia="Arial" w:hAnsi="Arial"/>
          <w:sz w:val="18"/>
          <w:szCs w:val="18"/>
          <w:color w:val="auto"/>
        </w:rPr>
      </w:pPr>
    </w:p>
    <w:p>
      <w:pPr>
        <w:ind w:left="460" w:right="200" w:firstLine="4"/>
        <w:spacing w:after="0" w:line="268" w:lineRule="auto"/>
        <w:tabs>
          <w:tab w:leader="none" w:pos="709"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SUBSEQUENT EXCHANGE ACT DOCUMENTS.</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undersigned Registrant hereby undertakes that, for purposes of determining any liability under the Securities Act of 1933, each filing of the registrant’s</w:t>
      </w:r>
    </w:p>
    <w:p>
      <w:pPr>
        <w:spacing w:after="0" w:line="38"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annual report pursuant to Section 13(a) or Section 15(d) of the 1934 Act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5" w:name="page6"/>
    <w:bookmarkEnd w:id="5"/>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INDEMNIFICATION</w:t>
      </w:r>
    </w:p>
    <w:p>
      <w:pPr>
        <w:spacing w:after="0" w:line="7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Insofar as indemnification for liabilities arising under the Securities Act of 1933 may be permitted to directors, officers and controlling persons of the registrant pursuant to the provisions described in Item 6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280"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Columbus, and State of Ohio on July 30, 2004.</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LIMITED BRANDS, INC.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/s/ V. Ann Hailey</w:t>
            </w:r>
          </w:p>
        </w:tc>
      </w:tr>
      <w:tr>
        <w:trPr>
          <w:trHeight w:val="110"/>
        </w:trPr>
        <w:tc>
          <w:tcPr>
            <w:tcW w:w="640" w:type="dxa"/>
            <w:vAlign w:val="bottom"/>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r>
      <w:tr>
        <w:trPr>
          <w:trHeight w:val="3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V. Ann Hailey</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22"/>
        </w:trPr>
        <w:tc>
          <w:tcPr>
            <w:tcW w:w="6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Each person whose signature appears below hereby constitutes and appoints Samuel P. Fried, his true and lawful attorney-in-fact and agent, with full power of substitution and resubstitution, for him and in his name, place and stead, in any and all capacities, to sign any and all amendments (including post-effective amendments) and supplements to this Registration Statement, and to file the same, with all exhibits thereto, and other documents in connection therewith, with the Securities and Exchange Commission, and hereby grants to such attorney-in fact and agent, full power and authority to do and perform each and every act and thing requisite and necessary to be done,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Signatures</w:t>
            </w:r>
          </w:p>
        </w:tc>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spacing w:after="0"/>
              <w:rPr>
                <w:sz w:val="15"/>
                <w:szCs w:val="15"/>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780" w:type="dxa"/>
            <w:vAlign w:val="bottom"/>
            <w:tcBorders>
              <w:bottom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820" w:type="dxa"/>
            <w:vAlign w:val="bottom"/>
            <w:gridSpan w:val="3"/>
          </w:tcPr>
          <w:p>
            <w:pPr>
              <w:spacing w:after="0"/>
              <w:rPr>
                <w:sz w:val="20"/>
                <w:szCs w:val="20"/>
                <w:color w:val="auto"/>
              </w:rPr>
            </w:pPr>
            <w:r>
              <w:rPr>
                <w:rFonts w:ascii="Arial" w:cs="Arial" w:eastAsia="Arial" w:hAnsi="Arial"/>
                <w:sz w:val="18"/>
                <w:szCs w:val="18"/>
                <w:color w:val="auto"/>
              </w:rPr>
              <w:t>/s/ Leslie H. Wexner</w:t>
            </w:r>
          </w:p>
        </w:tc>
        <w:tc>
          <w:tcPr>
            <w:tcW w:w="4120" w:type="dxa"/>
            <w:vAlign w:val="bottom"/>
            <w:gridSpan w:val="2"/>
          </w:tcPr>
          <w:p>
            <w:pPr>
              <w:spacing w:after="0"/>
              <w:rPr>
                <w:sz w:val="20"/>
                <w:szCs w:val="20"/>
                <w:color w:val="auto"/>
              </w:rPr>
            </w:pPr>
            <w:r>
              <w:rPr>
                <w:rFonts w:ascii="Arial" w:cs="Arial" w:eastAsia="Arial" w:hAnsi="Arial"/>
                <w:sz w:val="18"/>
                <w:szCs w:val="18"/>
                <w:color w:val="auto"/>
              </w:rPr>
              <w:t>Chairman of the Board and Chief</w:t>
            </w:r>
          </w:p>
        </w:tc>
        <w:tc>
          <w:tcPr>
            <w:tcW w:w="1760" w:type="dxa"/>
            <w:vAlign w:val="bottom"/>
            <w:gridSpan w:val="3"/>
          </w:tcPr>
          <w:p>
            <w:pPr>
              <w:jc w:val="center"/>
              <w:ind w:left="712"/>
              <w:spacing w:after="0"/>
              <w:rPr>
                <w:sz w:val="20"/>
                <w:szCs w:val="20"/>
                <w:color w:val="auto"/>
              </w:rPr>
            </w:pPr>
            <w:r>
              <w:rPr>
                <w:rFonts w:ascii="Arial" w:cs="Arial" w:eastAsia="Arial" w:hAnsi="Arial"/>
                <w:sz w:val="18"/>
                <w:szCs w:val="18"/>
                <w:color w:val="auto"/>
                <w:w w:val="89"/>
              </w:rPr>
              <w:t>July 30, 2004</w:t>
            </w:r>
          </w:p>
        </w:tc>
        <w:tc>
          <w:tcPr>
            <w:tcW w:w="0" w:type="dxa"/>
            <w:vAlign w:val="bottom"/>
          </w:tcPr>
          <w:p>
            <w:pPr>
              <w:spacing w:after="0"/>
              <w:rPr>
                <w:sz w:val="1"/>
                <w:szCs w:val="1"/>
                <w:color w:val="auto"/>
              </w:rPr>
            </w:pPr>
          </w:p>
        </w:tc>
      </w:tr>
      <w:tr>
        <w:trPr>
          <w:trHeight w:val="116"/>
        </w:trPr>
        <w:tc>
          <w:tcPr>
            <w:tcW w:w="780" w:type="dxa"/>
            <w:vAlign w:val="bottom"/>
            <w:tcBorders>
              <w:bottom w:val="single" w:sz="8" w:color="auto"/>
            </w:tcBorders>
          </w:tcPr>
          <w:p>
            <w:pPr>
              <w:spacing w:after="0"/>
              <w:rPr>
                <w:sz w:val="10"/>
                <w:szCs w:val="10"/>
                <w:color w:val="auto"/>
              </w:rPr>
            </w:pPr>
          </w:p>
        </w:tc>
        <w:tc>
          <w:tcPr>
            <w:tcW w:w="368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Executive Officer</w:t>
            </w: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820" w:type="dxa"/>
            <w:vAlign w:val="bottom"/>
            <w:gridSpan w:val="3"/>
            <w:vMerge w:val="restart"/>
          </w:tcPr>
          <w:p>
            <w:pPr>
              <w:spacing w:after="0"/>
              <w:rPr>
                <w:sz w:val="20"/>
                <w:szCs w:val="20"/>
                <w:color w:val="auto"/>
              </w:rPr>
            </w:pPr>
            <w:r>
              <w:rPr>
                <w:rFonts w:ascii="Arial" w:cs="Arial" w:eastAsia="Arial" w:hAnsi="Arial"/>
                <w:sz w:val="18"/>
                <w:szCs w:val="18"/>
                <w:color w:val="auto"/>
              </w:rPr>
              <w:t>Leslie H. Wexner</w:t>
            </w:r>
          </w:p>
        </w:tc>
        <w:tc>
          <w:tcPr>
            <w:tcW w:w="4120" w:type="dxa"/>
            <w:vAlign w:val="bottom"/>
            <w:gridSpan w:val="2"/>
            <w:vMerge w:val="continue"/>
          </w:tcPr>
          <w:p>
            <w:pPr>
              <w:spacing w:after="0"/>
              <w:rPr>
                <w:sz w:val="7"/>
                <w:szCs w:val="7"/>
                <w:color w:val="auto"/>
              </w:rPr>
            </w:pPr>
          </w:p>
        </w:tc>
        <w:tc>
          <w:tcPr>
            <w:tcW w:w="1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82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820" w:type="dxa"/>
            <w:vAlign w:val="bottom"/>
            <w:gridSpan w:val="3"/>
          </w:tcPr>
          <w:p>
            <w:pPr>
              <w:spacing w:after="0"/>
              <w:rPr>
                <w:sz w:val="20"/>
                <w:szCs w:val="20"/>
                <w:color w:val="auto"/>
              </w:rPr>
            </w:pPr>
            <w:r>
              <w:rPr>
                <w:rFonts w:ascii="Arial" w:cs="Arial" w:eastAsia="Arial" w:hAnsi="Arial"/>
                <w:sz w:val="18"/>
                <w:szCs w:val="18"/>
                <w:color w:val="auto"/>
              </w:rPr>
              <w:t>/s/ V. Ann Hailey</w:t>
            </w:r>
          </w:p>
        </w:tc>
        <w:tc>
          <w:tcPr>
            <w:tcW w:w="4120" w:type="dxa"/>
            <w:vAlign w:val="bottom"/>
            <w:gridSpan w:val="2"/>
          </w:tcPr>
          <w:p>
            <w:pPr>
              <w:spacing w:after="0"/>
              <w:rPr>
                <w:sz w:val="20"/>
                <w:szCs w:val="20"/>
                <w:color w:val="auto"/>
              </w:rPr>
            </w:pPr>
            <w:r>
              <w:rPr>
                <w:rFonts w:ascii="Arial" w:cs="Arial" w:eastAsia="Arial" w:hAnsi="Arial"/>
                <w:sz w:val="18"/>
                <w:szCs w:val="18"/>
                <w:color w:val="auto"/>
              </w:rPr>
              <w:t>Executive Vice President and</w:t>
            </w:r>
          </w:p>
        </w:tc>
        <w:tc>
          <w:tcPr>
            <w:tcW w:w="1760" w:type="dxa"/>
            <w:vAlign w:val="bottom"/>
            <w:gridSpan w:val="3"/>
          </w:tcPr>
          <w:p>
            <w:pPr>
              <w:jc w:val="center"/>
              <w:ind w:left="712"/>
              <w:spacing w:after="0"/>
              <w:rPr>
                <w:sz w:val="20"/>
                <w:szCs w:val="20"/>
                <w:color w:val="auto"/>
              </w:rPr>
            </w:pPr>
            <w:r>
              <w:rPr>
                <w:rFonts w:ascii="Arial" w:cs="Arial" w:eastAsia="Arial" w:hAnsi="Arial"/>
                <w:sz w:val="18"/>
                <w:szCs w:val="18"/>
                <w:color w:val="auto"/>
                <w:w w:val="89"/>
              </w:rPr>
              <w:t>July 30, 2004</w:t>
            </w:r>
          </w:p>
        </w:tc>
        <w:tc>
          <w:tcPr>
            <w:tcW w:w="0" w:type="dxa"/>
            <w:vAlign w:val="bottom"/>
          </w:tcPr>
          <w:p>
            <w:pPr>
              <w:spacing w:after="0"/>
              <w:rPr>
                <w:sz w:val="1"/>
                <w:szCs w:val="1"/>
                <w:color w:val="auto"/>
              </w:rPr>
            </w:pPr>
          </w:p>
        </w:tc>
      </w:tr>
      <w:tr>
        <w:trPr>
          <w:trHeight w:val="116"/>
        </w:trPr>
        <w:tc>
          <w:tcPr>
            <w:tcW w:w="780" w:type="dxa"/>
            <w:vAlign w:val="bottom"/>
            <w:tcBorders>
              <w:bottom w:val="single" w:sz="8" w:color="auto"/>
            </w:tcBorders>
          </w:tcPr>
          <w:p>
            <w:pPr>
              <w:spacing w:after="0"/>
              <w:rPr>
                <w:sz w:val="10"/>
                <w:szCs w:val="10"/>
                <w:color w:val="auto"/>
              </w:rPr>
            </w:pPr>
          </w:p>
        </w:tc>
        <w:tc>
          <w:tcPr>
            <w:tcW w:w="368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Chief Financial Officer (principal financial and</w:t>
            </w: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780" w:type="dxa"/>
            <w:vAlign w:val="bottom"/>
          </w:tcPr>
          <w:p>
            <w:pPr>
              <w:spacing w:after="0"/>
              <w:rPr>
                <w:sz w:val="6"/>
                <w:szCs w:val="6"/>
                <w:color w:val="auto"/>
              </w:rPr>
            </w:pPr>
          </w:p>
        </w:tc>
        <w:tc>
          <w:tcPr>
            <w:tcW w:w="3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120" w:type="dxa"/>
            <w:vAlign w:val="bottom"/>
            <w:gridSpan w:val="2"/>
            <w:vMerge w:val="continue"/>
          </w:tcPr>
          <w:p>
            <w:pPr>
              <w:spacing w:after="0"/>
              <w:rPr>
                <w:sz w:val="6"/>
                <w:szCs w:val="6"/>
                <w:color w:val="auto"/>
              </w:rPr>
            </w:pPr>
          </w:p>
        </w:tc>
        <w:tc>
          <w:tcPr>
            <w:tcW w:w="1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4820" w:type="dxa"/>
            <w:vAlign w:val="bottom"/>
            <w:gridSpan w:val="3"/>
          </w:tcPr>
          <w:p>
            <w:pPr>
              <w:spacing w:after="0"/>
              <w:rPr>
                <w:sz w:val="20"/>
                <w:szCs w:val="20"/>
                <w:color w:val="auto"/>
              </w:rPr>
            </w:pPr>
            <w:r>
              <w:rPr>
                <w:rFonts w:ascii="Arial" w:cs="Arial" w:eastAsia="Arial" w:hAnsi="Arial"/>
                <w:sz w:val="18"/>
                <w:szCs w:val="18"/>
                <w:color w:val="auto"/>
              </w:rPr>
              <w:t>V. Ann Hailey</w:t>
            </w:r>
          </w:p>
        </w:tc>
        <w:tc>
          <w:tcPr>
            <w:tcW w:w="412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820" w:type="dxa"/>
            <w:vAlign w:val="bottom"/>
            <w:gridSpan w:val="3"/>
          </w:tcPr>
          <w:p>
            <w:pPr>
              <w:spacing w:after="0"/>
              <w:rPr>
                <w:sz w:val="20"/>
                <w:szCs w:val="20"/>
                <w:color w:val="auto"/>
              </w:rPr>
            </w:pPr>
            <w:r>
              <w:rPr>
                <w:rFonts w:ascii="Arial" w:cs="Arial" w:eastAsia="Arial" w:hAnsi="Arial"/>
                <w:sz w:val="18"/>
                <w:szCs w:val="18"/>
                <w:color w:val="auto"/>
              </w:rPr>
              <w:t>/s/ Eugene M. Freedman</w:t>
            </w:r>
          </w:p>
        </w:tc>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712"/>
              <w:spacing w:after="0"/>
              <w:rPr>
                <w:sz w:val="20"/>
                <w:szCs w:val="20"/>
                <w:color w:val="auto"/>
              </w:rPr>
            </w:pPr>
            <w:r>
              <w:rPr>
                <w:rFonts w:ascii="Arial" w:cs="Arial" w:eastAsia="Arial" w:hAnsi="Arial"/>
                <w:sz w:val="18"/>
                <w:szCs w:val="18"/>
                <w:color w:val="auto"/>
                <w:w w:val="89"/>
              </w:rPr>
              <w:t>July 30, 2004</w:t>
            </w:r>
          </w:p>
        </w:tc>
        <w:tc>
          <w:tcPr>
            <w:tcW w:w="0" w:type="dxa"/>
            <w:vAlign w:val="bottom"/>
          </w:tcPr>
          <w:p>
            <w:pPr>
              <w:spacing w:after="0"/>
              <w:rPr>
                <w:sz w:val="1"/>
                <w:szCs w:val="1"/>
                <w:color w:val="auto"/>
              </w:rPr>
            </w:pPr>
          </w:p>
        </w:tc>
      </w:tr>
      <w:tr>
        <w:trPr>
          <w:trHeight w:val="110"/>
        </w:trPr>
        <w:tc>
          <w:tcPr>
            <w:tcW w:w="4460" w:type="dxa"/>
            <w:vAlign w:val="bottom"/>
            <w:tcBorders>
              <w:bottom w:val="single" w:sz="8" w:color="auto"/>
            </w:tcBorders>
            <w:gridSpan w:val="2"/>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20" w:type="dxa"/>
            <w:vAlign w:val="bottom"/>
            <w:gridSpan w:val="3"/>
          </w:tcPr>
          <w:p>
            <w:pPr>
              <w:spacing w:after="0"/>
              <w:rPr>
                <w:sz w:val="20"/>
                <w:szCs w:val="20"/>
                <w:color w:val="auto"/>
              </w:rPr>
            </w:pPr>
            <w:r>
              <w:rPr>
                <w:rFonts w:ascii="Arial" w:cs="Arial" w:eastAsia="Arial" w:hAnsi="Arial"/>
                <w:sz w:val="18"/>
                <w:szCs w:val="18"/>
                <w:color w:val="auto"/>
              </w:rPr>
              <w:t>Eugene M. Freedman</w:t>
            </w:r>
          </w:p>
        </w:tc>
        <w:tc>
          <w:tcPr>
            <w:tcW w:w="3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20" w:type="dxa"/>
            <w:vAlign w:val="bottom"/>
            <w:gridSpan w:val="2"/>
          </w:tcPr>
          <w:p>
            <w:pPr>
              <w:ind w:left="860"/>
              <w:spacing w:after="0"/>
              <w:rPr>
                <w:sz w:val="20"/>
                <w:szCs w:val="20"/>
                <w:color w:val="auto"/>
              </w:rPr>
            </w:pPr>
            <w:r>
              <w:rPr>
                <w:rFonts w:ascii="Arial" w:cs="Arial" w:eastAsia="Arial" w:hAnsi="Arial"/>
                <w:sz w:val="18"/>
                <w:szCs w:val="18"/>
                <w:color w:val="auto"/>
              </w:rPr>
              <w:t>7</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Signatures</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4520" w:type="dxa"/>
            <w:vAlign w:val="bottom"/>
          </w:tcPr>
          <w:p>
            <w:pPr>
              <w:spacing w:after="0"/>
              <w:rPr>
                <w:sz w:val="15"/>
                <w:szCs w:val="15"/>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r>
      <w:tr>
        <w:trPr>
          <w:trHeight w:val="95"/>
        </w:trPr>
        <w:tc>
          <w:tcPr>
            <w:tcW w:w="780" w:type="dxa"/>
            <w:vAlign w:val="bottom"/>
            <w:tcBorders>
              <w:bottom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r>
      <w:tr>
        <w:trPr>
          <w:trHeight w:val="316"/>
        </w:trPr>
        <w:tc>
          <w:tcPr>
            <w:tcW w:w="4820" w:type="dxa"/>
            <w:vAlign w:val="bottom"/>
            <w:gridSpan w:val="3"/>
          </w:tcPr>
          <w:p>
            <w:pPr>
              <w:spacing w:after="0"/>
              <w:rPr>
                <w:sz w:val="20"/>
                <w:szCs w:val="20"/>
                <w:color w:val="auto"/>
              </w:rPr>
            </w:pPr>
            <w:r>
              <w:rPr>
                <w:rFonts w:ascii="Arial" w:cs="Arial" w:eastAsia="Arial" w:hAnsi="Arial"/>
                <w:sz w:val="18"/>
                <w:szCs w:val="18"/>
                <w:color w:val="auto"/>
              </w:rPr>
              <w:t>/s/ E. Gordon Gee</w:t>
            </w:r>
          </w:p>
        </w:tc>
        <w:tc>
          <w:tcPr>
            <w:tcW w:w="7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160" w:type="dxa"/>
            <w:vAlign w:val="bottom"/>
            <w:gridSpan w:val="3"/>
          </w:tcPr>
          <w:p>
            <w:pPr>
              <w:jc w:val="center"/>
              <w:ind w:left="4112"/>
              <w:spacing w:after="0"/>
              <w:rPr>
                <w:sz w:val="20"/>
                <w:szCs w:val="20"/>
                <w:color w:val="auto"/>
              </w:rPr>
            </w:pPr>
            <w:r>
              <w:rPr>
                <w:rFonts w:ascii="Arial" w:cs="Arial" w:eastAsia="Arial" w:hAnsi="Arial"/>
                <w:sz w:val="18"/>
                <w:szCs w:val="18"/>
                <w:color w:val="auto"/>
                <w:w w:val="89"/>
              </w:rPr>
              <w:t>July 30, 2004</w:t>
            </w:r>
          </w:p>
        </w:tc>
      </w:tr>
      <w:tr>
        <w:trPr>
          <w:trHeight w:val="110"/>
        </w:trPr>
        <w:tc>
          <w:tcPr>
            <w:tcW w:w="4460" w:type="dxa"/>
            <w:vAlign w:val="bottom"/>
            <w:tcBorders>
              <w:bottom w:val="single" w:sz="8" w:color="auto"/>
            </w:tcBorders>
            <w:gridSpan w:val="2"/>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4820" w:type="dxa"/>
            <w:vAlign w:val="bottom"/>
            <w:gridSpan w:val="3"/>
          </w:tcPr>
          <w:p>
            <w:pPr>
              <w:spacing w:after="0"/>
              <w:rPr>
                <w:sz w:val="20"/>
                <w:szCs w:val="20"/>
                <w:color w:val="auto"/>
              </w:rPr>
            </w:pPr>
            <w:r>
              <w:rPr>
                <w:rFonts w:ascii="Arial" w:cs="Arial" w:eastAsia="Arial" w:hAnsi="Arial"/>
                <w:sz w:val="18"/>
                <w:szCs w:val="18"/>
                <w:color w:val="auto"/>
              </w:rPr>
              <w:t>E. Gordon Gee</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46"/>
        </w:trPr>
        <w:tc>
          <w:tcPr>
            <w:tcW w:w="4820" w:type="dxa"/>
            <w:vAlign w:val="bottom"/>
            <w:gridSpan w:val="3"/>
          </w:tcPr>
          <w:p>
            <w:pPr>
              <w:spacing w:after="0"/>
              <w:rPr>
                <w:sz w:val="20"/>
                <w:szCs w:val="20"/>
                <w:color w:val="auto"/>
              </w:rPr>
            </w:pPr>
            <w:r>
              <w:rPr>
                <w:rFonts w:ascii="Arial" w:cs="Arial" w:eastAsia="Arial" w:hAnsi="Arial"/>
                <w:sz w:val="18"/>
                <w:szCs w:val="18"/>
                <w:color w:val="auto"/>
              </w:rPr>
              <w:t>/s/ James L. Heskett</w:t>
            </w:r>
          </w:p>
        </w:tc>
        <w:tc>
          <w:tcPr>
            <w:tcW w:w="7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160" w:type="dxa"/>
            <w:vAlign w:val="bottom"/>
            <w:gridSpan w:val="3"/>
          </w:tcPr>
          <w:p>
            <w:pPr>
              <w:jc w:val="center"/>
              <w:ind w:left="4112"/>
              <w:spacing w:after="0"/>
              <w:rPr>
                <w:sz w:val="20"/>
                <w:szCs w:val="20"/>
                <w:color w:val="auto"/>
              </w:rPr>
            </w:pPr>
            <w:r>
              <w:rPr>
                <w:rFonts w:ascii="Arial" w:cs="Arial" w:eastAsia="Arial" w:hAnsi="Arial"/>
                <w:sz w:val="18"/>
                <w:szCs w:val="18"/>
                <w:color w:val="auto"/>
                <w:w w:val="89"/>
              </w:rPr>
              <w:t>July 30, 2004</w:t>
            </w:r>
          </w:p>
        </w:tc>
      </w:tr>
      <w:tr>
        <w:trPr>
          <w:trHeight w:val="110"/>
        </w:trPr>
        <w:tc>
          <w:tcPr>
            <w:tcW w:w="4460" w:type="dxa"/>
            <w:vAlign w:val="bottom"/>
            <w:tcBorders>
              <w:bottom w:val="single" w:sz="8" w:color="auto"/>
            </w:tcBorders>
            <w:gridSpan w:val="2"/>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4820" w:type="dxa"/>
            <w:vAlign w:val="bottom"/>
            <w:gridSpan w:val="3"/>
          </w:tcPr>
          <w:p>
            <w:pPr>
              <w:spacing w:after="0"/>
              <w:rPr>
                <w:sz w:val="20"/>
                <w:szCs w:val="20"/>
                <w:color w:val="auto"/>
              </w:rPr>
            </w:pPr>
            <w:r>
              <w:rPr>
                <w:rFonts w:ascii="Arial" w:cs="Arial" w:eastAsia="Arial" w:hAnsi="Arial"/>
                <w:sz w:val="18"/>
                <w:szCs w:val="18"/>
                <w:color w:val="auto"/>
              </w:rPr>
              <w:t>James L. Heskett</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46"/>
        </w:trPr>
        <w:tc>
          <w:tcPr>
            <w:tcW w:w="4820" w:type="dxa"/>
            <w:vAlign w:val="bottom"/>
            <w:gridSpan w:val="3"/>
          </w:tcPr>
          <w:p>
            <w:pPr>
              <w:spacing w:after="0"/>
              <w:rPr>
                <w:sz w:val="20"/>
                <w:szCs w:val="20"/>
                <w:color w:val="auto"/>
              </w:rPr>
            </w:pPr>
            <w:r>
              <w:rPr>
                <w:rFonts w:ascii="Arial" w:cs="Arial" w:eastAsia="Arial" w:hAnsi="Arial"/>
                <w:sz w:val="18"/>
                <w:szCs w:val="18"/>
                <w:color w:val="auto"/>
              </w:rPr>
              <w:t>/s/ Donna A. James</w:t>
            </w:r>
          </w:p>
        </w:tc>
        <w:tc>
          <w:tcPr>
            <w:tcW w:w="7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160" w:type="dxa"/>
            <w:vAlign w:val="bottom"/>
            <w:gridSpan w:val="3"/>
          </w:tcPr>
          <w:p>
            <w:pPr>
              <w:jc w:val="center"/>
              <w:ind w:left="4112"/>
              <w:spacing w:after="0"/>
              <w:rPr>
                <w:sz w:val="20"/>
                <w:szCs w:val="20"/>
                <w:color w:val="auto"/>
              </w:rPr>
            </w:pPr>
            <w:r>
              <w:rPr>
                <w:rFonts w:ascii="Arial" w:cs="Arial" w:eastAsia="Arial" w:hAnsi="Arial"/>
                <w:sz w:val="18"/>
                <w:szCs w:val="18"/>
                <w:color w:val="auto"/>
                <w:w w:val="89"/>
              </w:rPr>
              <w:t>July 30, 2004</w:t>
            </w:r>
          </w:p>
        </w:tc>
      </w:tr>
      <w:tr>
        <w:trPr>
          <w:trHeight w:val="110"/>
        </w:trPr>
        <w:tc>
          <w:tcPr>
            <w:tcW w:w="4460" w:type="dxa"/>
            <w:vAlign w:val="bottom"/>
            <w:tcBorders>
              <w:bottom w:val="single" w:sz="8" w:color="auto"/>
            </w:tcBorders>
            <w:gridSpan w:val="2"/>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4820" w:type="dxa"/>
            <w:vAlign w:val="bottom"/>
            <w:gridSpan w:val="3"/>
          </w:tcPr>
          <w:p>
            <w:pPr>
              <w:spacing w:after="0"/>
              <w:rPr>
                <w:sz w:val="20"/>
                <w:szCs w:val="20"/>
                <w:color w:val="auto"/>
              </w:rPr>
            </w:pPr>
            <w:r>
              <w:rPr>
                <w:rFonts w:ascii="Arial" w:cs="Arial" w:eastAsia="Arial" w:hAnsi="Arial"/>
                <w:sz w:val="18"/>
                <w:szCs w:val="18"/>
                <w:color w:val="auto"/>
              </w:rPr>
              <w:t>Donna A. James</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46"/>
        </w:trPr>
        <w:tc>
          <w:tcPr>
            <w:tcW w:w="4820" w:type="dxa"/>
            <w:vAlign w:val="bottom"/>
            <w:gridSpan w:val="3"/>
          </w:tcPr>
          <w:p>
            <w:pPr>
              <w:spacing w:after="0"/>
              <w:rPr>
                <w:sz w:val="20"/>
                <w:szCs w:val="20"/>
                <w:color w:val="auto"/>
              </w:rPr>
            </w:pPr>
            <w:r>
              <w:rPr>
                <w:rFonts w:ascii="Arial" w:cs="Arial" w:eastAsia="Arial" w:hAnsi="Arial"/>
                <w:sz w:val="18"/>
                <w:szCs w:val="18"/>
                <w:color w:val="auto"/>
              </w:rPr>
              <w:t>/s/ David T. Kollat</w:t>
            </w:r>
          </w:p>
        </w:tc>
        <w:tc>
          <w:tcPr>
            <w:tcW w:w="7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160" w:type="dxa"/>
            <w:vAlign w:val="bottom"/>
            <w:gridSpan w:val="3"/>
          </w:tcPr>
          <w:p>
            <w:pPr>
              <w:jc w:val="center"/>
              <w:ind w:left="4112"/>
              <w:spacing w:after="0"/>
              <w:rPr>
                <w:sz w:val="20"/>
                <w:szCs w:val="20"/>
                <w:color w:val="auto"/>
              </w:rPr>
            </w:pPr>
            <w:r>
              <w:rPr>
                <w:rFonts w:ascii="Arial" w:cs="Arial" w:eastAsia="Arial" w:hAnsi="Arial"/>
                <w:sz w:val="18"/>
                <w:szCs w:val="18"/>
                <w:color w:val="auto"/>
                <w:w w:val="89"/>
              </w:rPr>
              <w:t>July 30, 2004</w:t>
            </w:r>
          </w:p>
        </w:tc>
      </w:tr>
      <w:tr>
        <w:trPr>
          <w:trHeight w:val="110"/>
        </w:trPr>
        <w:tc>
          <w:tcPr>
            <w:tcW w:w="4460" w:type="dxa"/>
            <w:vAlign w:val="bottom"/>
            <w:tcBorders>
              <w:bottom w:val="single" w:sz="8" w:color="auto"/>
            </w:tcBorders>
            <w:gridSpan w:val="2"/>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4820" w:type="dxa"/>
            <w:vAlign w:val="bottom"/>
            <w:gridSpan w:val="3"/>
          </w:tcPr>
          <w:p>
            <w:pPr>
              <w:spacing w:after="0"/>
              <w:rPr>
                <w:sz w:val="20"/>
                <w:szCs w:val="20"/>
                <w:color w:val="auto"/>
              </w:rPr>
            </w:pPr>
            <w:r>
              <w:rPr>
                <w:rFonts w:ascii="Arial" w:cs="Arial" w:eastAsia="Arial" w:hAnsi="Arial"/>
                <w:sz w:val="18"/>
                <w:szCs w:val="18"/>
                <w:color w:val="auto"/>
              </w:rPr>
              <w:t>David T. Kollat</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46"/>
        </w:trPr>
        <w:tc>
          <w:tcPr>
            <w:tcW w:w="4820" w:type="dxa"/>
            <w:vAlign w:val="bottom"/>
            <w:gridSpan w:val="3"/>
          </w:tcPr>
          <w:p>
            <w:pPr>
              <w:spacing w:after="0"/>
              <w:rPr>
                <w:sz w:val="20"/>
                <w:szCs w:val="20"/>
                <w:color w:val="auto"/>
              </w:rPr>
            </w:pPr>
            <w:r>
              <w:rPr>
                <w:rFonts w:ascii="Arial" w:cs="Arial" w:eastAsia="Arial" w:hAnsi="Arial"/>
                <w:sz w:val="18"/>
                <w:szCs w:val="18"/>
                <w:color w:val="auto"/>
              </w:rPr>
              <w:t>/s/ Leonard A. Schlesinger</w:t>
            </w:r>
          </w:p>
        </w:tc>
        <w:tc>
          <w:tcPr>
            <w:tcW w:w="7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160" w:type="dxa"/>
            <w:vAlign w:val="bottom"/>
            <w:gridSpan w:val="3"/>
          </w:tcPr>
          <w:p>
            <w:pPr>
              <w:jc w:val="center"/>
              <w:ind w:left="4112"/>
              <w:spacing w:after="0"/>
              <w:rPr>
                <w:sz w:val="20"/>
                <w:szCs w:val="20"/>
                <w:color w:val="auto"/>
              </w:rPr>
            </w:pPr>
            <w:r>
              <w:rPr>
                <w:rFonts w:ascii="Arial" w:cs="Arial" w:eastAsia="Arial" w:hAnsi="Arial"/>
                <w:sz w:val="18"/>
                <w:szCs w:val="18"/>
                <w:color w:val="auto"/>
                <w:w w:val="89"/>
              </w:rPr>
              <w:t>July 30, 2004</w:t>
            </w:r>
          </w:p>
        </w:tc>
      </w:tr>
      <w:tr>
        <w:trPr>
          <w:trHeight w:val="110"/>
        </w:trPr>
        <w:tc>
          <w:tcPr>
            <w:tcW w:w="4460" w:type="dxa"/>
            <w:vAlign w:val="bottom"/>
            <w:tcBorders>
              <w:bottom w:val="single" w:sz="8" w:color="auto"/>
            </w:tcBorders>
            <w:gridSpan w:val="2"/>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4820" w:type="dxa"/>
            <w:vAlign w:val="bottom"/>
            <w:gridSpan w:val="3"/>
          </w:tcPr>
          <w:p>
            <w:pPr>
              <w:spacing w:after="0"/>
              <w:rPr>
                <w:sz w:val="20"/>
                <w:szCs w:val="20"/>
                <w:color w:val="auto"/>
              </w:rPr>
            </w:pPr>
            <w:r>
              <w:rPr>
                <w:rFonts w:ascii="Arial" w:cs="Arial" w:eastAsia="Arial" w:hAnsi="Arial"/>
                <w:sz w:val="18"/>
                <w:szCs w:val="18"/>
                <w:color w:val="auto"/>
              </w:rPr>
              <w:t>Leonard A. Schlesinger</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46"/>
        </w:trPr>
        <w:tc>
          <w:tcPr>
            <w:tcW w:w="4820" w:type="dxa"/>
            <w:vAlign w:val="bottom"/>
            <w:gridSpan w:val="3"/>
          </w:tcPr>
          <w:p>
            <w:pPr>
              <w:spacing w:after="0"/>
              <w:rPr>
                <w:sz w:val="20"/>
                <w:szCs w:val="20"/>
                <w:color w:val="auto"/>
              </w:rPr>
            </w:pPr>
            <w:r>
              <w:rPr>
                <w:rFonts w:ascii="Arial" w:cs="Arial" w:eastAsia="Arial" w:hAnsi="Arial"/>
                <w:sz w:val="18"/>
                <w:szCs w:val="18"/>
                <w:color w:val="auto"/>
              </w:rPr>
              <w:t>/s/ Donald B. Shackelford</w:t>
            </w:r>
          </w:p>
        </w:tc>
        <w:tc>
          <w:tcPr>
            <w:tcW w:w="7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160" w:type="dxa"/>
            <w:vAlign w:val="bottom"/>
            <w:gridSpan w:val="3"/>
          </w:tcPr>
          <w:p>
            <w:pPr>
              <w:jc w:val="center"/>
              <w:ind w:left="4112"/>
              <w:spacing w:after="0"/>
              <w:rPr>
                <w:sz w:val="20"/>
                <w:szCs w:val="20"/>
                <w:color w:val="auto"/>
              </w:rPr>
            </w:pPr>
            <w:r>
              <w:rPr>
                <w:rFonts w:ascii="Arial" w:cs="Arial" w:eastAsia="Arial" w:hAnsi="Arial"/>
                <w:sz w:val="18"/>
                <w:szCs w:val="18"/>
                <w:color w:val="auto"/>
                <w:w w:val="89"/>
              </w:rPr>
              <w:t>July 30, 2004</w:t>
            </w:r>
          </w:p>
        </w:tc>
      </w:tr>
      <w:tr>
        <w:trPr>
          <w:trHeight w:val="110"/>
        </w:trPr>
        <w:tc>
          <w:tcPr>
            <w:tcW w:w="4460" w:type="dxa"/>
            <w:vAlign w:val="bottom"/>
            <w:tcBorders>
              <w:bottom w:val="single" w:sz="8" w:color="auto"/>
            </w:tcBorders>
            <w:gridSpan w:val="2"/>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4820" w:type="dxa"/>
            <w:vAlign w:val="bottom"/>
            <w:gridSpan w:val="3"/>
          </w:tcPr>
          <w:p>
            <w:pPr>
              <w:spacing w:after="0"/>
              <w:rPr>
                <w:sz w:val="20"/>
                <w:szCs w:val="20"/>
                <w:color w:val="auto"/>
              </w:rPr>
            </w:pPr>
            <w:r>
              <w:rPr>
                <w:rFonts w:ascii="Arial" w:cs="Arial" w:eastAsia="Arial" w:hAnsi="Arial"/>
                <w:sz w:val="18"/>
                <w:szCs w:val="18"/>
                <w:color w:val="auto"/>
              </w:rPr>
              <w:t>Donald B. Shackelford</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46"/>
        </w:trPr>
        <w:tc>
          <w:tcPr>
            <w:tcW w:w="4820" w:type="dxa"/>
            <w:vAlign w:val="bottom"/>
            <w:gridSpan w:val="3"/>
          </w:tcPr>
          <w:p>
            <w:pPr>
              <w:spacing w:after="0"/>
              <w:rPr>
                <w:sz w:val="20"/>
                <w:szCs w:val="20"/>
                <w:color w:val="auto"/>
              </w:rPr>
            </w:pPr>
            <w:r>
              <w:rPr>
                <w:rFonts w:ascii="Arial" w:cs="Arial" w:eastAsia="Arial" w:hAnsi="Arial"/>
                <w:sz w:val="18"/>
                <w:szCs w:val="18"/>
                <w:color w:val="auto"/>
              </w:rPr>
              <w:t>/s/ Allan R. Tessler</w:t>
            </w:r>
          </w:p>
        </w:tc>
        <w:tc>
          <w:tcPr>
            <w:tcW w:w="7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160" w:type="dxa"/>
            <w:vAlign w:val="bottom"/>
            <w:gridSpan w:val="3"/>
          </w:tcPr>
          <w:p>
            <w:pPr>
              <w:jc w:val="center"/>
              <w:ind w:left="4112"/>
              <w:spacing w:after="0"/>
              <w:rPr>
                <w:sz w:val="20"/>
                <w:szCs w:val="20"/>
                <w:color w:val="auto"/>
              </w:rPr>
            </w:pPr>
            <w:r>
              <w:rPr>
                <w:rFonts w:ascii="Arial" w:cs="Arial" w:eastAsia="Arial" w:hAnsi="Arial"/>
                <w:sz w:val="18"/>
                <w:szCs w:val="18"/>
                <w:color w:val="auto"/>
                <w:w w:val="89"/>
              </w:rPr>
              <w:t>July 30, 2004</w:t>
            </w:r>
          </w:p>
        </w:tc>
      </w:tr>
      <w:tr>
        <w:trPr>
          <w:trHeight w:val="110"/>
        </w:trPr>
        <w:tc>
          <w:tcPr>
            <w:tcW w:w="4460" w:type="dxa"/>
            <w:vAlign w:val="bottom"/>
            <w:tcBorders>
              <w:bottom w:val="single" w:sz="8" w:color="auto"/>
            </w:tcBorders>
            <w:gridSpan w:val="2"/>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4820" w:type="dxa"/>
            <w:vAlign w:val="bottom"/>
            <w:gridSpan w:val="3"/>
          </w:tcPr>
          <w:p>
            <w:pPr>
              <w:spacing w:after="0"/>
              <w:rPr>
                <w:sz w:val="20"/>
                <w:szCs w:val="20"/>
                <w:color w:val="auto"/>
              </w:rPr>
            </w:pPr>
            <w:r>
              <w:rPr>
                <w:rFonts w:ascii="Arial" w:cs="Arial" w:eastAsia="Arial" w:hAnsi="Arial"/>
                <w:sz w:val="18"/>
                <w:szCs w:val="18"/>
                <w:color w:val="auto"/>
              </w:rPr>
              <w:t>Allan R. Tessler</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46"/>
        </w:trPr>
        <w:tc>
          <w:tcPr>
            <w:tcW w:w="4820" w:type="dxa"/>
            <w:vAlign w:val="bottom"/>
            <w:gridSpan w:val="3"/>
          </w:tcPr>
          <w:p>
            <w:pPr>
              <w:spacing w:after="0"/>
              <w:rPr>
                <w:sz w:val="20"/>
                <w:szCs w:val="20"/>
                <w:color w:val="auto"/>
              </w:rPr>
            </w:pPr>
            <w:r>
              <w:rPr>
                <w:rFonts w:ascii="Arial" w:cs="Arial" w:eastAsia="Arial" w:hAnsi="Arial"/>
                <w:sz w:val="18"/>
                <w:szCs w:val="18"/>
                <w:color w:val="auto"/>
              </w:rPr>
              <w:t>/s/ Abigail S. Wexner</w:t>
            </w:r>
          </w:p>
        </w:tc>
        <w:tc>
          <w:tcPr>
            <w:tcW w:w="7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160" w:type="dxa"/>
            <w:vAlign w:val="bottom"/>
            <w:gridSpan w:val="3"/>
          </w:tcPr>
          <w:p>
            <w:pPr>
              <w:jc w:val="center"/>
              <w:ind w:left="4112"/>
              <w:spacing w:after="0"/>
              <w:rPr>
                <w:sz w:val="20"/>
                <w:szCs w:val="20"/>
                <w:color w:val="auto"/>
              </w:rPr>
            </w:pPr>
            <w:r>
              <w:rPr>
                <w:rFonts w:ascii="Arial" w:cs="Arial" w:eastAsia="Arial" w:hAnsi="Arial"/>
                <w:sz w:val="18"/>
                <w:szCs w:val="18"/>
                <w:color w:val="auto"/>
                <w:w w:val="89"/>
              </w:rPr>
              <w:t>July 30, 2004</w:t>
            </w:r>
          </w:p>
        </w:tc>
      </w:tr>
      <w:tr>
        <w:trPr>
          <w:trHeight w:val="110"/>
        </w:trPr>
        <w:tc>
          <w:tcPr>
            <w:tcW w:w="4460" w:type="dxa"/>
            <w:vAlign w:val="bottom"/>
            <w:tcBorders>
              <w:bottom w:val="single" w:sz="8" w:color="auto"/>
            </w:tcBorders>
            <w:gridSpan w:val="2"/>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4820" w:type="dxa"/>
            <w:vAlign w:val="bottom"/>
            <w:gridSpan w:val="3"/>
          </w:tcPr>
          <w:p>
            <w:pPr>
              <w:spacing w:after="0"/>
              <w:rPr>
                <w:sz w:val="20"/>
                <w:szCs w:val="20"/>
                <w:color w:val="auto"/>
              </w:rPr>
            </w:pPr>
            <w:r>
              <w:rPr>
                <w:rFonts w:ascii="Arial" w:cs="Arial" w:eastAsia="Arial" w:hAnsi="Arial"/>
                <w:sz w:val="18"/>
                <w:szCs w:val="18"/>
                <w:color w:val="auto"/>
              </w:rPr>
              <w:t>Abigail S. Wexner</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46"/>
        </w:trPr>
        <w:tc>
          <w:tcPr>
            <w:tcW w:w="4820" w:type="dxa"/>
            <w:vAlign w:val="bottom"/>
            <w:gridSpan w:val="3"/>
          </w:tcPr>
          <w:p>
            <w:pPr>
              <w:spacing w:after="0"/>
              <w:rPr>
                <w:sz w:val="20"/>
                <w:szCs w:val="20"/>
                <w:color w:val="auto"/>
              </w:rPr>
            </w:pPr>
            <w:r>
              <w:rPr>
                <w:rFonts w:ascii="Arial" w:cs="Arial" w:eastAsia="Arial" w:hAnsi="Arial"/>
                <w:sz w:val="18"/>
                <w:szCs w:val="18"/>
                <w:color w:val="auto"/>
              </w:rPr>
              <w:t>/s/ Raymond Zimmerman</w:t>
            </w:r>
          </w:p>
        </w:tc>
        <w:tc>
          <w:tcPr>
            <w:tcW w:w="7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160" w:type="dxa"/>
            <w:vAlign w:val="bottom"/>
            <w:gridSpan w:val="3"/>
          </w:tcPr>
          <w:p>
            <w:pPr>
              <w:jc w:val="center"/>
              <w:ind w:left="4112"/>
              <w:spacing w:after="0"/>
              <w:rPr>
                <w:sz w:val="20"/>
                <w:szCs w:val="20"/>
                <w:color w:val="auto"/>
              </w:rPr>
            </w:pPr>
            <w:r>
              <w:rPr>
                <w:rFonts w:ascii="Arial" w:cs="Arial" w:eastAsia="Arial" w:hAnsi="Arial"/>
                <w:sz w:val="18"/>
                <w:szCs w:val="18"/>
                <w:color w:val="auto"/>
                <w:w w:val="89"/>
              </w:rPr>
              <w:t>July 30, 2004</w:t>
            </w:r>
          </w:p>
        </w:tc>
      </w:tr>
      <w:tr>
        <w:trPr>
          <w:trHeight w:val="110"/>
        </w:trPr>
        <w:tc>
          <w:tcPr>
            <w:tcW w:w="4460" w:type="dxa"/>
            <w:vAlign w:val="bottom"/>
            <w:tcBorders>
              <w:bottom w:val="single" w:sz="8" w:color="auto"/>
            </w:tcBorders>
            <w:gridSpan w:val="2"/>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4820" w:type="dxa"/>
            <w:vAlign w:val="bottom"/>
            <w:gridSpan w:val="3"/>
          </w:tcPr>
          <w:p>
            <w:pPr>
              <w:spacing w:after="0"/>
              <w:rPr>
                <w:sz w:val="20"/>
                <w:szCs w:val="20"/>
                <w:color w:val="auto"/>
              </w:rPr>
            </w:pPr>
            <w:r>
              <w:rPr>
                <w:rFonts w:ascii="Arial" w:cs="Arial" w:eastAsia="Arial" w:hAnsi="Arial"/>
                <w:sz w:val="18"/>
                <w:szCs w:val="18"/>
                <w:color w:val="auto"/>
              </w:rPr>
              <w:t>Raymond Zimmerman</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78"/>
        </w:trPr>
        <w:tc>
          <w:tcPr>
            <w:tcW w:w="7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20" w:type="dxa"/>
            <w:vAlign w:val="bottom"/>
          </w:tcPr>
          <w:p>
            <w:pPr>
              <w:jc w:val="right"/>
              <w:ind w:right="4212"/>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0700"/>
          </w:cols>
          <w:pgMar w:left="240" w:top="275" w:right="95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440" w:type="dxa"/>
            <w:vAlign w:val="bottom"/>
          </w:tcPr>
          <w:p>
            <w:pPr>
              <w:spacing w:after="0"/>
              <w:rPr>
                <w:sz w:val="20"/>
                <w:szCs w:val="20"/>
                <w:color w:val="auto"/>
              </w:rPr>
            </w:pPr>
            <w:r>
              <w:rPr>
                <w:rFonts w:ascii="Arial" w:cs="Arial" w:eastAsia="Arial" w:hAnsi="Arial"/>
                <w:sz w:val="18"/>
                <w:szCs w:val="18"/>
                <w:b w:val="1"/>
                <w:bCs w:val="1"/>
                <w:color w:val="auto"/>
              </w:rPr>
              <w:t>EXHIBIT INDEX</w:t>
            </w:r>
          </w:p>
        </w:tc>
        <w:tc>
          <w:tcPr>
            <w:tcW w:w="9400" w:type="dxa"/>
            <w:vAlign w:val="bottom"/>
          </w:tcPr>
          <w:p>
            <w:pPr>
              <w:spacing w:after="0"/>
              <w:rPr>
                <w:sz w:val="19"/>
                <w:szCs w:val="19"/>
                <w:color w:val="auto"/>
              </w:rPr>
            </w:pPr>
          </w:p>
        </w:tc>
      </w:tr>
      <w:tr>
        <w:trPr>
          <w:trHeight w:val="358"/>
        </w:trPr>
        <w:tc>
          <w:tcPr>
            <w:tcW w:w="1440" w:type="dxa"/>
            <w:vAlign w:val="bottom"/>
          </w:tcPr>
          <w:p>
            <w:pPr>
              <w:ind w:left="580"/>
              <w:spacing w:after="0"/>
              <w:rPr>
                <w:sz w:val="20"/>
                <w:szCs w:val="20"/>
                <w:color w:val="auto"/>
              </w:rPr>
            </w:pPr>
            <w:r>
              <w:rPr>
                <w:rFonts w:ascii="Arial" w:cs="Arial" w:eastAsia="Arial" w:hAnsi="Arial"/>
                <w:sz w:val="18"/>
                <w:szCs w:val="18"/>
                <w:color w:val="auto"/>
              </w:rPr>
              <w:t>3.1</w:t>
            </w:r>
          </w:p>
        </w:tc>
        <w:tc>
          <w:tcPr>
            <w:tcW w:w="9400" w:type="dxa"/>
            <w:vAlign w:val="bottom"/>
          </w:tcPr>
          <w:p>
            <w:pPr>
              <w:ind w:left="80"/>
              <w:spacing w:after="0"/>
              <w:rPr>
                <w:sz w:val="20"/>
                <w:szCs w:val="20"/>
                <w:color w:val="auto"/>
              </w:rPr>
            </w:pPr>
            <w:r>
              <w:rPr>
                <w:rFonts w:ascii="Arial" w:cs="Arial" w:eastAsia="Arial" w:hAnsi="Arial"/>
                <w:sz w:val="18"/>
                <w:szCs w:val="18"/>
                <w:color w:val="auto"/>
                <w:w w:val="89"/>
              </w:rPr>
              <w:t>Certificate of Incorporation of the Company, dated March 8, 1982 incorporated by reference to Exhibit 3.1 to the Company’s Annual</w:t>
            </w:r>
          </w:p>
        </w:tc>
      </w:tr>
      <w:tr>
        <w:trPr>
          <w:trHeight w:val="222"/>
        </w:trPr>
        <w:tc>
          <w:tcPr>
            <w:tcW w:w="1440" w:type="dxa"/>
            <w:vAlign w:val="bottom"/>
          </w:tcPr>
          <w:p>
            <w:pPr>
              <w:spacing w:after="0"/>
              <w:rPr>
                <w:sz w:val="19"/>
                <w:szCs w:val="19"/>
                <w:color w:val="auto"/>
              </w:rPr>
            </w:pPr>
          </w:p>
        </w:tc>
        <w:tc>
          <w:tcPr>
            <w:tcW w:w="9400" w:type="dxa"/>
            <w:vAlign w:val="bottom"/>
          </w:tcPr>
          <w:p>
            <w:pPr>
              <w:ind w:left="80"/>
              <w:spacing w:after="0"/>
              <w:rPr>
                <w:sz w:val="20"/>
                <w:szCs w:val="20"/>
                <w:color w:val="auto"/>
              </w:rPr>
            </w:pPr>
            <w:r>
              <w:rPr>
                <w:rFonts w:ascii="Arial" w:cs="Arial" w:eastAsia="Arial" w:hAnsi="Arial"/>
                <w:sz w:val="18"/>
                <w:szCs w:val="18"/>
                <w:color w:val="auto"/>
              </w:rPr>
              <w:t>Report on Form 10-K for the fiscal year ended February 3, 2001.</w:t>
            </w:r>
          </w:p>
        </w:tc>
      </w:tr>
      <w:tr>
        <w:trPr>
          <w:trHeight w:val="318"/>
        </w:trPr>
        <w:tc>
          <w:tcPr>
            <w:tcW w:w="1440" w:type="dxa"/>
            <w:vAlign w:val="bottom"/>
          </w:tcPr>
          <w:p>
            <w:pPr>
              <w:ind w:left="580"/>
              <w:spacing w:after="0"/>
              <w:rPr>
                <w:sz w:val="20"/>
                <w:szCs w:val="20"/>
                <w:color w:val="auto"/>
              </w:rPr>
            </w:pPr>
            <w:r>
              <w:rPr>
                <w:rFonts w:ascii="Arial" w:cs="Arial" w:eastAsia="Arial" w:hAnsi="Arial"/>
                <w:sz w:val="18"/>
                <w:szCs w:val="18"/>
                <w:color w:val="auto"/>
              </w:rPr>
              <w:t>3.2</w:t>
            </w:r>
          </w:p>
        </w:tc>
        <w:tc>
          <w:tcPr>
            <w:tcW w:w="9400" w:type="dxa"/>
            <w:vAlign w:val="bottom"/>
          </w:tcPr>
          <w:p>
            <w:pPr>
              <w:ind w:left="80"/>
              <w:spacing w:after="0"/>
              <w:rPr>
                <w:sz w:val="20"/>
                <w:szCs w:val="20"/>
                <w:color w:val="auto"/>
              </w:rPr>
            </w:pPr>
            <w:r>
              <w:rPr>
                <w:rFonts w:ascii="Arial" w:cs="Arial" w:eastAsia="Arial" w:hAnsi="Arial"/>
                <w:sz w:val="18"/>
                <w:szCs w:val="18"/>
                <w:color w:val="auto"/>
                <w:w w:val="95"/>
              </w:rPr>
              <w:t>Certificate of Amendment of Certificate of Incorporation, dated May 19, 1986 incorporated by reference to Exhibit 3.2 to the</w:t>
            </w:r>
          </w:p>
        </w:tc>
      </w:tr>
      <w:tr>
        <w:trPr>
          <w:trHeight w:val="222"/>
        </w:trPr>
        <w:tc>
          <w:tcPr>
            <w:tcW w:w="1440" w:type="dxa"/>
            <w:vAlign w:val="bottom"/>
          </w:tcPr>
          <w:p>
            <w:pPr>
              <w:spacing w:after="0"/>
              <w:rPr>
                <w:sz w:val="19"/>
                <w:szCs w:val="19"/>
                <w:color w:val="auto"/>
              </w:rPr>
            </w:pPr>
          </w:p>
        </w:tc>
        <w:tc>
          <w:tcPr>
            <w:tcW w:w="9400" w:type="dxa"/>
            <w:vAlign w:val="bottom"/>
          </w:tcPr>
          <w:p>
            <w:pPr>
              <w:ind w:left="80"/>
              <w:spacing w:after="0"/>
              <w:rPr>
                <w:sz w:val="20"/>
                <w:szCs w:val="20"/>
                <w:color w:val="auto"/>
              </w:rPr>
            </w:pPr>
            <w:r>
              <w:rPr>
                <w:rFonts w:ascii="Arial" w:cs="Arial" w:eastAsia="Arial" w:hAnsi="Arial"/>
                <w:sz w:val="18"/>
                <w:szCs w:val="18"/>
                <w:color w:val="auto"/>
              </w:rPr>
              <w:t>Company’s Annual Report on Form 10-K for the fiscal year ended February 3, 2001.</w:t>
            </w:r>
          </w:p>
        </w:tc>
      </w:tr>
      <w:tr>
        <w:trPr>
          <w:trHeight w:val="318"/>
        </w:trPr>
        <w:tc>
          <w:tcPr>
            <w:tcW w:w="1440" w:type="dxa"/>
            <w:vAlign w:val="bottom"/>
          </w:tcPr>
          <w:p>
            <w:pPr>
              <w:ind w:left="580"/>
              <w:spacing w:after="0"/>
              <w:rPr>
                <w:sz w:val="20"/>
                <w:szCs w:val="20"/>
                <w:color w:val="auto"/>
              </w:rPr>
            </w:pPr>
            <w:r>
              <w:rPr>
                <w:rFonts w:ascii="Arial" w:cs="Arial" w:eastAsia="Arial" w:hAnsi="Arial"/>
                <w:sz w:val="18"/>
                <w:szCs w:val="18"/>
                <w:color w:val="auto"/>
              </w:rPr>
              <w:t>3.3</w:t>
            </w:r>
          </w:p>
        </w:tc>
        <w:tc>
          <w:tcPr>
            <w:tcW w:w="9400" w:type="dxa"/>
            <w:vAlign w:val="bottom"/>
          </w:tcPr>
          <w:p>
            <w:pPr>
              <w:ind w:left="80"/>
              <w:spacing w:after="0"/>
              <w:rPr>
                <w:sz w:val="20"/>
                <w:szCs w:val="20"/>
                <w:color w:val="auto"/>
              </w:rPr>
            </w:pPr>
            <w:r>
              <w:rPr>
                <w:rFonts w:ascii="Arial" w:cs="Arial" w:eastAsia="Arial" w:hAnsi="Arial"/>
                <w:sz w:val="18"/>
                <w:szCs w:val="18"/>
                <w:color w:val="auto"/>
                <w:w w:val="95"/>
              </w:rPr>
              <w:t>Certificate of Amendment of Certificate of Incorporation, dated May 19, 1987 incorporated by reference to Exhibit 3.3 to the</w:t>
            </w:r>
          </w:p>
        </w:tc>
      </w:tr>
      <w:tr>
        <w:trPr>
          <w:trHeight w:val="222"/>
        </w:trPr>
        <w:tc>
          <w:tcPr>
            <w:tcW w:w="1440" w:type="dxa"/>
            <w:vAlign w:val="bottom"/>
          </w:tcPr>
          <w:p>
            <w:pPr>
              <w:spacing w:after="0"/>
              <w:rPr>
                <w:sz w:val="19"/>
                <w:szCs w:val="19"/>
                <w:color w:val="auto"/>
              </w:rPr>
            </w:pPr>
          </w:p>
        </w:tc>
        <w:tc>
          <w:tcPr>
            <w:tcW w:w="9400" w:type="dxa"/>
            <w:vAlign w:val="bottom"/>
          </w:tcPr>
          <w:p>
            <w:pPr>
              <w:ind w:left="80"/>
              <w:spacing w:after="0"/>
              <w:rPr>
                <w:sz w:val="20"/>
                <w:szCs w:val="20"/>
                <w:color w:val="auto"/>
              </w:rPr>
            </w:pPr>
            <w:r>
              <w:rPr>
                <w:rFonts w:ascii="Arial" w:cs="Arial" w:eastAsia="Arial" w:hAnsi="Arial"/>
                <w:sz w:val="18"/>
                <w:szCs w:val="18"/>
                <w:color w:val="auto"/>
              </w:rPr>
              <w:t>Company’s Annual Report on Form 10-K for the fiscal year ended February 3, 2001.</w:t>
            </w:r>
          </w:p>
        </w:tc>
      </w:tr>
      <w:tr>
        <w:trPr>
          <w:trHeight w:val="318"/>
        </w:trPr>
        <w:tc>
          <w:tcPr>
            <w:tcW w:w="1440" w:type="dxa"/>
            <w:vAlign w:val="bottom"/>
          </w:tcPr>
          <w:p>
            <w:pPr>
              <w:ind w:left="580"/>
              <w:spacing w:after="0"/>
              <w:rPr>
                <w:sz w:val="20"/>
                <w:szCs w:val="20"/>
                <w:color w:val="auto"/>
              </w:rPr>
            </w:pPr>
            <w:r>
              <w:rPr>
                <w:rFonts w:ascii="Arial" w:cs="Arial" w:eastAsia="Arial" w:hAnsi="Arial"/>
                <w:sz w:val="18"/>
                <w:szCs w:val="18"/>
                <w:color w:val="auto"/>
              </w:rPr>
              <w:t>3.4</w:t>
            </w:r>
          </w:p>
        </w:tc>
        <w:tc>
          <w:tcPr>
            <w:tcW w:w="9400" w:type="dxa"/>
            <w:vAlign w:val="bottom"/>
          </w:tcPr>
          <w:p>
            <w:pPr>
              <w:ind w:left="80"/>
              <w:spacing w:after="0"/>
              <w:rPr>
                <w:sz w:val="20"/>
                <w:szCs w:val="20"/>
                <w:color w:val="auto"/>
              </w:rPr>
            </w:pPr>
            <w:r>
              <w:rPr>
                <w:rFonts w:ascii="Arial" w:cs="Arial" w:eastAsia="Arial" w:hAnsi="Arial"/>
                <w:sz w:val="18"/>
                <w:szCs w:val="18"/>
                <w:color w:val="auto"/>
                <w:w w:val="95"/>
              </w:rPr>
              <w:t>Certificate of Amendment of Certificate of Incorporation, dated May 31, 2001 incorporated by reference to Exhibit 3.1 to the</w:t>
            </w:r>
          </w:p>
        </w:tc>
      </w:tr>
      <w:tr>
        <w:trPr>
          <w:trHeight w:val="222"/>
        </w:trPr>
        <w:tc>
          <w:tcPr>
            <w:tcW w:w="1440" w:type="dxa"/>
            <w:vAlign w:val="bottom"/>
          </w:tcPr>
          <w:p>
            <w:pPr>
              <w:spacing w:after="0"/>
              <w:rPr>
                <w:sz w:val="19"/>
                <w:szCs w:val="19"/>
                <w:color w:val="auto"/>
              </w:rPr>
            </w:pPr>
          </w:p>
        </w:tc>
        <w:tc>
          <w:tcPr>
            <w:tcW w:w="9400" w:type="dxa"/>
            <w:vAlign w:val="bottom"/>
          </w:tcPr>
          <w:p>
            <w:pPr>
              <w:ind w:left="80"/>
              <w:spacing w:after="0"/>
              <w:rPr>
                <w:sz w:val="20"/>
                <w:szCs w:val="20"/>
                <w:color w:val="auto"/>
              </w:rPr>
            </w:pPr>
            <w:r>
              <w:rPr>
                <w:rFonts w:ascii="Arial" w:cs="Arial" w:eastAsia="Arial" w:hAnsi="Arial"/>
                <w:sz w:val="18"/>
                <w:szCs w:val="18"/>
                <w:color w:val="auto"/>
              </w:rPr>
              <w:t>Company’s Quarterly Report on Form 10-Q for the quarter ended May 5, 2001.</w:t>
            </w:r>
          </w:p>
        </w:tc>
      </w:tr>
      <w:tr>
        <w:trPr>
          <w:trHeight w:val="318"/>
        </w:trPr>
        <w:tc>
          <w:tcPr>
            <w:tcW w:w="1440" w:type="dxa"/>
            <w:vAlign w:val="bottom"/>
          </w:tcPr>
          <w:p>
            <w:pPr>
              <w:ind w:left="580"/>
              <w:spacing w:after="0"/>
              <w:rPr>
                <w:sz w:val="20"/>
                <w:szCs w:val="20"/>
                <w:color w:val="auto"/>
              </w:rPr>
            </w:pPr>
            <w:r>
              <w:rPr>
                <w:rFonts w:ascii="Arial" w:cs="Arial" w:eastAsia="Arial" w:hAnsi="Arial"/>
                <w:sz w:val="18"/>
                <w:szCs w:val="18"/>
                <w:color w:val="auto"/>
              </w:rPr>
              <w:t>3.5</w:t>
            </w:r>
          </w:p>
        </w:tc>
        <w:tc>
          <w:tcPr>
            <w:tcW w:w="9400" w:type="dxa"/>
            <w:vAlign w:val="bottom"/>
          </w:tcPr>
          <w:p>
            <w:pPr>
              <w:ind w:left="80"/>
              <w:spacing w:after="0"/>
              <w:rPr>
                <w:sz w:val="20"/>
                <w:szCs w:val="20"/>
                <w:color w:val="auto"/>
              </w:rPr>
            </w:pPr>
            <w:r>
              <w:rPr>
                <w:rFonts w:ascii="Arial" w:cs="Arial" w:eastAsia="Arial" w:hAnsi="Arial"/>
                <w:sz w:val="18"/>
                <w:szCs w:val="18"/>
                <w:color w:val="auto"/>
                <w:w w:val="91"/>
              </w:rPr>
              <w:t>Restated Bylaws of the Company incorporated by reference to Exhibit 3.2 to the Company’s Annual Report on Form 10-K for the</w:t>
            </w:r>
          </w:p>
        </w:tc>
      </w:tr>
      <w:tr>
        <w:trPr>
          <w:trHeight w:val="222"/>
        </w:trPr>
        <w:tc>
          <w:tcPr>
            <w:tcW w:w="1440" w:type="dxa"/>
            <w:vAlign w:val="bottom"/>
          </w:tcPr>
          <w:p>
            <w:pPr>
              <w:spacing w:after="0"/>
              <w:rPr>
                <w:sz w:val="19"/>
                <w:szCs w:val="19"/>
                <w:color w:val="auto"/>
              </w:rPr>
            </w:pPr>
          </w:p>
        </w:tc>
        <w:tc>
          <w:tcPr>
            <w:tcW w:w="9400" w:type="dxa"/>
            <w:vAlign w:val="bottom"/>
          </w:tcPr>
          <w:p>
            <w:pPr>
              <w:ind w:left="80"/>
              <w:spacing w:after="0"/>
              <w:rPr>
                <w:sz w:val="20"/>
                <w:szCs w:val="20"/>
                <w:color w:val="auto"/>
              </w:rPr>
            </w:pPr>
            <w:r>
              <w:rPr>
                <w:rFonts w:ascii="Arial" w:cs="Arial" w:eastAsia="Arial" w:hAnsi="Arial"/>
                <w:sz w:val="18"/>
                <w:szCs w:val="18"/>
                <w:color w:val="auto"/>
              </w:rPr>
              <w:t>fiscal year ended January 30, 1999.</w:t>
            </w:r>
          </w:p>
        </w:tc>
      </w:tr>
      <w:tr>
        <w:trPr>
          <w:trHeight w:val="318"/>
        </w:trPr>
        <w:tc>
          <w:tcPr>
            <w:tcW w:w="1440" w:type="dxa"/>
            <w:vAlign w:val="bottom"/>
          </w:tcPr>
          <w:p>
            <w:pPr>
              <w:ind w:left="580"/>
              <w:spacing w:after="0"/>
              <w:rPr>
                <w:sz w:val="20"/>
                <w:szCs w:val="20"/>
                <w:color w:val="auto"/>
              </w:rPr>
            </w:pPr>
            <w:r>
              <w:rPr>
                <w:rFonts w:ascii="Arial" w:cs="Arial" w:eastAsia="Arial" w:hAnsi="Arial"/>
                <w:sz w:val="18"/>
                <w:szCs w:val="18"/>
                <w:color w:val="auto"/>
              </w:rPr>
              <w:t>4.1</w:t>
            </w:r>
          </w:p>
        </w:tc>
        <w:tc>
          <w:tcPr>
            <w:tcW w:w="9400" w:type="dxa"/>
            <w:vAlign w:val="bottom"/>
          </w:tcPr>
          <w:p>
            <w:pPr>
              <w:ind w:left="80"/>
              <w:spacing w:after="0"/>
              <w:rPr>
                <w:sz w:val="20"/>
                <w:szCs w:val="20"/>
                <w:color w:val="auto"/>
              </w:rPr>
            </w:pPr>
            <w:r>
              <w:rPr>
                <w:rFonts w:ascii="Arial" w:cs="Arial" w:eastAsia="Arial" w:hAnsi="Arial"/>
                <w:sz w:val="18"/>
                <w:szCs w:val="18"/>
                <w:color w:val="auto"/>
                <w:w w:val="88"/>
              </w:rPr>
              <w:t>Limited Brands, Inc. 1993 Stock Option and Performance Incentive Plan (2004 Restatement) incorporated by reference to Appendix</w:t>
            </w:r>
          </w:p>
        </w:tc>
      </w:tr>
      <w:tr>
        <w:trPr>
          <w:trHeight w:val="222"/>
        </w:trPr>
        <w:tc>
          <w:tcPr>
            <w:tcW w:w="1440" w:type="dxa"/>
            <w:vAlign w:val="bottom"/>
          </w:tcPr>
          <w:p>
            <w:pPr>
              <w:spacing w:after="0"/>
              <w:rPr>
                <w:sz w:val="19"/>
                <w:szCs w:val="19"/>
                <w:color w:val="auto"/>
              </w:rPr>
            </w:pPr>
          </w:p>
        </w:tc>
        <w:tc>
          <w:tcPr>
            <w:tcW w:w="9400" w:type="dxa"/>
            <w:vAlign w:val="bottom"/>
          </w:tcPr>
          <w:p>
            <w:pPr>
              <w:ind w:left="80"/>
              <w:spacing w:after="0"/>
              <w:rPr>
                <w:sz w:val="20"/>
                <w:szCs w:val="20"/>
                <w:color w:val="auto"/>
              </w:rPr>
            </w:pPr>
            <w:r>
              <w:rPr>
                <w:rFonts w:ascii="Arial" w:cs="Arial" w:eastAsia="Arial" w:hAnsi="Arial"/>
                <w:sz w:val="18"/>
                <w:szCs w:val="18"/>
                <w:color w:val="auto"/>
              </w:rPr>
              <w:t>A to the Company’s Proxy Statement dated April 14, 2004.</w:t>
            </w:r>
          </w:p>
        </w:tc>
      </w:tr>
      <w:tr>
        <w:trPr>
          <w:trHeight w:val="324"/>
        </w:trPr>
        <w:tc>
          <w:tcPr>
            <w:tcW w:w="1440" w:type="dxa"/>
            <w:vAlign w:val="bottom"/>
          </w:tcPr>
          <w:p>
            <w:pPr>
              <w:ind w:left="580"/>
              <w:spacing w:after="0"/>
              <w:rPr>
                <w:sz w:val="20"/>
                <w:szCs w:val="20"/>
                <w:color w:val="auto"/>
              </w:rPr>
            </w:pPr>
            <w:r>
              <w:rPr>
                <w:rFonts w:ascii="Arial" w:cs="Arial" w:eastAsia="Arial" w:hAnsi="Arial"/>
                <w:sz w:val="18"/>
                <w:szCs w:val="18"/>
                <w:color w:val="auto"/>
              </w:rPr>
              <w:t>5.1</w:t>
            </w:r>
          </w:p>
        </w:tc>
        <w:tc>
          <w:tcPr>
            <w:tcW w:w="9400" w:type="dxa"/>
            <w:vAlign w:val="bottom"/>
          </w:tcPr>
          <w:p>
            <w:pPr>
              <w:ind w:left="80"/>
              <w:spacing w:after="0"/>
              <w:rPr>
                <w:sz w:val="20"/>
                <w:szCs w:val="20"/>
                <w:color w:val="auto"/>
              </w:rPr>
            </w:pPr>
            <w:r>
              <w:rPr>
                <w:rFonts w:ascii="Arial" w:cs="Arial" w:eastAsia="Arial" w:hAnsi="Arial"/>
                <w:sz w:val="18"/>
                <w:szCs w:val="18"/>
                <w:color w:val="auto"/>
              </w:rPr>
              <w:t>Opinion of Samuel P. Fried, Esq., regarding legality of securities.</w:t>
            </w:r>
          </w:p>
        </w:tc>
      </w:tr>
      <w:tr>
        <w:trPr>
          <w:trHeight w:val="324"/>
        </w:trPr>
        <w:tc>
          <w:tcPr>
            <w:tcW w:w="1440" w:type="dxa"/>
            <w:vAlign w:val="bottom"/>
          </w:tcPr>
          <w:p>
            <w:pPr>
              <w:ind w:left="580"/>
              <w:spacing w:after="0"/>
              <w:rPr>
                <w:sz w:val="20"/>
                <w:szCs w:val="20"/>
                <w:color w:val="auto"/>
              </w:rPr>
            </w:pPr>
            <w:r>
              <w:rPr>
                <w:rFonts w:ascii="Arial" w:cs="Arial" w:eastAsia="Arial" w:hAnsi="Arial"/>
                <w:sz w:val="18"/>
                <w:szCs w:val="18"/>
                <w:color w:val="auto"/>
              </w:rPr>
              <w:t>23.1</w:t>
            </w:r>
          </w:p>
        </w:tc>
        <w:tc>
          <w:tcPr>
            <w:tcW w:w="9400" w:type="dxa"/>
            <w:vAlign w:val="bottom"/>
          </w:tcPr>
          <w:p>
            <w:pPr>
              <w:ind w:left="80"/>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1440" w:type="dxa"/>
            <w:vAlign w:val="bottom"/>
          </w:tcPr>
          <w:p>
            <w:pPr>
              <w:ind w:left="580"/>
              <w:spacing w:after="0"/>
              <w:rPr>
                <w:sz w:val="20"/>
                <w:szCs w:val="20"/>
                <w:color w:val="auto"/>
              </w:rPr>
            </w:pPr>
            <w:r>
              <w:rPr>
                <w:rFonts w:ascii="Arial" w:cs="Arial" w:eastAsia="Arial" w:hAnsi="Arial"/>
                <w:sz w:val="18"/>
                <w:szCs w:val="18"/>
                <w:color w:val="auto"/>
              </w:rPr>
              <w:t>23.2</w:t>
            </w:r>
          </w:p>
        </w:tc>
        <w:tc>
          <w:tcPr>
            <w:tcW w:w="9400" w:type="dxa"/>
            <w:vAlign w:val="bottom"/>
          </w:tcPr>
          <w:p>
            <w:pPr>
              <w:ind w:left="80"/>
              <w:spacing w:after="0"/>
              <w:rPr>
                <w:sz w:val="20"/>
                <w:szCs w:val="20"/>
                <w:color w:val="auto"/>
              </w:rPr>
            </w:pPr>
            <w:r>
              <w:rPr>
                <w:rFonts w:ascii="Arial" w:cs="Arial" w:eastAsia="Arial" w:hAnsi="Arial"/>
                <w:sz w:val="18"/>
                <w:szCs w:val="18"/>
                <w:color w:val="auto"/>
              </w:rPr>
              <w:t>Consent of Samuel P. Fried, Esq. (included in his opinion filed as Exhibit 5.1).</w:t>
            </w:r>
          </w:p>
        </w:tc>
      </w:tr>
      <w:tr>
        <w:trPr>
          <w:trHeight w:val="324"/>
        </w:trPr>
        <w:tc>
          <w:tcPr>
            <w:tcW w:w="1440" w:type="dxa"/>
            <w:vAlign w:val="bottom"/>
          </w:tcPr>
          <w:p>
            <w:pPr>
              <w:ind w:left="580"/>
              <w:spacing w:after="0"/>
              <w:rPr>
                <w:sz w:val="20"/>
                <w:szCs w:val="20"/>
                <w:color w:val="auto"/>
              </w:rPr>
            </w:pPr>
            <w:r>
              <w:rPr>
                <w:rFonts w:ascii="Arial" w:cs="Arial" w:eastAsia="Arial" w:hAnsi="Arial"/>
                <w:sz w:val="18"/>
                <w:szCs w:val="18"/>
                <w:color w:val="auto"/>
              </w:rPr>
              <w:t>23.3</w:t>
            </w:r>
          </w:p>
        </w:tc>
        <w:tc>
          <w:tcPr>
            <w:tcW w:w="9400" w:type="dxa"/>
            <w:vAlign w:val="bottom"/>
          </w:tcPr>
          <w:p>
            <w:pPr>
              <w:ind w:left="80"/>
              <w:spacing w:after="0"/>
              <w:rPr>
                <w:sz w:val="20"/>
                <w:szCs w:val="20"/>
                <w:color w:val="auto"/>
              </w:rPr>
            </w:pPr>
            <w:r>
              <w:rPr>
                <w:rFonts w:ascii="Arial" w:cs="Arial" w:eastAsia="Arial" w:hAnsi="Arial"/>
                <w:sz w:val="18"/>
                <w:szCs w:val="18"/>
                <w:color w:val="auto"/>
              </w:rPr>
              <w:t>Consent of PricewaterhouseCoopers LLP.</w:t>
            </w:r>
          </w:p>
        </w:tc>
      </w:tr>
      <w:tr>
        <w:trPr>
          <w:trHeight w:val="324"/>
        </w:trPr>
        <w:tc>
          <w:tcPr>
            <w:tcW w:w="1440" w:type="dxa"/>
            <w:vAlign w:val="bottom"/>
          </w:tcPr>
          <w:p>
            <w:pPr>
              <w:ind w:left="580"/>
              <w:spacing w:after="0"/>
              <w:rPr>
                <w:sz w:val="20"/>
                <w:szCs w:val="20"/>
                <w:color w:val="auto"/>
              </w:rPr>
            </w:pPr>
            <w:r>
              <w:rPr>
                <w:rFonts w:ascii="Arial" w:cs="Arial" w:eastAsia="Arial" w:hAnsi="Arial"/>
                <w:sz w:val="18"/>
                <w:szCs w:val="18"/>
                <w:color w:val="auto"/>
              </w:rPr>
              <w:t>24.1</w:t>
            </w:r>
          </w:p>
        </w:tc>
        <w:tc>
          <w:tcPr>
            <w:tcW w:w="9400" w:type="dxa"/>
            <w:vAlign w:val="bottom"/>
          </w:tcPr>
          <w:p>
            <w:pPr>
              <w:ind w:left="80"/>
              <w:spacing w:after="0"/>
              <w:rPr>
                <w:sz w:val="20"/>
                <w:szCs w:val="20"/>
                <w:color w:val="auto"/>
              </w:rPr>
            </w:pPr>
            <w:r>
              <w:rPr>
                <w:rFonts w:ascii="Arial" w:cs="Arial" w:eastAsia="Arial" w:hAnsi="Arial"/>
                <w:sz w:val="18"/>
                <w:szCs w:val="18"/>
                <w:color w:val="auto"/>
              </w:rPr>
              <w:t>Powers of Attorney (included on signature page).</w:t>
            </w:r>
          </w:p>
        </w:tc>
      </w:tr>
      <w:tr>
        <w:trPr>
          <w:trHeight w:val="365"/>
        </w:trPr>
        <w:tc>
          <w:tcPr>
            <w:tcW w:w="1440" w:type="dxa"/>
            <w:vAlign w:val="bottom"/>
          </w:tcPr>
          <w:p>
            <w:pPr>
              <w:spacing w:after="0"/>
              <w:rPr>
                <w:sz w:val="24"/>
                <w:szCs w:val="24"/>
                <w:color w:val="auto"/>
              </w:rPr>
            </w:pPr>
          </w:p>
        </w:tc>
        <w:tc>
          <w:tcPr>
            <w:tcW w:w="9400" w:type="dxa"/>
            <w:vAlign w:val="bottom"/>
          </w:tcPr>
          <w:p>
            <w:pPr>
              <w:ind w:left="424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0840"/>
          </w:cols>
          <w:pgMar w:left="240" w:top="274" w:right="81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109220</wp:posOffset>
            </wp:positionV>
            <wp:extent cx="3430270" cy="428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3027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July 30,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Limited Brands,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Three Limited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Columbus, Ohio 43230</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Registration Statement on Form S-8 for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Limited Brands, Inc. 1993 Stock Option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and Performance Incentive Plan (2004 Restatement)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 have acted as counsel for Limited Brands, Inc., a Delaware corporation, (the “Company”) in connection with the proposed issuance of up to 20,000,000 shares of the Company’s common stock, $.50 par value (“Common Stock”) under the Limited Brands, Inc. 1993 Stock Option and Performance Incentive Plan (2004 Restatement) (the “Plan”) pursuant to the filing of a Registration Statement on Form S-8 under the Securities Act of 1933.</w:t>
      </w:r>
    </w:p>
    <w:p>
      <w:pPr>
        <w:spacing w:after="0" w:line="9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 have examined the Certificate of Incorporation of the Company, its Bylaws, the Plan and such other corporate records, certificates, documents and matters of law as I have deemed necessary to render this opinion.</w:t>
      </w:r>
    </w:p>
    <w:p>
      <w:pPr>
        <w:spacing w:after="0" w:line="11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Based on the foregoing, and having regard for legal considerations that I deem relevant, it is my opinion that the shares of original issuance Common Stock when and if issued in accordance with the terms of the Plan will be duly authorized, validly issued, fully paid and nonassessable.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hereby consent to the filing of this opinion as Exhibit 5.1 and 23.2 of the Registration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Samuel P. Fried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Samuel P. Fried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Limited Parkway Columbus, Ohio 43230 www.LimitedBrands.com</w:t>
      </w:r>
    </w:p>
    <w:p>
      <w:pPr>
        <w:sectPr>
          <w:pgSz w:w="11900" w:h="16838" w:orient="portrait"/>
          <w:cols w:equalWidth="0" w:num="1">
            <w:col w:w="11420"/>
          </w:cols>
          <w:pgMar w:left="240" w:top="125"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5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 (Form S-8) of Limited Brands, Inc. and its subsidiaries for the registration of 20,000,000 shares of Common Stock under the Limited Brands, Inc. 1993 Stock Option and Performance Incentive Plan (2004 Restatement) of our report dated February 26, 2004 (except for Note 16 as to which the date is March 16, 2004), with respect to the consolidated financial statements of Limited Brands, Inc. and its subsidiaries included in its Annual Report (Form 10-K) for the year ended January 31, 2004, filed with the Securities and Exchange Commission.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Columbus, Ohio</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20, 2004</w:t>
      </w:r>
    </w:p>
    <w:p>
      <w:pPr>
        <w:sectPr>
          <w:pgSz w:w="11900" w:h="16838" w:orient="portrait"/>
          <w:cols w:equalWidth="0" w:num="1">
            <w:col w:w="11420"/>
          </w:cols>
          <w:pgMar w:left="240" w:top="125"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23.3</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58"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February 27, 2003 relating to the financial statements, which appears in the 2002 Annual Report to Shareholders of Limited Brands, Inc., which is incorporated by reference in Limited Brands’ Annual Report on Form 10-K for the year ended February 1, 2003.</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Columbus, Ohio</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18, 2004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lowerRoman"/>
      <w:start w:val="1"/>
    </w:lvl>
  </w:abstractNum>
  <w:abstractNum w:abstractNumId="2">
    <w:nsid w:val="46E87CCD"/>
    <w:multiLevelType w:val="hybridMultilevel"/>
    <w:lvl w:ilvl="0">
      <w:lvlJc w:val="left"/>
      <w:lvlText w:val="%1."/>
      <w:numFmt w:val="upperLetter"/>
      <w:start w:val="1"/>
    </w:lvl>
  </w:abstractNum>
  <w:abstractNum w:abstractNumId="3">
    <w:nsid w:val="3D1B58BA"/>
    <w:multiLevelType w:val="hybridMultilevel"/>
    <w:lvl w:ilvl="0">
      <w:lvlJc w:val="left"/>
      <w:lvlText w:val="(%1)"/>
      <w:numFmt w:val="decimal"/>
      <w:start w:val="1"/>
    </w:lvl>
    <w:lvl w:ilvl="1">
      <w:lvlJc w:val="left"/>
      <w:lvlText w:val="(%2)"/>
      <w:numFmt w:val="lowerRoman"/>
      <w:start w:val="1"/>
    </w:lvl>
  </w:abstractNum>
  <w:abstractNum w:abstractNumId="4">
    <w:nsid w:val="507ED7AB"/>
    <w:multiLevelType w:val="hybridMultilevel"/>
    <w:lvl w:ilvl="0">
      <w:lvlJc w:val="left"/>
      <w:lvlText w:val="%1"/>
      <w:numFmt w:val="upperLetter"/>
      <w:start w:val="1"/>
    </w:lvl>
    <w:lvl w:ilvl="1">
      <w:lvlJc w:val="left"/>
      <w:lvlText w:val="(%2)"/>
      <w:numFmt w:val="decimal"/>
      <w:start w:val="2"/>
    </w:lvl>
  </w:abstractNum>
  <w:abstractNum w:abstractNumId="5">
    <w:nsid w:val="2EB141F2"/>
    <w:multiLevelType w:val="hybridMultilevel"/>
    <w:lvl w:ilvl="0">
      <w:lvlJc w:val="left"/>
      <w:lvlText w:val="%1."/>
      <w:numFmt w:val="upperLetter"/>
      <w:start w:val="2"/>
    </w:lvl>
    <w:lvl w:ilvl="1">
      <w:lvlJc w:val="left"/>
      <w:lvlText w:val="%2"/>
      <w:numFmt w:val="decimal"/>
      <w:start w:val="1"/>
    </w:lvl>
  </w:abstractNum>
  <w:abstractNum w:abstractNumId="6">
    <w:nsid w:val="41B71EFB"/>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2019-12-13T11:02:05Z</dcterms:created>
  <dcterms:modified xsi:type="dcterms:W3CDTF">2019-12-13T11:02:05Z</dcterms:modified>
</cp:coreProperties>
</file>