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May 29, 2025</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Bath &amp; Body Works, Inc.</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1-8344</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31-1029810</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Three Limited Parkway</w:t>
            </w:r>
          </w:p>
        </w:tc>
        <w:tc>
          <w:tcPr>
            <w:tcW w:w="6720" w:type="dxa"/>
            <w:vAlign w:val="bottom"/>
          </w:tcPr>
          <w:p>
            <w:pPr>
              <w:spacing w:after="0"/>
              <w:rPr>
                <w:sz w:val="24"/>
                <w:szCs w:val="24"/>
                <w:color w:val="auto"/>
              </w:rPr>
            </w:pPr>
          </w:p>
        </w:tc>
      </w:tr>
      <w:tr>
        <w:trPr>
          <w:trHeight w:val="229"/>
        </w:trPr>
        <w:tc>
          <w:tcPr>
            <w:tcW w:w="252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8"/>
              </w:rPr>
              <w:t>Columbus,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43230</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415-7000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$0.50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BBWI</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information, including Exhibit 99.1,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29, 2025, Bath &amp; Body Works, Inc. issued a press release setting forth its unaudited financial results for the first quarter of 2025 and its earnings guidance for the second quarter of 2025. In addition, the press release maintains the company's earnings guidance for the full-year 2025. A copy of the press release is attached hereto as Exhibit 99.1 and is hereby incorporated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Bath &amp; Body Works, Inc., dated May 29, 2025.</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May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Eva C. Boratto</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23495</wp:posOffset>
            </wp:positionV>
            <wp:extent cx="522033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203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Bath &amp; Body Works Reports 2025 First Quarter Results and Maintains Fiscal Year 2025 Guidance</w:t>
      </w:r>
    </w:p>
    <w:p>
      <w:pPr>
        <w:spacing w:after="0" w:line="245" w:lineRule="exact"/>
        <w:rPr>
          <w:sz w:val="20"/>
          <w:szCs w:val="20"/>
          <w:color w:val="auto"/>
        </w:rPr>
      </w:pPr>
    </w:p>
    <w:p>
      <w:pPr>
        <w:ind w:left="660" w:right="420" w:hanging="328"/>
        <w:spacing w:after="0" w:line="241"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First quarter net sales up 3% to $1.4 billion, at the high end of the guidance range, and earnings per diluted share up 29% to $0.49, exceeding the high end of the guidance range</w:t>
      </w:r>
    </w:p>
    <w:p>
      <w:pPr>
        <w:spacing w:after="0" w:line="1" w:lineRule="exact"/>
        <w:rPr>
          <w:rFonts w:ascii="Arial" w:cs="Arial" w:eastAsia="Arial" w:hAnsi="Arial"/>
          <w:sz w:val="20"/>
          <w:szCs w:val="20"/>
          <w:i w:val="1"/>
          <w:iCs w:val="1"/>
          <w:color w:val="auto"/>
        </w:rPr>
      </w:pPr>
    </w:p>
    <w:p>
      <w:pPr>
        <w:ind w:left="620" w:hanging="288"/>
        <w:spacing w:after="0" w:line="225" w:lineRule="auto"/>
        <w:tabs>
          <w:tab w:leader="none" w:pos="6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Net sales performance driven by compelling innovation</w:t>
      </w:r>
    </w:p>
    <w:p>
      <w:pPr>
        <w:ind w:left="660" w:right="320" w:hanging="328"/>
        <w:spacing w:after="0" w:line="239"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maintains 2025 net sales guidance of 1% to 3% growth and earnings per diluted share guidance of $3.25 to $3.60, inclusive of current tariff rates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COLUMBUS, Ohio – May 29, 2025 – Bath &amp; Body Works, Inc. (NYSE: BBWI) today reported first quarter 2025 results.</w:t>
      </w:r>
    </w:p>
    <w:p>
      <w:pPr>
        <w:spacing w:after="0" w:line="216" w:lineRule="exact"/>
        <w:rPr>
          <w:sz w:val="20"/>
          <w:szCs w:val="20"/>
          <w:color w:val="auto"/>
        </w:rPr>
      </w:pPr>
    </w:p>
    <w:p>
      <w:pPr>
        <w:ind w:right="140"/>
        <w:spacing w:after="0" w:line="247" w:lineRule="auto"/>
        <w:rPr>
          <w:sz w:val="20"/>
          <w:szCs w:val="20"/>
          <w:color w:val="auto"/>
        </w:rPr>
      </w:pPr>
      <w:r>
        <w:rPr>
          <w:rFonts w:ascii="Arial" w:cs="Arial" w:eastAsia="Arial" w:hAnsi="Arial"/>
          <w:sz w:val="19"/>
          <w:szCs w:val="19"/>
          <w:color w:val="auto"/>
        </w:rPr>
        <w:t>“Our team delivered a strong start to the year driven by the positive customer response to our innovation in the quarter. We're effectively leveraging our predominantly U.S.-based supply chain to navigate the evolving trade environment, and I’m confident</w:t>
      </w:r>
    </w:p>
    <w:p>
      <w:pPr>
        <w:ind w:right="440"/>
        <w:spacing w:after="0" w:line="232" w:lineRule="auto"/>
        <w:rPr>
          <w:sz w:val="20"/>
          <w:szCs w:val="20"/>
          <w:color w:val="auto"/>
        </w:rPr>
      </w:pPr>
      <w:r>
        <w:rPr>
          <w:rFonts w:ascii="Arial" w:cs="Arial" w:eastAsia="Arial" w:hAnsi="Arial"/>
          <w:sz w:val="20"/>
          <w:szCs w:val="20"/>
          <w:color w:val="auto"/>
        </w:rPr>
        <w:t>in our ability to adapt to meet the consumer where they are with fragrance innovation and high-quality product at compelling price points as we move through 2025,” said Eva Boratto, CFO, Bath &amp; Body Works.</w:t>
      </w:r>
    </w:p>
    <w:p>
      <w:pPr>
        <w:spacing w:after="0" w:line="199"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Boratto concluded, “I’m also excited to welcome Daniel Heaf as CEO of Bath &amp; Body Works, and I look forward to partnering with him and the rest of the leadership team to build on our strong foundation and accelerate growth.”</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Last week, Bath &amp; Body Works announced that the Company’s independent directors unanimously voted to appoint Daniel Heaf as Chief Executive Officer, effective May 16, 2025. Following the conclusion of the Company’s 2025 Annual Meeting of Shareholders, Mr. Heaf will be appointed a member of the Board, effective immediately.</w:t>
      </w:r>
    </w:p>
    <w:p>
      <w:pPr>
        <w:spacing w:after="0" w:line="205" w:lineRule="exact"/>
        <w:rPr>
          <w:sz w:val="20"/>
          <w:szCs w:val="20"/>
          <w:color w:val="auto"/>
        </w:rPr>
      </w:pPr>
    </w:p>
    <w:p>
      <w:pPr>
        <w:ind w:right="60"/>
        <w:spacing w:after="0"/>
        <w:rPr>
          <w:sz w:val="20"/>
          <w:szCs w:val="20"/>
          <w:color w:val="auto"/>
        </w:rPr>
      </w:pPr>
      <w:r>
        <w:rPr>
          <w:rFonts w:ascii="Arial" w:cs="Arial" w:eastAsia="Arial" w:hAnsi="Arial"/>
          <w:sz w:val="20"/>
          <w:szCs w:val="20"/>
          <w:color w:val="auto"/>
        </w:rPr>
        <w:t>Daniel Heaf, CEO of Bath &amp; Body Works, commented, “I’m honored to join this iconic brand with a deep sense of purpose and a powerful foundation. I have already had the privilege of meeting many associates across the company, and I’m incredibly impressed by the passion, dedication, and talent across our teams. I believe we’re incredibly well positioned to define and lead the home fragrance and beauty categories globally and accelerate growth.”</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2025 Results</w:t>
      </w:r>
    </w:p>
    <w:p>
      <w:pPr>
        <w:spacing w:after="0" w:line="245"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auto"/>
        </w:rPr>
        <w:t>The company reported net sales of $1,424 million for the quarter ended May 3, 2025, an increase of 2.9% compared to net sales of $1,384 million for the quarter ended May 4, 2024.</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reported earnings per diluted share of $ 0.49 for the first quarter of 2025, compared to $0.38 last year. First quarter operating income was $209 million compared to $187 million last year, and net income was $105 million compared to $87 million last year.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2025 Guidance</w:t>
      </w:r>
    </w:p>
    <w:p>
      <w:pPr>
        <w:spacing w:after="0" w:line="231"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 company is maintaining its full-year 2025 net sales guidance of 1% to 3% growth, compared to $7,307 million in fiscal 2024, and 2025 full-year earnings per diluted share guidance of $ 3.25 to $3.60, compared to earnings per diluted share of $3.61 and adjusted earnings per diluted share of $3.29 in fiscal 2024. The company’s full-year outlook includes the anticipated impact of all tariff rates currently in effect and levied by the U.S. government and other countries. Our outlook also includes the anticipated impact of approximately $300 million of cash deployed towards share repurchases. In Fiscal 2025, we continue to expect to generate free cash flow of $750 million to $850 million.</w:t>
      </w:r>
    </w:p>
    <w:p>
      <w:pPr>
        <w:spacing w:after="0" w:line="217"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The company expects second quarter 2025 net sales to be flat to up 2% compared to $1,526 million in the second quarter of 2024. Second quarter 2025 earnings per diluted share is expected to be between $0.33 and $0.38, compared to earnings per diluted share of $0.68 and adjusted earnings per diluted share of $0.37 in the second quarter of 2024. Our second quarter 2025 outlook also includes the anticipated impact of all tariff rates as referenced above.</w:t>
      </w:r>
    </w:p>
    <w:p>
      <w:pPr>
        <w:sectPr>
          <w:pgSz w:w="11900" w:h="16838" w:orient="portrait"/>
          <w:cols w:equalWidth="0" w:num="1">
            <w:col w:w="11240"/>
          </w:cols>
          <w:pgMar w:left="320" w:top="885" w:right="339" w:bottom="1440" w:gutter="0" w:footer="0" w:header="0"/>
        </w:sectPr>
      </w:pPr>
    </w:p>
    <w:bookmarkStart w:id="4" w:name="page5"/>
    <w:bookmarkEnd w:id="4"/>
    <w:p>
      <w:pPr>
        <w:ind w:right="800"/>
        <w:spacing w:after="0" w:line="257" w:lineRule="auto"/>
        <w:rPr>
          <w:sz w:val="20"/>
          <w:szCs w:val="20"/>
          <w:color w:val="auto"/>
        </w:rPr>
      </w:pPr>
      <w:r>
        <w:rPr>
          <w:rFonts w:ascii="Arial" w:cs="Arial" w:eastAsia="Arial" w:hAnsi="Arial"/>
          <w:sz w:val="20"/>
          <w:szCs w:val="20"/>
          <w:color w:val="auto"/>
        </w:rPr>
        <w:t>Our forward-looking guidance excludes the anticipated financial impact of the aforementioned CEO transition, which we estimate could negatively impact earnings per diluted share by approximately $0.05.</w:t>
      </w:r>
    </w:p>
    <w:p>
      <w:pPr>
        <w:spacing w:after="0" w:line="196"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For a reconciliation of our reported GAAP to adjusted non-GAAP earnings per diluted share for fiscal 2024 and the second quarter of 2024, refer to our Annual Report on Form 10-K, filed with the SEC on March 14, 2025, and our Quarterly Report on Form 10-Q, filed with the SEC on August 28, 2024,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Call and Additional Information</w:t>
      </w:r>
    </w:p>
    <w:p>
      <w:pPr>
        <w:spacing w:after="0" w:line="245"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Bath &amp; Body Works, Inc. will conduct its first quarter earnings call at 8:30 a.m. Eastern Time on May 29. To listen, call 877-407-9219 (international dial-in number: 412-652-1274). For an audio replay, call 877-660-6853 (international replay number: 201-612-7415); access code 13753334 or log onto www.BBWInc.com. A slide presentation has been posted on the company’s Investor Relations website that summarizes certain information in the company‘s prepared remarks from the earnings call as well as some additional facts and figures regarding the company’s operating performance and guidance.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BATH &amp; BODY WORKS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Home of America’s Favorite Fragrances®, Bath &amp; Body Works is a global leader in personal care and home fragrance, including top-selling collections for fine fragrance mist, body lotion and body cream, 3-wick candles, home fragrance diffusers and liquid hand soap. Powered by agility and innovation, the company’s predominantly U.S.-based supply chain enables it to deliver quality, on-trend luxuries at affordable prices. Bath &amp; Body Works serves and delights customers however and wherever they want to shop, from welcoming, in-store experiences at 1,900 company-operated Bath &amp; Body Works locations in the U.S. and Canada, 524 international franchised locations and an online storefront at bathandbodyworks.com (as of May 3, 2025).</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Safe Harbor Statement Under the Private Securities Litigation Reform Act of 1995</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“target,” “goal” and any similar expressions may identify forward-looking statements. There are risks, uncertainties and other factors that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 These factors can be found in Item 1A. Risk Factors in our 2024 Annual Report on Form 10-K and our subsequent filings.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announce material financial and operational information using our investor relations website, press releases, SEC filings and public conference calls and webcasts. Information about the Company, our business and our results of operations may also be announced by posts on our accounts on social media channels, including the following: Facebook, Instagram, X, LinkedIn, Pinterest, TikTok and YouTube. The information that we post through these social media channels and on our website may be deemed material. As a result, we encourage investors, the media and others interested in the Company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sectPr>
          <w:pgSz w:w="11900" w:h="16838" w:orient="portrait"/>
          <w:cols w:equalWidth="0" w:num="1">
            <w:col w:w="11240"/>
          </w:cols>
          <w:pgMar w:left="320" w:top="1130"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For further information, please contact: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Bath &amp; Body Works, Inc.: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Luke Long</w:t>
      </w:r>
    </w:p>
    <w:p>
      <w:pPr>
        <w:spacing w:after="0"/>
        <w:rPr>
          <w:sz w:val="20"/>
          <w:szCs w:val="20"/>
          <w:color w:val="auto"/>
        </w:rPr>
      </w:pPr>
      <w:r>
        <w:rPr>
          <w:rFonts w:ascii="Arial" w:cs="Arial" w:eastAsia="Arial" w:hAnsi="Arial"/>
          <w:sz w:val="20"/>
          <w:szCs w:val="20"/>
          <w:color w:val="auto"/>
        </w:rPr>
        <w:t>InvestorRelations@bbw.com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Emmy Beach</w:t>
      </w:r>
    </w:p>
    <w:p>
      <w:pPr>
        <w:spacing w:after="0"/>
        <w:rPr>
          <w:sz w:val="20"/>
          <w:szCs w:val="20"/>
          <w:color w:val="auto"/>
        </w:rPr>
      </w:pPr>
      <w:r>
        <w:rPr>
          <w:rFonts w:ascii="Arial" w:cs="Arial" w:eastAsia="Arial" w:hAnsi="Arial"/>
          <w:sz w:val="20"/>
          <w:szCs w:val="20"/>
          <w:color w:val="auto"/>
        </w:rPr>
        <w:t>Communications@bbw.com</w:t>
      </w:r>
    </w:p>
    <w:p>
      <w:pPr>
        <w:sectPr>
          <w:pgSz w:w="11900" w:h="16838" w:orient="portrait"/>
          <w:cols w:equalWidth="0" w:num="1">
            <w:col w:w="10139"/>
          </w:cols>
          <w:pgMar w:left="320" w:top="1130" w:right="1440"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First Quarter</w:t>
            </w:r>
          </w:p>
        </w:tc>
        <w:tc>
          <w:tcPr>
            <w:tcW w:w="0" w:type="dxa"/>
            <w:vAlign w:val="bottom"/>
          </w:tcPr>
          <w:p>
            <w:pPr>
              <w:spacing w:after="0"/>
              <w:rPr>
                <w:sz w:val="1"/>
                <w:szCs w:val="1"/>
                <w:color w:val="auto"/>
              </w:rPr>
            </w:pPr>
          </w:p>
        </w:tc>
      </w:tr>
      <w:tr>
        <w:trPr>
          <w:trHeight w:val="223"/>
        </w:trPr>
        <w:tc>
          <w:tcPr>
            <w:tcW w:w="756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756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8"/>
        </w:trPr>
        <w:tc>
          <w:tcPr>
            <w:tcW w:w="756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r>
              <w:rPr>
                <w:rFonts w:ascii="Arial" w:cs="Arial" w:eastAsia="Arial" w:hAnsi="Arial"/>
                <w:sz w:val="18"/>
                <w:szCs w:val="18"/>
                <w:color w:val="auto"/>
              </w:rPr>
              <w:t>General, Administrative and Store Operating Expenses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8"/>
        </w:trPr>
        <w:tc>
          <w:tcPr>
            <w:tcW w:w="756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7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5"/>
        </w:trPr>
        <w:tc>
          <w:tcPr>
            <w:tcW w:w="7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60" w:type="dxa"/>
            <w:vAlign w:val="bottom"/>
          </w:tcPr>
          <w:p>
            <w:pPr>
              <w:spacing w:after="0"/>
              <w:rPr>
                <w:sz w:val="20"/>
                <w:szCs w:val="20"/>
                <w:color w:val="auto"/>
              </w:rPr>
            </w:pPr>
            <w:r>
              <w:rPr>
                <w:rFonts w:ascii="Arial" w:cs="Arial" w:eastAsia="Arial" w:hAnsi="Arial"/>
                <w:sz w:val="18"/>
                <w:szCs w:val="18"/>
                <w:color w:val="auto"/>
              </w:rPr>
              <w:t>Net Income per Diluted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6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820" w:top="1025" w:right="7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w:t>
            </w:r>
          </w:p>
        </w:tc>
        <w:tc>
          <w:tcPr>
            <w:tcW w:w="260" w:type="dxa"/>
            <w:vAlign w:val="bottom"/>
          </w:tcPr>
          <w:p>
            <w:pPr>
              <w:spacing w:after="0"/>
              <w:rPr>
                <w:sz w:val="17"/>
                <w:szCs w:val="17"/>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4,</w:t>
            </w:r>
          </w:p>
        </w:tc>
        <w:tc>
          <w:tcPr>
            <w:tcW w:w="0" w:type="dxa"/>
            <w:vAlign w:val="bottom"/>
          </w:tcPr>
          <w:p>
            <w:pPr>
              <w:spacing w:after="0"/>
              <w:rPr>
                <w:sz w:val="1"/>
                <w:szCs w:val="1"/>
                <w:color w:val="auto"/>
              </w:rPr>
            </w:pPr>
          </w:p>
        </w:tc>
      </w:tr>
      <w:tr>
        <w:trPr>
          <w:trHeight w:val="243"/>
        </w:trPr>
        <w:tc>
          <w:tcPr>
            <w:tcW w:w="8300" w:type="dxa"/>
            <w:vAlign w:val="bottom"/>
            <w:vMerge w:val="restart"/>
          </w:tcPr>
          <w:p>
            <w:pPr>
              <w:ind w:left="378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83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Easton Assets Held for Sale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30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Trade Name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1"/>
        </w:trPr>
        <w:tc>
          <w:tcPr>
            <w:tcW w:w="8300" w:type="dxa"/>
            <w:vAlign w:val="bottom"/>
            <w:vMerge w:val="restart"/>
          </w:tcPr>
          <w:p>
            <w:pPr>
              <w:ind w:left="2620"/>
              <w:spacing w:after="0"/>
              <w:rPr>
                <w:sz w:val="20"/>
                <w:szCs w:val="20"/>
                <w:color w:val="auto"/>
              </w:rPr>
            </w:pPr>
            <w:r>
              <w:rPr>
                <w:rFonts w:ascii="Arial" w:cs="Arial" w:eastAsia="Arial" w:hAnsi="Arial"/>
                <w:sz w:val="18"/>
                <w:szCs w:val="18"/>
                <w:b w:val="1"/>
                <w:bCs w:val="1"/>
                <w:color w:val="auto"/>
              </w:rPr>
              <w:t>LIABILITIES AND EQUITY (DEFICIT)</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5"/>
        </w:trPr>
        <w:tc>
          <w:tcPr>
            <w:tcW w:w="83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8"/>
        </w:trPr>
        <w:tc>
          <w:tcPr>
            <w:tcW w:w="8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r>
              <w:rPr>
                <w:rFonts w:ascii="Arial" w:cs="Arial" w:eastAsia="Arial" w:hAnsi="Arial"/>
                <w:sz w:val="18"/>
                <w:szCs w:val="18"/>
                <w:color w:val="auto"/>
              </w:rPr>
              <w:t>Total Equity (Deficit)</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85"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BATH &amp; BODY WORKS,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First Quarter</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2024</w:t>
            </w:r>
          </w:p>
        </w:tc>
        <w:tc>
          <w:tcPr>
            <w:tcW w:w="0" w:type="dxa"/>
            <w:vAlign w:val="bottom"/>
          </w:tcPr>
          <w:p>
            <w:pPr>
              <w:spacing w:after="0"/>
              <w:rPr>
                <w:sz w:val="1"/>
                <w:szCs w:val="1"/>
                <w:color w:val="auto"/>
              </w:rPr>
            </w:pPr>
          </w:p>
        </w:tc>
      </w:tr>
      <w:tr>
        <w:trPr>
          <w:trHeight w:val="204"/>
        </w:trPr>
        <w:tc>
          <w:tcPr>
            <w:tcW w:w="79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Depreciation of Long-lived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960" w:type="dxa"/>
            <w:vAlign w:val="bottom"/>
          </w:tcPr>
          <w:p>
            <w:pPr>
              <w:ind w:left="320"/>
              <w:spacing w:after="0"/>
              <w:rPr>
                <w:sz w:val="20"/>
                <w:szCs w:val="20"/>
                <w:color w:val="auto"/>
              </w:rPr>
            </w:pPr>
            <w:r>
              <w:rPr>
                <w:rFonts w:ascii="Arial" w:cs="Arial" w:eastAsia="Arial" w:hAnsi="Arial"/>
                <w:sz w:val="18"/>
                <w:szCs w:val="18"/>
                <w:color w:val="auto"/>
              </w:rPr>
              <w:t>Accounts Payable, Accrued Expenses and Other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79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5"/>
        </w:trPr>
        <w:tc>
          <w:tcPr>
            <w:tcW w:w="7960" w:type="dxa"/>
            <w:vAlign w:val="bottom"/>
          </w:tcPr>
          <w:p>
            <w:pPr>
              <w:ind w:left="320"/>
              <w:spacing w:after="0"/>
              <w:rPr>
                <w:sz w:val="20"/>
                <w:szCs w:val="20"/>
                <w:color w:val="auto"/>
              </w:rPr>
            </w:pPr>
            <w:r>
              <w:rPr>
                <w:rFonts w:ascii="Arial" w:cs="Arial" w:eastAsia="Arial" w:hAnsi="Arial"/>
                <w:sz w:val="18"/>
                <w:szCs w:val="18"/>
                <w:color w:val="auto"/>
              </w:rPr>
              <w:t>Other Assets and Liabilities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74"/>
        </w:trPr>
        <w:tc>
          <w:tcPr>
            <w:tcW w:w="7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5"/>
        </w:trPr>
        <w:tc>
          <w:tcPr>
            <w:tcW w:w="796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74"/>
        </w:trPr>
        <w:tc>
          <w:tcPr>
            <w:tcW w:w="79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Payments for Long-term Debt</w:t>
            </w:r>
          </w:p>
        </w:tc>
        <w:tc>
          <w:tcPr>
            <w:tcW w:w="9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20"/>
                <w:szCs w:val="20"/>
                <w:color w:val="auto"/>
              </w:rPr>
            </w:pPr>
            <w:r>
              <w:rPr>
                <w:rFonts w:ascii="Arial" w:cs="Arial" w:eastAsia="Arial" w:hAnsi="Arial"/>
                <w:sz w:val="18"/>
                <w:szCs w:val="18"/>
                <w:color w:val="auto"/>
              </w:rPr>
              <w:t>Dividends Paid</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Tax Payments related to Share-based Awards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5"/>
        </w:trPr>
        <w:tc>
          <w:tcPr>
            <w:tcW w:w="79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Cash Used for Financing Activities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480"/>
        </w:trPr>
        <w:tc>
          <w:tcPr>
            <w:tcW w:w="796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500" w:top="890"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BATH &amp; BODY WORKS,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2025</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Sales (In millions):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vMerge w:val="restart"/>
          </w:tcPr>
          <w:p>
            <w:pPr>
              <w:spacing w:after="0"/>
              <w:rPr>
                <w:sz w:val="20"/>
                <w:szCs w:val="20"/>
                <w:color w:val="auto"/>
              </w:rPr>
            </w:pPr>
            <w:r>
              <w:rPr>
                <w:rFonts w:ascii="Arial" w:cs="Arial" w:eastAsia="Arial" w:hAnsi="Arial"/>
                <w:sz w:val="18"/>
                <w:szCs w:val="18"/>
                <w:color w:val="auto"/>
              </w:rPr>
              <w:t>Stores - U.S. and Canada (a)</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98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Direct - U.S. and Canada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International (b)</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Bath &amp; Body Works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1,384</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3" w:lineRule="exact"/>
        <w:rPr>
          <w:sz w:val="20"/>
          <w:szCs w:val="20"/>
          <w:color w:val="auto"/>
        </w:rPr>
      </w:pPr>
    </w:p>
    <w:p>
      <w:pPr>
        <w:ind w:left="660" w:hanging="6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include fulfilled buy online pick up in store orders.</w:t>
      </w:r>
    </w:p>
    <w:p>
      <w:pPr>
        <w:spacing w:after="0" w:line="49" w:lineRule="exact"/>
        <w:rPr>
          <w:rFonts w:ascii="Arial" w:cs="Arial" w:eastAsia="Arial" w:hAnsi="Arial"/>
          <w:sz w:val="18"/>
          <w:szCs w:val="18"/>
          <w:color w:val="auto"/>
        </w:rPr>
      </w:pPr>
    </w:p>
    <w:p>
      <w:pPr>
        <w:ind w:left="460" w:hanging="41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include royalties associated with franchised stores and wholesale sales.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Company-operated Stores: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Stores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Stores</w:t>
            </w:r>
          </w:p>
        </w:tc>
        <w:tc>
          <w:tcPr>
            <w:tcW w:w="0" w:type="dxa"/>
            <w:vAlign w:val="bottom"/>
          </w:tcPr>
          <w:p>
            <w:pPr>
              <w:spacing w:after="0"/>
              <w:rPr>
                <w:sz w:val="1"/>
                <w:szCs w:val="1"/>
                <w:color w:val="auto"/>
              </w:rPr>
            </w:pPr>
          </w:p>
        </w:tc>
      </w:tr>
      <w:tr>
        <w:trPr>
          <w:trHeight w:val="235"/>
        </w:trPr>
        <w:tc>
          <w:tcPr>
            <w:tcW w:w="538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2/1/2025</w:t>
            </w:r>
          </w:p>
        </w:tc>
        <w:tc>
          <w:tcPr>
            <w:tcW w:w="100" w:type="dxa"/>
            <w:vAlign w:val="bottom"/>
          </w:tcPr>
          <w:p>
            <w:pPr>
              <w:spacing w:after="0"/>
              <w:rPr>
                <w:sz w:val="20"/>
                <w:szCs w:val="20"/>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b w:val="1"/>
                <w:bCs w:val="1"/>
                <w:color w:val="auto"/>
              </w:rPr>
              <w:t>Opened</w:t>
            </w: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Closed</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5/3/2025</w:t>
            </w: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8"/>
                <w:szCs w:val="18"/>
                <w:color w:val="auto"/>
              </w:rPr>
              <w:t>Canada</w:t>
            </w: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Bath &amp; Body Works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Partner-operated Stores: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Stores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Stores</w:t>
            </w:r>
          </w:p>
        </w:tc>
        <w:tc>
          <w:tcPr>
            <w:tcW w:w="0" w:type="dxa"/>
            <w:vAlign w:val="bottom"/>
          </w:tcPr>
          <w:p>
            <w:pPr>
              <w:spacing w:after="0"/>
              <w:rPr>
                <w:sz w:val="1"/>
                <w:szCs w:val="1"/>
                <w:color w:val="auto"/>
              </w:rPr>
            </w:pPr>
          </w:p>
        </w:tc>
      </w:tr>
      <w:tr>
        <w:trPr>
          <w:trHeight w:val="235"/>
        </w:trPr>
        <w:tc>
          <w:tcPr>
            <w:tcW w:w="538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2/1/2025</w:t>
            </w:r>
          </w:p>
        </w:tc>
        <w:tc>
          <w:tcPr>
            <w:tcW w:w="100" w:type="dxa"/>
            <w:vAlign w:val="bottom"/>
          </w:tcPr>
          <w:p>
            <w:pPr>
              <w:spacing w:after="0"/>
              <w:rPr>
                <w:sz w:val="20"/>
                <w:szCs w:val="20"/>
                <w:color w:val="auto"/>
              </w:rPr>
            </w:pP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Opened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Closed</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5/3/2025</w:t>
            </w: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8"/>
                <w:szCs w:val="18"/>
                <w:color w:val="auto"/>
              </w:rPr>
              <w:t>International - Travel Retail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International (a)</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660" w:hanging="6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store locations only and does not include kiosks, shop-in-shops, gondola or beauty counter locations.</w:t>
      </w:r>
    </w:p>
    <w:p>
      <w:pPr>
        <w:sectPr>
          <w:pgSz w:w="11900" w:h="16838" w:orient="portrait"/>
          <w:cols w:equalWidth="0" w:num="1">
            <w:col w:w="11240"/>
          </w:cols>
          <w:pgMar w:left="320" w:top="894" w:right="3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BATH &amp; BODY WORKS, INC.</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ADJUSTED FORECASTED FINANCIAL INFORMATION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62" w:lineRule="exact"/>
        <w:rPr>
          <w:sz w:val="20"/>
          <w:szCs w:val="20"/>
          <w:color w:val="auto"/>
        </w:rPr>
      </w:pPr>
    </w:p>
    <w:tbl>
      <w:tblPr>
        <w:tblLayout w:type="fixed"/>
        <w:tblInd w:w="140" w:type="dxa"/>
        <w:tblCellMar>
          <w:top w:w="0" w:type="dxa"/>
          <w:left w:w="0" w:type="dxa"/>
          <w:bottom w:w="0" w:type="dxa"/>
          <w:right w:w="0" w:type="dxa"/>
        </w:tblCellMar>
      </w:tblPr>
      <w:tr>
        <w:trPr>
          <w:trHeight w:val="235"/>
        </w:trPr>
        <w:tc>
          <w:tcPr>
            <w:tcW w:w="8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Full-Year</w:t>
            </w:r>
          </w:p>
        </w:tc>
        <w:tc>
          <w:tcPr>
            <w:tcW w:w="800" w:type="dxa"/>
            <w:vAlign w:val="bottom"/>
            <w:tcBorders>
              <w:bottom w:val="single" w:sz="8" w:color="auto"/>
            </w:tcBorders>
          </w:tcPr>
          <w:p>
            <w:pPr>
              <w:spacing w:after="0"/>
              <w:rPr>
                <w:sz w:val="20"/>
                <w:szCs w:val="20"/>
                <w:color w:val="auto"/>
              </w:rPr>
            </w:pPr>
          </w:p>
        </w:tc>
      </w:tr>
      <w:tr>
        <w:trPr>
          <w:trHeight w:val="223"/>
        </w:trPr>
        <w:tc>
          <w:tcPr>
            <w:tcW w:w="8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4"/>
              </w:rPr>
              <w:t>2025</w:t>
            </w:r>
          </w:p>
        </w:tc>
        <w:tc>
          <w:tcPr>
            <w:tcW w:w="800" w:type="dxa"/>
            <w:vAlign w:val="bottom"/>
            <w:tcBorders>
              <w:bottom w:val="single" w:sz="8" w:color="auto"/>
            </w:tcBorders>
          </w:tcPr>
          <w:p>
            <w:pPr>
              <w:spacing w:after="0"/>
              <w:rPr>
                <w:sz w:val="19"/>
                <w:szCs w:val="19"/>
                <w:color w:val="auto"/>
              </w:rPr>
            </w:pPr>
          </w:p>
        </w:tc>
      </w:tr>
      <w:tr>
        <w:trPr>
          <w:trHeight w:val="223"/>
        </w:trPr>
        <w:tc>
          <w:tcPr>
            <w:tcW w:w="8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Low</w:t>
            </w:r>
          </w:p>
        </w:tc>
        <w:tc>
          <w:tcPr>
            <w:tcW w:w="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High</w:t>
            </w:r>
          </w:p>
        </w:tc>
      </w:tr>
      <w:tr>
        <w:trPr>
          <w:trHeight w:val="169"/>
        </w:trPr>
        <w:tc>
          <w:tcPr>
            <w:tcW w:w="880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Reconciliation of Forecasted Net Cash Provided by Operating Activities to Forecasted Free Cash Flow</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5"/>
        </w:trPr>
        <w:tc>
          <w:tcPr>
            <w:tcW w:w="8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Forecasted Net Cash Provided by Operating Activities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c>
          <w:tcPr>
            <w:tcW w:w="6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5"/>
        </w:trPr>
        <w:tc>
          <w:tcPr>
            <w:tcW w:w="8480" w:type="dxa"/>
            <w:vAlign w:val="bottom"/>
          </w:tcPr>
          <w:p>
            <w:pPr>
              <w:spacing w:after="0"/>
              <w:rPr>
                <w:sz w:val="20"/>
                <w:szCs w:val="20"/>
                <w:color w:val="auto"/>
              </w:rPr>
            </w:pPr>
            <w:r>
              <w:rPr>
                <w:rFonts w:ascii="Arial" w:cs="Arial" w:eastAsia="Arial" w:hAnsi="Arial"/>
                <w:sz w:val="18"/>
                <w:szCs w:val="18"/>
                <w:color w:val="auto"/>
              </w:rPr>
              <w:t>Forecasted Capital Expenditures</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Forecasted Free Cash Flow</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1"/>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Forecasted Free Cash Flow</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Forecasted Free Cash Flow is defined as Forecasted Net Cash Provided by Operating Activities less our Forecasted Capital Expenditures. Our Forecasted Free Cash Flow is a non-GAAP financial measure which we believe is useful to analyze our anticipated ability to generate cash. Our Forecasted Free Cash Flow calculation may not be comparable to similarly-titled measures reported by other companies. Our Forecasted Free Cash Flow should be evaluated in addition to, and not considered a substitute for, other GAAP financial measures.</w:t>
      </w:r>
    </w:p>
    <w:sectPr>
      <w:pgSz w:w="11900" w:h="16838" w:orient="portrait"/>
      <w:cols w:equalWidth="0" w:num="1">
        <w:col w:w="11160"/>
      </w:cols>
      <w:pgMar w:left="320" w:top="10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2025-05-29T06:23:06Z</dcterms:created>
  <dcterms:modified xsi:type="dcterms:W3CDTF">2025-05-29T06:23:06Z</dcterms:modified>
</cp:coreProperties>
</file>