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March 14, 2025</w:t>
      </w:r>
    </w:p>
    <w:p>
      <w:pPr>
        <w:spacing w:after="0" w:line="6" w:lineRule="exact"/>
        <w:rPr>
          <w:sz w:val="24"/>
          <w:szCs w:val="24"/>
          <w:color w:val="auto"/>
        </w:rPr>
      </w:pPr>
    </w:p>
    <w:p>
      <w:pPr>
        <w:ind w:left="9144"/>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3"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151765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t>BATH &amp; BODY WORKS, INC.*</w:t>
      </w:r>
    </w:p>
    <w:p>
      <w:pPr>
        <w:spacing w:after="0" w:line="4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163195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7" w:lineRule="exact"/>
        <w:rPr>
          <w:sz w:val="24"/>
          <w:szCs w:val="24"/>
          <w:color w:val="auto"/>
        </w:rPr>
      </w:pPr>
    </w:p>
    <w:tbl>
      <w:tblPr>
        <w:tblLayout w:type="fixed"/>
        <w:tblInd w:w="1944" w:type="dxa"/>
        <w:tblCellMar>
          <w:top w:w="0" w:type="dxa"/>
          <w:left w:w="0" w:type="dxa"/>
          <w:bottom w:w="0" w:type="dxa"/>
          <w:right w:w="0" w:type="dxa"/>
        </w:tblCellMar>
      </w:tblPr>
      <w:tr>
        <w:trPr>
          <w:trHeight w:val="161"/>
        </w:trPr>
        <w:tc>
          <w:tcPr>
            <w:tcW w:w="3720" w:type="dxa"/>
            <w:vAlign w:val="bottom"/>
          </w:tcPr>
          <w:p>
            <w:pPr>
              <w:jc w:val="center"/>
              <w:ind w:right="199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00" w:type="dxa"/>
            <w:vAlign w:val="bottom"/>
          </w:tcPr>
          <w:p>
            <w:pPr>
              <w:jc w:val="center"/>
              <w:ind w:left="1994"/>
              <w:spacing w:after="0"/>
              <w:rPr>
                <w:sz w:val="20"/>
                <w:szCs w:val="20"/>
                <w:color w:val="auto"/>
              </w:rPr>
            </w:pPr>
            <w:r>
              <w:rPr>
                <w:rFonts w:ascii="Times New Roman" w:cs="Times New Roman" w:eastAsia="Times New Roman" w:hAnsi="Times New Roman"/>
                <w:sz w:val="14"/>
                <w:szCs w:val="14"/>
                <w:b w:val="1"/>
                <w:bCs w:val="1"/>
                <w:color w:val="auto"/>
              </w:rPr>
              <w:t>31-1029810</w:t>
            </w:r>
          </w:p>
        </w:tc>
      </w:tr>
      <w:tr>
        <w:trPr>
          <w:trHeight w:val="135"/>
        </w:trPr>
        <w:tc>
          <w:tcPr>
            <w:tcW w:w="3720" w:type="dxa"/>
            <w:vAlign w:val="bottom"/>
          </w:tcPr>
          <w:p>
            <w:pPr>
              <w:jc w:val="center"/>
              <w:ind w:right="197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300" w:type="dxa"/>
            <w:vAlign w:val="bottom"/>
          </w:tcPr>
          <w:p>
            <w:pPr>
              <w:jc w:val="center"/>
              <w:ind w:left="1994"/>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720" w:type="dxa"/>
            <w:vAlign w:val="bottom"/>
          </w:tcPr>
          <w:p>
            <w:pPr>
              <w:jc w:val="center"/>
              <w:ind w:right="197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300" w:type="dxa"/>
            <w:vAlign w:val="bottom"/>
          </w:tcPr>
          <w:p>
            <w:pPr>
              <w:jc w:val="center"/>
              <w:ind w:left="1994"/>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86"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Three Limited Parkway</w:t>
      </w:r>
    </w:p>
    <w:p>
      <w:pPr>
        <w:jc w:val="center"/>
        <w:ind w:right="-23"/>
        <w:spacing w:after="0" w:line="229" w:lineRule="auto"/>
        <w:rPr>
          <w:sz w:val="20"/>
          <w:szCs w:val="20"/>
          <w:color w:val="auto"/>
        </w:rPr>
      </w:pPr>
      <w:r>
        <w:rPr>
          <w:rFonts w:ascii="Times New Roman" w:cs="Times New Roman" w:eastAsia="Times New Roman" w:hAnsi="Times New Roman"/>
          <w:sz w:val="14"/>
          <w:szCs w:val="14"/>
          <w:b w:val="1"/>
          <w:bCs w:val="1"/>
          <w:color w:val="auto"/>
        </w:rPr>
        <w:t>Columbus, Ohio, 43230</w:t>
      </w:r>
    </w:p>
    <w:p>
      <w:pPr>
        <w:jc w:val="center"/>
        <w:ind w:right="-23"/>
        <w:spacing w:after="0" w:line="225" w:lineRule="auto"/>
        <w:rPr>
          <w:sz w:val="20"/>
          <w:szCs w:val="20"/>
          <w:color w:val="auto"/>
        </w:rPr>
      </w:pPr>
      <w:r>
        <w:rPr>
          <w:rFonts w:ascii="Times New Roman" w:cs="Times New Roman" w:eastAsia="Times New Roman" w:hAnsi="Times New Roman"/>
          <w:sz w:val="14"/>
          <w:szCs w:val="14"/>
          <w:b w:val="1"/>
          <w:bCs w:val="1"/>
          <w:color w:val="auto"/>
        </w:rPr>
        <w:t>(614) 415-7000</w:t>
      </w:r>
    </w:p>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147955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Michael C. Wu</w:t>
      </w:r>
    </w:p>
    <w:p>
      <w:pPr>
        <w:jc w:val="center"/>
        <w:ind w:right="-23"/>
        <w:spacing w:after="0" w:line="229" w:lineRule="auto"/>
        <w:rPr>
          <w:sz w:val="20"/>
          <w:szCs w:val="20"/>
          <w:color w:val="auto"/>
        </w:rPr>
      </w:pPr>
      <w:r>
        <w:rPr>
          <w:rFonts w:ascii="Times New Roman" w:cs="Times New Roman" w:eastAsia="Times New Roman" w:hAnsi="Times New Roman"/>
          <w:sz w:val="14"/>
          <w:szCs w:val="14"/>
          <w:b w:val="1"/>
          <w:bCs w:val="1"/>
          <w:color w:val="auto"/>
        </w:rPr>
        <w:t>Chief Legal Officer and Secretary</w:t>
      </w:r>
    </w:p>
    <w:p>
      <w:pPr>
        <w:jc w:val="center"/>
        <w:ind w:right="-23"/>
        <w:spacing w:after="0" w:line="221" w:lineRule="auto"/>
        <w:rPr>
          <w:sz w:val="20"/>
          <w:szCs w:val="20"/>
          <w:color w:val="auto"/>
        </w:rPr>
      </w:pPr>
      <w:r>
        <w:rPr>
          <w:rFonts w:ascii="Times New Roman" w:cs="Times New Roman" w:eastAsia="Times New Roman" w:hAnsi="Times New Roman"/>
          <w:sz w:val="14"/>
          <w:szCs w:val="14"/>
          <w:b w:val="1"/>
          <w:bCs w:val="1"/>
          <w:color w:val="auto"/>
        </w:rPr>
        <w:t>Bath &amp; Body Works, Inc.</w:t>
      </w:r>
    </w:p>
    <w:p>
      <w:pPr>
        <w:jc w:val="center"/>
        <w:ind w:right="-23"/>
        <w:spacing w:after="0" w:line="222" w:lineRule="auto"/>
        <w:rPr>
          <w:sz w:val="20"/>
          <w:szCs w:val="20"/>
          <w:color w:val="auto"/>
        </w:rPr>
      </w:pPr>
      <w:r>
        <w:rPr>
          <w:rFonts w:ascii="Times New Roman" w:cs="Times New Roman" w:eastAsia="Times New Roman" w:hAnsi="Times New Roman"/>
          <w:sz w:val="14"/>
          <w:szCs w:val="14"/>
          <w:b w:val="1"/>
          <w:bCs w:val="1"/>
          <w:color w:val="auto"/>
        </w:rPr>
        <w:t>Three Limited Parkway</w:t>
      </w:r>
    </w:p>
    <w:p>
      <w:pPr>
        <w:jc w:val="center"/>
        <w:ind w:right="-23"/>
        <w:spacing w:after="0" w:line="221" w:lineRule="auto"/>
        <w:rPr>
          <w:sz w:val="20"/>
          <w:szCs w:val="20"/>
          <w:color w:val="auto"/>
        </w:rPr>
      </w:pPr>
      <w:r>
        <w:rPr>
          <w:rFonts w:ascii="Times New Roman" w:cs="Times New Roman" w:eastAsia="Times New Roman" w:hAnsi="Times New Roman"/>
          <w:sz w:val="14"/>
          <w:szCs w:val="14"/>
          <w:b w:val="1"/>
          <w:bCs w:val="1"/>
          <w:color w:val="auto"/>
        </w:rPr>
        <w:t>Columbus, Ohio, 43230</w:t>
      </w:r>
    </w:p>
    <w:p>
      <w:pPr>
        <w:jc w:val="center"/>
        <w:ind w:right="-23"/>
        <w:spacing w:after="0" w:line="225" w:lineRule="auto"/>
        <w:rPr>
          <w:sz w:val="20"/>
          <w:szCs w:val="20"/>
          <w:color w:val="auto"/>
        </w:rPr>
      </w:pPr>
      <w:r>
        <w:rPr>
          <w:rFonts w:ascii="Times New Roman" w:cs="Times New Roman" w:eastAsia="Times New Roman" w:hAnsi="Times New Roman"/>
          <w:sz w:val="14"/>
          <w:szCs w:val="14"/>
          <w:b w:val="1"/>
          <w:bCs w:val="1"/>
          <w:color w:val="auto"/>
        </w:rPr>
        <w:t>(614) 415-7000</w:t>
      </w:r>
    </w:p>
    <w:p>
      <w:pPr>
        <w:spacing w:after="0" w:line="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139065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12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Deanna L. Kirkpatrick, Esq.</w:t>
      </w:r>
    </w:p>
    <w:p>
      <w:pPr>
        <w:jc w:val="center"/>
        <w:ind w:right="-23"/>
        <w:spacing w:after="0" w:line="229" w:lineRule="auto"/>
        <w:rPr>
          <w:sz w:val="20"/>
          <w:szCs w:val="20"/>
          <w:color w:val="auto"/>
        </w:rPr>
      </w:pPr>
      <w:r>
        <w:rPr>
          <w:rFonts w:ascii="Times New Roman" w:cs="Times New Roman" w:eastAsia="Times New Roman" w:hAnsi="Times New Roman"/>
          <w:sz w:val="14"/>
          <w:szCs w:val="14"/>
          <w:b w:val="1"/>
          <w:bCs w:val="1"/>
          <w:color w:val="auto"/>
        </w:rPr>
        <w:t>Roshni Banker Cariello, Esq.</w:t>
      </w:r>
    </w:p>
    <w:p>
      <w:pPr>
        <w:jc w:val="center"/>
        <w:ind w:right="-23"/>
        <w:spacing w:after="0" w:line="221" w:lineRule="auto"/>
        <w:rPr>
          <w:sz w:val="20"/>
          <w:szCs w:val="20"/>
          <w:color w:val="auto"/>
        </w:rPr>
      </w:pPr>
      <w:r>
        <w:rPr>
          <w:rFonts w:ascii="Times New Roman" w:cs="Times New Roman" w:eastAsia="Times New Roman" w:hAnsi="Times New Roman"/>
          <w:sz w:val="14"/>
          <w:szCs w:val="14"/>
          <w:b w:val="1"/>
          <w:bCs w:val="1"/>
          <w:color w:val="auto"/>
        </w:rPr>
        <w:t>Davis Polk &amp; Wardwell LLP</w:t>
      </w:r>
    </w:p>
    <w:p>
      <w:pPr>
        <w:jc w:val="center"/>
        <w:ind w:right="-23"/>
        <w:spacing w:after="0" w:line="222" w:lineRule="auto"/>
        <w:rPr>
          <w:sz w:val="20"/>
          <w:szCs w:val="20"/>
          <w:color w:val="auto"/>
        </w:rPr>
      </w:pPr>
      <w:r>
        <w:rPr>
          <w:rFonts w:ascii="Times New Roman" w:cs="Times New Roman" w:eastAsia="Times New Roman" w:hAnsi="Times New Roman"/>
          <w:sz w:val="14"/>
          <w:szCs w:val="14"/>
          <w:b w:val="1"/>
          <w:bCs w:val="1"/>
          <w:color w:val="auto"/>
        </w:rPr>
        <w:t>450 Lexington Avenue</w:t>
      </w:r>
    </w:p>
    <w:p>
      <w:pPr>
        <w:jc w:val="center"/>
        <w:ind w:right="-23"/>
        <w:spacing w:after="0" w:line="221" w:lineRule="auto"/>
        <w:rPr>
          <w:sz w:val="20"/>
          <w:szCs w:val="20"/>
          <w:color w:val="auto"/>
        </w:rPr>
      </w:pPr>
      <w:r>
        <w:rPr>
          <w:rFonts w:ascii="Times New Roman" w:cs="Times New Roman" w:eastAsia="Times New Roman" w:hAnsi="Times New Roman"/>
          <w:sz w:val="14"/>
          <w:szCs w:val="14"/>
          <w:b w:val="1"/>
          <w:bCs w:val="1"/>
          <w:color w:val="auto"/>
        </w:rPr>
        <w:t>New York, NY 10017</w:t>
      </w:r>
    </w:p>
    <w:p>
      <w:pPr>
        <w:spacing w:after="0" w:line="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this Registration Statement becomes effective.</w:t>
      </w:r>
    </w:p>
    <w:p>
      <w:pPr>
        <w:spacing w:after="0" w:line="80" w:lineRule="exact"/>
        <w:rPr>
          <w:sz w:val="24"/>
          <w:szCs w:val="24"/>
          <w:color w:val="auto"/>
        </w:rPr>
      </w:pPr>
    </w:p>
    <w:p>
      <w:pPr>
        <w:ind w:left="444"/>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40" w:lineRule="exact"/>
        <w:rPr>
          <w:sz w:val="24"/>
          <w:szCs w:val="24"/>
          <w:color w:val="auto"/>
        </w:rPr>
      </w:pPr>
    </w:p>
    <w:p>
      <w:pPr>
        <w:ind w:left="4" w:right="28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4" w:right="56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4" w:right="10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4"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4" w:right="16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004"/>
          </w:cols>
          <w:pgMar w:left="436" w:top="223" w:right="459" w:bottom="1440" w:gutter="0" w:footer="0" w:header="0"/>
        </w:sectPr>
      </w:pPr>
    </w:p>
    <w:p>
      <w:pPr>
        <w:spacing w:after="0" w:line="75" w:lineRule="exact"/>
        <w:rPr>
          <w:sz w:val="24"/>
          <w:szCs w:val="24"/>
          <w:color w:val="auto"/>
        </w:rPr>
      </w:pPr>
    </w:p>
    <w:p>
      <w:pPr>
        <w:ind w:left="4"/>
        <w:spacing w:after="0" w:line="161" w:lineRule="exact"/>
        <w:tabs>
          <w:tab w:leader="none" w:pos="1764" w:val="left"/>
          <w:tab w:leader="none" w:pos="8584"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81" w:lineRule="exact"/>
        <w:rPr>
          <w:sz w:val="24"/>
          <w:szCs w:val="24"/>
          <w:color w:val="auto"/>
        </w:rPr>
      </w:pPr>
    </w:p>
    <w:p>
      <w:pPr>
        <w:ind w:left="4"/>
        <w:spacing w:after="0" w:line="161" w:lineRule="exact"/>
        <w:tabs>
          <w:tab w:leader="none" w:pos="1764" w:val="left"/>
          <w:tab w:leader="none" w:pos="8584"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01" w:lineRule="exact"/>
        <w:rPr>
          <w:sz w:val="24"/>
          <w:szCs w:val="24"/>
          <w:color w:val="auto"/>
        </w:rPr>
      </w:pPr>
    </w:p>
    <w:p>
      <w:pPr>
        <w:ind w:left="8604"/>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96" w:lineRule="exact"/>
        <w:rPr>
          <w:sz w:val="24"/>
          <w:szCs w:val="24"/>
          <w:color w:val="auto"/>
        </w:rPr>
      </w:pPr>
    </w:p>
    <w:p>
      <w:pPr>
        <w:ind w:left="4"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5" w:lineRule="exact"/>
        <w:rPr>
          <w:sz w:val="24"/>
          <w:szCs w:val="24"/>
          <w:color w:val="auto"/>
        </w:rPr>
      </w:pPr>
    </w:p>
    <w:p>
      <w:pPr>
        <w:ind w:left="224" w:hanging="224"/>
        <w:spacing w:after="0"/>
        <w:tabs>
          <w:tab w:leader="none" w:pos="22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subsidiaries of Bath &amp; Body Works, Inc. identified on the following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444" w:space="360"/>
            <w:col w:w="200"/>
          </w:cols>
          <w:pgMar w:left="436" w:top="223" w:right="459" w:bottom="1440" w:gutter="0" w:footer="0" w:header="0"/>
          <w:type w:val="continuous"/>
        </w:sectPr>
      </w:pPr>
    </w:p>
    <w:bookmarkStart w:id="1" w:name="page2"/>
    <w:bookmarkEnd w:id="1"/>
    <w:p>
      <w:pPr>
        <w:ind w:left="37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ADDITIONAL REGISTRANTS</w:t>
      </w:r>
    </w:p>
    <w:p>
      <w:pPr>
        <w:spacing w:after="0" w:line="23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64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15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I.R.S. Employer</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15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640" w:type="dxa"/>
            <w:vAlign w:val="bottom"/>
          </w:tcPr>
          <w:p>
            <w:pPr>
              <w:spacing w:after="0"/>
              <w:rPr>
                <w:sz w:val="12"/>
                <w:szCs w:val="12"/>
                <w:color w:val="auto"/>
              </w:rPr>
            </w:pPr>
          </w:p>
        </w:tc>
        <w:tc>
          <w:tcPr>
            <w:tcW w:w="164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15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Classification</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w:t>
            </w:r>
          </w:p>
        </w:tc>
        <w:tc>
          <w:tcPr>
            <w:tcW w:w="0" w:type="dxa"/>
            <w:vAlign w:val="bottom"/>
          </w:tcPr>
          <w:p>
            <w:pPr>
              <w:spacing w:after="0"/>
              <w:rPr>
                <w:sz w:val="1"/>
                <w:szCs w:val="1"/>
                <w:color w:val="auto"/>
              </w:rPr>
            </w:pPr>
          </w:p>
        </w:tc>
      </w:tr>
      <w:tr>
        <w:trPr>
          <w:trHeight w:val="180"/>
        </w:trPr>
        <w:tc>
          <w:tcPr>
            <w:tcW w:w="3300" w:type="dxa"/>
            <w:vAlign w:val="bottom"/>
            <w:tcBorders>
              <w:bottom w:val="single" w:sz="8" w:color="auto"/>
            </w:tcBorders>
            <w:vMerge w:val="continue"/>
          </w:tcPr>
          <w:p>
            <w:pPr>
              <w:spacing w:after="0"/>
              <w:rPr>
                <w:sz w:val="15"/>
                <w:szCs w:val="15"/>
                <w:color w:val="auto"/>
              </w:rPr>
            </w:pPr>
          </w:p>
        </w:tc>
        <w:tc>
          <w:tcPr>
            <w:tcW w:w="2640" w:type="dxa"/>
            <w:vAlign w:val="bottom"/>
          </w:tcPr>
          <w:p>
            <w:pPr>
              <w:spacing w:after="0"/>
              <w:rPr>
                <w:sz w:val="15"/>
                <w:szCs w:val="15"/>
                <w:color w:val="auto"/>
              </w:rPr>
            </w:pPr>
          </w:p>
        </w:tc>
        <w:tc>
          <w:tcPr>
            <w:tcW w:w="164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Organization</w:t>
            </w:r>
          </w:p>
        </w:tc>
        <w:tc>
          <w:tcPr>
            <w:tcW w:w="1500" w:type="dxa"/>
            <w:vAlign w:val="bottom"/>
            <w:gridSpan w:val="2"/>
          </w:tcPr>
          <w:p>
            <w:pPr>
              <w:jc w:val="right"/>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Code Number</w:t>
            </w:r>
          </w:p>
        </w:tc>
        <w:tc>
          <w:tcPr>
            <w:tcW w:w="10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Bath &amp; Body Works Brand Management, Inc.</w:t>
            </w:r>
          </w:p>
        </w:tc>
        <w:tc>
          <w:tcPr>
            <w:tcW w:w="26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Delaware</w:t>
            </w:r>
          </w:p>
        </w:tc>
        <w:tc>
          <w:tcPr>
            <w:tcW w:w="6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5600</w:t>
            </w:r>
          </w:p>
        </w:tc>
        <w:tc>
          <w:tcPr>
            <w:tcW w:w="6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52-2450868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Bath &amp; Body Works Direct, Inc.</w:t>
            </w:r>
          </w:p>
        </w:tc>
        <w:tc>
          <w:tcPr>
            <w:tcW w:w="264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Delaware</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5600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20-3048392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Bath &amp; Body Works, LLC</w:t>
            </w:r>
          </w:p>
        </w:tc>
        <w:tc>
          <w:tcPr>
            <w:tcW w:w="26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Delaware</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5600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52-2455381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beautyAvenues, LLC</w:t>
            </w:r>
          </w:p>
        </w:tc>
        <w:tc>
          <w:tcPr>
            <w:tcW w:w="264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Delaware</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5600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52-2450857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Specialty Holding, LLC</w:t>
            </w:r>
          </w:p>
        </w:tc>
        <w:tc>
          <w:tcPr>
            <w:tcW w:w="26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Delaware</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5600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87-1600716</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 Brands Service Company, LLC</w:t>
            </w:r>
          </w:p>
        </w:tc>
        <w:tc>
          <w:tcPr>
            <w:tcW w:w="2640" w:type="dxa"/>
            <w:vAlign w:val="bottom"/>
          </w:tcPr>
          <w:p>
            <w:pPr>
              <w:spacing w:after="0"/>
              <w:rPr>
                <w:sz w:val="20"/>
                <w:szCs w:val="20"/>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Delaware</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5600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31-1048997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224" w:right="18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including zip code, and telephone number, including area code, of each Registrant’s principal executive offices is Three Limited Parkway, Columbus, Ohio 43230, Tel. (614) 415-7000.</w:t>
      </w:r>
    </w:p>
    <w:p>
      <w:pPr>
        <w:sectPr>
          <w:pgSz w:w="11900" w:h="16838" w:orient="portrait"/>
          <w:cols w:equalWidth="0" w:num="1">
            <w:col w:w="10564"/>
          </w:cols>
          <w:pgMar w:left="436" w:top="266" w:right="8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BATH &amp; BODY WORKS, INC.</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GUARANTEES OF DEBT SECURITIES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prospectus relates to common stock, preferred stock, depositary shares, debt securities, warrants, purchase contracts and units that we may sell from time to time in one or more offerings. The debt securities may be guaranteed by one or more subsidiaries identified in this prospectus on terms to be determined at the time of an offering. This prospectus will allow us to issue securities over time.</w:t>
      </w:r>
    </w:p>
    <w:p>
      <w:pPr>
        <w:spacing w:after="0" w:line="176"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We will provide a prospectus supplement each time we issue securities, which will inform you about the specific terms of that offering and may also supplement, update or amend information contained in this document. You should read this prospectus and the applicable prospectus supplement carefully before you invest in our securities.</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“BBWI.” We have not yet determined whether any of the other securities that may be offered by this prospectus will be listed on any exchange, inter-dealer quotation system or over-the-counter market. If we decide to seek the listing of any such securities upon issuance, the prospectus supplement relating to those securities will disclose the exchange, quotation system or market on which the securities will be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Investing in our securities involves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7 of this prospectus.</w:t>
      </w:r>
    </w:p>
    <w:p>
      <w:pPr>
        <w:spacing w:after="0" w:line="21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or agents, or directly to investors, on a continuous or delayed basis.</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provide the names of any underwriters, dealers or agents, the specific terms of the plan of distribution, any over-allotment option and any applicable underwriting discounts and commissions.</w:t>
      </w:r>
    </w:p>
    <w:p>
      <w:pPr>
        <w:spacing w:after="0" w:line="158"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14, 2025</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this prospectus the terms “Bath &amp; Body Works,” “we,” “us,” “our” and the “Company” refer to Bath &amp; Body Works, Inc.</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into this prospectus or in any free writing prospectus prepared by or on behalf of us or to which we have referred you. We take no responsibility for, and can provided no assurance as to the reliability or, any other information that others may give you. We are not making an offer of these securities in any jurisdiction where the offer is not permitted. You should not assume that the information contained in or incorporated by reference into this prospectus is accurate as of any date other than the date on the front of this prospectus.</w:t>
      </w:r>
    </w:p>
    <w:p>
      <w:pPr>
        <w:sectPr>
          <w:pgSz w:w="11900" w:h="16838" w:orient="portrait"/>
          <w:cols w:equalWidth="0" w:num="1">
            <w:col w:w="10960"/>
          </w:cols>
          <w:pgMar w:left="440" w:top="266"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900" w:type="dxa"/>
            <w:vAlign w:val="bottom"/>
            <w:gridSpan w:val="9"/>
            <w:vMerge w:val="restart"/>
          </w:tcPr>
          <w:p>
            <w:pPr>
              <w:spacing w:after="0"/>
              <w:rPr>
                <w:sz w:val="24"/>
                <w:szCs w:val="24"/>
                <w:color w:val="auto"/>
              </w:rPr>
            </w:pPr>
          </w:p>
        </w:tc>
        <w:tc>
          <w:tcPr>
            <w:tcW w:w="1920" w:type="dxa"/>
            <w:vAlign w:val="bottom"/>
            <w:tcBorders>
              <w:top w:val="single" w:sz="8" w:color="auto"/>
            </w:tcBorders>
            <w:gridSpan w:val="2"/>
            <w:vMerge w:val="restart"/>
          </w:tcPr>
          <w:p>
            <w:pPr>
              <w:spacing w:after="0"/>
              <w:rPr>
                <w:sz w:val="24"/>
                <w:szCs w:val="24"/>
                <w:color w:val="auto"/>
              </w:rPr>
            </w:pPr>
          </w:p>
        </w:tc>
        <w:tc>
          <w:tcPr>
            <w:tcW w:w="4220" w:type="dxa"/>
            <w:vAlign w:val="bottom"/>
            <w:vMerge w:val="restart"/>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1640" w:type="dxa"/>
            <w:vAlign w:val="bottom"/>
            <w:tcBorders>
              <w:bottom w:val="single" w:sz="8" w:color="0000EE"/>
            </w:tcBorders>
            <w:gridSpan w:val="8"/>
            <w:vMerge w:val="continue"/>
          </w:tcPr>
          <w:p>
            <w:pPr>
              <w:spacing w:after="0"/>
              <w:rPr>
                <w:sz w:val="14"/>
                <w:szCs w:val="14"/>
                <w:color w:val="auto"/>
              </w:rPr>
            </w:pPr>
          </w:p>
        </w:tc>
        <w:tc>
          <w:tcPr>
            <w:tcW w:w="2900" w:type="dxa"/>
            <w:vAlign w:val="bottom"/>
            <w:gridSpan w:val="9"/>
            <w:vMerge w:val="continue"/>
          </w:tcPr>
          <w:p>
            <w:pPr>
              <w:spacing w:after="0"/>
              <w:rPr>
                <w:sz w:val="14"/>
                <w:szCs w:val="14"/>
                <w:color w:val="auto"/>
              </w:rPr>
            </w:pPr>
          </w:p>
        </w:tc>
        <w:tc>
          <w:tcPr>
            <w:tcW w:w="1920" w:type="dxa"/>
            <w:vAlign w:val="bottom"/>
            <w:tcBorders>
              <w:top w:val="single" w:sz="8" w:color="auto"/>
            </w:tcBorders>
            <w:gridSpan w:val="2"/>
            <w:vMerge w:val="continue"/>
          </w:tcPr>
          <w:p>
            <w:pPr>
              <w:spacing w:after="0"/>
              <w:rPr>
                <w:sz w:val="14"/>
                <w:szCs w:val="14"/>
                <w:color w:val="auto"/>
              </w:rPr>
            </w:pPr>
          </w:p>
        </w:tc>
        <w:tc>
          <w:tcPr>
            <w:tcW w:w="4220" w:type="dxa"/>
            <w:vAlign w:val="bottom"/>
            <w:vMerge w:val="continue"/>
          </w:tcPr>
          <w:p>
            <w:pPr>
              <w:spacing w:after="0"/>
              <w:rPr>
                <w:sz w:val="14"/>
                <w:szCs w:val="14"/>
                <w:color w:val="auto"/>
              </w:rPr>
            </w:pPr>
          </w:p>
        </w:tc>
        <w:tc>
          <w:tcPr>
            <w:tcW w:w="2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Documents by Reference</w:t>
            </w:r>
          </w:p>
        </w:tc>
        <w:tc>
          <w:tcPr>
            <w:tcW w:w="76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Bath &amp; Body Works, Inc.</w:t>
            </w:r>
          </w:p>
        </w:tc>
        <w:tc>
          <w:tcPr>
            <w:tcW w:w="260" w:type="dxa"/>
            <w:vAlign w:val="bottom"/>
            <w:tcBorders>
              <w:top w:val="single" w:sz="8" w:color="0000EE"/>
            </w:tcBorders>
            <w:gridSpan w:val="2"/>
          </w:tcPr>
          <w:p>
            <w:pPr>
              <w:spacing w:after="0"/>
              <w:rPr>
                <w:sz w:val="17"/>
                <w:szCs w:val="17"/>
                <w:color w:val="auto"/>
              </w:rPr>
            </w:pPr>
          </w:p>
        </w:tc>
        <w:tc>
          <w:tcPr>
            <w:tcW w:w="858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The Guarantors</w:t>
            </w:r>
          </w:p>
        </w:tc>
        <w:tc>
          <w:tcPr>
            <w:tcW w:w="954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Debt Securities and Guarantees of Debt Securities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0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22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822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922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Opinions</w:t>
            </w:r>
          </w:p>
        </w:tc>
        <w:tc>
          <w:tcPr>
            <w:tcW w:w="300" w:type="dxa"/>
            <w:vAlign w:val="bottom"/>
            <w:tcBorders>
              <w:top w:val="single" w:sz="8" w:color="0000EE"/>
            </w:tcBorders>
            <w:gridSpan w:val="3"/>
          </w:tcPr>
          <w:p>
            <w:pPr>
              <w:spacing w:after="0"/>
              <w:rPr>
                <w:sz w:val="17"/>
                <w:szCs w:val="17"/>
                <w:color w:val="auto"/>
              </w:rPr>
            </w:pPr>
          </w:p>
        </w:tc>
        <w:tc>
          <w:tcPr>
            <w:tcW w:w="926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06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THIS PROSPECTUS</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accompanying prospectus supplement may also add, update or change information contained in this prospectus. If the information varies between this prospectus and the accompanying prospectus supplement, you should rely on the information in the accompanying prospectus supplement. You should read both this prospectus and any prospectus supplement together with additional information described under the heading “Where You Can Find More Information.”</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5" w:name="page6"/>
    <w:bookmarkEnd w:id="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YOU CAN FIND MORE INFORMATION</w:t>
      </w:r>
    </w:p>
    <w:p>
      <w:pPr>
        <w:spacing w:after="0" w:line="229" w:lineRule="exact"/>
        <w:rPr>
          <w:sz w:val="20"/>
          <w:szCs w:val="20"/>
          <w:color w:val="auto"/>
        </w:rPr>
      </w:pPr>
    </w:p>
    <w:p>
      <w:pPr>
        <w:ind w:right="2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We file reports and other information with the SEC. The SEC maintains a website on the Internet that contains reports, proxy and information statements and other information regarding registrants that file electronically with the SEC, and such website is located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Bath &amp; Body Works, Inc.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Three Limited Parkway</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Columbus, Ohio 43230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(614) 415-6400</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This document incorporates by reference the documents set forth below. The information incorporated by reference is an important part of this prospectus, and information that we file later with the SEC will automatically update and supersede this information. We incorporate by reference the documents listed below and any future filings we make with the SEC under Sections 13(a), 13(c), 14, or 15(d) of the Securities Exchange Act of 1934, as amended (other than, in each case, documents or information deemed to have been furnished and not filed in accordance with SEC rules) on or after the date of this prospectus:</w:t>
      </w:r>
    </w:p>
    <w:p>
      <w:pPr>
        <w:spacing w:after="0" w:line="89"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year ended </w:t>
      </w:r>
      <w:hyperlink r:id="rId28">
        <w:r>
          <w:rPr>
            <w:rFonts w:ascii="Times New Roman" w:cs="Times New Roman" w:eastAsia="Times New Roman" w:hAnsi="Times New Roman"/>
            <w:sz w:val="18"/>
            <w:szCs w:val="18"/>
            <w:u w:val="single" w:color="auto"/>
            <w:color w:val="0000EE"/>
          </w:rPr>
          <w:t>February 1,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5460" w:right="4240" w:hanging="4924"/>
        <w:spacing w:after="0" w:line="454" w:lineRule="auto"/>
        <w:tabs>
          <w:tab w:leader="none" w:pos="9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on </w:t>
      </w:r>
      <w:hyperlink r:id="rId29">
        <w:r>
          <w:rPr>
            <w:rFonts w:ascii="Times New Roman" w:cs="Times New Roman" w:eastAsia="Times New Roman" w:hAnsi="Times New Roman"/>
            <w:sz w:val="18"/>
            <w:szCs w:val="18"/>
            <w:u w:val="single" w:color="auto"/>
            <w:color w:val="0000EE"/>
          </w:rPr>
          <w:t>January 15,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0">
        <w:r>
          <w:rPr>
            <w:rFonts w:ascii="Times New Roman" w:cs="Times New Roman" w:eastAsia="Times New Roman" w:hAnsi="Times New Roman"/>
            <w:sz w:val="18"/>
            <w:szCs w:val="18"/>
            <w:u w:val="single" w:color="auto"/>
            <w:color w:val="0000EE"/>
          </w:rPr>
          <w:t>February 3, 2025</w:t>
        </w:r>
      </w:hyperlink>
      <w:r>
        <w:rPr>
          <w:rFonts w:ascii="Times New Roman" w:cs="Times New Roman" w:eastAsia="Times New Roman" w:hAnsi="Times New Roman"/>
          <w:sz w:val="18"/>
          <w:szCs w:val="18"/>
          <w:color w:val="auto"/>
        </w:rPr>
        <w:t>. 2</w:t>
      </w:r>
    </w:p>
    <w:p>
      <w:pPr>
        <w:sectPr>
          <w:pgSz w:w="11900" w:h="16838" w:orient="portrait"/>
          <w:cols w:equalWidth="0" w:num="1">
            <w:col w:w="10860"/>
          </w:cols>
          <w:pgMar w:left="440" w:top="266" w:right="599" w:bottom="1440" w:gutter="0" w:footer="0" w:header="0"/>
        </w:sectPr>
      </w:pPr>
    </w:p>
    <w:bookmarkStart w:id="6" w:name="page7"/>
    <w:bookmarkEnd w:id="6"/>
    <w:p>
      <w:pPr>
        <w:ind w:left="3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Private Securities Litigation Reform Act of 1995) contained in this prospectus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“target,” “goal”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prospectus or otherwise made by our Company or our management:</w:t>
      </w:r>
    </w:p>
    <w:p>
      <w:pPr>
        <w:spacing w:after="0" w:line="94" w:lineRule="exact"/>
        <w:rPr>
          <w:sz w:val="20"/>
          <w:szCs w:val="20"/>
          <w:color w:val="auto"/>
        </w:rPr>
      </w:pPr>
    </w:p>
    <w:p>
      <w:pPr>
        <w:ind w:left="960" w:right="8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tariffs,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our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turnover in Company leadership or other key positions;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on store traffic and the availability of suitable store locations on appropriate terms;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growth in part through new store openings and existing store remodels and expansions;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franchise, license, wholesale and other distribution-related partners;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channel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our brand image;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promotional programs and our loyalty program;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and protect our trade names, trademarks and patents;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130"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 develop new merchandise and launch and expand new product lines successfully;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distribute and sell goods and materials on a global basis, including risks related to:</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wars and other armed conflicts, environmental hazards or natural disasters;</w:t>
      </w:r>
    </w:p>
    <w:p>
      <w:pPr>
        <w:spacing w:after="0" w:line="130" w:lineRule="exact"/>
        <w:rPr>
          <w:rFonts w:ascii="Times New Roman" w:cs="Times New Roman" w:eastAsia="Times New Roman" w:hAnsi="Times New Roman"/>
          <w:sz w:val="18"/>
          <w:szCs w:val="18"/>
          <w:color w:val="auto"/>
        </w:rPr>
      </w:pPr>
    </w:p>
    <w:p>
      <w:pPr>
        <w:ind w:left="1420" w:right="280" w:hanging="331"/>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or pandemics, which could result in closed factories and/or stores, reduced workforces, scarcity of raw materials, and scrutiny or embargoing of goods produced in impacted areas;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 taxes and other charges;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matters;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and political issues;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7" w:name="page8"/>
    <w:bookmarkEnd w:id="7"/>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delays or disruptions in shipping and transportation and related pricing impacts;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 or</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expectations regarding product safety due to new legislation;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environmental, social and governance initiatives, and associated costs thereof;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third-party manufacturing facilities and our distribution facilities in central Ohio;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to support a substantial portion of our inventory purchasing needs;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deliver products in a timely manner, meet quality standards and comply with applicable laws and regulations;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of Victoria’s Secret may not be tax-free for U.S. federal income tax purposes;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product input costs;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energy costs;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assets from loss and theft;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our self-insurance;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and make share repurchases under share repurchase authorizations;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refinance our debt and maintain compliance with our restrictive covenants;</w:t>
      </w:r>
    </w:p>
    <w:p>
      <w:pPr>
        <w:spacing w:after="0" w:line="130"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standards, technology platform rules or other requirements related to data privacy and cybersecurity;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compliance matters;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trade and other regulatory matters.</w:t>
      </w:r>
    </w:p>
    <w:p>
      <w:pPr>
        <w:spacing w:after="0" w:line="225"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We are not under any obligation and do not intend to make publicly available any update or other revisions to any of the forward-looking statements contained in this prospectus to reflect circumstances existing after the date of this prospectus or to reflect the occurrence of future events even if experience or future events make it clear that any expected results expressed or implied by those forward-looking statements will not be realized.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BATH &amp; BODY WORKS, INC.</w:t>
      </w:r>
    </w:p>
    <w:p>
      <w:pPr>
        <w:spacing w:after="0" w:line="229" w:lineRule="exact"/>
        <w:rPr>
          <w:sz w:val="20"/>
          <w:szCs w:val="20"/>
          <w:color w:val="auto"/>
        </w:rPr>
      </w:pPr>
    </w:p>
    <w:p>
      <w:pPr>
        <w:ind w:right="100" w:firstLine="440"/>
        <w:spacing w:after="0" w:line="227" w:lineRule="auto"/>
        <w:rPr>
          <w:sz w:val="20"/>
          <w:szCs w:val="20"/>
          <w:color w:val="auto"/>
        </w:rPr>
      </w:pPr>
      <w:r>
        <w:rPr>
          <w:rFonts w:ascii="Times New Roman" w:cs="Times New Roman" w:eastAsia="Times New Roman" w:hAnsi="Times New Roman"/>
          <w:sz w:val="18"/>
          <w:szCs w:val="18"/>
          <w:color w:val="auto"/>
        </w:rPr>
        <w:t>Bath &amp; Body Works, Inc., which was founded in 1963 in Columbus, Ohio, has evolved over time from an apparel-based specialty retailer to a global leader in personal care and home fragrance making the world a brighter, happier place through the power of fragrance. For more than 30 years, customers have looked to Bath &amp; Body Works for quality, on-trend products and the newest, freshest fragrances which has positioned us as a global leader in personal care and home fragrance. We sell home fragrance, body care and soap and sanitizer products under the Bath &amp; Body Works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White Barn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other brand names. We care about our customers and believe in giving them a reason to celebrate with fragrance every day. We remain committed to improving our communities and fostering an environment that is focused on delivering exceptional fragrances and experiences to our customers. We offer a breadth of exclusive fragrances for the body and home, including top-selling collections for 3-wick candles, home fragrance diffusers, fine fragrance mists, liquid hand soaps, body lotions and body creams.</w:t>
      </w:r>
    </w:p>
    <w:p>
      <w:pPr>
        <w:spacing w:after="0" w:line="204" w:lineRule="exact"/>
        <w:rPr>
          <w:sz w:val="20"/>
          <w:szCs w:val="20"/>
          <w:color w:val="auto"/>
        </w:rPr>
      </w:pPr>
    </w:p>
    <w:p>
      <w:pPr>
        <w:jc w:val="both"/>
        <w:ind w:right="20" w:firstLine="440"/>
        <w:spacing w:after="0" w:line="312" w:lineRule="auto"/>
        <w:rPr>
          <w:sz w:val="20"/>
          <w:szCs w:val="20"/>
          <w:color w:val="auto"/>
        </w:rPr>
      </w:pPr>
      <w:r>
        <w:rPr>
          <w:rFonts w:ascii="Times New Roman" w:cs="Times New Roman" w:eastAsia="Times New Roman" w:hAnsi="Times New Roman"/>
          <w:sz w:val="17"/>
          <w:szCs w:val="17"/>
          <w:color w:val="auto"/>
        </w:rPr>
        <w:t>As of February 1, 2025, our merchandise was sold through 1,895 Company-operated stores and e-commerce sites in the United States of America and Canada, and in 529 stores and 31 e-commerce sites in more than 45 other countries operating under franchise, license and wholesale arrangements.</w:t>
      </w:r>
    </w:p>
    <w:p>
      <w:pPr>
        <w:spacing w:after="0" w:line="14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Bath &amp; Body Works, Inc. was originally incorporated as The Limited, Inc. under the laws of Delaware in 1982 and changed its name to L Brands, Inc. in March 2013. L Brands, Inc. changed its name to Bath &amp; Body Works, Inc. in August 2021. Our principal executive offices are located at Three Limited Parkway, Columbus, Ohio 43230. Our Investor Relations telephone number is 614-415-6400, option #1. Internet users can obtain information about Bath &amp; Body Works, Inc. at www.bbwinc.com. However, the information on our website is not a part of this prospectus.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66" w:right="519" w:bottom="1440" w:gutter="0" w:footer="0" w:header="0"/>
        </w:sectPr>
      </w:pPr>
    </w:p>
    <w:bookmarkStart w:id="9" w:name="page10"/>
    <w:bookmarkEnd w:id="9"/>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GUARANTORS</w:t>
      </w:r>
    </w:p>
    <w:p>
      <w:pPr>
        <w:spacing w:after="0" w:line="229" w:lineRule="exact"/>
        <w:rPr>
          <w:sz w:val="20"/>
          <w:szCs w:val="20"/>
          <w:color w:val="auto"/>
        </w:rPr>
      </w:pPr>
    </w:p>
    <w:p>
      <w:pPr>
        <w:jc w:val="both"/>
        <w:ind w:firstLine="440"/>
        <w:spacing w:after="0" w:line="312" w:lineRule="auto"/>
        <w:rPr>
          <w:sz w:val="20"/>
          <w:szCs w:val="20"/>
          <w:color w:val="auto"/>
        </w:rPr>
      </w:pPr>
      <w:r>
        <w:rPr>
          <w:rFonts w:ascii="Times New Roman" w:cs="Times New Roman" w:eastAsia="Times New Roman" w:hAnsi="Times New Roman"/>
          <w:sz w:val="17"/>
          <w:szCs w:val="17"/>
          <w:color w:val="auto"/>
        </w:rPr>
        <w:t>Bath &amp; Body Works, Inc. is a holding company and its most significant assets are the stock of its subsidiaries. The guarantors of the debt securities offered hereunder may include the following companies, each of which is a direct or indirect subsidiary of Bath &amp; Body Works, Inc.:</w:t>
      </w:r>
    </w:p>
    <w:p>
      <w:pPr>
        <w:spacing w:after="0" w:line="45"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 &amp; Body Works Brand Management, Inc.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 &amp; Body Works Direct, Inc.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 &amp; Body Works, LLC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beautyAvenues, LLC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Beauty Specialty Holding, LLC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 Brands Service Company, LLC</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300"/>
          </w:cols>
          <w:pgMar w:left="440" w:top="266" w:right="11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Investing in our securities may involve risks. You should carefully consider the specific factors discussed under the caption “Risk Factors” in the applicable prospectus supplement, together with all the other information contained in the prospectus supplement or appearing or incorporated by reference into this prospectus. You should also consider the risks, uncertainties and assumptions discussed under the caption “Risk Factors” beginning of page 9 of our Annual Report on Form 10-K filed for the year ended February 1, 2025, which is incorporated by reference into this prospectus, as updated by annual, quarterly and other reports and documents we file with the SEC after the date of this prospectus and that are incorporated by reference herein or in the applicable prospectus supplement.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1" w:name="page12"/>
    <w:bookmarkEnd w:id="1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a prospectus supplement, we intend to use the net proceeds from the sale of the securities offered hereunder for general corporate purposes, which could include capital expenditures, potential acquisitions, dividends and share repurchases as set forth in the applicable prospectus supplement.</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40"/>
          </w:cols>
          <w:pgMar w:left="440" w:top="266" w:right="71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CAPITAL STOCK</w:t>
      </w:r>
    </w:p>
    <w:p>
      <w:pPr>
        <w:spacing w:after="0" w:line="227" w:lineRule="exact"/>
        <w:rPr>
          <w:sz w:val="20"/>
          <w:szCs w:val="20"/>
          <w:color w:val="auto"/>
        </w:rPr>
      </w:pPr>
    </w:p>
    <w:p>
      <w:pPr>
        <w:ind w:right="14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The following description of the terms of our capital stock is not meant to be complete and is qualified by reference to our amended and restated certificate of incorporation (as amended, the “certificate of incorporation”) and our amended and restated bylaws (“bylaws”), copies of which have been filed with the SEC and are incorporated herein by reference, and applicable provisions of law. See “Where You Can Find More Information.”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Under our certificate of incorporation, our authorized capital stock consists of one billion shares of common stock with $0.50 par value and 10 million shares of preferred stock with $1.00 par value.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7, 2025, there were approximately 214.2 million outstanding shares of our common stock and no outstanding shares of our preferred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outstanding shares of common stock are, and any shares of common stock issued will be, duly authorized, validly issued, fully paid and nonassessable. There are no restrictions on the alienability of shares of our common stock, and there are no sinking fund provisions for the redemption or purchase of shares of our common stock. The rights of holders of shares of our common stock will be subject to, and may be adversely affected by, the rights of holders of any shares of preferred stock that our Board of Directors may authorize and issue in the future, and may be modified by amendments to our certificate of incorporation and Delaware corporate law.</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“BBWI.”</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of common stock held of record on the applicable record date on all matters submitted to a vote of stockholders. Holders of common stock do not have cumulative voting rights.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Subject to the rights of holders of any shares of preferred stock which may at the time be outstanding, holders of common stock are entitled to receive dividends as may be declared from time to time by our Board of Directors out of funds legally available therefor.</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or Dissolution</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the event of liquidation or dissolution, each share of common stock is entitled to share pro rata in any distribution of our assets after payment or providing for the payment of liabilities and the liquidation preference of any outstanding preferred stock. Holders of our common stock have no preferential, preemptive, conversion or redemption rights.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Under our certificate of incorporation, without further stockholder action, our Board of Directors is authorized to provide for the issuance of up to ten million shares of preferred stock without any further approval</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13" w:name="page14"/>
    <w:bookmarkEnd w:id="13"/>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our stockholders. Preferred stock may be issued in one or more series, with such designations of titles, number of shares to comprise each series, dividend rates, any redemption provisions, special or relative rights in the event of liquidation, dissolution or winding-up of Bath &amp; Body Works, Inc., any sinking fund provisions, any conversion provisions, any voting rights and any other preferences, rights and limitations as shall be set forth as and when established by our Board of Directors.</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Acting under this authority, our Board of Directors could create and issue a series of preferred stock with rights, preferences and limitations, and adopt a stockholder rights plan having the effect of, discriminating against an existing or prospective holder of securities as a result of such stockholder beneficially owning or commencing a tender offer for a substantial amount of our common stock. One of the effects of authorized but unissued and unreserved shares of preferred stock may be to render more difficult or discourage an attempt by a potential acquirer to obtain control of Bath &amp; Body Works, Inc. by means of a merger, tender offer, proxy contest or otherwise, and thereby protect the continuity of our management. The issuance of such shares of preferred stock may have the effect of delaying, deferring or preventing a change in control of Bath &amp; Body Works, Inc. without any further action by our stockholders. We have no present intention to adopt a stockholder rights plan, but could do so without stockholder approval at any future time.</w:t>
      </w:r>
    </w:p>
    <w:p>
      <w:pPr>
        <w:spacing w:after="0" w:line="19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shares of any series of preferred stock will be, when issued, fully paid and nonassessable and the holders will have no preemptive rights in connection with the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Board Nominations</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Our bylaws provide that the number of directors will be fixed from time to time pursuant to a resolution adopted by a majority of the Board of Directors but must consist of not less than six or more than fifteen directors.</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Nominations for the election of directors may be made by the Board of Directors or by any stockholder entitled to vote for the election of directors. Any such nomination of a person for election at our annual meeting, if not made by the Board of Directors, must be made by notice in writing to our Secretary and must contain the information required by and adhere to the procedures within our bylaws. Such notice must be delivered or mailed and received at our principal executive offices, not less than 90 days nor more than 120 days prior to the first anniversary of the preceding year’s annual meeting of stockholders; provided that in the event that the date of the annual meeting is advanced more than 30 days prior to such anniversary date or delayed more than 60 days after such anniversary date, then such notice must be received no later than the later of 70 days prior to the meeting or the 10th day following the day on which public announcement of the date of the meeting was made. Pursuant to our proxy access bylaw, up to 20 stockholders owning 3% or more of the outstanding shares of our common stock continuously for at least three years may nominate the greater of two directors or up to 20% of our Board of Directors (rounded down to the nearest whole number), and include those nominees in our proxy materials. Notice of stockholder nominations for persons for election as a director that are to be included in our proxy statement must be delivered or mailed and received at our principal executive offices, not less than 120 days nor more than 150 days prior to the first anniversary of the date that we first distributed our proxy statement to stockholders for the immediately preceding annual meeting of stockholders.</w:t>
      </w:r>
    </w:p>
    <w:p>
      <w:pPr>
        <w:spacing w:after="0" w:line="19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holders of preferred stock may be granted the right to elect a specific number of directors without any vote of the holders of shares of our common stock.</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Bylaws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certificate of incorporation grants our Board of Directors the authority to amend our bylaws without a stockholder vote.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70"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Anti-Takeover Effects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Certain Business Combinations and Transactions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certain business combinations with any entity that beneficially owns 20% or more of the outstanding shares of our common stock and any outstanding shares of preferred stock entitled to vote on each matter on which the holders of record of our common stock shall be entitled to vote (the “Voting Shares”) (such entity, an “Interested Person”) will require for its approval the affirmative vote of at least a majority of the Voting Shares held by stockholders other than the Interested Person.</w:t>
      </w:r>
    </w:p>
    <w:p>
      <w:pPr>
        <w:spacing w:after="0" w:line="180"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This provision does not apply if two-thirds of the Continuing Directors (as defined below) approved either the business combination or the acquisition of the Voting Shares which caused the Interested Person to own 20% or more of the Voting Shares. This provision also does not apply to any business combination where two-thirds of the Continuing Directors determine the consideration per share to be received by holders of the Voting Shares in connection with the business combination to be not less than the highest price per share paid by the Interested Person in acquiring the Voting Shares.</w:t>
      </w:r>
    </w:p>
    <w:p>
      <w:pPr>
        <w:spacing w:after="0" w:line="164"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term “Continuing Director” means a director who was a member of our Board of Directors immediately prior to the time that such Interested Person became an Interested Person, or a director who was elected or appointed to fill a vacancy after the date that such Interested Person became an Interested Person by a majority of the then-current Continuing Directors.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Delaware Business Combination Statute</w:t>
      </w:r>
    </w:p>
    <w:p>
      <w:pPr>
        <w:spacing w:after="0" w:line="121"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Section 203 of the Delaware General Corporation Law (the “DGCL”) is applicable to us and restricts certain transactions and “business combinations” between a corporation and a 15% stockholder for a period of three years after the date of the transaction in which the stockholder acquires 15% or more of the company’s outstanding voting stock unless the business combination is approved in a prescribed manner. A “business combination” includes mergers, asset sales and other transactions resulting in a financial benefit to the interested stockholder.</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Registrar and Transfer Agent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register of holders of our shares of common stock is maintained by American Stock Transfer, who serves as registrar and transfer agent.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66" w:right="49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DEPOSITARY SHARES</w:t>
      </w:r>
    </w:p>
    <w:p>
      <w:pPr>
        <w:spacing w:after="0" w:line="227"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together with the additional information that we include in any applicable prospectus supplements, summarizes the material terms and provisions of a depositary agreement and the related depositary receipts that we may offer under this prospectus. While the terms we have summarized below will apply generally to any depositary agreement and the related depositary receipts that we may offer under this prospectus, we will describe the particular terms of any depositary agreement and the related depositary receipts in more detail in the applicable prospectus supplement. The terms of any depositary agreement and the related depositary receipts offered under a prospectus supplement may differ from the terms described below.</w:t>
      </w:r>
    </w:p>
    <w:p>
      <w:pPr>
        <w:spacing w:after="0" w:line="184"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rather than full shares of preferred stock. If we exercise this option, we will issue to the public receipts for depositary shares, and each of these depositary shares will represent a fraction of a share of a particular series of preferred stock.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shares of any series of preferred stock underlying the depositary shares will be deposited under a depositary agreement between us and a bank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trust company selected by us. The depositary will have its principal office in the United States and a combined capital and surplus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 Subject to the terms of the depositary agreement, each owner of a depositary share will be entitled, in proportion to the applicable fraction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share of preferred stock underlying the depositary share, to all of the rights and preferences of the preferred stock underlying that depositary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rights may include dividend, voting, redemption, conversion and liquidation rights.</w:t>
      </w:r>
    </w:p>
    <w:p>
      <w:pPr>
        <w:spacing w:after="0" w:line="20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under a depositary agreement. Depositary receipts will be distributed to those persons purchasing the fractional shares of preferred stock underlying the depositary shares, in accordance with the terms of the offering.</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will describe the material terms of the depositary agreement, the depositary shares and the depositary receipts in a prospectus supplement relating to the depositary shares. You should also refer to the forms of the depositary agreement and related depositary receipts that will be filed with the SEC in connection with the offering of the specific depositary shares.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DEBT SECURITIES AND GUARANTEES OF DEBT SECURITIES</w:t>
      </w:r>
    </w:p>
    <w:p>
      <w:pPr>
        <w:spacing w:after="0" w:line="22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together with the additional information that we include in any applicable prospectus supplements, summarizes the material terms and provisions of the debt securities and any related guarantees that we may offer under this prospectus. While the terms we have summarized below will apply generally to any debt securities and related guarantees that we may offer under this prospectus, we will describe the particular terms of any debt securities and related guarantees in more detail in the applicable prospectus supplement. The terms of any debt securities and related guarantees offered under a prospectus supplement may differ from the terms described below.</w:t>
      </w:r>
    </w:p>
    <w:p>
      <w:pPr>
        <w:spacing w:after="0" w:line="18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We will issue senior debt securities under an indenture to be entered into between us and U.S. Bank Trust Company, National Association, as trustee (the “Senior Debt Indenture”). We will issue subordinated debt securities under an indenture to be entered into between us and U.S. Bank Trust Company, National Association, as trustee (the “Subordinated Debt Indenture”). Copies of each indenture are filed as exhibits to the registration statement to which this prospectus relates. The following summary of the indentures does not purport to be complete and is subject to, and qualified in its entirety by reference to, the indentures. Numerical references in parentheses below are to sections in the indentures. Wherever we refer to particular sections of, or defined terms in, the indentures, we intend that these sections or defined terms shall be incorporated herein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unsecured general obligations of Bath &amp; Body Works, Inc. and will constitute either senior or subordinated debt of Bath &amp; Body Works, Inc. If so provided in a prospectus supplement or term sheet, the debt securities will have the benefit of the guarantees from the guarantors named therein. Our subsidiaries are separate and distinct legal entities and have no obligation, contingent or otherwise, to pay any amounts due pursuant to the debt securities or to make any funds available therefor, whether by dividends, loans or other payments, other than as expressly provided in the guarantees.</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As a holding company, our principal source of funds is dividends and advances from subsidiaries. Our rights and the rights of our creditors, including the holders of debt securities, to participate in the assets of any subsidiary upon the subsidiary’s liquidation or reorganization would be subject to the prior claims of such subsidiary’s creditors, except to the extent that Bath &amp; Body Works, Inc. may itself be a creditor with allowable claims against the subsidiary.</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We may authorize the issuance and provide for the terms of a series of debt securities pursuant to a supplemental indenture, officers’ certificate or resolution of our Board of Directors, any duly authorized committee of the Board of Directors or any committee of officers or other representatives of Bath &amp; Body Works, Inc. duly authorized by the Board of Directors for this purpose.</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Each indenture provides Bath &amp; Body Works, Inc. with the ability to “reopen” a previous issue of a series of debt securities and to issue additional debt securities of such series. Each indenture does not limit or otherwise restrict the amount of indebtedness which may be issued in accordance with it or that may otherwise be issued by us or any of our subsidiaries. (Sections 301 and 1301)</w:t>
      </w:r>
    </w:p>
    <w:p>
      <w:pPr>
        <w:spacing w:after="0" w:line="176"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The indentures do not contain any covenants or provisions that would afford holders of debt securities protection in the event of a highly-leveraged transaction, reorganization, restructuring or similar transaction.</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You should refer to the prospectus supplement relating to a particular series of debt securities for the terms of those debt securities, including, where applicable:</w:t>
      </w:r>
    </w:p>
    <w:p>
      <w:pPr>
        <w:spacing w:after="0" w:line="67"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as senior or subordinated debt securities;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17" w:name="page18"/>
    <w:bookmarkEnd w:id="17"/>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ranking of the specific series of debt securities relative to other outstanding indebtedness, including subsidiaries’ debt;</w:t>
      </w:r>
    </w:p>
    <w:p>
      <w:pPr>
        <w:spacing w:after="0" w:line="130" w:lineRule="exact"/>
        <w:rPr>
          <w:rFonts w:ascii="Times New Roman" w:cs="Times New Roman" w:eastAsia="Times New Roman" w:hAnsi="Times New Roman"/>
          <w:sz w:val="18"/>
          <w:szCs w:val="18"/>
          <w:color w:val="auto"/>
        </w:rPr>
      </w:pPr>
    </w:p>
    <w:p>
      <w:pPr>
        <w:ind w:left="424" w:right="80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denominations of the debt securities;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(expressed as a percentage of the aggregate principal amount of the debt securities) at which the debt securities will be issued;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of maturity;</w:t>
      </w:r>
    </w:p>
    <w:p>
      <w:pPr>
        <w:spacing w:after="0" w:line="130" w:lineRule="exact"/>
        <w:rPr>
          <w:rFonts w:ascii="Times New Roman" w:cs="Times New Roman" w:eastAsia="Times New Roman" w:hAnsi="Times New Roman"/>
          <w:sz w:val="18"/>
          <w:szCs w:val="18"/>
          <w:color w:val="auto"/>
        </w:rPr>
      </w:pPr>
    </w:p>
    <w:p>
      <w:pPr>
        <w:jc w:val="both"/>
        <w:ind w:left="424" w:right="60" w:hanging="424"/>
        <w:spacing w:after="0" w:line="26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relevant debt securities are being sold and in which the principal of, premium if any, or interest on these debt securities will be payable and, if the holders of any of these debt securities may elect the currency in which payments according to such debt securities are to be made, the manner of the election;</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rate or rates (which may be fixed, variable or zero) at which the relevant debt securities will bear interest;</w:t>
      </w:r>
    </w:p>
    <w:p>
      <w:pPr>
        <w:spacing w:after="0" w:line="130"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the interest on the relevant debt securities will accrue, the dates on which this interest will be payable and the date on which payment of this interest will commence;</w:t>
      </w:r>
    </w:p>
    <w:p>
      <w:pPr>
        <w:spacing w:after="0" w:line="67"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deferral of interest payments or extension of interest payments on the subordinated debt securities, including the duration of any such deferral or extension period and the maximum period during which interest payments may be deferred or extended and any provisions relating to the obligations of the Company or limitations on claims of holders with respect to deferred interest;</w:t>
      </w:r>
    </w:p>
    <w:p>
      <w:pPr>
        <w:spacing w:after="0" w:line="81" w:lineRule="exact"/>
        <w:rPr>
          <w:rFonts w:ascii="Times New Roman" w:cs="Times New Roman" w:eastAsia="Times New Roman" w:hAnsi="Times New Roman"/>
          <w:sz w:val="18"/>
          <w:szCs w:val="18"/>
          <w:color w:val="auto"/>
        </w:rPr>
      </w:pPr>
    </w:p>
    <w:p>
      <w:pPr>
        <w:ind w:left="424" w:right="360" w:hanging="424"/>
        <w:spacing w:after="0" w:line="26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and premium, if any, or any interest may be determined with reference to an index based on a currency or currencies other than that in which the debt securities are stated to be payable, the manner in which these amounts shall be determined;</w:t>
      </w:r>
    </w:p>
    <w:p>
      <w:pPr>
        <w:spacing w:after="0" w:line="81" w:lineRule="exact"/>
        <w:rPr>
          <w:rFonts w:ascii="Times New Roman" w:cs="Times New Roman" w:eastAsia="Times New Roman" w:hAnsi="Times New Roman"/>
          <w:sz w:val="18"/>
          <w:szCs w:val="18"/>
          <w:color w:val="auto"/>
        </w:rPr>
      </w:pPr>
    </w:p>
    <w:p>
      <w:pPr>
        <w:ind w:left="424" w:right="360" w:hanging="424"/>
        <w:spacing w:after="0" w:line="26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and premium, if any, or any interest may be determined with reference to an index based on the prices of securities or commodities, with reference to changes in the prices of particular securities or commodities or otherwise by application of a formula, the manner in which this amount shall be determined;</w:t>
      </w:r>
    </w:p>
    <w:p>
      <w:pPr>
        <w:spacing w:after="0" w:line="81" w:lineRule="exact"/>
        <w:rPr>
          <w:rFonts w:ascii="Times New Roman" w:cs="Times New Roman" w:eastAsia="Times New Roman" w:hAnsi="Times New Roman"/>
          <w:sz w:val="18"/>
          <w:szCs w:val="18"/>
          <w:color w:val="auto"/>
        </w:rPr>
      </w:pPr>
    </w:p>
    <w:p>
      <w:pPr>
        <w:jc w:val="both"/>
        <w:ind w:left="424" w:right="160" w:hanging="424"/>
        <w:spacing w:after="0" w:line="26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the relevant debt securities will, pursuant to any mandatory sinking fund provision, or may, pursuant to any optional redemption or required repayment provisions, be redeemed or repaid and the other terms and provisions of any optional redemption or required repayment;</w:t>
      </w:r>
    </w:p>
    <w:p>
      <w:pPr>
        <w:spacing w:after="0" w:line="81"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debt securities are to be issued in the form of one or more global securities and, if so, the identity of the depositary for such global security or securities;</w:t>
      </w:r>
    </w:p>
    <w:p>
      <w:pPr>
        <w:spacing w:after="0" w:line="67"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subordinated debt securities will be convertible or exchangeable into shares of common stock or preferred stock, or any of our other capital stock, or any capital stock of any other issuer, cash, or any other property, or any combination of the foregoing, the terms on which such subordinated debt securities are convertible and any requirements relating to the reservation of such shares of common stock or preferred stock for purposes of conversion;</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debt securities on any securities exchange;</w:t>
      </w:r>
    </w:p>
    <w:p>
      <w:pPr>
        <w:spacing w:after="0" w:line="130"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that debt securities shall be guaranteed by the guarantors, the ranking of any such guarantee, the terms of such subordination, if applicable, of any such guarantee and the form of any such guarantee;</w:t>
      </w:r>
    </w:p>
    <w:p>
      <w:pPr>
        <w:spacing w:after="0" w:line="94"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64"/>
          </w:cols>
          <w:pgMar w:left="976" w:top="270" w:right="459" w:bottom="1440" w:gutter="0" w:footer="0" w:header="0"/>
        </w:sectPr>
      </w:pPr>
    </w:p>
    <w:bookmarkStart w:id="18" w:name="page19"/>
    <w:bookmarkEnd w:id="18"/>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of any debt warrants offered together with the relevant debt securities;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or matters relating to the relevant debt securities.</w:t>
      </w:r>
    </w:p>
    <w:p>
      <w:pPr>
        <w:spacing w:after="0" w:line="130" w:lineRule="exact"/>
        <w:rPr>
          <w:rFonts w:ascii="Times New Roman" w:cs="Times New Roman" w:eastAsia="Times New Roman" w:hAnsi="Times New Roman"/>
          <w:sz w:val="18"/>
          <w:szCs w:val="18"/>
          <w:color w:val="auto"/>
        </w:rPr>
      </w:pPr>
    </w:p>
    <w:p>
      <w:pPr>
        <w:ind w:left="960" w:right="120" w:hanging="424"/>
        <w:spacing w:after="0" w:line="26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will be issuable only in fully registered form without coupons or in the form of one or more global securities, as described below under “Global Securities.” Unless the prospectus supplement specifies otherwise, debt securities denominated in U.S. dollars will be issued only in denominations of U.S. $1,000 and any integral multiple of this amount. The prospectus supplement relating to debt securities denominated in a foreign or composite currency will specify the authorized denominations. (Sections 301 and 302)</w:t>
      </w:r>
    </w:p>
    <w:p>
      <w:pPr>
        <w:spacing w:after="0" w:line="180"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Holders of debt securities (other than global securities) may present them for transfer (with the form of transfer endorsed thereon duly executed) or exchange for other debt securities of the same series at the office of any transfer agent or such other agency as may be designated by Bath &amp; Body Works, Inc. without service charge and upon payment of any taxes and other governmental charges as described in the indenture. (Section 305)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debt securities of a series may be issued in the form of one or more fully registered global securities that will be deposited with, or on behalf of, a depositary identified in the prospectus supplement relating to such series. In such case, one or more global securities will be issued in a denomination or aggregate denominations equal to the aggregate principal amount of outstanding debt securities of the series represented by such global security or securities. Unless and until it is exchanged in whole or in part for debt securities in definitive registered form, a global security may not be transferred except as a whole by a depositary for such global security to a nominee of such depositary or by a nominee of such depositary to such depositary or another nominee of such depositary or by such depositary or any such nominee to a successor of such depositary or a nominee of such successor. (Section 303) The specific terms of the depositary arrangement with respect to a series of debt securities will be described in the prospectus supplement relating to such series.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Liens Under the Senior Debt Indenture</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have agreed under the Senior Debt Indenture that we will not, and will not permit any subsidiary (as defined below) to, incur, issue, assume or guarantee any indebtedness for money borrowed if such indebtedness is secured by a pledge of, lien on or security interest in any shares of voting stock (as defined below) of any significant subsidiary (as defined below), whether such voting stock is now owned or is hereafter acquired, without providing that each series of senior debt securities issued under such indenture (together with, if we shall so determine, any other indebtedness or obligations of Bath &amp; Body Works, Inc. or any subsidiary ranking equally with such senior debt securities and then existing or thereafter created) shall be secured equally and ratably with such indebtedness. The foregoing limitation shall not apply to indebtedness secured by a pledge of, lien on or security interest in any shares of voting stock of any corporation at the time it becomes a significant subsidiary. (Section 505)</w:t>
      </w:r>
    </w:p>
    <w:p>
      <w:pPr>
        <w:spacing w:after="0" w:line="18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term “subsidiary” means any corporation of which securities entitled to elect at least a majority of the corporation’s directors shall at the time be owned, directly or indirectly, by us or one or more other subsidiaries, or by us and one or more other subsidiaries. (Section 101)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“significant subsidiary” means a subsidiary (treated for purposes of this definition on a consolidated basis together with its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meets any of the following conditions:</w:t>
      </w:r>
    </w:p>
    <w:p>
      <w:pPr>
        <w:spacing w:after="0" w:line="112" w:lineRule="exact"/>
        <w:rPr>
          <w:sz w:val="20"/>
          <w:szCs w:val="20"/>
          <w:color w:val="auto"/>
        </w:rPr>
      </w:pPr>
    </w:p>
    <w:p>
      <w:pPr>
        <w:ind w:left="960" w:right="6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other subsidiaries’ investments in, and advances to, the subsidiary exceed 10% of the consolidated total assets as of the end of the most recently completed fiscal year;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19" w:name="page20"/>
    <w:bookmarkEnd w:id="19"/>
    <w:p>
      <w:pPr>
        <w:ind w:left="960" w:right="22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and our other subsidiaries’ proportionate share of the total assets (after intercompany eliminations) of the subsidiary exceeds 10% of the consolidated total assets as of the end of the most recently completed fiscal year; or</w:t>
      </w:r>
    </w:p>
    <w:p>
      <w:pPr>
        <w:spacing w:after="0" w:line="67"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other subsidiaries’ equity in the income from continuing operations before income taxes, extraordinary items and cumulative effect of a change in accounting principles of the subsidiary exceeds 10% of such consolidated income for the most recently completed fiscal year. (Section 505)</w:t>
      </w:r>
    </w:p>
    <w:p>
      <w:pPr>
        <w:spacing w:after="0" w:line="176"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term “voting stock” means capital stock the holders of which have general voting power under ordinary circumstances to elect at least a majority of the board of directors of a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capital stock that carries only a conditional right to vote upon the occurrence of an event shall not be considered voting stock, whether or not such event shall have occurred. (Section 505)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Consolidations, Mergers and Sales of Assets</w:t>
      </w:r>
    </w:p>
    <w:p>
      <w:pPr>
        <w:spacing w:after="0" w:line="121"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We have agreed under each indenture not to consolidate with or merge into another corporation, or sell other than for cash or lease all or substantially all our assets to another corporation, unless:</w:t>
      </w:r>
    </w:p>
    <w:p>
      <w:pPr>
        <w:spacing w:after="0" w:line="67" w:lineRule="exact"/>
        <w:rPr>
          <w:sz w:val="20"/>
          <w:szCs w:val="20"/>
          <w:color w:val="auto"/>
        </w:rPr>
      </w:pPr>
    </w:p>
    <w:p>
      <w:pPr>
        <w:ind w:left="960" w:right="80" w:hanging="424"/>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Bath &amp; Body Works, Inc. is the continuing corporation or the successor corporation (if other than Bath &amp; Body Works, Inc.) expressly assumes the obligations of the debt securities (in which case, except in the case of such a lease, we will be discharged from such obligations); and</w:t>
      </w:r>
    </w:p>
    <w:p>
      <w:pPr>
        <w:spacing w:after="0" w:line="81"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merger, consolidation, sale or lease, we or the successor corporation (if other than us) would not be in default in the performance of any covenant or condition of the applicable indenture. (Sections 506 and 1401 of the Senior Debt Indenture and Section 801 of the Subordinated Debt Indenture).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Subordinated Debt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With respect to the subordinated debt securities, the payment of principal of, interest on and all other amounts owing in respect of the subordinated debt securities will be subordinated in right of payment to the prior payment in full in cash of principal of, interest on and all other amounts owing in respect of all of our senior indebtedness (as defined below). Upon any payment or distribution of our assets of any kind or character, whether in cash, property or securities, to creditors upon any total or partial liquidation, dissolution, winding up, reorganization, assignment for the benefit of creditors or marshaling of our assets or in a bankruptcy, reorganization, insolvency, receivership or other similar proceeding relating to us or our property, whether voluntary or involuntary, all principal of, interest on and all other amounts due or to become due will be paid, first, to all senior indebtedness in full in cash, or such payment duly provided for to the satisfaction of the holders of senior indebtedness, before any payment or distribution of any kind or character is made on account of any principal of, interest on or other amounts owing in respect of the subordinated debt securities (other than in permitted junior securities), or for the acquisition of any of the subordinated debt securities for cash, property or otherwise.</w:t>
      </w:r>
    </w:p>
    <w:p>
      <w:pPr>
        <w:spacing w:after="0" w:line="18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any default occurs and is continuing in the payment when due, whether at maturity, upon any redemption, by declaration or otherwise, of any principal of, premium, interest on, unpaid drawings for letters of credit issued in respect of, or regularly accruing fees with respect to, any senior indebtedness, no payment of any kind or character will be made by or on behalf of us or any other person on our or their behalf with respect to any principal of, interest on or other amounts owing in respect of the subordinated debt securities (other than in permitted junior securities) or to acquire any of the subordinated debt securities for cash, property or otherwise.</w:t>
      </w:r>
    </w:p>
    <w:p>
      <w:pPr>
        <w:spacing w:after="0" w:line="183"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If any other event of default occurs and is continuing with respect to any designated senior indebtedness, as such event of default is defined in the instrument creating or evidencing such designated senior indebtedness, permitting the holders of such designated senior indebtedness then outstanding to accelerate the maturity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if the representative (as defined in the applicable indenture) for the respective issue of designated senior indebtedness gives written notice of the event of default to the trustee, then, unless and until all events of default have been cured or waived or have ceased to exist or the trustee receives notice from the representative for the respective issue of designated senior indebtedness terminating the blockage period (as defined below), during the period commencing on the date of receipt of such default notice by the trustee and ending 179 days thereafter, neither we nor any other person on our behalf will:</w:t>
      </w:r>
    </w:p>
    <w:p>
      <w:pPr>
        <w:spacing w:after="0" w:line="89" w:lineRule="exact"/>
        <w:rPr>
          <w:sz w:val="20"/>
          <w:szCs w:val="20"/>
          <w:color w:val="auto"/>
        </w:rPr>
      </w:pPr>
    </w:p>
    <w:p>
      <w:pPr>
        <w:ind w:left="960" w:right="82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any kind or character with respect to any principal of, interest on or other amounts owing in respect of the subordinated debt securities (other than in permitted junior securities);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of the subordinated debt securities for cash, property or otherwise.</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Notwithstanding anything herein to the contrary, in no event will a blockage period extend beyond 179 days from the date the payment on the subordinated debt securities was due and only one such blockage period may be commenced within any 360 consecutive days. No event of default which existed or was continuing on the date of the commencement of any blockage period with respect to the designated senior indebtedness will be, or be made, the basis for commencement of a second blockage period by the representative of such designated senior indebtedness whether or not within a period of 360 consecutive days unless such event of default will have been cured or waived for a period of not less than 90 consecutive days (it being acknowledged that any subsequent action or any breach of any financial covenants for a period commencing after the date of commencement of such blockage period that, in either case, would give rise to an event of default pursuant to any provisions under which an event of default previously existed or was continuing will constitute a new event of default for this purpose).</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foregoing provisions, in the event of our insolvency, holders of the subordinated debt securities may recover ratably less than our general creditors.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“Senior indebtedness” means:</w:t>
      </w:r>
    </w:p>
    <w:p>
      <w:pPr>
        <w:spacing w:after="0" w:line="131" w:lineRule="exact"/>
        <w:rPr>
          <w:sz w:val="20"/>
          <w:szCs w:val="20"/>
          <w:color w:val="auto"/>
        </w:rPr>
      </w:pPr>
    </w:p>
    <w:p>
      <w:pPr>
        <w:ind w:left="1420" w:right="80" w:hanging="439"/>
        <w:spacing w:after="0" w:line="261"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including redemption payments, premium, if any, interest and other payment obligations in respect of (a) our indebtedness for money borrowed, (b) our indebtedness evidenced by securities, debentures, bonds, notes or other similar instruments issued by us, including any such securities issued under any deed, indenture or other instrument to which we are a party and (c) guarantees of any of the foregoing;</w:t>
      </w:r>
    </w:p>
    <w:p>
      <w:pPr>
        <w:spacing w:after="0" w:line="8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capital lease obligations;</w:t>
      </w:r>
    </w:p>
    <w:p>
      <w:pPr>
        <w:spacing w:after="0" w:line="130" w:lineRule="exact"/>
        <w:rPr>
          <w:rFonts w:ascii="Times New Roman" w:cs="Times New Roman" w:eastAsia="Times New Roman" w:hAnsi="Times New Roman"/>
          <w:sz w:val="18"/>
          <w:szCs w:val="18"/>
          <w:color w:val="auto"/>
        </w:rPr>
      </w:pPr>
    </w:p>
    <w:p>
      <w:pPr>
        <w:ind w:left="1420" w:right="180" w:hanging="439"/>
        <w:spacing w:after="0" w:line="289" w:lineRule="auto"/>
        <w:tabs>
          <w:tab w:leader="none" w:pos="14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obligations issued or assumed as the deferred purchase price of property, all of our conditional sale obligations, all of our hedging agreements and agreements of a similar nature thereto and all agreements relating to any such agreements, and all of our obligations under any title retention agreement, but excluding trade accounts payable arising in the ordinary course of business;</w:t>
      </w:r>
    </w:p>
    <w:p>
      <w:pPr>
        <w:spacing w:after="0" w:line="63" w:lineRule="exact"/>
        <w:rPr>
          <w:rFonts w:ascii="Times New Roman" w:cs="Times New Roman" w:eastAsia="Times New Roman" w:hAnsi="Times New Roman"/>
          <w:sz w:val="17"/>
          <w:szCs w:val="17"/>
          <w:color w:val="auto"/>
        </w:rPr>
      </w:pPr>
    </w:p>
    <w:p>
      <w:pPr>
        <w:ind w:left="1420" w:right="480" w:hanging="43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for reimbursement on any letter of credit, banker’s acceptance, security purchase facility or similar credit transaction;</w:t>
      </w:r>
    </w:p>
    <w:p>
      <w:pPr>
        <w:spacing w:after="0" w:line="67"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 referred to in clauses (1) through (4) above of other persons for the payment of which we are responsible or liable as obligor, guarantor or otherwise;</w:t>
      </w:r>
    </w:p>
    <w:p>
      <w:pPr>
        <w:spacing w:after="0" w:line="67" w:lineRule="exact"/>
        <w:rPr>
          <w:rFonts w:ascii="Times New Roman" w:cs="Times New Roman" w:eastAsia="Times New Roman" w:hAnsi="Times New Roman"/>
          <w:sz w:val="18"/>
          <w:szCs w:val="18"/>
          <w:color w:val="auto"/>
        </w:rPr>
      </w:pPr>
    </w:p>
    <w:p>
      <w:pPr>
        <w:ind w:left="1420" w:right="100" w:hanging="43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 referred to in clauses (1) through (5) above of other persons secured by any lien on any of our property or assets, whether or not such obligation is assumed by us;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deferrals, amendments, renewals, extensions, modifications and refundings of all obligations of the type referred to in clauses</w:t>
      </w:r>
    </w:p>
    <w:p>
      <w:pPr>
        <w:spacing w:after="0" w:line="27" w:lineRule="exact"/>
        <w:rPr>
          <w:rFonts w:ascii="Times New Roman" w:cs="Times New Roman" w:eastAsia="Times New Roman" w:hAnsi="Times New Roman"/>
          <w:sz w:val="18"/>
          <w:szCs w:val="18"/>
          <w:color w:val="auto"/>
        </w:rPr>
      </w:pPr>
    </w:p>
    <w:p>
      <w:pPr>
        <w:ind w:left="142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through (6) above, in each case whether or not contingent and whether outstanding at the date of effectiveness of the applicable indenture or thereafter incurred,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in each case, for the subordinated debt securities and (i) any such other securities to be issued by us in the future that contain express terms, or are issued under a deed, indenture or other instrument, which contains express terms, providing that such securities are subordinate to or rank equal with the subordinated debt securities, (ii) trade accounts payable or accrued liabilities arising in the ordinary course of business and (iii) indebtedness owed by us to our subsidiaries, which also will rank equally in right of payment and upon liquidation to the subordinated debt securities.</w:t>
      </w:r>
    </w:p>
    <w:p>
      <w:pPr>
        <w:spacing w:after="0" w:line="180" w:lineRule="exact"/>
        <w:rPr>
          <w:sz w:val="20"/>
          <w:szCs w:val="20"/>
          <w:color w:val="auto"/>
        </w:rPr>
      </w:pPr>
    </w:p>
    <w:p>
      <w:pPr>
        <w:jc w:val="both"/>
        <w:ind w:right="200" w:firstLine="440"/>
        <w:spacing w:after="0" w:line="289" w:lineRule="auto"/>
        <w:rPr>
          <w:sz w:val="20"/>
          <w:szCs w:val="20"/>
          <w:color w:val="auto"/>
        </w:rPr>
      </w:pPr>
      <w:r>
        <w:rPr>
          <w:rFonts w:ascii="Times New Roman" w:cs="Times New Roman" w:eastAsia="Times New Roman" w:hAnsi="Times New Roman"/>
          <w:sz w:val="17"/>
          <w:szCs w:val="17"/>
          <w:color w:val="auto"/>
        </w:rPr>
        <w:t>Such senior indebtedness will continue to be senior indebtedness and be entitled to the benefits of the subordination provisions of the applicable indenture irrespective of any amendment, modification or waiver of any term of such senior indebtedness and notwithstanding that no express written subordination agreement may have been entered into between the holders of such senior indebtedness and the trustee for any of the holders.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“Permitted junior securities” means:</w:t>
      </w:r>
    </w:p>
    <w:p>
      <w:pPr>
        <w:spacing w:after="0" w:line="131" w:lineRule="exact"/>
        <w:rPr>
          <w:sz w:val="20"/>
          <w:szCs w:val="20"/>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stock; or</w:t>
      </w:r>
    </w:p>
    <w:p>
      <w:pPr>
        <w:spacing w:after="0" w:line="130"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issued pursuant to a confirmed plan of reorganization that are subordinated in right of payment to all senior indebtedness and any debt securities issued in exchange for senior indebtedness that are subordinated to substantially the same extent as, or to a greater extent than, the subordinated debt securities are subordinated to the senior indebtedness under the indenture.</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“Designated senior indebtedness” means any senior indebtedness the principal amount of which is at least $20.0 million or more at the time we designate such senior indebtedness as designated senior indebtedness in a writing delivered to the trustee.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Guarantees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Each prospectus supplement or term sheet will describe any guarantees of debt securities for the benefit of the series of debt securities to which it relates.</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If so provided in a prospectus supplement or term sheet, the debt securities issued under the Senior Debt Indenture will be guaranteed (each such guarantee being referred to as a “Senior Subsidiary Guarantee”), on a joint and several senior unsecured basis. If so provided in a prospectus supplement or term sheet, the debt securities issued under the Subordinated Debt Indenture will be guaranteed (each such guarantee being referred to as a “Subordinated Subsidiary Guarantee,” and together with the Senior Subsidiary Guarantee, the “Subsidiary Guarantee”), on a joint and several subordinated unsecured basis. As of the date of this prospectus, the guarantors consist of the following subsidiaries: Bath &amp; Body Works Brand Management, Inc., Bath &amp; Body Works Direct, Inc., Bath &amp; Body Works, LLC, beautyAvenues, LLC, Beauty Specialty Holding, LLC and L Brands Service Company, LLC. The obligations of a guarantor under its Subsidiary Guarantee will be limited to the extent necessary to prevent the obligations of such guarantor under its Subsidiary Guarantee from constituting a fraudulent conveyance or fraudulent transfer under federal or state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Each indenture contains provisions permitting us and the trustee, without the consent of the holders of debt securities, to establish, among other things, the form and terms of any series of debt securities issuable under each indenture by one or more supplemental indentures and, with the consent of the holders of not less than a majority in aggregate principal amount of the debt securities at the time outstanding of each series which are affected thereby, to modify each indenture or any supplemental indenture or the rights of the holders of the debt securities of such series to be affected, provided that no such modification will:</w:t>
      </w:r>
    </w:p>
    <w:p>
      <w:pPr>
        <w:spacing w:after="0" w:line="89" w:lineRule="exact"/>
        <w:rPr>
          <w:sz w:val="20"/>
          <w:szCs w:val="20"/>
          <w:color w:val="auto"/>
        </w:rPr>
      </w:pPr>
    </w:p>
    <w:p>
      <w:pPr>
        <w:ind w:left="960" w:hanging="424"/>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fixed maturity of any debt securities, reduce the rate or extend the time of payment of interest thereon (except for any deferral of interest permitted pursuant to Section 3.01, with respect to the subordinated debt securities), reduce the principal amount thereof or the premium, if any, thereon,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2" w:name="page23"/>
    <w:bookmarkEnd w:id="22"/>
    <w:p>
      <w:pPr>
        <w:jc w:val="both"/>
        <w:ind w:left="98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reduce the amount of the principal of original issue discount securities payable on any date, change the coin or currency in which principal of or any premium or interest on any debt securities is payable or impair the right to institute suit for the enforcement of any such payment on or after the maturity thereof, without the consent of the holder of each debt security so affected;</w:t>
      </w:r>
    </w:p>
    <w:p>
      <w:pPr>
        <w:spacing w:after="0" w:line="81" w:lineRule="exact"/>
        <w:rPr>
          <w:sz w:val="20"/>
          <w:szCs w:val="20"/>
          <w:color w:val="auto"/>
        </w:rPr>
      </w:pPr>
    </w:p>
    <w:p>
      <w:pPr>
        <w:ind w:left="960" w:hanging="424"/>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aforesaid percentage of debt securities of any series, the consent of the holders of which is required for any such modification or for the waiver of past default in the case of subordinated debt securities, without the consent of the holders of all debt securities of such series then outstanding;</w:t>
      </w:r>
    </w:p>
    <w:p>
      <w:pPr>
        <w:spacing w:after="0" w:line="81"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subordinated debt securities, modify any provision of Section 606, 1302 or Section 506 of the Subordinated Debt Indenture;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without the written consent of the trustee the rights, duties or immunities of the trustee. (Sections 1301 and 1302)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Senior Debt Indenture provides that events of default with respect to any series of debt securities will be:</w:t>
      </w:r>
    </w:p>
    <w:p>
      <w:pPr>
        <w:spacing w:after="0" w:line="131" w:lineRule="exact"/>
        <w:rPr>
          <w:sz w:val="20"/>
          <w:szCs w:val="20"/>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of interest upon any debt security of such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principal (other than a sinking fund installment) or premium, if any, on any debt security of such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of any sinking fund installment when due by the terms of the debt securities of such series;</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90 days after notice, in the performance of any other covenant in the indenture (other than a covenant included in the indenture solely for the benefit of a series of debt securities other than such series);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(Section 601)</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Subordinated Debt Indenture provides that the failure to pay deferred interest on any subordinated debt securities for a period of 30 days after the conclusion of any permitted deferral period constitutes an event of default. (Section 601)</w:t>
      </w:r>
    </w:p>
    <w:p>
      <w:pPr>
        <w:spacing w:after="0" w:line="162"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Additional events of default may be applicable to a series of debt securities if so provided in the supplemental indenture or board resolution applicable to such series. The prospectus supplement will describe any such additional events of default. If an event of default with respect to debt securities of any series should occur and be continuing, either the trustee or the holders of 25% in aggregate principal amount of the debt securities of such series then outstanding may declare each debt security of that series due and payable. (Section 602) We will be required to file annually with the trustee a statement of an officer as to the fulfillment of our obligations under the indenture during the preceding year. (Section 507 of the Senior Debt Indenture and Section 505 of the Subordinated Debt Indenture)</w:t>
      </w:r>
    </w:p>
    <w:p>
      <w:pPr>
        <w:spacing w:after="0" w:line="187" w:lineRule="exact"/>
        <w:rPr>
          <w:sz w:val="20"/>
          <w:szCs w:val="20"/>
          <w:color w:val="auto"/>
        </w:rPr>
      </w:pPr>
    </w:p>
    <w:p>
      <w:pPr>
        <w:ind w:right="520" w:firstLine="440"/>
        <w:spacing w:after="0" w:line="312" w:lineRule="auto"/>
        <w:rPr>
          <w:sz w:val="20"/>
          <w:szCs w:val="20"/>
          <w:color w:val="auto"/>
        </w:rPr>
      </w:pPr>
      <w:r>
        <w:rPr>
          <w:rFonts w:ascii="Times New Roman" w:cs="Times New Roman" w:eastAsia="Times New Roman" w:hAnsi="Times New Roman"/>
          <w:sz w:val="17"/>
          <w:szCs w:val="17"/>
          <w:color w:val="auto"/>
        </w:rPr>
        <w:t>No event of default with respect to a single series of debt securities issued under each indenture (and under or pursuant to any supplemental indenture or board resolution) necessarily constitutes an event of default with respect to any other series of debt securities. (Section 602)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of the Indentures</w:t>
      </w:r>
    </w:p>
    <w:p>
      <w:pPr>
        <w:spacing w:after="0" w:line="121"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At our request, an indenture will be cancelled by the trustee and the guarantees will be discharged if all sums due to the trustee under such indenture have been paid in full and:</w:t>
      </w:r>
    </w:p>
    <w:p>
      <w:pPr>
        <w:spacing w:after="0" w:line="67" w:lineRule="exact"/>
        <w:rPr>
          <w:sz w:val="20"/>
          <w:szCs w:val="20"/>
          <w:color w:val="auto"/>
        </w:rPr>
      </w:pPr>
    </w:p>
    <w:p>
      <w:pPr>
        <w:jc w:val="center"/>
        <w:ind w:left="5420" w:right="1320" w:hanging="4884"/>
        <w:spacing w:after="0" w:line="454" w:lineRule="auto"/>
        <w:tabs>
          <w:tab w:leader="none" w:pos="9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previously issued under such indenture have been cancelled or delivered to the trustee for cancellation; 19</w:t>
      </w:r>
    </w:p>
    <w:p>
      <w:pPr>
        <w:sectPr>
          <w:pgSz w:w="11900" w:h="16838" w:orient="portrait"/>
          <w:cols w:equalWidth="0" w:num="1">
            <w:col w:w="11000"/>
          </w:cols>
          <w:pgMar w:left="440" w:top="270" w:right="459" w:bottom="1440" w:gutter="0" w:footer="0" w:header="0"/>
        </w:sectPr>
      </w:pPr>
    </w:p>
    <w:bookmarkStart w:id="23" w:name="page24"/>
    <w:bookmarkEnd w:id="23"/>
    <w:p>
      <w:pPr>
        <w:ind w:left="960" w:right="700" w:hanging="42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principal of, and premium, if any, and the amounts due upon conversion or exchange of, if applicable, and interest on, all debt securities issued under such indenture then outstanding have been paid in full; or</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have been deposited with the trustee at the maturity of the debt securities sufficient to pay in full the principal of, and premium, if any, and interest on all debt securities then outstanding. (Sections 1101 and 1102)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If so described in a prospectus supplement relating to debt securities of a specific series, we may discharge our indebtedness and obligations, together with the obligations of the guarantors, or terminate certain of our obligations under the relevant indenture with respect to the debt securities of such series by depositing funds or obligations issued or guaranteed by the United States with the trustee. (Sections 1103 and 1104)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U.S. Bank Trust Company, National Association will be the trustee under each indenture. We have and may from time to time in the future have banking relationships with the trustee in the ordinary course of business. Each indenture will contain certain limitations on a right of the trustee, as our creditor, to obtain payment of claims in certain cases, or to realize on certain property received in respect of any such claim as security or otherwise. The trustee will be permitted to engage in other transactions; provided that if it acquires any conflicting interest, it must eliminate such conflict or resign.</w:t>
      </w:r>
    </w:p>
    <w:p>
      <w:pPr>
        <w:spacing w:after="0" w:line="164"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Subject to the terms of each indenture, the holders of a majority in principal amount of the securities issued and outstanding under each indenture will have the right to direct the time, method and place of conducting any proceeding for exercising any remedy or power available to the trustee.</w:t>
      </w:r>
    </w:p>
    <w:p>
      <w:pPr>
        <w:spacing w:after="0" w:line="14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case an event of default occurs, and is continuing under either indenture and is actually known to a responsible officer of the trustee, the trustee will exercise such of the rights and powers vested in it by the applicable indenture and use the same degree of care and skill in its exercise as a prudent person would exercise or use under the circumstances in the conduct of his or her own affairs. Subject to such provisions, the trustee will not be under any obligation to exercise any of its rights or powers under either indenture at the request of any of the holders of securities issued under such indenture (including the subordinated debt securities) unless they will have offered to the trustee security and indemnity satisfactory to it.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4" w:name="page25"/>
    <w:bookmarkEnd w:id="2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WARRANTS</w:t>
      </w:r>
    </w:p>
    <w:p>
      <w:pPr>
        <w:spacing w:after="0" w:line="22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together with the additional information that we include in any applicable prospectus supplements, summarizes the material terms and provisions of the warrants that we may offer under this prospectus. While the terms we have summarized below will apply generally to any warrants that we may offer under this prospectus, we will describe the particular terms of any warrants in more detail in the applicable prospectus supplement. The terms of any warrants offered under a prospectus supplement may differ from the terms described below.</w:t>
      </w:r>
    </w:p>
    <w:p>
      <w:pPr>
        <w:spacing w:after="0" w:line="18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warrants in respect to which this prospectus is being delivered:</w:t>
      </w:r>
    </w:p>
    <w:p>
      <w:pPr>
        <w:spacing w:after="0" w:line="131" w:lineRule="exact"/>
        <w:rPr>
          <w:sz w:val="20"/>
          <w:szCs w:val="20"/>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such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130" w:lineRule="exact"/>
        <w:rPr>
          <w:rFonts w:ascii="Times New Roman" w:cs="Times New Roman" w:eastAsia="Times New Roman" w:hAnsi="Times New Roman"/>
          <w:sz w:val="18"/>
          <w:szCs w:val="18"/>
          <w:color w:val="auto"/>
        </w:rPr>
      </w:pPr>
    </w:p>
    <w:p>
      <w:pPr>
        <w:ind w:left="960" w:right="40" w:hanging="424"/>
        <w:spacing w:after="0" w:line="312" w:lineRule="auto"/>
        <w:tabs>
          <w:tab w:leader="none" w:pos="9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45" w:lineRule="exact"/>
        <w:rPr>
          <w:rFonts w:ascii="Times New Roman" w:cs="Times New Roman" w:eastAsia="Times New Roman" w:hAnsi="Times New Roman"/>
          <w:sz w:val="17"/>
          <w:szCs w:val="17"/>
          <w:color w:val="auto"/>
        </w:rPr>
      </w:pPr>
    </w:p>
    <w:p>
      <w:pPr>
        <w:ind w:left="960" w:right="12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 which, the securities or other rights purchasable upon exercise of such warrants may be purchased;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for changes to or adjustments in the exercise price of such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any material U.S. Federal income tax considerations;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66" w:right="51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PURCHASE CONTRACTS</w:t>
      </w:r>
    </w:p>
    <w:p>
      <w:pPr>
        <w:spacing w:after="0" w:line="22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together with the additional information that we include in any applicable prospectus supplements, summarizes the material terms and provisions of the purchase contracts that we may offer under this prospectus. While the terms we have summarized below will apply generally to any purchase contracts that we may offer under this prospectus, we will describe the particular terms of any purchase contracts in more detail in the applicable prospectus supplement. The terms of any purchase contracts offered under a prospectus supplement may differ from the terms described below.</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may issue purchase contracts for the purchase or sale of:</w:t>
      </w:r>
    </w:p>
    <w:p>
      <w:pPr>
        <w:spacing w:after="0" w:line="131" w:lineRule="exact"/>
        <w:rPr>
          <w:sz w:val="20"/>
          <w:szCs w:val="20"/>
          <w:color w:val="auto"/>
        </w:rPr>
      </w:pPr>
    </w:p>
    <w:p>
      <w:pPr>
        <w:ind w:left="960" w:right="12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or equity securities issued by us or securities of third parties, a basket of such securities, an index or indices of such securities or any combination of the above as specified in the applicable prospectus supplement;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currencies;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commodities.</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w:t>
      </w:r>
    </w:p>
    <w:p>
      <w:pPr>
        <w:spacing w:after="0" w:line="18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Our obligation to settle such pre-paid purchase contracts on the relevant settlement date may constitute indebtedness. Accordingly, pre-paid purchase contracts will be issued under either one or more of the indentures.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6" w:right="479" w:bottom="1440" w:gutter="0" w:footer="0" w:header="0"/>
        </w:sectPr>
      </w:pPr>
    </w:p>
    <w:bookmarkStart w:id="26" w:name="page27"/>
    <w:bookmarkEnd w:id="2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UNITS</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2"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As specified in the applicable prospectus supplement, we may issue units consisting of one or more purchase contracts, warrants, debt securities, shares of preferred stock, shares of common stock or any combination of such securities. The applicable prospectus supplement will describe:</w:t>
      </w:r>
    </w:p>
    <w:p>
      <w:pPr>
        <w:spacing w:after="0" w:line="45" w:lineRule="exact"/>
        <w:rPr>
          <w:sz w:val="20"/>
          <w:szCs w:val="20"/>
          <w:color w:val="auto"/>
        </w:rPr>
      </w:pPr>
    </w:p>
    <w:p>
      <w:pPr>
        <w:jc w:val="both"/>
        <w:ind w:left="960" w:right="50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purchase contracts, warrants, debt securities, shares of preferred stock and shares of common stock comprising the units, including whether and under what circumstances the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66" w:right="519" w:bottom="1440" w:gutter="0" w:footer="0" w:header="0"/>
        </w:sectPr>
      </w:pPr>
    </w:p>
    <w:bookmarkStart w:id="27" w:name="page28"/>
    <w:bookmarkEnd w:id="27"/>
    <w:p>
      <w:pPr>
        <w:ind w:left="4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OF DISTRIBUTION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may sell the securities, separately or together in units, in several ways, including:</w:t>
      </w:r>
    </w:p>
    <w:p>
      <w:pPr>
        <w:spacing w:after="0" w:line="131" w:lineRule="exact"/>
        <w:rPr>
          <w:sz w:val="20"/>
          <w:szCs w:val="20"/>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prospectus supplement with respect to a particular offering of securities will set forth the terms of the offering of such securities, including the name or names of any underwriters or agents, the purchase price of such securities, the proceeds to Bath &amp; Body Works, Inc. from such sale, any underwriting discounts and other items constituting underwriters’ compensation, any initial public offering price, any discounts or concessions allowed or reallowed or paid to dealers and any securities exchanges on which such securities may be listed.</w:t>
      </w:r>
    </w:p>
    <w:p>
      <w:pPr>
        <w:spacing w:after="0" w:line="180"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t>If underwriters are used in the sale,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by underwriters without a syndicate. Any initial public offering price and any discounts or concessions allowed or reallowed or paid to dealers may be changed from time to time.</w:t>
      </w:r>
    </w:p>
    <w:p>
      <w:pPr>
        <w:spacing w:after="0" w:line="164"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Any underwriters, broker-dealers and agents that participate in the distribution of such securities may be deemed to be “underwriters” as defined in the Securities Act of 1933, as amended (the “Act”). Any commissions paid or any discounts or concessions allowed to any such persons, and any profits they receive on resale of the securities, may be deemed to be underwriting discounts and commissions under the Act. We anticipate that any underwriting agreement pertaining to any such securities will:</w:t>
      </w:r>
    </w:p>
    <w:p>
      <w:pPr>
        <w:spacing w:after="0" w:line="85" w:lineRule="exact"/>
        <w:rPr>
          <w:sz w:val="20"/>
          <w:szCs w:val="20"/>
          <w:color w:val="auto"/>
        </w:rPr>
      </w:pPr>
    </w:p>
    <w:p>
      <w:pPr>
        <w:ind w:left="960" w:right="22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the underwriters to indemnification by us against certain civil liabilities under the Act or to contribution with respect to payments which the underwriters may be required to make in respect of such liabilities;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obligations of the underwriters will be subject to certain conditions precedent;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underwriters generally will be obligated to purchase all such securities if any are purchased.</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Securities also may be offered directly by us or through agents designated by us from time to time. Any such agent will be named, and the terms of any such agency (including any commissions payable by us to any such agent) will be set forth, in the prospectus supplement relating to such securities. Unless otherwise indicated in such prospectus supplement, any such agent will act on a best efforts basis for the period of its appointment. Agents named in a prospectus supplement may be deemed to be underwriters (within the meaning of the Act) of the securities described in such prospectus supplement and, under agreements which may be entered into with us, may be entitled to indemnification by us against certain civil liabilities under the Act or to contribution with respect to payments which the agents may be required to make in respect of such liabilities.</w:t>
      </w:r>
    </w:p>
    <w:p>
      <w:pPr>
        <w:spacing w:after="0" w:line="18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We may enter into derivative or other hedging transactions with financial institutions. These financial institutions may in turn engage in sales of common stock to hedge their position, deliver this prospectus in connection with some or all of those sales and use the shares covered by this prospectus to close out any short position created in connection with those sales. We may also sell shares of common stock short using this prospectus and deliver common stock covered by this prospectus to close out such short positions, or loan or pledge common stock to financial institutions that in turn may sell the shares of common stock using this prospectus. We may pledge or grant a security interest in some or all of the common stock covered by this prospectus to support a derivative or hedging position or other obligations and, if we default in the performance of our obligations, the pledgees or secured parties may offer and sell the common stock from time to time pursuant to this 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28" w:name="page29"/>
    <w:bookmarkEnd w:id="28"/>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 and agents may be customers of, engage in transactions with, or perform services for, us and our subsidiaries in the ordinary course of business.</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so indicated in a prospectus supplement, we will authorize underwriters, dealers or other agents of ours to solicit offers by certain specified entities to purchase securities from us pursuant to contracts providing for payment and delivery at a future date. The obligations of any purchaser under any such contract will not be subject to any conditions except those described in such prospectus supplement. Such prospectus supplement will set forth the commissions payable for solicitations of such contracts.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“BBWI.”</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Underwriters and agents may from time to time purchase and sell securities in the secondary market, but are not obligated to do so, and there can be no assurance that there will be a secondary market for the securities or liquidity in the secondary market if one develops. From time to time, underwriters and agents may make a market in or engage in stabilization activities for the securities.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the prospectus supplement so indicates, in connection with a remarketing arrangement upon their purchase. Remarketing firms will act as principals for their own accounts or as agents for us. These remarketing firms will offer or sell the securities in accordance with a redemption or repayment pursuant to the terms of the securities. The prospectus supplement will identify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Act, as amended, and may be customers of, engage in transactions with or perform services for us in the ordinary course of business.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29" w:name="page30"/>
    <w:bookmarkEnd w:id="2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OPINIONS</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securities to be offered by this prospectus will be passed upon for us by Davis Polk &amp;Wardwell LLP, New York, New York. Any underwriters, dealers or agents will be advised by their own legal counsel concerning issues relating to any offering.</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Bath &amp; Body Works, Inc. appearing in Bath &amp; Body Works, Inc.’s Annual Report (Form 10-K) for the year ended February 1, 2025, and the effectiveness of Bath &amp; Body Works, Inc.’s internal control over financial reporting as of February 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40" w:top="266" w:right="519" w:bottom="1440" w:gutter="0" w:footer="0" w:header="0"/>
        </w:sectPr>
      </w:pPr>
    </w:p>
    <w:bookmarkStart w:id="30" w:name="page31"/>
    <w:bookmarkEnd w:id="3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costs and expenses payable by the Registrants in connection with the sale of the securities being registered hereby.</w:t>
      </w:r>
    </w:p>
    <w:p>
      <w:pPr>
        <w:spacing w:after="0" w:line="170"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to</w:t>
            </w:r>
          </w:p>
        </w:tc>
        <w:tc>
          <w:tcPr>
            <w:tcW w:w="260" w:type="dxa"/>
            <w:vAlign w:val="bottom"/>
          </w:tcPr>
          <w:p>
            <w:pPr>
              <w:spacing w:after="0"/>
              <w:rPr>
                <w:sz w:val="13"/>
                <w:szCs w:val="13"/>
                <w:color w:val="auto"/>
              </w:rPr>
            </w:pPr>
          </w:p>
        </w:tc>
      </w:tr>
      <w:tr>
        <w:trPr>
          <w:trHeight w:val="173"/>
        </w:trPr>
        <w:tc>
          <w:tcPr>
            <w:tcW w:w="65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 Paid</w:t>
            </w:r>
          </w:p>
        </w:tc>
        <w:tc>
          <w:tcPr>
            <w:tcW w:w="260" w:type="dxa"/>
            <w:vAlign w:val="bottom"/>
            <w:tcBorders>
              <w:bottom w:val="single" w:sz="8" w:color="CCEEFF"/>
            </w:tcBorders>
          </w:tcPr>
          <w:p>
            <w:pPr>
              <w:spacing w:after="0"/>
              <w:rPr>
                <w:sz w:val="15"/>
                <w:szCs w:val="15"/>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fees</w:t>
            </w:r>
          </w:p>
        </w:tc>
        <w:tc>
          <w:tcPr>
            <w:tcW w:w="2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 (including Blue Sky fees)</w:t>
            </w:r>
          </w:p>
        </w:tc>
        <w:tc>
          <w:tcPr>
            <w:tcW w:w="2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fees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Rating agency fees</w:t>
            </w:r>
          </w:p>
        </w:tc>
        <w:tc>
          <w:tcPr>
            <w:tcW w:w="2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w:t>
            </w: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 reliance upon Rule 456(b) and Rule 457(r).</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We are a Delaware corporation. Section 102(b)(7) of the DGCL enables a corporation to eliminate or limit the personal liability of a director to the corporation or its stockholders for monetary damages for breach of the director’s fiduciary duty, except:</w:t>
      </w:r>
    </w:p>
    <w:p>
      <w:pPr>
        <w:spacing w:after="0" w:line="67" w:lineRule="exact"/>
        <w:rPr>
          <w:sz w:val="20"/>
          <w:szCs w:val="20"/>
          <w:color w:val="auto"/>
        </w:rPr>
      </w:pPr>
    </w:p>
    <w:p>
      <w:pPr>
        <w:ind w:left="964" w:hanging="424"/>
        <w:spacing w:after="0"/>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corporation or its stockholders;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174 of the DGCL (providing for liability of directors for unlawful payment of dividends or unlawful stock purchases or redemptions); or</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Section 102(b)(7) of the DGCL, the Restated Certificate of Incorporation, as amended, of Bath &amp; Body Works includes a provision eliminating, to the fullest extent permitted by the DGCL, the liability of Bath &amp; Body Works’ directors to Bath &amp; Body Works or its stockholders for monetary damages for breach of fiduciary duties as director.</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Section 145(a) of the DGCL empowers a corporation to indemnify any present or former director, officer, employee or agent of the corporation, or any individual serving at the corporation’s request as a director, officer, employee or agent of another organization,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by the person in connection with such action, suit or proceeding provided that such person acted in good faith and in a manner he or she reasonably believed to be in, or not opposed to, the best interests of the corporation, and, with respect to any criminal action or proceeding, had no reasonable cause to believe his or her conduct was unlawful.</w:t>
      </w:r>
    </w:p>
    <w:p>
      <w:pPr>
        <w:sectPr>
          <w:pgSz w:w="11900" w:h="16838" w:orient="portrait"/>
          <w:cols w:equalWidth="0" w:num="1">
            <w:col w:w="11004"/>
          </w:cols>
          <w:pgMar w:left="436" w:top="266" w:right="459" w:bottom="1440" w:gutter="0" w:footer="0" w:header="0"/>
        </w:sectPr>
      </w:pPr>
    </w:p>
    <w:bookmarkStart w:id="31" w:name="page32"/>
    <w:bookmarkEnd w:id="31"/>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DGCL provides that the indemnification described above shall not be deemed exclusive of any other indemnification that may be granted by a corporation pursuant to any by-law, disinterested directors’ vote, stockholders’ vote, agreement or otherwise.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DGCL also provides corporations with the power to purchase and maintain insurance on behalf of any person who is or was a director, officer, employee or agent of the corporation, or is or was serving at the request of the corporation in a similar capacity for another corporation, partnership, joint venture, trust or other enterprise, against any liability asserted against him or her in any such capacity, or arising out of his or her status as such, whether or not the corporation would have the power to indemnify him or her against such liability as described above.</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 accordance with Section 145(a) of the DGCL, Bath &amp; Body Works’ Amended and Restated Bylaws provide that every person who was or is a party or is threatened to be made a party to any threatened, pending or completed action, suit, or proceeding, whether civil, criminal, administrative or investigative, by reason of the fact that such person, or such person’s testator or intestate, is or was serving as a director or officer of Bath &amp; Body Works or is or was serving at the request of Bath &amp; Body Works as a director, officer, employee or agent of another corporation, partnership, joint venture, trust, or other enterprise, or as a member of any committee or similar body, shall be indemnified to the fullest extent permitted under the laws of Delaware against all expenses (including attorney’s fees), judgments, penalties, fines and amounts paid in settlement actually and reasonably incurred by such person in connection with such action, suit or proceeding (including appeals) or the defense or settlement thereof or any claim, issue, or matter therein. Expenses incurred by a director or officer in defending such an action, suit or proceeding may be paid by Bath &amp; Body Works in advance of the final disposition of such action, suit or proceeding if such indemnification and/or payment is approved by the vote of the stockholders or of the disinterested directors, or is, in the opinion of independent legal counsel selected by the Board of Directors of Bath &amp; Body Works, to be made on behalf of an indemnitee who acted in good faith and in a manner such person reasonably believed to be in, or not opposed to, the best interests of Bath &amp; Body Works.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Bath &amp; Body Works’ officers and directors are insured under an officers and directors liability insurance policy.</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Bath &amp; Body Works has entered into separate indemnification agreements with certain of its current and former executive officers and directors. These indemnification agreements provide officers and directors with contractual rights to indemnification and advancement and reimbursement of expenses, to the fullest extent permitted under Delaware law, subject to certain exceptions contained in those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undersigned Registrant hereby undertakes:</w:t>
      </w:r>
    </w:p>
    <w:p>
      <w:pPr>
        <w:spacing w:after="0" w:line="131" w:lineRule="exact"/>
        <w:rPr>
          <w:sz w:val="20"/>
          <w:szCs w:val="20"/>
          <w:color w:val="auto"/>
        </w:rPr>
      </w:pPr>
    </w:p>
    <w:p>
      <w:pPr>
        <w:ind w:left="960" w:right="580" w:hanging="532"/>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of securities registered hereby, a post-effective amendment to this registration statement:</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420" w:right="80" w:hanging="439"/>
        <w:spacing w:after="0" w:line="255" w:lineRule="auto"/>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ectPr>
          <w:pgSz w:w="11900" w:h="16838" w:orient="portrait"/>
          <w:cols w:equalWidth="0" w:num="1">
            <w:col w:w="11020"/>
          </w:cols>
          <w:pgMar w:left="440" w:top="270" w:right="439" w:bottom="1440" w:gutter="0" w:footer="0" w:header="0"/>
        </w:sectPr>
      </w:pPr>
    </w:p>
    <w:bookmarkStart w:id="32" w:name="page33"/>
    <w:bookmarkEnd w:id="32"/>
    <w:p>
      <w:pPr>
        <w:ind w:left="1420" w:right="200" w:hanging="439"/>
        <w:spacing w:after="0" w:line="282" w:lineRule="auto"/>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(i), (ii) and (iii) above do not apply if the information required to be included in a post-effective amendment by those paragraphs is contained in periodic reports filed with or furnished to the SEC by the Registrant pursuant to Section 13 or Section 15(d) of the Securities Exchange Act of 1934 that are incorporated by reference into this registration statement, or is contained in a form of prospectus filed pursuant to Rule 424(b) that is part of this registration statement.</w:t>
      </w:r>
    </w:p>
    <w:p>
      <w:pPr>
        <w:spacing w:after="0" w:line="85" w:lineRule="exact"/>
        <w:rPr>
          <w:sz w:val="20"/>
          <w:szCs w:val="20"/>
          <w:color w:val="auto"/>
        </w:rPr>
      </w:pPr>
    </w:p>
    <w:p>
      <w:pPr>
        <w:ind w:left="960" w:right="20" w:hanging="532"/>
        <w:spacing w:after="0" w:line="266"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hereof.</w:t>
      </w:r>
    </w:p>
    <w:p>
      <w:pPr>
        <w:spacing w:after="0" w:line="81"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30"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420" w:hanging="439"/>
        <w:spacing w:after="0" w:line="253"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5"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420" w:right="60" w:hanging="439"/>
        <w:spacing w:after="0" w:line="282"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Registrants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Registrants or used or referred to by the undersigned Registrants;</w:t>
      </w:r>
    </w:p>
    <w:p>
      <w:pPr>
        <w:spacing w:after="0" w:line="67" w:lineRule="exact"/>
        <w:rPr>
          <w:rFonts w:ascii="Times New Roman" w:cs="Times New Roman" w:eastAsia="Times New Roman" w:hAnsi="Times New Roman"/>
          <w:sz w:val="18"/>
          <w:szCs w:val="18"/>
          <w:color w:val="auto"/>
        </w:rPr>
      </w:pPr>
    </w:p>
    <w:p>
      <w:pPr>
        <w:ind w:left="1420" w:right="560" w:hanging="439"/>
        <w:spacing w:after="0" w:line="282"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Registrants or its securities provided by or on behalf of the undersigned Registrants;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Registrants to the purchaser.</w:t>
      </w:r>
    </w:p>
    <w:p>
      <w:pPr>
        <w:sectPr>
          <w:pgSz w:w="11900" w:h="16838" w:orient="portrait"/>
          <w:cols w:equalWidth="0" w:num="1">
            <w:col w:w="11000"/>
          </w:cols>
          <w:pgMar w:left="440" w:top="270" w:right="459" w:bottom="1440" w:gutter="0" w:footer="0" w:header="0"/>
        </w:sectPr>
      </w:pPr>
    </w:p>
    <w:bookmarkStart w:id="33" w:name="page34"/>
    <w:bookmarkEnd w:id="33"/>
    <w:p>
      <w:pPr>
        <w:ind w:left="532" w:right="120" w:hanging="532"/>
        <w:spacing w:after="0" w:line="258" w:lineRule="auto"/>
        <w:tabs>
          <w:tab w:leader="none" w:pos="5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Registrants hereby undertake that, for purposes of determining any liability under the Securities Act of 1933, each filing of the Bath &amp; Body Works’ annual report pursuant to Section 13(a) or Section 15(d) of the Securities Exchange Act of 1934 (and, where applicable, each filing of an employee benefit plan’s annual report pursuant to Section 15(d) of the Securities Exchange Act of 1934)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532" w:hanging="532"/>
        <w:spacing w:after="0" w:line="254" w:lineRule="auto"/>
        <w:tabs>
          <w:tab w:leader="none" w:pos="5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0552"/>
          </w:cols>
          <w:pgMar w:left="868" w:top="270" w:right="47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Columbus, State of Ohio, on March 14,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Eva C. Boratto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Eva C. Boratto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(Ms. Boratto is the principal financial officer and the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principal accounting officer and has been duly</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to sign on behalf of the Registrant)</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Eva C. Boratto, Timothy J. Faber and Michael C. Wu,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8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as of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Gina R. Boswell</w:t>
            </w:r>
          </w:p>
        </w:tc>
        <w:tc>
          <w:tcPr>
            <w:tcW w:w="120" w:type="dxa"/>
            <w:vAlign w:val="bottom"/>
          </w:tcPr>
          <w:p>
            <w:pPr>
              <w:spacing w:after="0"/>
              <w:rPr>
                <w:sz w:val="24"/>
                <w:szCs w:val="24"/>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 and 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Gina R. Boswell</w:t>
            </w:r>
          </w:p>
        </w:tc>
        <w:tc>
          <w:tcPr>
            <w:tcW w:w="120" w:type="dxa"/>
            <w:vAlign w:val="bottom"/>
          </w:tcPr>
          <w:p>
            <w:pPr>
              <w:spacing w:after="0"/>
              <w:rPr>
                <w:sz w:val="19"/>
                <w:szCs w:val="19"/>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Eva C. Boratto</w:t>
            </w:r>
          </w:p>
        </w:tc>
        <w:tc>
          <w:tcPr>
            <w:tcW w:w="120" w:type="dxa"/>
            <w:vAlign w:val="bottom"/>
          </w:tcPr>
          <w:p>
            <w:pPr>
              <w:spacing w:after="0"/>
              <w:rPr>
                <w:sz w:val="24"/>
                <w:szCs w:val="24"/>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Eva C. Boratto</w:t>
            </w:r>
          </w:p>
        </w:tc>
        <w:tc>
          <w:tcPr>
            <w:tcW w:w="120" w:type="dxa"/>
            <w:vAlign w:val="bottom"/>
          </w:tcPr>
          <w:p>
            <w:pPr>
              <w:spacing w:after="0"/>
              <w:rPr>
                <w:sz w:val="19"/>
                <w:szCs w:val="19"/>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Sarah E. Nash</w:t>
            </w:r>
          </w:p>
        </w:tc>
        <w:tc>
          <w:tcPr>
            <w:tcW w:w="120" w:type="dxa"/>
            <w:vAlign w:val="bottom"/>
          </w:tcPr>
          <w:p>
            <w:pPr>
              <w:spacing w:after="0"/>
              <w:rPr>
                <w:sz w:val="24"/>
                <w:szCs w:val="24"/>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Board Chair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Sarah E. Nash</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Alessandro Bogliolo</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Alessandro Bogliolo</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Lucy O. Brady</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Lucy O. Brady</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Francis A. Hondal</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Francis A. Hondal</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Danielle M. Lee</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Danielle M. Lee</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Juan Rajlin</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Juan Rajlin</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D. Steinour</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Stephen D. Steinour</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K. Symancyk</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K. Symancyk</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Steven E. Voskuil</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Steven E. Voskuil</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 SIGNATURES</w:t>
      </w:r>
    </w:p>
    <w:p>
      <w:pPr>
        <w:spacing w:after="0" w:line="22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Registrants certify that they have reasonable grounds to believe that they meet all of the requirements for filing on Form S-3 and have duly caused this registration statement to be signed on their behalf by the undersigned, thereunto duly authorized, in the City of Columbus, State of Ohio, on March 14,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BATH &amp; BODY WORKS BRAND MANAGEMENT,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BATH &amp; BODY WORKS DIRECT,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C. Wu</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Chief Legal Officer and Corporate</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Eva C. Boratto, Timothy J. Faber and Michael C. Wu,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8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 Wu</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Michael C. Wu</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J. Faber</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Timothy J. Faber</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 SIGNATURES</w:t>
      </w:r>
    </w:p>
    <w:p>
      <w:pPr>
        <w:spacing w:after="0" w:line="22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Registrants certify that they have reasonable grounds to believe that they meet all of the requirements for filing on Form S-3 and have duly caused this registration statement to be signed on their behalf by the undersigned, thereunto duly authorized, in the City of Columbus, State of Ohio, on March 14,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BATH &amp; BODY WORKS,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RETAIL STORE OPERATIONS, INC., its sole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C. Wu</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Chief Legal Officer and Corporate</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Eva C. Boratto, Timothy J. Faber and Michael C. Wu,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8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 Wu</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Michael C. Wu</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J. Faber</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Timothy J. Faber</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GUARANTOR SIGNATURES</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Columbus, State of Ohio, on March 14,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BEAUTY SPECIALTY HOLDING,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BATH &amp; BODY WORKS, INC., its sole 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C. Wu</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Eva C. Boratto, Timothy J. Faber and Michael C. Wu,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8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Gina R. Boswell</w:t>
            </w:r>
          </w:p>
        </w:tc>
        <w:tc>
          <w:tcPr>
            <w:tcW w:w="120" w:type="dxa"/>
            <w:vAlign w:val="bottom"/>
          </w:tcPr>
          <w:p>
            <w:pPr>
              <w:spacing w:after="0"/>
              <w:rPr>
                <w:sz w:val="24"/>
                <w:szCs w:val="24"/>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 and 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Gina R. Boswell</w:t>
            </w:r>
          </w:p>
        </w:tc>
        <w:tc>
          <w:tcPr>
            <w:tcW w:w="120" w:type="dxa"/>
            <w:vAlign w:val="bottom"/>
          </w:tcPr>
          <w:p>
            <w:pPr>
              <w:spacing w:after="0"/>
              <w:rPr>
                <w:sz w:val="19"/>
                <w:szCs w:val="19"/>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 rincipal Executive Officer)</w:t>
            </w: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Eva C. Boratto</w:t>
            </w:r>
          </w:p>
        </w:tc>
        <w:tc>
          <w:tcPr>
            <w:tcW w:w="120" w:type="dxa"/>
            <w:vAlign w:val="bottom"/>
          </w:tcPr>
          <w:p>
            <w:pPr>
              <w:spacing w:after="0"/>
              <w:rPr>
                <w:sz w:val="24"/>
                <w:szCs w:val="24"/>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 and Principal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Eva C. Boratto</w:t>
            </w:r>
          </w:p>
        </w:tc>
        <w:tc>
          <w:tcPr>
            <w:tcW w:w="120" w:type="dxa"/>
            <w:vAlign w:val="bottom"/>
          </w:tcPr>
          <w:p>
            <w:pPr>
              <w:spacing w:after="0"/>
              <w:rPr>
                <w:sz w:val="19"/>
                <w:szCs w:val="19"/>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Sarah E. Nash</w:t>
            </w:r>
          </w:p>
        </w:tc>
        <w:tc>
          <w:tcPr>
            <w:tcW w:w="120" w:type="dxa"/>
            <w:vAlign w:val="bottom"/>
          </w:tcPr>
          <w:p>
            <w:pPr>
              <w:spacing w:after="0"/>
              <w:rPr>
                <w:sz w:val="24"/>
                <w:szCs w:val="24"/>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Board Chair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Sarah E. Nash</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Alessandro Bogliolo</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Alessandro Bogliolo</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Lucy O. Brady</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Lucy O. Brady</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Francis A. Hondal</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Francis A. Hondal</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Danielle M. Lee</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Danielle M. Lee</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Juan Rajlin</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Juan Rajlin</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D. Steinour</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Stephen D. Steinour</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K. Symancyk</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K. Symancyk</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Steven E. Voskuil</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Steven E. Voskuil</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GUARANTOR SIGNATURES</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Columbus, State of Ohio, on March 14,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BEAUTYAVENUES,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BATH &amp; BODY WORKS BRAND MANAGEMENT,</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INC., its sole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C. Wu</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Eva C. Boratto, Timothy J. Faber and Michael C. Wu,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8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 Wu</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Michael C. Wu</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J. Faber</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Timothy J. Faber</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GUARANTOR SIGNATURES</w:t>
      </w:r>
    </w:p>
    <w:p>
      <w:pPr>
        <w:spacing w:after="0" w:line="22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Registrants certify that they have reasonable grounds to believe that they meet all of the requirements for filing on Form S-3 and have duly caused this registration statement to be signed on their behalf by the undersigned, thereunto duly authorized, in the City of Columbus, State of Ohio, on March 14,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 BRANDS SERVICE COMPANY,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BEAUTY SPECIALTY HOLDING, LLC, its sole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C. Wu</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Chief Legal Officer and Corporate</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Secretary</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BEAUTY SPECIALTY HOLDING,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BATH &amp; BODY WORKS, INC., its sole 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C. Wu</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Eva C. Boratto, Timothy J. Faber and Michael C. Wu,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8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Gina R. Boswell</w:t>
            </w:r>
          </w:p>
        </w:tc>
        <w:tc>
          <w:tcPr>
            <w:tcW w:w="120" w:type="dxa"/>
            <w:vAlign w:val="bottom"/>
          </w:tcPr>
          <w:p>
            <w:pPr>
              <w:spacing w:after="0"/>
              <w:rPr>
                <w:sz w:val="24"/>
                <w:szCs w:val="24"/>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 and Chief Executive Officer (Principal Executive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Gina R. Boswell</w:t>
            </w:r>
          </w:p>
        </w:tc>
        <w:tc>
          <w:tcPr>
            <w:tcW w:w="120" w:type="dxa"/>
            <w:vAlign w:val="bottom"/>
          </w:tcPr>
          <w:p>
            <w:pPr>
              <w:spacing w:after="0"/>
              <w:rPr>
                <w:sz w:val="19"/>
                <w:szCs w:val="19"/>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Officer)</w:t>
            </w: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Eva C. Boratto</w:t>
            </w:r>
          </w:p>
        </w:tc>
        <w:tc>
          <w:tcPr>
            <w:tcW w:w="120" w:type="dxa"/>
            <w:vAlign w:val="bottom"/>
          </w:tcPr>
          <w:p>
            <w:pPr>
              <w:spacing w:after="0"/>
              <w:rPr>
                <w:sz w:val="24"/>
                <w:szCs w:val="24"/>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 and Principal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Eva C. Boratto</w:t>
            </w:r>
          </w:p>
        </w:tc>
        <w:tc>
          <w:tcPr>
            <w:tcW w:w="120" w:type="dxa"/>
            <w:vAlign w:val="bottom"/>
          </w:tcPr>
          <w:p>
            <w:pPr>
              <w:spacing w:after="0"/>
              <w:rPr>
                <w:sz w:val="19"/>
                <w:szCs w:val="19"/>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Sarah E. Nash</w:t>
            </w:r>
          </w:p>
        </w:tc>
        <w:tc>
          <w:tcPr>
            <w:tcW w:w="120" w:type="dxa"/>
            <w:vAlign w:val="bottom"/>
          </w:tcPr>
          <w:p>
            <w:pPr>
              <w:spacing w:after="0"/>
              <w:rPr>
                <w:sz w:val="24"/>
                <w:szCs w:val="24"/>
                <w:color w:val="auto"/>
              </w:rPr>
            </w:pPr>
          </w:p>
        </w:tc>
        <w:tc>
          <w:tcPr>
            <w:tcW w:w="5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Board Chair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Sarah E. Nash</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Alessandro Bogliolo</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Alessandro Bogliolo</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Lucy O. Brady</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Lucy O. Brady</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Francis A. Hondal</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Francis A. Hondal</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Danielle M. Lee</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Danielle M. Lee</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Juan Rajlin</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Juan Rajlin</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D. Steinour</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Stephen D. Steinour</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K. Symancyk</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K. Symancyk</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Steven E. Voskuil</w:t>
            </w:r>
          </w:p>
        </w:tc>
        <w:tc>
          <w:tcPr>
            <w:tcW w:w="120" w:type="dxa"/>
            <w:vAlign w:val="bottom"/>
          </w:tcPr>
          <w:p>
            <w:pPr>
              <w:spacing w:after="0"/>
              <w:rPr>
                <w:sz w:val="24"/>
                <w:szCs w:val="24"/>
                <w:color w:val="auto"/>
              </w:rPr>
            </w:pPr>
          </w:p>
        </w:tc>
        <w:tc>
          <w:tcPr>
            <w:tcW w:w="5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Steven E. Voskuil</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43" w:name="page44"/>
    <w:bookmarkEnd w:id="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20" w:type="dxa"/>
            <w:vAlign w:val="bottom"/>
            <w:gridSpan w:val="16"/>
          </w:tcPr>
          <w:p>
            <w:pPr>
              <w:ind w:left="4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16"/>
          </w:tcPr>
          <w:p>
            <w:pPr>
              <w:ind w:left="152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740" w:type="dxa"/>
            <w:vAlign w:val="bottom"/>
          </w:tcPr>
          <w:p>
            <w:pPr>
              <w:spacing w:after="0"/>
              <w:rPr>
                <w:sz w:val="24"/>
                <w:szCs w:val="24"/>
                <w:color w:val="auto"/>
              </w:rPr>
            </w:pPr>
          </w:p>
        </w:tc>
        <w:tc>
          <w:tcPr>
            <w:tcW w:w="9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740" w:type="dxa"/>
            <w:vAlign w:val="bottom"/>
          </w:tcPr>
          <w:p>
            <w:pPr>
              <w:spacing w:after="0"/>
              <w:rPr>
                <w:sz w:val="24"/>
                <w:szCs w:val="24"/>
                <w:color w:val="auto"/>
              </w:rPr>
            </w:pPr>
          </w:p>
        </w:tc>
        <w:tc>
          <w:tcPr>
            <w:tcW w:w="9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Amended and Restated Certificate of Incorporation of the Company (incorporated by reference to Exhibit 3.1 to the Company’s</w:t>
              </w:r>
            </w:hyperlink>
          </w:p>
        </w:tc>
        <w:tc>
          <w:tcPr>
            <w:tcW w:w="34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Current Report on Form 8-K, dated May 20, 2020), as amended by the Certificate of Amendment of the Amended and Restated</w:t>
              </w:r>
            </w:hyperlink>
          </w:p>
        </w:tc>
        <w:tc>
          <w:tcPr>
            <w:tcW w:w="36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Certificate of Incorporation of the Company (incorporated by reference to Exhibit 3.1 to the Company’s Current Report on Form</w:t>
              </w:r>
            </w:hyperlink>
          </w:p>
        </w:tc>
        <w:tc>
          <w:tcPr>
            <w:tcW w:w="28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2"/>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8-K, dated August 3, 2021).</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74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Amended and Restated Bylaws of the Company, incorporated by reference to Exhibit 3.1 to the Company’s Form 8-K dated</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June 27, 2024.</w:t>
              </w:r>
            </w:hyperlink>
          </w:p>
        </w:tc>
        <w:tc>
          <w:tcPr>
            <w:tcW w:w="7860" w:type="dxa"/>
            <w:vAlign w:val="bottom"/>
            <w:tcBorders>
              <w:top w:val="single" w:sz="8" w:color="0000EE"/>
            </w:tcBorders>
            <w:gridSpan w:val="10"/>
          </w:tcPr>
          <w:p>
            <w:pPr>
              <w:spacing w:after="0"/>
              <w:rPr>
                <w:sz w:val="17"/>
                <w:szCs w:val="17"/>
                <w:color w:val="auto"/>
              </w:rPr>
            </w:pPr>
          </w:p>
        </w:tc>
        <w:tc>
          <w:tcPr>
            <w:tcW w:w="640" w:type="dxa"/>
            <w:vAlign w:val="bottom"/>
            <w:gridSpan w:val="9"/>
          </w:tcPr>
          <w:p>
            <w:pPr>
              <w:spacing w:after="0"/>
              <w:rPr>
                <w:sz w:val="17"/>
                <w:szCs w:val="17"/>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740" w:type="dxa"/>
            <w:vAlign w:val="bottom"/>
          </w:tcPr>
          <w:p>
            <w:pPr>
              <w:spacing w:after="0"/>
              <w:rPr>
                <w:sz w:val="24"/>
                <w:szCs w:val="24"/>
                <w:color w:val="auto"/>
              </w:rPr>
            </w:pPr>
          </w:p>
        </w:tc>
        <w:tc>
          <w:tcPr>
            <w:tcW w:w="9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Deposit Agreement.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740" w:type="dxa"/>
            <w:vAlign w:val="bottom"/>
          </w:tcPr>
          <w:p>
            <w:pPr>
              <w:spacing w:after="0"/>
              <w:rPr>
                <w:sz w:val="24"/>
                <w:szCs w:val="24"/>
                <w:color w:val="auto"/>
              </w:rPr>
            </w:pPr>
          </w:p>
        </w:tc>
        <w:tc>
          <w:tcPr>
            <w:tcW w:w="9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Deposit Receipt.</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740" w:type="dxa"/>
            <w:vAlign w:val="bottom"/>
          </w:tcPr>
          <w:p>
            <w:pPr>
              <w:spacing w:after="0"/>
              <w:rPr>
                <w:sz w:val="24"/>
                <w:szCs w:val="24"/>
                <w:color w:val="auto"/>
              </w:rPr>
            </w:pPr>
          </w:p>
        </w:tc>
        <w:tc>
          <w:tcPr>
            <w:tcW w:w="8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Indenture, dated as of June 16, 2016, among the Company and U.S. Bank National Association, as trustee, incorporated by</w:t>
              </w:r>
            </w:hyperlink>
          </w:p>
        </w:tc>
        <w:tc>
          <w:tcPr>
            <w:tcW w:w="66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2"/>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reference to Exhibit 4.1 to the Company’s Form 8-K dated June 16, 2016.</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740" w:type="dxa"/>
            <w:vAlign w:val="bottom"/>
          </w:tcPr>
          <w:p>
            <w:pPr>
              <w:spacing w:after="0"/>
              <w:rPr>
                <w:sz w:val="24"/>
                <w:szCs w:val="24"/>
                <w:color w:val="auto"/>
              </w:rPr>
            </w:pPr>
          </w:p>
        </w:tc>
        <w:tc>
          <w:tcPr>
            <w:tcW w:w="94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First Supplemental Indenture, dated as of June 16, 2016, by and among the Company, the guarantors named therein and U.S. Bank</w:t>
              </w:r>
            </w:hyperlink>
          </w:p>
        </w:tc>
        <w:tc>
          <w:tcPr>
            <w:tcW w:w="8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2"/>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National Association, as trustee, incorporated by reference to Exhibit 4.2 to the Company’s Form 8-K dated June 16, 2016.</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740" w:type="dxa"/>
            <w:vAlign w:val="bottom"/>
          </w:tcPr>
          <w:p>
            <w:pPr>
              <w:spacing w:after="0"/>
              <w:rPr>
                <w:sz w:val="24"/>
                <w:szCs w:val="24"/>
                <w:color w:val="auto"/>
              </w:rPr>
            </w:pPr>
          </w:p>
        </w:tc>
        <w:tc>
          <w:tcPr>
            <w:tcW w:w="94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Second Supplemental Indenture, dated as of January 23, 2018, by and among the Company, the guarantors named therein and U.S.</w:t>
              </w:r>
            </w:hyperlink>
          </w:p>
        </w:tc>
        <w:tc>
          <w:tcPr>
            <w:tcW w:w="8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2"/>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Bank National Association, as trustee, incorporated by reference to Exhibit 4.2 to the Company’s Form 8-K dated January 23,</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2018.</w:t>
              </w:r>
            </w:hyperlink>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74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Third Supplemental Indenture, dated as of June 20, 2019, by and among the Company, the guarantors named therein and U.S. Bank</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National Association, as trustee, incorporated by reference to Exhibit 4.2 to the Company’s Form 8-K dated June 24, 2019.</w:t>
              </w:r>
            </w:hyperlink>
          </w:p>
        </w:tc>
        <w:tc>
          <w:tcPr>
            <w:tcW w:w="4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74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Fourth Supplemental Indenture, dated as of June 30, 2019, by and among the Company, the guarantors named therein and U.S.</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56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Bank National Association, as trustee, incorporated by reference to Exhibit 4.1 to the Company’s Form 10-Q dated September 6,</w:t>
              </w:r>
            </w:hyperlink>
          </w:p>
        </w:tc>
        <w:tc>
          <w:tcPr>
            <w:tcW w:w="28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2019.</w:t>
              </w:r>
            </w:hyperlink>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4.10</w:t>
            </w:r>
          </w:p>
        </w:tc>
        <w:tc>
          <w:tcPr>
            <w:tcW w:w="740" w:type="dxa"/>
            <w:vAlign w:val="bottom"/>
          </w:tcPr>
          <w:p>
            <w:pPr>
              <w:spacing w:after="0"/>
              <w:rPr>
                <w:sz w:val="24"/>
                <w:szCs w:val="24"/>
                <w:color w:val="auto"/>
              </w:rPr>
            </w:pPr>
          </w:p>
        </w:tc>
        <w:tc>
          <w:tcPr>
            <w:tcW w:w="91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Fifth Supplemental Indenture, dated as of August 2, 2021, by and among the Company, the guarantors named therein and U.S.</w:t>
              </w:r>
            </w:hyperlink>
          </w:p>
        </w:tc>
        <w:tc>
          <w:tcPr>
            <w:tcW w:w="38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Bank National Association, as trustee, incorporated by reference to Exhibit 4.29 to the Company’s Form 10-K dated March 18,</w:t>
              </w:r>
            </w:hyperlink>
          </w:p>
        </w:tc>
        <w:tc>
          <w:tcPr>
            <w:tcW w:w="34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2022.</w:t>
              </w:r>
            </w:hyperlink>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4.11</w:t>
            </w:r>
          </w:p>
        </w:tc>
        <w:tc>
          <w:tcPr>
            <w:tcW w:w="740" w:type="dxa"/>
            <w:vAlign w:val="bottom"/>
          </w:tcPr>
          <w:p>
            <w:pPr>
              <w:spacing w:after="0"/>
              <w:rPr>
                <w:sz w:val="24"/>
                <w:szCs w:val="24"/>
                <w:color w:val="auto"/>
              </w:rPr>
            </w:pPr>
          </w:p>
        </w:tc>
        <w:tc>
          <w:tcPr>
            <w:tcW w:w="94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Form of Subordinated Debt Indenture between the Company and U.S. Bank Trust Company, National Association, incorporated by</w:t>
              </w:r>
            </w:hyperlink>
          </w:p>
        </w:tc>
        <w:tc>
          <w:tcPr>
            <w:tcW w:w="10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reference to Exhibit 4.14 to the Company’s Form S-3ASR dated March 21, 2022.</w:t>
              </w:r>
            </w:hyperlink>
          </w:p>
        </w:tc>
        <w:tc>
          <w:tcPr>
            <w:tcW w:w="3700" w:type="dxa"/>
            <w:vAlign w:val="bottom"/>
            <w:gridSpan w:val="12"/>
          </w:tcPr>
          <w:p>
            <w:pPr>
              <w:spacing w:after="0"/>
              <w:rPr>
                <w:sz w:val="17"/>
                <w:szCs w:val="17"/>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4.12**</w:t>
            </w:r>
          </w:p>
        </w:tc>
        <w:tc>
          <w:tcPr>
            <w:tcW w:w="740" w:type="dxa"/>
            <w:vAlign w:val="bottom"/>
          </w:tcPr>
          <w:p>
            <w:pPr>
              <w:spacing w:after="0"/>
              <w:rPr>
                <w:sz w:val="24"/>
                <w:szCs w:val="24"/>
                <w:color w:val="auto"/>
              </w:rPr>
            </w:pPr>
          </w:p>
        </w:tc>
        <w:tc>
          <w:tcPr>
            <w:tcW w:w="9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Subordinated Note.</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4.13**</w:t>
            </w:r>
          </w:p>
        </w:tc>
        <w:tc>
          <w:tcPr>
            <w:tcW w:w="740" w:type="dxa"/>
            <w:vAlign w:val="bottom"/>
          </w:tcPr>
          <w:p>
            <w:pPr>
              <w:spacing w:after="0"/>
              <w:rPr>
                <w:sz w:val="24"/>
                <w:szCs w:val="24"/>
                <w:color w:val="auto"/>
              </w:rPr>
            </w:pPr>
          </w:p>
        </w:tc>
        <w:tc>
          <w:tcPr>
            <w:tcW w:w="9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4.14**</w:t>
            </w:r>
          </w:p>
        </w:tc>
        <w:tc>
          <w:tcPr>
            <w:tcW w:w="740" w:type="dxa"/>
            <w:vAlign w:val="bottom"/>
          </w:tcPr>
          <w:p>
            <w:pPr>
              <w:spacing w:after="0"/>
              <w:rPr>
                <w:sz w:val="24"/>
                <w:szCs w:val="24"/>
                <w:color w:val="auto"/>
              </w:rPr>
            </w:pPr>
          </w:p>
        </w:tc>
        <w:tc>
          <w:tcPr>
            <w:tcW w:w="9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Purchase Contract.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4.15**</w:t>
            </w:r>
          </w:p>
        </w:tc>
        <w:tc>
          <w:tcPr>
            <w:tcW w:w="740" w:type="dxa"/>
            <w:vAlign w:val="bottom"/>
          </w:tcPr>
          <w:p>
            <w:pPr>
              <w:spacing w:after="0"/>
              <w:rPr>
                <w:sz w:val="24"/>
                <w:szCs w:val="24"/>
                <w:color w:val="auto"/>
              </w:rPr>
            </w:pPr>
          </w:p>
        </w:tc>
        <w:tc>
          <w:tcPr>
            <w:tcW w:w="9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740" w:type="dxa"/>
            <w:vAlign w:val="bottom"/>
          </w:tcPr>
          <w:p>
            <w:pPr>
              <w:spacing w:after="0"/>
              <w:rPr>
                <w:sz w:val="24"/>
                <w:szCs w:val="24"/>
                <w:color w:val="auto"/>
              </w:rPr>
            </w:pPr>
          </w:p>
        </w:tc>
        <w:tc>
          <w:tcPr>
            <w:tcW w:w="9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Opinion of Davis Polk &amp; Wardwell LLP.</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740" w:type="dxa"/>
            <w:vAlign w:val="bottom"/>
          </w:tcPr>
          <w:p>
            <w:pPr>
              <w:spacing w:after="0"/>
              <w:rPr>
                <w:sz w:val="24"/>
                <w:szCs w:val="24"/>
                <w:color w:val="auto"/>
              </w:rPr>
            </w:pPr>
          </w:p>
        </w:tc>
        <w:tc>
          <w:tcPr>
            <w:tcW w:w="29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Consent of Ernst &amp; Young LLP.</w:t>
            </w:r>
          </w:p>
        </w:tc>
        <w:tc>
          <w:tcPr>
            <w:tcW w:w="6620" w:type="dxa"/>
            <w:vAlign w:val="bottom"/>
            <w:gridSpan w:val="16"/>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940" w:type="dxa"/>
            <w:vAlign w:val="bottom"/>
            <w:gridSpan w:val="11"/>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740" w:type="dxa"/>
            <w:vAlign w:val="bottom"/>
          </w:tcPr>
          <w:p>
            <w:pPr>
              <w:spacing w:after="0"/>
              <w:rPr>
                <w:sz w:val="24"/>
                <w:szCs w:val="24"/>
                <w:color w:val="auto"/>
              </w:rPr>
            </w:pPr>
          </w:p>
        </w:tc>
        <w:tc>
          <w:tcPr>
            <w:tcW w:w="66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Consent of Davis Polk &amp; Wardwell LLP (included in opinion filed herewith as Exhibit 5.1).</w:t>
            </w:r>
          </w:p>
        </w:tc>
        <w:tc>
          <w:tcPr>
            <w:tcW w:w="2940" w:type="dxa"/>
            <w:vAlign w:val="bottom"/>
            <w:gridSpan w:val="11"/>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740" w:type="dxa"/>
            <w:vAlign w:val="bottom"/>
          </w:tcPr>
          <w:p>
            <w:pPr>
              <w:spacing w:after="0"/>
              <w:rPr>
                <w:sz w:val="24"/>
                <w:szCs w:val="24"/>
                <w:color w:val="auto"/>
              </w:rPr>
            </w:pPr>
          </w:p>
        </w:tc>
        <w:tc>
          <w:tcPr>
            <w:tcW w:w="48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Powers of Attorney of the Company (included on signature pages).</w:t>
            </w:r>
          </w:p>
        </w:tc>
        <w:tc>
          <w:tcPr>
            <w:tcW w:w="4720" w:type="dxa"/>
            <w:vAlign w:val="bottom"/>
            <w:gridSpan w:val="1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24.2*</w:t>
            </w:r>
          </w:p>
        </w:tc>
        <w:tc>
          <w:tcPr>
            <w:tcW w:w="740" w:type="dxa"/>
            <w:vAlign w:val="bottom"/>
          </w:tcPr>
          <w:p>
            <w:pPr>
              <w:spacing w:after="0"/>
              <w:rPr>
                <w:sz w:val="24"/>
                <w:szCs w:val="24"/>
                <w:color w:val="auto"/>
              </w:rPr>
            </w:pPr>
          </w:p>
        </w:tc>
        <w:tc>
          <w:tcPr>
            <w:tcW w:w="49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Powers of Attorney of the Guarantors (included on signature pages).</w:t>
            </w:r>
          </w:p>
        </w:tc>
        <w:tc>
          <w:tcPr>
            <w:tcW w:w="4620" w:type="dxa"/>
            <w:vAlign w:val="bottom"/>
            <w:gridSpan w:val="14"/>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646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2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25.1*</w:t>
            </w:r>
          </w:p>
        </w:tc>
        <w:tc>
          <w:tcPr>
            <w:tcW w:w="740" w:type="dxa"/>
            <w:vAlign w:val="bottom"/>
          </w:tcPr>
          <w:p>
            <w:pPr>
              <w:spacing w:after="0"/>
              <w:rPr>
                <w:sz w:val="22"/>
                <w:szCs w:val="22"/>
                <w:color w:val="auto"/>
              </w:rPr>
            </w:pPr>
          </w:p>
        </w:tc>
        <w:tc>
          <w:tcPr>
            <w:tcW w:w="7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Form T-1</w:t>
            </w:r>
          </w:p>
        </w:tc>
        <w:tc>
          <w:tcPr>
            <w:tcW w:w="8820" w:type="dxa"/>
            <w:vAlign w:val="bottom"/>
            <w:tcBorders>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rPr>
              <w:t>Statement of Eligibility of Trustee for the Indenture, dated as of June 16, 2016, among the Company and U.S. Bank Trust</w:t>
            </w:r>
          </w:p>
        </w:tc>
        <w:tc>
          <w:tcPr>
            <w:tcW w:w="40" w:type="dxa"/>
            <w:vAlign w:val="bottom"/>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Company, National Association, as trustee.</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25.2*</w:t>
            </w:r>
          </w:p>
        </w:tc>
        <w:tc>
          <w:tcPr>
            <w:tcW w:w="7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0000EE"/>
                <w:w w:val="97"/>
              </w:rPr>
              <w:t>Form T-1</w:t>
            </w:r>
          </w:p>
        </w:tc>
        <w:tc>
          <w:tcPr>
            <w:tcW w:w="88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Statement of Eligibility of Trustee for the form of Subordinated Debt Indenture.</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740" w:type="dxa"/>
            <w:vAlign w:val="bottom"/>
          </w:tcPr>
          <w:p>
            <w:pPr>
              <w:spacing w:after="0"/>
              <w:rPr>
                <w:sz w:val="24"/>
                <w:szCs w:val="24"/>
                <w:color w:val="auto"/>
              </w:rPr>
            </w:pPr>
          </w:p>
        </w:tc>
        <w:tc>
          <w:tcPr>
            <w:tcW w:w="7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Fee Table.</w:t>
            </w:r>
          </w:p>
        </w:tc>
        <w:tc>
          <w:tcPr>
            <w:tcW w:w="5720" w:type="dxa"/>
            <w:vAlign w:val="bottom"/>
            <w:tcBorders>
              <w:top w:val="single" w:sz="8" w:color="0000EE"/>
            </w:tcBorders>
            <w:gridSpan w:val="2"/>
          </w:tcPr>
          <w:p>
            <w:pPr>
              <w:spacing w:after="0"/>
              <w:rPr>
                <w:sz w:val="24"/>
                <w:szCs w:val="24"/>
                <w:color w:val="auto"/>
              </w:rPr>
            </w:pPr>
          </w:p>
        </w:tc>
        <w:tc>
          <w:tcPr>
            <w:tcW w:w="3080" w:type="dxa"/>
            <w:vAlign w:val="bottom"/>
            <w:gridSpan w:val="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by amendment or as an exhibit to a Current Report on Form 8-K which will be incorporated by referenced herein.</w:t>
      </w:r>
    </w:p>
    <w:p>
      <w:pPr>
        <w:sectPr>
          <w:pgSz w:w="11900" w:h="16838" w:orient="portrait"/>
          <w:cols w:equalWidth="0" w:num="1">
            <w:col w:w="11024"/>
          </w:cols>
          <w:pgMar w:left="436" w:top="263" w:right="4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 xml:space="preserve">Davis Polk &amp; Wardwell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6299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1062990" cy="240030"/>
                    </a:xfrm>
                    <a:prstGeom prst="rect">
                      <a:avLst/>
                    </a:prstGeom>
                    <a:noFill/>
                  </pic:spPr>
                </pic:pic>
              </a:graphicData>
            </a:graphic>
          </wp:anchor>
        </w:drawing>
      </w:r>
    </w:p>
    <w:p>
      <w:pPr>
        <w:spacing w:after="0" w:line="7"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davispolk.com</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14, 2025</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Bath &amp; Body Works, Inc.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Three Limited Parkway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Columbus, Ohio 43230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3"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7"/>
          <w:szCs w:val="17"/>
          <w:color w:val="auto"/>
        </w:rPr>
        <w:t>Bath &amp; Body Works,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is filing with the Securities and Exchange Commission a Registration Statement on Form S-3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for the purpose of registering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(a) shares of common stock, par value $0.50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of the Company; (b) shares of preferred stock, par value $1.00 per share (the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of the Company; (c)(i) the Company’s senior debt securities (the “</w:t>
      </w:r>
      <w:r>
        <w:rPr>
          <w:rFonts w:ascii="Times New Roman" w:cs="Times New Roman" w:eastAsia="Times New Roman" w:hAnsi="Times New Roman"/>
          <w:sz w:val="17"/>
          <w:szCs w:val="17"/>
          <w:b w:val="1"/>
          <w:bCs w:val="1"/>
          <w:color w:val="auto"/>
        </w:rPr>
        <w:t>Senior Debt Securities</w:t>
      </w:r>
      <w:r>
        <w:rPr>
          <w:rFonts w:ascii="Times New Roman" w:cs="Times New Roman" w:eastAsia="Times New Roman" w:hAnsi="Times New Roman"/>
          <w:sz w:val="17"/>
          <w:szCs w:val="17"/>
          <w:color w:val="auto"/>
        </w:rPr>
        <w:t>”), which may be issued pursuant to an indenture (the “</w:t>
      </w:r>
      <w:r>
        <w:rPr>
          <w:rFonts w:ascii="Times New Roman" w:cs="Times New Roman" w:eastAsia="Times New Roman" w:hAnsi="Times New Roman"/>
          <w:sz w:val="17"/>
          <w:szCs w:val="17"/>
          <w:b w:val="1"/>
          <w:bCs w:val="1"/>
          <w:color w:val="auto"/>
        </w:rPr>
        <w:t>Senior Debt Indenture</w:t>
      </w:r>
      <w:r>
        <w:rPr>
          <w:rFonts w:ascii="Times New Roman" w:cs="Times New Roman" w:eastAsia="Times New Roman" w:hAnsi="Times New Roman"/>
          <w:sz w:val="17"/>
          <w:szCs w:val="17"/>
          <w:color w:val="auto"/>
        </w:rPr>
        <w:t>”), between the Company and U.S. Bank Trust Company, National Association, as trustee (the “</w:t>
      </w:r>
      <w:r>
        <w:rPr>
          <w:rFonts w:ascii="Times New Roman" w:cs="Times New Roman" w:eastAsia="Times New Roman" w:hAnsi="Times New Roman"/>
          <w:sz w:val="17"/>
          <w:szCs w:val="17"/>
          <w:b w:val="1"/>
          <w:bCs w:val="1"/>
          <w:color w:val="auto"/>
        </w:rPr>
        <w:t>Senior 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(ii) subordinated debt securities (the “</w:t>
      </w:r>
      <w:r>
        <w:rPr>
          <w:rFonts w:ascii="Times New Roman" w:cs="Times New Roman" w:eastAsia="Times New Roman" w:hAnsi="Times New Roman"/>
          <w:sz w:val="17"/>
          <w:szCs w:val="17"/>
          <w:b w:val="1"/>
          <w:bCs w:val="1"/>
          <w:color w:val="auto"/>
        </w:rPr>
        <w:t xml:space="preserve">Subordinated Debt Securities” </w:t>
      </w:r>
      <w:r>
        <w:rPr>
          <w:rFonts w:ascii="Times New Roman" w:cs="Times New Roman" w:eastAsia="Times New Roman" w:hAnsi="Times New Roman"/>
          <w:sz w:val="17"/>
          <w:szCs w:val="17"/>
          <w:color w:val="auto"/>
        </w:rPr>
        <w:t>and together with the Senior Debt Securities, the “</w:t>
      </w:r>
      <w:r>
        <w:rPr>
          <w:rFonts w:ascii="Times New Roman" w:cs="Times New Roman" w:eastAsia="Times New Roman" w:hAnsi="Times New Roman"/>
          <w:sz w:val="17"/>
          <w:szCs w:val="17"/>
          <w:b w:val="1"/>
          <w:bCs w:val="1"/>
          <w:color w:val="auto"/>
        </w:rPr>
        <w:t>Debt Securities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may be issued pursuant to an indenture (the “</w:t>
      </w:r>
      <w:r>
        <w:rPr>
          <w:rFonts w:ascii="Times New Roman" w:cs="Times New Roman" w:eastAsia="Times New Roman" w:hAnsi="Times New Roman"/>
          <w:sz w:val="17"/>
          <w:szCs w:val="17"/>
          <w:b w:val="1"/>
          <w:bCs w:val="1"/>
          <w:color w:val="auto"/>
        </w:rPr>
        <w:t>Subordinated Debt Indenture</w:t>
      </w:r>
      <w:r>
        <w:rPr>
          <w:rFonts w:ascii="Times New Roman" w:cs="Times New Roman" w:eastAsia="Times New Roman" w:hAnsi="Times New Roman"/>
          <w:sz w:val="17"/>
          <w:szCs w:val="17"/>
          <w:color w:val="auto"/>
        </w:rPr>
        <w:t>” and together with the Senior Debt Indenture, the “</w:t>
      </w:r>
      <w:r>
        <w:rPr>
          <w:rFonts w:ascii="Times New Roman" w:cs="Times New Roman" w:eastAsia="Times New Roman" w:hAnsi="Times New Roman"/>
          <w:sz w:val="17"/>
          <w:szCs w:val="17"/>
          <w:b w:val="1"/>
          <w:bCs w:val="1"/>
          <w:color w:val="auto"/>
        </w:rPr>
        <w:t>Indentures</w:t>
      </w:r>
      <w:r>
        <w:rPr>
          <w:rFonts w:ascii="Times New Roman" w:cs="Times New Roman" w:eastAsia="Times New Roman" w:hAnsi="Times New Roman"/>
          <w:sz w:val="17"/>
          <w:szCs w:val="17"/>
          <w:color w:val="auto"/>
        </w:rPr>
        <w:t>”) between the Company and U.S. Bank Trust Company, National Association, as trustee (the “</w:t>
      </w:r>
      <w:r>
        <w:rPr>
          <w:rFonts w:ascii="Times New Roman" w:cs="Times New Roman" w:eastAsia="Times New Roman" w:hAnsi="Times New Roman"/>
          <w:sz w:val="17"/>
          <w:szCs w:val="17"/>
          <w:b w:val="1"/>
          <w:bCs w:val="1"/>
          <w:color w:val="auto"/>
        </w:rPr>
        <w:t>Subordinated Debt Trustee</w:t>
      </w:r>
      <w:r>
        <w:rPr>
          <w:rFonts w:ascii="Times New Roman" w:cs="Times New Roman" w:eastAsia="Times New Roman" w:hAnsi="Times New Roman"/>
          <w:sz w:val="17"/>
          <w:szCs w:val="17"/>
          <w:color w:val="auto"/>
        </w:rPr>
        <w:t>” and together with the Senior Debt Trustee,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(iii) guarantees of the Senior Debt Securities which may be issued under the Senior Debt Indenture on a joint and several senior unsecured basis by each of the Company’s subsidiary guarantors (the “</w:t>
      </w:r>
      <w:r>
        <w:rPr>
          <w:rFonts w:ascii="Times New Roman" w:cs="Times New Roman" w:eastAsia="Times New Roman" w:hAnsi="Times New Roman"/>
          <w:sz w:val="17"/>
          <w:szCs w:val="17"/>
          <w:b w:val="1"/>
          <w:bCs w:val="1"/>
          <w:color w:val="auto"/>
        </w:rPr>
        <w:t>Guarantors</w:t>
      </w:r>
      <w:r>
        <w:rPr>
          <w:rFonts w:ascii="Times New Roman" w:cs="Times New Roman" w:eastAsia="Times New Roman" w:hAnsi="Times New Roman"/>
          <w:sz w:val="17"/>
          <w:szCs w:val="17"/>
          <w:color w:val="auto"/>
        </w:rPr>
        <w:t>”) registered under the Registration Statement (the “</w:t>
      </w:r>
      <w:r>
        <w:rPr>
          <w:rFonts w:ascii="Times New Roman" w:cs="Times New Roman" w:eastAsia="Times New Roman" w:hAnsi="Times New Roman"/>
          <w:sz w:val="17"/>
          <w:szCs w:val="17"/>
          <w:b w:val="1"/>
          <w:bCs w:val="1"/>
          <w:color w:val="auto"/>
        </w:rPr>
        <w:t>Senior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Guarantees</w:t>
      </w:r>
      <w:r>
        <w:rPr>
          <w:rFonts w:ascii="Times New Roman" w:cs="Times New Roman" w:eastAsia="Times New Roman" w:hAnsi="Times New Roman"/>
          <w:sz w:val="17"/>
          <w:szCs w:val="17"/>
          <w:color w:val="auto"/>
        </w:rPr>
        <w:t>”) and (iv) guarantees of the Subordinated Debt Securities which may be issued under the Subordinated Debt Indenture on a joint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several subordinated unsecured basis by the Guarantors registered under the Registration Statement (the “</w:t>
      </w:r>
      <w:r>
        <w:rPr>
          <w:rFonts w:ascii="Times New Roman" w:cs="Times New Roman" w:eastAsia="Times New Roman" w:hAnsi="Times New Roman"/>
          <w:sz w:val="17"/>
          <w:szCs w:val="17"/>
          <w:b w:val="1"/>
          <w:bCs w:val="1"/>
          <w:color w:val="auto"/>
        </w:rPr>
        <w:t>Subordinated Guarantees</w:t>
      </w:r>
      <w:r>
        <w:rPr>
          <w:rFonts w:ascii="Times New Roman" w:cs="Times New Roman" w:eastAsia="Times New Roman" w:hAnsi="Times New Roman"/>
          <w:sz w:val="17"/>
          <w:szCs w:val="17"/>
          <w:color w:val="auto"/>
        </w:rPr>
        <w:t>” and together with the Senior Guarantees, the “</w:t>
      </w:r>
      <w:r>
        <w:rPr>
          <w:rFonts w:ascii="Times New Roman" w:cs="Times New Roman" w:eastAsia="Times New Roman" w:hAnsi="Times New Roman"/>
          <w:sz w:val="17"/>
          <w:szCs w:val="17"/>
          <w:b w:val="1"/>
          <w:bCs w:val="1"/>
          <w:color w:val="auto"/>
        </w:rPr>
        <w:t>Guarantees</w:t>
      </w:r>
      <w:r>
        <w:rPr>
          <w:rFonts w:ascii="Times New Roman" w:cs="Times New Roman" w:eastAsia="Times New Roman" w:hAnsi="Times New Roman"/>
          <w:sz w:val="17"/>
          <w:szCs w:val="17"/>
          <w:color w:val="auto"/>
        </w:rPr>
        <w:t>”); (d) depositary shares (the “</w:t>
      </w:r>
      <w:r>
        <w:rPr>
          <w:rFonts w:ascii="Times New Roman" w:cs="Times New Roman" w:eastAsia="Times New Roman" w:hAnsi="Times New Roman"/>
          <w:sz w:val="17"/>
          <w:szCs w:val="17"/>
          <w:b w:val="1"/>
          <w:bCs w:val="1"/>
          <w:color w:val="auto"/>
        </w:rPr>
        <w:t>Depositary Shares</w:t>
      </w:r>
      <w:r>
        <w:rPr>
          <w:rFonts w:ascii="Times New Roman" w:cs="Times New Roman" w:eastAsia="Times New Roman" w:hAnsi="Times New Roman"/>
          <w:sz w:val="17"/>
          <w:szCs w:val="17"/>
          <w:color w:val="auto"/>
        </w:rPr>
        <w:t>”) representing interests in preferred stock of the Company, to be evidenced by depositary receipts issued pursuant to a deposit agreement; (e) warrants of the Company (the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which may be issued pursuant to a warrant agreement (the “</w:t>
      </w:r>
      <w:r>
        <w:rPr>
          <w:rFonts w:ascii="Times New Roman" w:cs="Times New Roman" w:eastAsia="Times New Roman" w:hAnsi="Times New Roman"/>
          <w:sz w:val="17"/>
          <w:szCs w:val="17"/>
          <w:b w:val="1"/>
          <w:bCs w:val="1"/>
          <w:color w:val="auto"/>
        </w:rPr>
        <w:t>Warrant Agreement</w:t>
      </w:r>
      <w:r>
        <w:rPr>
          <w:rFonts w:ascii="Times New Roman" w:cs="Times New Roman" w:eastAsia="Times New Roman" w:hAnsi="Times New Roman"/>
          <w:sz w:val="17"/>
          <w:szCs w:val="17"/>
          <w:color w:val="auto"/>
        </w:rPr>
        <w:t>”) between the Company and the warrant agent to be named therein (the “</w:t>
      </w:r>
      <w:r>
        <w:rPr>
          <w:rFonts w:ascii="Times New Roman" w:cs="Times New Roman" w:eastAsia="Times New Roman" w:hAnsi="Times New Roman"/>
          <w:sz w:val="17"/>
          <w:szCs w:val="17"/>
          <w:b w:val="1"/>
          <w:bCs w:val="1"/>
          <w:color w:val="auto"/>
        </w:rPr>
        <w:t>Warrant Agent</w:t>
      </w:r>
      <w:r>
        <w:rPr>
          <w:rFonts w:ascii="Times New Roman" w:cs="Times New Roman" w:eastAsia="Times New Roman" w:hAnsi="Times New Roman"/>
          <w:sz w:val="17"/>
          <w:szCs w:val="17"/>
          <w:color w:val="auto"/>
        </w:rPr>
        <w:t>”);</w:t>
      </w:r>
    </w:p>
    <w:p>
      <w:pPr>
        <w:ind w:left="4" w:right="40" w:hanging="4"/>
        <w:spacing w:after="0" w:line="252" w:lineRule="auto"/>
        <w:tabs>
          <w:tab w:leader="none" w:pos="2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 (the “</w:t>
      </w:r>
      <w:r>
        <w:rPr>
          <w:rFonts w:ascii="Times New Roman" w:cs="Times New Roman" w:eastAsia="Times New Roman" w:hAnsi="Times New Roman"/>
          <w:sz w:val="18"/>
          <w:szCs w:val="18"/>
          <w:b w:val="1"/>
          <w:bCs w:val="1"/>
          <w:color w:val="auto"/>
        </w:rPr>
        <w:t>Purchase Contracts</w:t>
      </w:r>
      <w:r>
        <w:rPr>
          <w:rFonts w:ascii="Times New Roman" w:cs="Times New Roman" w:eastAsia="Times New Roman" w:hAnsi="Times New Roman"/>
          <w:sz w:val="18"/>
          <w:szCs w:val="18"/>
          <w:color w:val="auto"/>
        </w:rPr>
        <w:t>”) for the purchase or sale of (A) the Company’s securities or securities of third parties, a basket of such securities, an index or indices of such securities or any combination of the above, (B) currencies and (C) commodities, which may be issued under one or more purchase contract agreements (each, a “</w:t>
      </w:r>
      <w:r>
        <w:rPr>
          <w:rFonts w:ascii="Times New Roman" w:cs="Times New Roman" w:eastAsia="Times New Roman" w:hAnsi="Times New Roman"/>
          <w:sz w:val="18"/>
          <w:szCs w:val="18"/>
          <w:b w:val="1"/>
          <w:bCs w:val="1"/>
          <w:color w:val="auto"/>
        </w:rPr>
        <w:t>Purchase Contract Agreement</w:t>
      </w:r>
      <w:r>
        <w:rPr>
          <w:rFonts w:ascii="Times New Roman" w:cs="Times New Roman" w:eastAsia="Times New Roman" w:hAnsi="Times New Roman"/>
          <w:sz w:val="18"/>
          <w:szCs w:val="18"/>
          <w:color w:val="auto"/>
        </w:rPr>
        <w:t>”) to be entered into between the Company and the purchase contract agent to be named therein (the “</w:t>
      </w:r>
      <w:r>
        <w:rPr>
          <w:rFonts w:ascii="Times New Roman" w:cs="Times New Roman" w:eastAsia="Times New Roman" w:hAnsi="Times New Roman"/>
          <w:sz w:val="18"/>
          <w:szCs w:val="18"/>
          <w:b w:val="1"/>
          <w:bCs w:val="1"/>
          <w:color w:val="auto"/>
        </w:rPr>
        <w:t>Purchase Contract Agent</w:t>
      </w:r>
      <w:r>
        <w:rPr>
          <w:rFonts w:ascii="Times New Roman" w:cs="Times New Roman" w:eastAsia="Times New Roman" w:hAnsi="Times New Roman"/>
          <w:sz w:val="18"/>
          <w:szCs w:val="18"/>
          <w:color w:val="auto"/>
        </w:rPr>
        <w:t>”); and (g) units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to be issued under one or more unit agreements to be entered into among the Company, a bank or trust company, as unit agent (the “</w:t>
      </w:r>
      <w:r>
        <w:rPr>
          <w:rFonts w:ascii="Times New Roman" w:cs="Times New Roman" w:eastAsia="Times New Roman" w:hAnsi="Times New Roman"/>
          <w:sz w:val="18"/>
          <w:szCs w:val="18"/>
          <w:b w:val="1"/>
          <w:bCs w:val="1"/>
          <w:color w:val="auto"/>
        </w:rPr>
        <w:t>Unit Agent”</w:t>
      </w:r>
      <w:r>
        <w:rPr>
          <w:rFonts w:ascii="Times New Roman" w:cs="Times New Roman" w:eastAsia="Times New Roman" w:hAnsi="Times New Roman"/>
          <w:sz w:val="18"/>
          <w:szCs w:val="18"/>
          <w:color w:val="auto"/>
        </w:rPr>
        <w:t>), and the holders from time to time of the Units (each such unit agreement, a “</w:t>
      </w:r>
      <w:r>
        <w:rPr>
          <w:rFonts w:ascii="Times New Roman" w:cs="Times New Roman" w:eastAsia="Times New Roman" w:hAnsi="Times New Roman"/>
          <w:sz w:val="18"/>
          <w:szCs w:val="18"/>
          <w:b w:val="1"/>
          <w:bCs w:val="1"/>
          <w:color w:val="auto"/>
        </w:rPr>
        <w:t>Unit Agreement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and the Guarantors that we reviewed were and are accurate and (vii) all representations made by the Company and the Guarantors as to matters of fact in the documents that we reviewed were and are accurate.</w:t>
      </w:r>
    </w:p>
    <w:p>
      <w:pPr>
        <w:sectPr>
          <w:pgSz w:w="11900" w:h="16838" w:orient="portrait"/>
          <w:cols w:equalWidth="0" w:num="1">
            <w:col w:w="11024"/>
          </w:cols>
          <w:pgMar w:left="436" w:top="117"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upon the foregoing, and subject to the additional assumptions and qualifications set forth below, we advise you that, in our opinion:</w:t>
      </w:r>
    </w:p>
    <w:p>
      <w:pPr>
        <w:spacing w:after="0" w:line="131" w:lineRule="exact"/>
        <w:rPr>
          <w:sz w:val="20"/>
          <w:szCs w:val="20"/>
          <w:color w:val="auto"/>
        </w:rPr>
      </w:pPr>
    </w:p>
    <w:p>
      <w:pPr>
        <w:ind w:left="960" w:right="40" w:hanging="532"/>
        <w:spacing w:after="0" w:line="255"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w:t>
      </w:r>
      <w:r>
        <w:rPr>
          <w:rFonts w:ascii="Times New Roman" w:cs="Times New Roman" w:eastAsia="Times New Roman" w:hAnsi="Times New Roman"/>
          <w:sz w:val="18"/>
          <w:szCs w:val="18"/>
          <w:b w:val="1"/>
          <w:bCs w:val="1"/>
          <w:color w:val="auto"/>
        </w:rPr>
        <w:t>Offered Security</w:t>
      </w:r>
      <w:r>
        <w:rPr>
          <w:rFonts w:ascii="Times New Roman" w:cs="Times New Roman" w:eastAsia="Times New Roman" w:hAnsi="Times New Roman"/>
          <w:sz w:val="18"/>
          <w:szCs w:val="18"/>
          <w:color w:val="auto"/>
        </w:rPr>
        <w:t>”), in accordance with the terms of such Offered Security or the instrument governing such Offered Security providing for such conversion or exercise as approved by the Board of Directors of the Company, for the consideration approved by such Board of Directors (which consideration is not less than the par value of the Common Stock), such shares of Common Stock will be validly issued, fully-paid and non-assessable.</w:t>
      </w:r>
    </w:p>
    <w:p>
      <w:pPr>
        <w:spacing w:after="0" w:line="94" w:lineRule="exact"/>
        <w:rPr>
          <w:rFonts w:ascii="Times New Roman" w:cs="Times New Roman" w:eastAsia="Times New Roman" w:hAnsi="Times New Roman"/>
          <w:sz w:val="18"/>
          <w:szCs w:val="18"/>
          <w:color w:val="auto"/>
        </w:rPr>
      </w:pPr>
    </w:p>
    <w:p>
      <w:pPr>
        <w:ind w:left="960" w:right="20" w:hanging="532"/>
        <w:spacing w:after="0" w:line="25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designation of the relative rights, preferences and limitations of any series of Preferred Stock by the Board of Directors of the Company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p>
      <w:pPr>
        <w:spacing w:after="0" w:line="92" w:lineRule="exact"/>
        <w:rPr>
          <w:rFonts w:ascii="Times New Roman" w:cs="Times New Roman" w:eastAsia="Times New Roman" w:hAnsi="Times New Roman"/>
          <w:sz w:val="18"/>
          <w:szCs w:val="18"/>
          <w:color w:val="auto"/>
        </w:rPr>
      </w:pPr>
    </w:p>
    <w:p>
      <w:pPr>
        <w:ind w:left="960" w:hanging="532"/>
        <w:spacing w:after="0" w:line="268" w:lineRule="auto"/>
        <w:tabs>
          <w:tab w:leader="none" w:pos="9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Indentures and any supplemental indenture to be entered into in connection with the issuance of any Debt Securities have been duly authorized, executed and delivered by the Trustee and the Company; the specific terms of a particular series of Debt Securities have been duly authorized and established in accordance with the applicable Indenture; and such Debt Securities have been duly authorized, executed, authenticated, issued and delivered in accordance with the applicable Indenture and any supplemental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w:t>
      </w:r>
    </w:p>
    <w:p>
      <w:pPr>
        <w:spacing w:after="0" w:line="2" w:lineRule="exact"/>
        <w:rPr>
          <w:rFonts w:ascii="Times New Roman" w:cs="Times New Roman" w:eastAsia="Times New Roman" w:hAnsi="Times New Roman"/>
          <w:sz w:val="17"/>
          <w:szCs w:val="17"/>
          <w:color w:val="auto"/>
        </w:rPr>
      </w:pPr>
    </w:p>
    <w:p>
      <w:pPr>
        <w:ind w:left="960" w:right="2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the enforceability of any waiver of rights under any usury or stay law, (y) the effect of fraudulent conveyance, fraudulent transfer or similar provision of applicable law on the conclusions expressed above, or (z)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94" w:lineRule="exact"/>
        <w:rPr>
          <w:rFonts w:ascii="Times New Roman" w:cs="Times New Roman" w:eastAsia="Times New Roman" w:hAnsi="Times New Roman"/>
          <w:sz w:val="17"/>
          <w:szCs w:val="17"/>
          <w:color w:val="auto"/>
        </w:rPr>
      </w:pPr>
    </w:p>
    <w:p>
      <w:pPr>
        <w:ind w:left="960" w:right="120" w:hanging="532"/>
        <w:spacing w:after="0" w:line="26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applicable deposit agreement has been duly authorized, executed and delivered by the parties thereto, and Preferred Stock has been deposited thereunder, any Depositary Shares when issued in accordance with the terms thereof will be valid and binding instruments in accordance with their terms and the terms of the applicable deposit agreement.</w:t>
      </w:r>
    </w:p>
    <w:p>
      <w:pPr>
        <w:spacing w:after="0" w:line="81" w:lineRule="exact"/>
        <w:rPr>
          <w:rFonts w:ascii="Times New Roman" w:cs="Times New Roman" w:eastAsia="Times New Roman" w:hAnsi="Times New Roman"/>
          <w:sz w:val="18"/>
          <w:szCs w:val="18"/>
          <w:color w:val="auto"/>
        </w:rPr>
      </w:pPr>
    </w:p>
    <w:p>
      <w:pPr>
        <w:ind w:left="960" w:right="40" w:hanging="532"/>
        <w:spacing w:after="0" w:line="25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Guarantees have been duly executed and delivered by the parties thereto as contemplated by the applicable Indenture and any supplemental indenture and the applicable underwriting or other agreement, the Guarantees will constitute valid and binding obligations of the applicable Guarantor, enforceable in accordance with their respective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stay law and (y) the effect of fraudulent conveyance, fraudulent transfer or similar provision of applicable law on the conclusions expressed above.</w:t>
      </w:r>
    </w:p>
    <w:p>
      <w:pPr>
        <w:spacing w:after="0" w:line="92" w:lineRule="exact"/>
        <w:rPr>
          <w:rFonts w:ascii="Times New Roman" w:cs="Times New Roman" w:eastAsia="Times New Roman" w:hAnsi="Times New Roman"/>
          <w:sz w:val="18"/>
          <w:szCs w:val="18"/>
          <w:color w:val="auto"/>
        </w:rPr>
      </w:pPr>
    </w:p>
    <w:p>
      <w:pPr>
        <w:ind w:left="960" w:right="80" w:hanging="532"/>
        <w:spacing w:after="0" w:line="25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ectPr>
          <w:pgSz w:w="11900" w:h="16838" w:orient="portrait"/>
          <w:cols w:equalWidth="0" w:num="1">
            <w:col w:w="11000"/>
          </w:cols>
          <w:pgMar w:left="440" w:top="270" w:right="459" w:bottom="1440" w:gutter="0" w:footer="0" w:header="0"/>
        </w:sectPr>
      </w:pPr>
    </w:p>
    <w:bookmarkStart w:id="47" w:name="page48"/>
    <w:bookmarkEnd w:id="47"/>
    <w:p>
      <w:pPr>
        <w:ind w:left="960" w:right="40" w:hanging="532"/>
        <w:spacing w:after="0" w:line="255"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94"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opinions expressed above, we have assumed that, at or prior to the time of the delivery of any such security, (i) the Board of Directors of the Company and the Board of Directors or Sole Members of the Guarantors, as the case may be, shall have duly established the terms of such security and duly authorized the issuance and sale of such security and such authorization shall not have been modified or rescinded; (ii) each of the Company and the Guarantors is, and shall remain, validly existing as a corporation or limited liability company, as applicable, in good standing under the laws of the State of Delaware; (iii) the Registration Statement shall have become effective and such effectiveness shall not have been terminated or rescinded; (iv) the Indentures, the Debt Securities, the Warrant Agreement, the Purchase Contract Agreement, the Unit Agreement, the Guarantees and the Depository Agreement are each valid, binding and enforceable agreements of each party thereto (other than as expressly covered above in respect of the Company and each Guarantor); and (v) there shall not have occurred any change in law affecting the validity or enforceability of such security. We have also assumed that the (i) execution, delivery and performance by the Company or any Guarantor of any security whose terms are established subsequent to the date hereof (a) require no action by or in respect of, or filing with, any governmental body, agency or official and (b) do not contravene, or constitute a default under, any provision of applicable law or regulation or any judgment, injunction, order or decree or any agreement or other instrument binding upon the Company or any Guarantor, and (ii) any Warrant Agreement, Purchase Contract Agreement and Unit Agreement will be governed by the laws of the State of New York.</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 is limited to the laws of the State of New York, the General Corporation Law of the State of Delaware and the Delaware Limited Liability Company Act.</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referred to above and further consent to the reference to our name under the caption “</w:t>
      </w:r>
      <w:r>
        <w:rPr>
          <w:rFonts w:ascii="Times New Roman" w:cs="Times New Roman" w:eastAsia="Times New Roman" w:hAnsi="Times New Roman"/>
          <w:sz w:val="18"/>
          <w:szCs w:val="18"/>
          <w:b w:val="1"/>
          <w:bCs w:val="1"/>
          <w:color w:val="auto"/>
        </w:rPr>
        <w:t>Legal Opinions</w:t>
      </w:r>
      <w:r>
        <w:rPr>
          <w:rFonts w:ascii="Times New Roman" w:cs="Times New Roman" w:eastAsia="Times New Roman" w:hAnsi="Times New Roman"/>
          <w:sz w:val="18"/>
          <w:szCs w:val="18"/>
          <w:color w:val="auto"/>
        </w:rPr>
        <w:t>” in the prospectus, which is a part of the Registration Statement. In giving this consent, we do not admit that we are in the category of persons whose consent is required under Section 7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p>
      <w:pPr>
        <w:sectPr>
          <w:pgSz w:w="11900" w:h="16838" w:orient="portrait"/>
          <w:cols w:equalWidth="0" w:num="1">
            <w:col w:w="11000"/>
          </w:cols>
          <w:pgMar w:left="440" w:top="270" w:right="4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 of Bath &amp; Body Works, Inc. for the registration of common stock, preferred stock, depositary shares, debt securities, guarantees of debt securities, warrants, purchase contracts, and units and to the incorporation by reference therein of our reports dated March 14, 2025, with respect to the consolidated financial statements of Bath &amp; Body Works, Inc., and the effectiveness of internal control over financial reporting of Bath &amp; Body Works, Inc., included in its Annual Report (Form 10-K) for the year ended February 1, 2025,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ectPr>
          <w:pgSz w:w="11900" w:h="16838" w:orient="portrait"/>
          <w:cols w:equalWidth="0" w:num="1">
            <w:col w:w="11020"/>
          </w:cols>
          <w:pgMar w:left="440" w:top="117" w:right="4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STATEMENT OF ELIGIBILITY UNDER</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THE TRUST INDENTURE ACT OF 1939 OF A</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CORPORATION DESIGNATED TO ACT AS TRUSTEE</w:t>
      </w:r>
    </w:p>
    <w:p>
      <w:pPr>
        <w:spacing w:after="0" w:line="205" w:lineRule="exact"/>
        <w:rPr>
          <w:sz w:val="20"/>
          <w:szCs w:val="20"/>
          <w:color w:val="auto"/>
        </w:rPr>
      </w:pPr>
    </w:p>
    <w:p>
      <w:pPr>
        <w:ind w:left="424" w:hanging="424"/>
        <w:spacing w:after="0"/>
        <w:tabs>
          <w:tab w:leader="none" w:pos="424" w:val="left"/>
        </w:tabs>
        <w:numPr>
          <w:ilvl w:val="0"/>
          <w:numId w:val="37"/>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253365</wp:posOffset>
            </wp:positionV>
            <wp:extent cx="1474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U.S. BANK TRUST COMPANY, NATIONAL ASSOCIATION</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6660" w:type="dxa"/>
            <w:vAlign w:val="bottom"/>
            <w:gridSpan w:val="2"/>
          </w:tcPr>
          <w:p>
            <w:pPr>
              <w:jc w:val="right"/>
              <w:ind w:right="638"/>
              <w:spacing w:after="0"/>
              <w:rPr>
                <w:sz w:val="20"/>
                <w:szCs w:val="20"/>
                <w:color w:val="auto"/>
              </w:rPr>
            </w:pPr>
            <w:r>
              <w:rPr>
                <w:rFonts w:ascii="Times New Roman" w:cs="Times New Roman" w:eastAsia="Times New Roman" w:hAnsi="Times New Roman"/>
                <w:sz w:val="18"/>
                <w:szCs w:val="18"/>
                <w:b w:val="1"/>
                <w:bCs w:val="1"/>
                <w:color w:val="auto"/>
              </w:rPr>
              <w:t>91-1821036</w:t>
            </w:r>
          </w:p>
        </w:tc>
        <w:tc>
          <w:tcPr>
            <w:tcW w:w="9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3460" w:type="dxa"/>
            <w:vAlign w:val="bottom"/>
          </w:tcPr>
          <w:p>
            <w:pPr>
              <w:spacing w:after="0"/>
              <w:rPr>
                <w:sz w:val="16"/>
                <w:szCs w:val="16"/>
                <w:color w:val="auto"/>
              </w:rPr>
            </w:pPr>
          </w:p>
        </w:tc>
      </w:tr>
      <w:tr>
        <w:trPr>
          <w:trHeight w:val="420"/>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800 Nicollet Mall</w:t>
            </w:r>
          </w:p>
        </w:tc>
        <w:tc>
          <w:tcPr>
            <w:tcW w:w="3460" w:type="dxa"/>
            <w:vAlign w:val="bottom"/>
          </w:tcPr>
          <w:p>
            <w:pPr>
              <w:spacing w:after="0"/>
              <w:rPr>
                <w:sz w:val="24"/>
                <w:szCs w:val="24"/>
                <w:color w:val="auto"/>
              </w:rPr>
            </w:pPr>
          </w:p>
        </w:tc>
      </w:tr>
      <w:tr>
        <w:trPr>
          <w:trHeight w:val="227"/>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Minneapolis, Minnesota</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55402</w:t>
            </w:r>
          </w:p>
        </w:tc>
      </w:tr>
      <w:tr>
        <w:trPr>
          <w:trHeight w:val="190"/>
        </w:trPr>
        <w:tc>
          <w:tcPr>
            <w:tcW w:w="756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4340" w:type="dxa"/>
            <w:vAlign w:val="bottom"/>
          </w:tcPr>
          <w:p>
            <w:pPr>
              <w:spacing w:after="0"/>
              <w:rPr>
                <w:sz w:val="24"/>
                <w:szCs w:val="24"/>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Christina Bruno</w:t>
            </w:r>
          </w:p>
        </w:tc>
        <w:tc>
          <w:tcPr>
            <w:tcW w:w="3460" w:type="dxa"/>
            <w:vAlign w:val="bottom"/>
          </w:tcPr>
          <w:p>
            <w:pPr>
              <w:spacing w:after="0"/>
              <w:rPr>
                <w:sz w:val="24"/>
                <w:szCs w:val="24"/>
                <w:color w:val="auto"/>
              </w:rPr>
            </w:pPr>
          </w:p>
        </w:tc>
      </w:tr>
      <w:tr>
        <w:trPr>
          <w:trHeight w:val="216"/>
        </w:trPr>
        <w:tc>
          <w:tcPr>
            <w:tcW w:w="7560" w:type="dxa"/>
            <w:vAlign w:val="bottom"/>
            <w:gridSpan w:val="3"/>
          </w:tcPr>
          <w:p>
            <w:pPr>
              <w:jc w:val="center"/>
              <w:ind w:left="3376"/>
              <w:spacing w:after="0"/>
              <w:rPr>
                <w:sz w:val="20"/>
                <w:szCs w:val="20"/>
                <w:color w:val="auto"/>
              </w:rPr>
            </w:pPr>
            <w:r>
              <w:rPr>
                <w:rFonts w:ascii="Times New Roman" w:cs="Times New Roman" w:eastAsia="Times New Roman" w:hAnsi="Times New Roman"/>
                <w:sz w:val="18"/>
                <w:szCs w:val="18"/>
                <w:b w:val="1"/>
                <w:bCs w:val="1"/>
                <w:color w:val="auto"/>
                <w:w w:val="99"/>
              </w:rPr>
              <w:t>U.S. Bank Trust Company, National Association</w:t>
            </w:r>
          </w:p>
        </w:tc>
        <w:tc>
          <w:tcPr>
            <w:tcW w:w="34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10 West Broad Street</w:t>
            </w:r>
          </w:p>
        </w:tc>
        <w:tc>
          <w:tcPr>
            <w:tcW w:w="34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Columbus, OH 43215</w:t>
            </w:r>
          </w:p>
        </w:tc>
        <w:tc>
          <w:tcPr>
            <w:tcW w:w="3460" w:type="dxa"/>
            <w:vAlign w:val="bottom"/>
          </w:tcPr>
          <w:p>
            <w:pPr>
              <w:spacing w:after="0"/>
              <w:rPr>
                <w:sz w:val="18"/>
                <w:szCs w:val="18"/>
                <w:color w:val="auto"/>
              </w:rPr>
            </w:pPr>
          </w:p>
        </w:tc>
      </w:tr>
      <w:tr>
        <w:trPr>
          <w:trHeight w:val="214"/>
        </w:trPr>
        <w:tc>
          <w:tcPr>
            <w:tcW w:w="6660" w:type="dxa"/>
            <w:vAlign w:val="bottom"/>
            <w:gridSpan w:val="2"/>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(732) 321-2516</w:t>
            </w:r>
          </w:p>
        </w:tc>
        <w:tc>
          <w:tcPr>
            <w:tcW w:w="9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90"/>
        </w:trPr>
        <w:tc>
          <w:tcPr>
            <w:tcW w:w="7560" w:type="dxa"/>
            <w:vAlign w:val="bottom"/>
            <w:gridSpan w:val="3"/>
          </w:tcPr>
          <w:p>
            <w:pPr>
              <w:jc w:val="center"/>
              <w:ind w:left="3376"/>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c>
          <w:tcPr>
            <w:tcW w:w="3460" w:type="dxa"/>
            <w:vAlign w:val="bottom"/>
          </w:tcPr>
          <w:p>
            <w:pPr>
              <w:spacing w:after="0"/>
              <w:rPr>
                <w:sz w:val="16"/>
                <w:szCs w:val="16"/>
                <w:color w:val="auto"/>
              </w:rPr>
            </w:pP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1"/>
        </w:trPr>
        <w:tc>
          <w:tcPr>
            <w:tcW w:w="7560" w:type="dxa"/>
            <w:vAlign w:val="bottom"/>
            <w:gridSpan w:val="3"/>
          </w:tcPr>
          <w:p>
            <w:pPr>
              <w:jc w:val="center"/>
              <w:ind w:left="3376"/>
              <w:spacing w:after="0"/>
              <w:rPr>
                <w:sz w:val="20"/>
                <w:szCs w:val="20"/>
                <w:color w:val="auto"/>
              </w:rPr>
            </w:pPr>
            <w:r>
              <w:rPr>
                <w:rFonts w:ascii="Times New Roman" w:cs="Times New Roman" w:eastAsia="Times New Roman" w:hAnsi="Times New Roman"/>
                <w:sz w:val="18"/>
                <w:szCs w:val="18"/>
                <w:b w:val="1"/>
                <w:bCs w:val="1"/>
                <w:color w:val="auto"/>
                <w:w w:val="99"/>
              </w:rPr>
              <w:t>BATH &amp; BODY WORKS, INC.</w:t>
            </w:r>
          </w:p>
        </w:tc>
        <w:tc>
          <w:tcPr>
            <w:tcW w:w="3460" w:type="dxa"/>
            <w:vAlign w:val="bottom"/>
          </w:tcPr>
          <w:p>
            <w:pPr>
              <w:spacing w:after="0"/>
              <w:rPr>
                <w:sz w:val="24"/>
                <w:szCs w:val="24"/>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(Issuer with respect to the Securities)</w:t>
            </w:r>
          </w:p>
        </w:tc>
        <w:tc>
          <w:tcPr>
            <w:tcW w:w="3460" w:type="dxa"/>
            <w:vAlign w:val="bottom"/>
          </w:tcPr>
          <w:p>
            <w:pPr>
              <w:spacing w:after="0"/>
              <w:rPr>
                <w:sz w:val="16"/>
                <w:szCs w:val="16"/>
                <w:color w:val="auto"/>
              </w:rPr>
            </w:pPr>
          </w:p>
        </w:tc>
      </w:tr>
      <w:tr>
        <w:trPr>
          <w:trHeight w:val="348"/>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55"/>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31-1029810</w:t>
            </w:r>
          </w:p>
        </w:tc>
      </w:tr>
      <w:tr>
        <w:trPr>
          <w:trHeight w:val="149"/>
        </w:trPr>
        <w:tc>
          <w:tcPr>
            <w:tcW w:w="7560" w:type="dxa"/>
            <w:vAlign w:val="bottom"/>
            <w:gridSpan w:val="3"/>
          </w:tcPr>
          <w:p>
            <w:pPr>
              <w:jc w:val="center"/>
              <w:ind w:right="20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18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3 Limited Parkway</w:t>
            </w:r>
          </w:p>
        </w:tc>
        <w:tc>
          <w:tcPr>
            <w:tcW w:w="3460" w:type="dxa"/>
            <w:vAlign w:val="bottom"/>
          </w:tcPr>
          <w:p>
            <w:pPr>
              <w:spacing w:after="0"/>
              <w:rPr>
                <w:sz w:val="24"/>
                <w:szCs w:val="24"/>
                <w:color w:val="auto"/>
              </w:rPr>
            </w:pPr>
          </w:p>
        </w:tc>
      </w:tr>
      <w:tr>
        <w:trPr>
          <w:trHeight w:val="227"/>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Columbus, OH</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43230</w:t>
            </w:r>
          </w:p>
        </w:tc>
      </w:tr>
      <w:tr>
        <w:trPr>
          <w:trHeight w:val="190"/>
        </w:trPr>
        <w:tc>
          <w:tcPr>
            <w:tcW w:w="756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8"/>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Debt Securities</w:t>
            </w:r>
          </w:p>
        </w:tc>
        <w:tc>
          <w:tcPr>
            <w:tcW w:w="3460" w:type="dxa"/>
            <w:vAlign w:val="bottom"/>
          </w:tcPr>
          <w:p>
            <w:pPr>
              <w:spacing w:after="0"/>
              <w:rPr>
                <w:sz w:val="24"/>
                <w:szCs w:val="24"/>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c>
          <w:tcPr>
            <w:tcW w:w="3460" w:type="dxa"/>
            <w:vAlign w:val="bottom"/>
          </w:tcPr>
          <w:p>
            <w:pPr>
              <w:spacing w:after="0"/>
              <w:rPr>
                <w:sz w:val="16"/>
                <w:szCs w:val="16"/>
                <w:color w:val="auto"/>
              </w:rPr>
            </w:pPr>
          </w:p>
        </w:tc>
      </w:tr>
      <w:tr>
        <w:trPr>
          <w:trHeight w:val="213"/>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17" w:right="439" w:bottom="1440" w:gutter="0" w:footer="0" w:header="0"/>
        </w:sectPr>
      </w:pPr>
    </w:p>
    <w:bookmarkStart w:id="50" w:name="page51"/>
    <w:bookmarkEnd w:id="50"/>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GENERAL INFORMATION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the following information as to the Trustee.</w:t>
      </w:r>
    </w:p>
    <w:p>
      <w:pPr>
        <w:spacing w:after="0" w:line="133" w:lineRule="exact"/>
        <w:rPr>
          <w:sz w:val="20"/>
          <w:szCs w:val="20"/>
          <w:color w:val="auto"/>
        </w:rPr>
      </w:pPr>
    </w:p>
    <w:p>
      <w:pPr>
        <w:ind w:left="1980" w:right="3400" w:hanging="999"/>
        <w:spacing w:after="0" w:line="262" w:lineRule="auto"/>
        <w:tabs>
          <w:tab w:leader="none" w:pos="14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Name and address of each examining or supervising authority to which it is subject. </w:t>
      </w:r>
      <w:r>
        <w:rPr>
          <w:rFonts w:ascii="Times New Roman" w:cs="Times New Roman" w:eastAsia="Times New Roman" w:hAnsi="Times New Roman"/>
          <w:sz w:val="18"/>
          <w:szCs w:val="18"/>
          <w:color w:val="auto"/>
        </w:rPr>
        <w:t>Comptroller of the Currency</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Washington, D.C.</w:t>
      </w:r>
    </w:p>
    <w:p>
      <w:pPr>
        <w:spacing w:after="0" w:line="11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Whether it is authorized to exercise corporate trust powers.</w:t>
      </w:r>
    </w:p>
    <w:p>
      <w:pPr>
        <w:spacing w:after="0" w:line="32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Yes</w:t>
      </w:r>
    </w:p>
    <w:p>
      <w:pPr>
        <w:sectPr>
          <w:pgSz w:w="11900" w:h="16838" w:orient="portrait"/>
          <w:cols w:equalWidth="0" w:num="1">
            <w:col w:w="10860"/>
          </w:cols>
          <w:pgMar w:left="440" w:top="266" w:right="599" w:bottom="1440" w:gutter="0" w:footer="0" w:header="0"/>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1280" w:hanging="33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AFFILIATIONS WITH THE OBLIGOR. </w:t>
      </w:r>
      <w:r>
        <w:rPr>
          <w:rFonts w:ascii="Times New Roman" w:cs="Times New Roman" w:eastAsia="Times New Roman" w:hAnsi="Times New Roman"/>
          <w:sz w:val="18"/>
          <w:szCs w:val="18"/>
          <w:i w:val="1"/>
          <w:iCs w:val="1"/>
          <w:color w:val="auto"/>
        </w:rPr>
        <w:t>If the obligor is an affiliate of the Trustee, describe each such affiliation.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ectPr>
          <w:pgSz w:w="11900" w:h="16838" w:orient="portrait"/>
          <w:cols w:equalWidth="0" w:num="2">
            <w:col w:w="700" w:space="720"/>
            <w:col w:w="9440"/>
          </w:cols>
          <w:pgMar w:left="440" w:top="266" w:right="599" w:bottom="1440" w:gutter="0" w:footer="0" w:header="0"/>
          <w:type w:val="continuous"/>
        </w:sectPr>
      </w:pPr>
    </w:p>
    <w:p>
      <w:pPr>
        <w:spacing w:after="0" w:line="103" w:lineRule="exact"/>
        <w:rPr>
          <w:sz w:val="20"/>
          <w:szCs w:val="20"/>
          <w:color w:val="auto"/>
        </w:rPr>
      </w:pPr>
    </w:p>
    <w:p>
      <w:pPr>
        <w:ind w:left="1080" w:hanging="1092"/>
        <w:spacing w:after="0" w:line="284"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Items 3-15</w:t>
      </w:r>
      <w:r>
        <w:rPr>
          <w:sz w:val="20"/>
          <w:szCs w:val="20"/>
          <w:color w:val="auto"/>
        </w:rPr>
        <w:tab/>
      </w:r>
      <w:r>
        <w:rPr>
          <w:rFonts w:ascii="Times New Roman" w:cs="Times New Roman" w:eastAsia="Times New Roman" w:hAnsi="Times New Roman"/>
          <w:sz w:val="18"/>
          <w:szCs w:val="18"/>
          <w:i w:val="1"/>
          <w:iCs w:val="1"/>
          <w:color w:val="auto"/>
        </w:rPr>
        <w:t>Items 3-15 are not applicable because to the best of the Trustee’s knowledge, the obligor is not in default under any Indenture for which the Trustee acts as Trustee.</w:t>
      </w:r>
    </w:p>
    <w:p>
      <w:pPr>
        <w:spacing w:after="0" w:line="30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 xml:space="preserve">LIST OF EXHIBITS: </w:t>
      </w:r>
      <w:r>
        <w:rPr>
          <w:rFonts w:ascii="Times New Roman" w:cs="Times New Roman" w:eastAsia="Times New Roman" w:hAnsi="Times New Roman"/>
          <w:sz w:val="18"/>
          <w:szCs w:val="18"/>
          <w:i w:val="1"/>
          <w:iCs w:val="1"/>
          <w:color w:val="auto"/>
        </w:rPr>
        <w:t>List below all exhibits filed as a part of this statement of eligibility and qualification.</w:t>
      </w:r>
    </w:p>
    <w:p>
      <w:pPr>
        <w:spacing w:after="0" w:line="135" w:lineRule="exact"/>
        <w:rPr>
          <w:sz w:val="20"/>
          <w:szCs w:val="20"/>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Trustee, attached as Exhibit 1.</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commence business, attached as Exhibit 2.</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authorization of the Trustee to exercise corporate trust powers, included as Exhibit 2.</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 attached as Exhibit 4.</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Indenture referred to in Item 4. Not applicable.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Trust Indenture Act of 1939, attached as Exhibit 6.</w:t>
      </w:r>
    </w:p>
    <w:p>
      <w:pPr>
        <w:spacing w:after="0" w:line="130" w:lineRule="exact"/>
        <w:rPr>
          <w:rFonts w:ascii="Times New Roman" w:cs="Times New Roman" w:eastAsia="Times New Roman" w:hAnsi="Times New Roman"/>
          <w:sz w:val="18"/>
          <w:szCs w:val="18"/>
          <w:color w:val="auto"/>
        </w:rPr>
      </w:pPr>
    </w:p>
    <w:p>
      <w:pPr>
        <w:ind w:left="1420" w:right="240" w:hanging="439"/>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Condition of the Trustee as of December 31, 2024, published pursuant to law or the requirements of its supervising or examining authority, attached as Exhibit 7.</w:t>
      </w:r>
    </w:p>
    <w:p>
      <w:pPr>
        <w:sectPr>
          <w:pgSz w:w="11900" w:h="16838" w:orient="portrait"/>
          <w:cols w:equalWidth="0" w:num="1">
            <w:col w:w="10860"/>
          </w:cols>
          <w:pgMar w:left="440" w:top="266" w:right="599" w:bottom="1440"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Columbus, State of Ohio on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March, 2025.</w:t>
      </w:r>
    </w:p>
    <w:p>
      <w:pPr>
        <w:spacing w:after="0" w:line="7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Christina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Christina Bruno</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Assistant Vice President</w:t>
      </w:r>
    </w:p>
    <w:p>
      <w:pPr>
        <w:sectPr>
          <w:pgSz w:w="11900" w:h="16838" w:orient="portrait"/>
          <w:cols w:equalWidth="0" w:num="1">
            <w:col w:w="11000"/>
          </w:cols>
          <w:pgMar w:left="440" w:top="266" w:right="459" w:bottom="1440" w:gutter="0" w:footer="0" w:header="0"/>
        </w:sectPr>
      </w:pPr>
    </w:p>
    <w:bookmarkStart w:id="52" w:name="page53"/>
    <w:bookmarkEnd w:id="52"/>
    <w:p>
      <w:pPr>
        <w:ind w:left="516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w:t>
      </w:r>
    </w:p>
    <w:p>
      <w:pPr>
        <w:spacing w:after="0" w:line="117" w:lineRule="exact"/>
        <w:rPr>
          <w:sz w:val="20"/>
          <w:szCs w:val="20"/>
          <w:color w:val="auto"/>
        </w:rPr>
      </w:pPr>
    </w:p>
    <w:p>
      <w:pPr>
        <w:ind w:left="4264"/>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 S. BANK TRUST COMPANY, NATIONAL ASSOCIATION</w:t>
      </w:r>
    </w:p>
    <w:p>
      <w:pPr>
        <w:spacing w:after="0" w:line="207"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For the purpose of organizing an association (the “Association”) to perform any lawful activities of national banks, the undersigned enter into the following Articles of Association:</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title of this Association shall be U. S. Bank Trust Company, National Association.</w:t>
      </w:r>
    </w:p>
    <w:p>
      <w:pPr>
        <w:spacing w:after="0" w:line="225" w:lineRule="exact"/>
        <w:rPr>
          <w:sz w:val="20"/>
          <w:szCs w:val="20"/>
          <w:color w:val="auto"/>
        </w:rPr>
      </w:pPr>
    </w:p>
    <w:p>
      <w:pPr>
        <w:jc w:val="both"/>
        <w:ind w:left="4"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main office of the Association shall be in the city of Portland, county of Multnomah, state of Oregon. The business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71" w:lineRule="exact"/>
        <w:rPr>
          <w:sz w:val="20"/>
          <w:szCs w:val="20"/>
          <w:color w:val="auto"/>
        </w:rPr>
      </w:pPr>
    </w:p>
    <w:p>
      <w:pPr>
        <w:jc w:val="both"/>
        <w:ind w:left="4"/>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THIRD. </w:t>
      </w:r>
      <w:r>
        <w:rPr>
          <w:rFonts w:ascii="Times New Roman" w:cs="Times New Roman" w:eastAsia="Times New Roman" w:hAnsi="Times New Roman"/>
          <w:sz w:val="17"/>
          <w:szCs w:val="17"/>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w:t>
      </w:r>
    </w:p>
    <w:p>
      <w:pPr>
        <w:ind w:left="4" w:right="60" w:hanging="4"/>
        <w:spacing w:after="0" w:line="260" w:lineRule="auto"/>
        <w:tabs>
          <w:tab w:leader="none" w:pos="3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that person’s most recent election to the board of directors, whichever is more recent. Any combination of common or preferred stock of the Association or holding company may be used.</w:t>
      </w:r>
    </w:p>
    <w:p>
      <w:pPr>
        <w:spacing w:after="0" w:line="18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83"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76"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There shall be an annual meeting of the shareholders to elect directors and transact whatever other business may be brought before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It shall be held at the main office or any other convenient place the board of directors may designate, on the day of each year specified therefor in the Bylaws, or if that day falls on a legal holiday in the state in which the</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004"/>
          </w:cols>
          <w:pgMar w:left="436" w:top="266" w:right="459" w:bottom="1440" w:gutter="0" w:footer="0" w:header="0"/>
        </w:sectPr>
      </w:pPr>
    </w:p>
    <w:bookmarkStart w:id="53" w:name="page54"/>
    <w:bookmarkEnd w:id="5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authorized amount of capital stock of the Association shall be 1,000,000 shares of common stock of the par value of ten dollars ($10)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said capital stock may be increased or decreased from time to time, according to the provisions of the laws of the United States. The Association shall have only one class of capital stock.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0"/>
          </w:cols>
          <w:pgMar w:left="440" w:top="270" w:right="479" w:bottom="1440" w:gutter="0" w:footer="0" w:header="0"/>
        </w:sectPr>
      </w:pPr>
    </w:p>
    <w:bookmarkStart w:id="54" w:name="page55"/>
    <w:bookmarkEnd w:id="54"/>
    <w:p>
      <w:pPr>
        <w:ind w:left="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specified in the Articles of Association or required by law, all shares of voting stock shall be voted together as a class, on any matters requiring shareholder approval.</w:t>
      </w:r>
    </w:p>
    <w:p>
      <w:pPr>
        <w:spacing w:after="0" w:line="162"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76"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The board of directors shall appoint one of its members president of this Association and one of its members chairperson of the board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board of directors shall have the power to:</w:t>
      </w:r>
    </w:p>
    <w:p>
      <w:pPr>
        <w:spacing w:after="0" w:line="131"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duties of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performance of its duties, but not the responsibility for its duties, to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compensation and enter employment contracts with its officers and employees upon reasonable terms and conditions consistent with applicable law.</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 officers and employees.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bonds from officers and employees and to fix the penalty thereof.</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written policies authorized by the Association’s management or committees of the board.</w:t>
      </w:r>
    </w:p>
    <w:p>
      <w:pPr>
        <w:spacing w:after="0" w:line="130" w:lineRule="exact"/>
        <w:rPr>
          <w:rFonts w:ascii="Times New Roman" w:cs="Times New Roman" w:eastAsia="Times New Roman" w:hAnsi="Times New Roman"/>
          <w:sz w:val="18"/>
          <w:szCs w:val="18"/>
          <w:color w:val="auto"/>
        </w:rPr>
      </w:pPr>
    </w:p>
    <w:p>
      <w:pPr>
        <w:jc w:val="both"/>
        <w:ind w:left="424" w:right="40" w:hanging="424"/>
        <w:spacing w:after="0" w:line="266"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10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64"/>
          </w:cols>
          <w:pgMar w:left="436" w:top="270" w:right="499" w:bottom="1440" w:gutter="0" w:footer="0" w:header="0"/>
        </w:sectPr>
      </w:pPr>
    </w:p>
    <w:bookmarkStart w:id="55" w:name="page56"/>
    <w:bookmarkEnd w:id="55"/>
    <w:p>
      <w:pPr>
        <w:ind w:left="424" w:hanging="424"/>
        <w:spacing w:after="0"/>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 and administer the business and affairs of the Association.</w:t>
      </w:r>
    </w:p>
    <w:p>
      <w:pPr>
        <w:spacing w:after="0" w:line="130" w:lineRule="exact"/>
        <w:rPr>
          <w:rFonts w:ascii="Times New Roman" w:cs="Times New Roman" w:eastAsia="Times New Roman" w:hAnsi="Times New Roman"/>
          <w:sz w:val="18"/>
          <w:szCs w:val="18"/>
          <w:color w:val="auto"/>
        </w:rPr>
      </w:pPr>
    </w:p>
    <w:p>
      <w:pPr>
        <w:ind w:left="424" w:right="700" w:hanging="424"/>
        <w:spacing w:after="0" w:line="282"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initial Bylaws, not inconsistent with law or the Articles of Association, for managing the business and regulating the affairs of the Association.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repeal Bylaws, except to the extent that the Articles of Association reserve this power in whole or in part to the shareholders.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contracts.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perform all acts that are legal for a board of directors to perform.</w:t>
      </w:r>
    </w:p>
    <w:p>
      <w:pPr>
        <w:spacing w:after="0" w:line="221" w:lineRule="exact"/>
        <w:rPr>
          <w:sz w:val="20"/>
          <w:szCs w:val="20"/>
          <w:color w:val="auto"/>
        </w:rPr>
      </w:pPr>
    </w:p>
    <w:p>
      <w:pPr>
        <w:ind w:left="4"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board of directors shall have the power to change the location of the main office to any authorized branch within the limits of the 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The corporate existence of this Association shall continue until termination according to the laws of the United States.</w:t>
      </w:r>
    </w:p>
    <w:p>
      <w:pPr>
        <w:spacing w:after="0" w:line="225"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The board of directors of the Association, or any shareholder owning, in the aggregate, not less than 25 percent of the stock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8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64"/>
          </w:cols>
          <w:pgMar w:left="436" w:top="270" w:right="49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we have hereunto set our hands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of June, 1997.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T. Grubb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D. Sznewajs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Dwight V.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K. Chatterjee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Lane</w:t>
      </w:r>
    </w:p>
    <w:p>
      <w:pPr>
        <w:sectPr>
          <w:pgSz w:w="11900" w:h="16838" w:orient="portrait"/>
          <w:cols w:equalWidth="0" w:num="1">
            <w:col w:w="10019"/>
          </w:cols>
          <w:pgMar w:left="440" w:top="270" w:right="1440" w:bottom="1440"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566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74865" cy="9566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4</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Meetings of Shareholders</w:t>
      </w:r>
    </w:p>
    <w:p>
      <w:pPr>
        <w:spacing w:after="0" w:line="20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Nominations for Directors</w:t>
      </w:r>
      <w:r>
        <w:rPr>
          <w:rFonts w:ascii="Times New Roman" w:cs="Times New Roman" w:eastAsia="Times New Roman" w:hAnsi="Times New Roman"/>
          <w:sz w:val="18"/>
          <w:szCs w:val="18"/>
          <w:color w:val="auto"/>
        </w:rPr>
        <w:t>. Nominations for election to the Board may be made by the Board or by any shareholder.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record date for determining shareholders entitled to notice and to vote at any meeting will be thirty days before the date of such meeting, unless otherwise determined by the Board.</w:t>
      </w:r>
    </w:p>
    <w:p>
      <w:pPr>
        <w:sectPr>
          <w:pgSz w:w="11900" w:h="16838" w:orient="portrait"/>
          <w:cols w:equalWidth="0" w:num="1">
            <w:col w:w="10960"/>
          </w:cols>
          <w:pgMar w:left="440" w:top="266" w:right="499" w:bottom="1440" w:gutter="0" w:footer="0" w:header="0"/>
        </w:sectPr>
      </w:pPr>
    </w:p>
    <w:bookmarkStart w:id="59" w:name="page60"/>
    <w:bookmarkEnd w:id="59"/>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Waiver and Consent</w:t>
      </w:r>
      <w:r>
        <w:rPr>
          <w:rFonts w:ascii="Times New Roman" w:cs="Times New Roman" w:eastAsia="Times New Roman" w:hAnsi="Times New Roman"/>
          <w:sz w:val="18"/>
          <w:szCs w:val="18"/>
          <w:color w:val="auto"/>
        </w:rPr>
        <w:t>. The shareholders may act without notice or a meeting by a unanimous written consent by all shareholders.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6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The directors of this Association shall hold office for one year and until their successors are duly elected and qualified, or until their earlier resignation or removal.</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In addition to the foregoing, the Board shall have and may exercise all of the powers granted to or conferred upon it by the Articles of Association, the Bylaws and by law.</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ectPr>
          <w:pgSz w:w="11900" w:h="16838" w:orient="portrait"/>
          <w:cols w:equalWidth="0" w:num="1">
            <w:col w:w="10980"/>
          </w:cols>
          <w:pgMar w:left="440" w:top="270" w:right="479" w:bottom="1440" w:gutter="0" w:footer="0" w:header="0"/>
        </w:sectPr>
      </w:pPr>
    </w:p>
    <w:bookmarkStart w:id="60" w:name="page61"/>
    <w:bookmarkEnd w:id="6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8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Organization Meeting</w:t>
      </w:r>
      <w:r>
        <w:rPr>
          <w:rFonts w:ascii="Times New Roman" w:cs="Times New Roman" w:eastAsia="Times New Roman" w:hAnsi="Times New Roman"/>
          <w:sz w:val="18"/>
          <w:szCs w:val="18"/>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regular meetings of the Board shall be held, without notice, as the Chairman or President may designate and deem suitable.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8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Quorum and Necessary Vote</w:t>
      </w:r>
      <w:r>
        <w:rPr>
          <w:rFonts w:ascii="Times New Roman" w:cs="Times New Roman" w:eastAsia="Times New Roman" w:hAnsi="Times New Roman"/>
          <w:sz w:val="18"/>
          <w:szCs w:val="18"/>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ectPr>
          <w:pgSz w:w="11900" w:h="16838" w:orient="portrait"/>
          <w:cols w:equalWidth="0" w:num="1">
            <w:col w:w="10940"/>
          </w:cols>
          <w:pgMar w:left="440" w:top="270" w:right="519" w:bottom="1440" w:gutter="0" w:footer="0" w:header="0"/>
        </w:sectPr>
      </w:pPr>
    </w:p>
    <w:bookmarkStart w:id="61" w:name="page62"/>
    <w:bookmarkEnd w:id="61"/>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When any vacancy occurs among the directors, the remaining members of the Board may appoint a director to fill such vacancy at any regular meeting of the Board, or at a special meeting called for that purpose.</w:t>
      </w:r>
    </w:p>
    <w:p>
      <w:pPr>
        <w:spacing w:after="0" w:line="37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0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Advisory Board of Directors</w:t>
      </w:r>
      <w:r>
        <w:rPr>
          <w:rFonts w:ascii="Times New Roman" w:cs="Times New Roman" w:eastAsia="Times New Roman" w:hAnsi="Times New Roman"/>
          <w:sz w:val="18"/>
          <w:szCs w:val="18"/>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Trust Audit Committee</w:t>
      </w:r>
      <w:r>
        <w:rPr>
          <w:rFonts w:ascii="Times New Roman" w:cs="Times New Roman" w:eastAsia="Times New Roman" w:hAnsi="Times New Roman"/>
          <w:sz w:val="18"/>
          <w:szCs w:val="18"/>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Audit Committee of the financial holding company that is the ultimate parent of this Association, fulfilling the function of the trust audit committee:</w:t>
      </w:r>
    </w:p>
    <w:p>
      <w:pPr>
        <w:sectPr>
          <w:pgSz w:w="11900" w:h="16838" w:orient="portrait"/>
          <w:cols w:equalWidth="0" w:num="1">
            <w:col w:w="11000"/>
          </w:cols>
          <w:pgMar w:left="440" w:top="270" w:right="459" w:bottom="1440" w:gutter="0" w:footer="0" w:header="0"/>
        </w:sectPr>
      </w:pPr>
    </w:p>
    <w:bookmarkStart w:id="62" w:name="page63"/>
    <w:bookmarkEnd w:id="62"/>
    <w:p>
      <w:pPr>
        <w:ind w:left="440" w:right="20" w:hanging="4"/>
        <w:spacing w:after="0" w:line="282"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Must not include any officers of the Association or an affiliate who participate significantly in the administration of the Association’s fiduciary activities; and</w:t>
      </w:r>
    </w:p>
    <w:p>
      <w:pPr>
        <w:spacing w:after="0" w:line="53" w:lineRule="exact"/>
        <w:rPr>
          <w:rFonts w:ascii="Times New Roman" w:cs="Times New Roman" w:eastAsia="Times New Roman" w:hAnsi="Times New Roman"/>
          <w:sz w:val="18"/>
          <w:szCs w:val="18"/>
          <w:color w:val="auto"/>
        </w:rPr>
      </w:pPr>
    </w:p>
    <w:p>
      <w:pPr>
        <w:ind w:left="440" w:right="260" w:hanging="4"/>
        <w:spacing w:after="0" w:line="282"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consist of a majority of members who are not also members of any committee to which the Board has delegated power to manage and control the fiduciary activities of the Association.</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Executive Committee</w:t>
      </w:r>
      <w:r>
        <w:rPr>
          <w:rFonts w:ascii="Times New Roman" w:cs="Times New Roman" w:eastAsia="Times New Roman" w:hAnsi="Times New Roman"/>
          <w:sz w:val="18"/>
          <w:szCs w:val="18"/>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Trust Management Committee</w:t>
      </w:r>
      <w:r>
        <w:rPr>
          <w:rFonts w:ascii="Times New Roman" w:cs="Times New Roman" w:eastAsia="Times New Roman" w:hAnsi="Times New Roman"/>
          <w:sz w:val="18"/>
          <w:szCs w:val="18"/>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Other Committees</w:t>
      </w:r>
      <w:r>
        <w:rPr>
          <w:rFonts w:ascii="Times New Roman" w:cs="Times New Roman" w:eastAsia="Times New Roman" w:hAnsi="Times New Roman"/>
          <w:sz w:val="18"/>
          <w:szCs w:val="18"/>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8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Meetings, Minutes and Rules</w:t>
      </w:r>
      <w:r>
        <w:rPr>
          <w:rFonts w:ascii="Times New Roman" w:cs="Times New Roman" w:eastAsia="Times New Roman" w:hAnsi="Times New Roman"/>
          <w:sz w:val="18"/>
          <w:szCs w:val="18"/>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ectPr>
          <w:pgSz w:w="11900" w:h="16838" w:orient="portrait"/>
          <w:cols w:equalWidth="0" w:num="1">
            <w:col w:w="11000"/>
          </w:cols>
          <w:pgMar w:left="440" w:top="270" w:right="4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80"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ectPr>
          <w:pgSz w:w="11900" w:h="16838" w:orient="portrait"/>
          <w:cols w:equalWidth="0" w:num="1">
            <w:col w:w="11000"/>
          </w:cols>
          <w:pgMar w:left="440" w:top="270" w:right="459" w:bottom="1440" w:gutter="0" w:footer="0" w:header="0"/>
        </w:sectPr>
      </w:pPr>
    </w:p>
    <w:bookmarkStart w:id="64" w:name="page65"/>
    <w:bookmarkEnd w:id="6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80"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Tenure of Office</w:t>
      </w:r>
      <w:r>
        <w:rPr>
          <w:rFonts w:ascii="Times New Roman" w:cs="Times New Roman" w:eastAsia="Times New Roman" w:hAnsi="Times New Roman"/>
          <w:sz w:val="18"/>
          <w:szCs w:val="18"/>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0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200" w:lineRule="exact"/>
        <w:rPr>
          <w:sz w:val="20"/>
          <w:szCs w:val="20"/>
          <w:color w:val="auto"/>
        </w:rPr>
      </w:pPr>
    </w:p>
    <w:p>
      <w:pPr>
        <w:spacing w:after="0" w:line="20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Corporate Seal</w:t>
      </w:r>
    </w:p>
    <w:p>
      <w:pPr>
        <w:spacing w:after="0" w:line="20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ectPr>
          <w:pgSz w:w="11900" w:h="16838" w:orient="portrait"/>
          <w:cols w:equalWidth="0" w:num="1">
            <w:col w:w="11020"/>
          </w:cols>
          <w:pgMar w:left="440" w:top="270" w:right="43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89"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76" w:lineRule="exact"/>
        <w:rPr>
          <w:sz w:val="20"/>
          <w:szCs w:val="20"/>
          <w:color w:val="auto"/>
        </w:rPr>
      </w:pPr>
    </w:p>
    <w:p>
      <w:pPr>
        <w:ind w:right="10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Trust Files</w:t>
      </w:r>
      <w:r>
        <w:rPr>
          <w:rFonts w:ascii="Times New Roman" w:cs="Times New Roman" w:eastAsia="Times New Roman" w:hAnsi="Times New Roman"/>
          <w:sz w:val="18"/>
          <w:szCs w:val="18"/>
          <w:color w:val="auto"/>
        </w:rPr>
        <w:t>. There shall be maintained in the Association files all fiduciary records necessary to assure that its fiduciary responsibilities have been properly undertaken and discharged.</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 Investments</w:t>
      </w:r>
      <w:r>
        <w:rPr>
          <w:rFonts w:ascii="Times New Roman" w:cs="Times New Roman" w:eastAsia="Times New Roman" w:hAnsi="Times New Roman"/>
          <w:sz w:val="18"/>
          <w:szCs w:val="18"/>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where specified otherwise in these Bylaws, prior notice shall be proper if given not more than 30 days nor less than 10 days prior to the event for which notice is given.</w:t>
      </w:r>
    </w:p>
    <w:p>
      <w:pPr>
        <w:sectPr>
          <w:pgSz w:w="11900" w:h="16838" w:orient="portrait"/>
          <w:cols w:equalWidth="0" w:num="1">
            <w:col w:w="10980"/>
          </w:cols>
          <w:pgMar w:left="440" w:top="270" w:right="479" w:bottom="1440" w:gutter="0" w:footer="0" w:header="0"/>
        </w:sectPr>
      </w:pPr>
    </w:p>
    <w:bookmarkStart w:id="66" w:name="page67"/>
    <w:bookmarkEnd w:id="66"/>
    <w:p>
      <w:pPr>
        <w:ind w:left="49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0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Bylaws: Interpretation and Amendment</w:t>
      </w:r>
    </w:p>
    <w:p>
      <w:pPr>
        <w:spacing w:after="0" w:line="20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Section 9.1. These Bylaws shall be interpreted in accordance with and subject to appropriate provisions of law, and may be added to, altered, amended, or repealed, at any regular or special meeting of the Board.</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Section 9.2. A copy of the Bylaws and all amendments shall at all times be kept in a convenient place at the principal office of the Association, and shall be open for inspection to all shareholders during Association hours.</w:t>
      </w:r>
    </w:p>
    <w:p>
      <w:pPr>
        <w:sectPr>
          <w:pgSz w:w="11900" w:h="16838" w:orient="portrait"/>
          <w:cols w:equalWidth="0" w:num="1">
            <w:col w:w="10920"/>
          </w:cols>
          <w:pgMar w:left="440" w:top="270" w:right="5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Association shall begin on the first day of January in each year and shall end on the thirty-first day of December following.</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8, 2021)</w:t>
      </w:r>
    </w:p>
    <w:p>
      <w:pPr>
        <w:sectPr>
          <w:pgSz w:w="11900" w:h="16838" w:orient="portrait"/>
          <w:cols w:equalWidth="0" w:num="1">
            <w:col w:w="11020"/>
          </w:cols>
          <w:pgMar w:left="440" w:top="270" w:right="439" w:bottom="1440" w:gutter="0" w:footer="0" w:header="0"/>
        </w:sectPr>
      </w:pPr>
    </w:p>
    <w:bookmarkStart w:id="68" w:name="page69"/>
    <w:bookmarkEnd w:id="68"/>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6</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Christina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Christina Bruno</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Assistant Vice President</w:t>
      </w:r>
    </w:p>
    <w:p>
      <w:pPr>
        <w:sectPr>
          <w:pgSz w:w="11900" w:h="16838" w:orient="portrait"/>
          <w:cols w:equalWidth="0" w:num="1">
            <w:col w:w="10920"/>
          </w:cols>
          <w:pgMar w:left="440" w:top="266" w:right="539" w:bottom="1440" w:gutter="0" w:footer="0" w:header="0"/>
        </w:sectPr>
      </w:pPr>
    </w:p>
    <w:bookmarkStart w:id="69" w:name="page70"/>
    <w:bookmarkEnd w:id="69"/>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w:t>
      </w:r>
    </w:p>
    <w:p>
      <w:pPr>
        <w:spacing w:after="0" w:line="1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 of Financial Condition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12/31/2024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5540" w:type="dxa"/>
            <w:vAlign w:val="bottom"/>
            <w:gridSpan w:val="2"/>
          </w:tcPr>
          <w:p>
            <w:pPr>
              <w:jc w:val="right"/>
              <w:ind w:right="4440"/>
              <w:spacing w:after="0"/>
              <w:rPr>
                <w:sz w:val="20"/>
                <w:szCs w:val="20"/>
                <w:color w:val="auto"/>
              </w:rPr>
            </w:pPr>
            <w:r>
              <w:rPr>
                <w:rFonts w:ascii="Times New Roman" w:cs="Times New Roman" w:eastAsia="Times New Roman" w:hAnsi="Times New Roman"/>
                <w:sz w:val="18"/>
                <w:szCs w:val="18"/>
                <w:b w:val="1"/>
                <w:bCs w:val="1"/>
                <w:color w:val="auto"/>
              </w:rPr>
              <w:t>($000’s)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4700" w:type="dxa"/>
            <w:vAlign w:val="bottom"/>
          </w:tcPr>
          <w:p>
            <w:pPr>
              <w:spacing w:after="0"/>
              <w:rPr>
                <w:sz w:val="24"/>
                <w:szCs w:val="24"/>
                <w:color w:val="auto"/>
              </w:rPr>
            </w:pP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60" w:type="dxa"/>
            <w:vAlign w:val="bottom"/>
          </w:tcPr>
          <w:p>
            <w:pPr>
              <w:spacing w:after="0"/>
              <w:rPr>
                <w:sz w:val="24"/>
                <w:szCs w:val="24"/>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5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5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1,677,809</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Funds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&amp; Lease Financing Receivables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576,194</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5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151,958</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2,411,396</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 Funds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Demand Notes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Trading Liabilities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Borrowed Money</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Acceptances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5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230,451</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230,451</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Surplus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1,171,635</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Undivided Profits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1,009,110</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Minority Interest in Subsidiaries</w:t>
            </w:r>
          </w:p>
        </w:tc>
        <w:tc>
          <w:tcPr>
            <w:tcW w:w="5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Equity Capital</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2,180,945</w:t>
            </w:r>
          </w:p>
        </w:tc>
      </w:t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5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2,411,396</w:t>
            </w:r>
          </w:p>
        </w:tc>
      </w:tr>
    </w:tbl>
    <w:p>
      <w:pPr>
        <w:sectPr>
          <w:pgSz w:w="11900" w:h="16838" w:orient="portrait"/>
          <w:cols w:equalWidth="0" w:num="1">
            <w:col w:w="11020"/>
          </w:cols>
          <w:pgMar w:left="440" w:top="266" w:right="4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STATEMENT OF ELIGIBILITY UNDER</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THE TRUST INDENTURE ACT OF 1939 OF A</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CORPORATION DESIGNATED TO ACT AS TRUSTEE</w:t>
      </w:r>
    </w:p>
    <w:p>
      <w:pPr>
        <w:spacing w:after="0" w:line="205" w:lineRule="exact"/>
        <w:rPr>
          <w:sz w:val="20"/>
          <w:szCs w:val="20"/>
          <w:color w:val="auto"/>
        </w:rPr>
      </w:pPr>
    </w:p>
    <w:p>
      <w:pPr>
        <w:ind w:left="424" w:hanging="424"/>
        <w:spacing w:after="0"/>
        <w:tabs>
          <w:tab w:leader="none" w:pos="424" w:val="left"/>
        </w:tabs>
        <w:numPr>
          <w:ilvl w:val="0"/>
          <w:numId w:val="4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253365</wp:posOffset>
            </wp:positionV>
            <wp:extent cx="1474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U.S. BANK TRUST COMPANY, NATIONAL ASSOCIATION</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6660" w:type="dxa"/>
            <w:vAlign w:val="bottom"/>
            <w:gridSpan w:val="2"/>
          </w:tcPr>
          <w:p>
            <w:pPr>
              <w:jc w:val="right"/>
              <w:ind w:right="638"/>
              <w:spacing w:after="0"/>
              <w:rPr>
                <w:sz w:val="20"/>
                <w:szCs w:val="20"/>
                <w:color w:val="auto"/>
              </w:rPr>
            </w:pPr>
            <w:r>
              <w:rPr>
                <w:rFonts w:ascii="Times New Roman" w:cs="Times New Roman" w:eastAsia="Times New Roman" w:hAnsi="Times New Roman"/>
                <w:sz w:val="18"/>
                <w:szCs w:val="18"/>
                <w:b w:val="1"/>
                <w:bCs w:val="1"/>
                <w:color w:val="auto"/>
              </w:rPr>
              <w:t>91-1821036</w:t>
            </w:r>
          </w:p>
        </w:tc>
        <w:tc>
          <w:tcPr>
            <w:tcW w:w="9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3460" w:type="dxa"/>
            <w:vAlign w:val="bottom"/>
          </w:tcPr>
          <w:p>
            <w:pPr>
              <w:spacing w:after="0"/>
              <w:rPr>
                <w:sz w:val="16"/>
                <w:szCs w:val="16"/>
                <w:color w:val="auto"/>
              </w:rPr>
            </w:pPr>
          </w:p>
        </w:tc>
      </w:tr>
      <w:tr>
        <w:trPr>
          <w:trHeight w:val="420"/>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800 Nicollet Mall</w:t>
            </w:r>
          </w:p>
        </w:tc>
        <w:tc>
          <w:tcPr>
            <w:tcW w:w="3460" w:type="dxa"/>
            <w:vAlign w:val="bottom"/>
          </w:tcPr>
          <w:p>
            <w:pPr>
              <w:spacing w:after="0"/>
              <w:rPr>
                <w:sz w:val="24"/>
                <w:szCs w:val="24"/>
                <w:color w:val="auto"/>
              </w:rPr>
            </w:pPr>
          </w:p>
        </w:tc>
      </w:tr>
      <w:tr>
        <w:trPr>
          <w:trHeight w:val="227"/>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Minneapolis, Minnesota</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55402</w:t>
            </w:r>
          </w:p>
        </w:tc>
      </w:tr>
      <w:tr>
        <w:trPr>
          <w:trHeight w:val="190"/>
        </w:trPr>
        <w:tc>
          <w:tcPr>
            <w:tcW w:w="756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4340" w:type="dxa"/>
            <w:vAlign w:val="bottom"/>
          </w:tcPr>
          <w:p>
            <w:pPr>
              <w:spacing w:after="0"/>
              <w:rPr>
                <w:sz w:val="24"/>
                <w:szCs w:val="24"/>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Christina Bruno</w:t>
            </w:r>
          </w:p>
        </w:tc>
        <w:tc>
          <w:tcPr>
            <w:tcW w:w="3460" w:type="dxa"/>
            <w:vAlign w:val="bottom"/>
          </w:tcPr>
          <w:p>
            <w:pPr>
              <w:spacing w:after="0"/>
              <w:rPr>
                <w:sz w:val="24"/>
                <w:szCs w:val="24"/>
                <w:color w:val="auto"/>
              </w:rPr>
            </w:pPr>
          </w:p>
        </w:tc>
      </w:tr>
      <w:tr>
        <w:trPr>
          <w:trHeight w:val="216"/>
        </w:trPr>
        <w:tc>
          <w:tcPr>
            <w:tcW w:w="7560" w:type="dxa"/>
            <w:vAlign w:val="bottom"/>
            <w:gridSpan w:val="3"/>
          </w:tcPr>
          <w:p>
            <w:pPr>
              <w:jc w:val="center"/>
              <w:ind w:left="3376"/>
              <w:spacing w:after="0"/>
              <w:rPr>
                <w:sz w:val="20"/>
                <w:szCs w:val="20"/>
                <w:color w:val="auto"/>
              </w:rPr>
            </w:pPr>
            <w:r>
              <w:rPr>
                <w:rFonts w:ascii="Times New Roman" w:cs="Times New Roman" w:eastAsia="Times New Roman" w:hAnsi="Times New Roman"/>
                <w:sz w:val="18"/>
                <w:szCs w:val="18"/>
                <w:b w:val="1"/>
                <w:bCs w:val="1"/>
                <w:color w:val="auto"/>
                <w:w w:val="99"/>
              </w:rPr>
              <w:t>U.S. Bank Trust Company, National Association</w:t>
            </w:r>
          </w:p>
        </w:tc>
        <w:tc>
          <w:tcPr>
            <w:tcW w:w="34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10 West Broad Street</w:t>
            </w:r>
          </w:p>
        </w:tc>
        <w:tc>
          <w:tcPr>
            <w:tcW w:w="34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Columbus, OH 43215</w:t>
            </w:r>
          </w:p>
        </w:tc>
        <w:tc>
          <w:tcPr>
            <w:tcW w:w="3460" w:type="dxa"/>
            <w:vAlign w:val="bottom"/>
          </w:tcPr>
          <w:p>
            <w:pPr>
              <w:spacing w:after="0"/>
              <w:rPr>
                <w:sz w:val="18"/>
                <w:szCs w:val="18"/>
                <w:color w:val="auto"/>
              </w:rPr>
            </w:pPr>
          </w:p>
        </w:tc>
      </w:tr>
      <w:tr>
        <w:trPr>
          <w:trHeight w:val="214"/>
        </w:trPr>
        <w:tc>
          <w:tcPr>
            <w:tcW w:w="6660" w:type="dxa"/>
            <w:vAlign w:val="bottom"/>
            <w:gridSpan w:val="2"/>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(732) 321-2516</w:t>
            </w:r>
          </w:p>
        </w:tc>
        <w:tc>
          <w:tcPr>
            <w:tcW w:w="9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90"/>
        </w:trPr>
        <w:tc>
          <w:tcPr>
            <w:tcW w:w="7560" w:type="dxa"/>
            <w:vAlign w:val="bottom"/>
            <w:gridSpan w:val="3"/>
          </w:tcPr>
          <w:p>
            <w:pPr>
              <w:jc w:val="center"/>
              <w:ind w:left="3376"/>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c>
          <w:tcPr>
            <w:tcW w:w="3460" w:type="dxa"/>
            <w:vAlign w:val="bottom"/>
          </w:tcPr>
          <w:p>
            <w:pPr>
              <w:spacing w:after="0"/>
              <w:rPr>
                <w:sz w:val="16"/>
                <w:szCs w:val="16"/>
                <w:color w:val="auto"/>
              </w:rPr>
            </w:pP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1"/>
        </w:trPr>
        <w:tc>
          <w:tcPr>
            <w:tcW w:w="7560" w:type="dxa"/>
            <w:vAlign w:val="bottom"/>
            <w:gridSpan w:val="3"/>
          </w:tcPr>
          <w:p>
            <w:pPr>
              <w:jc w:val="center"/>
              <w:ind w:left="3376"/>
              <w:spacing w:after="0"/>
              <w:rPr>
                <w:sz w:val="20"/>
                <w:szCs w:val="20"/>
                <w:color w:val="auto"/>
              </w:rPr>
            </w:pPr>
            <w:r>
              <w:rPr>
                <w:rFonts w:ascii="Times New Roman" w:cs="Times New Roman" w:eastAsia="Times New Roman" w:hAnsi="Times New Roman"/>
                <w:sz w:val="18"/>
                <w:szCs w:val="18"/>
                <w:b w:val="1"/>
                <w:bCs w:val="1"/>
                <w:color w:val="auto"/>
                <w:w w:val="99"/>
              </w:rPr>
              <w:t>BATH &amp; BODY WORKS, INC.</w:t>
            </w:r>
          </w:p>
        </w:tc>
        <w:tc>
          <w:tcPr>
            <w:tcW w:w="3460" w:type="dxa"/>
            <w:vAlign w:val="bottom"/>
          </w:tcPr>
          <w:p>
            <w:pPr>
              <w:spacing w:after="0"/>
              <w:rPr>
                <w:sz w:val="24"/>
                <w:szCs w:val="24"/>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(Issuer with respect to the Securities)</w:t>
            </w:r>
          </w:p>
        </w:tc>
        <w:tc>
          <w:tcPr>
            <w:tcW w:w="3460" w:type="dxa"/>
            <w:vAlign w:val="bottom"/>
          </w:tcPr>
          <w:p>
            <w:pPr>
              <w:spacing w:after="0"/>
              <w:rPr>
                <w:sz w:val="16"/>
                <w:szCs w:val="16"/>
                <w:color w:val="auto"/>
              </w:rPr>
            </w:pPr>
          </w:p>
        </w:tc>
      </w:tr>
      <w:tr>
        <w:trPr>
          <w:trHeight w:val="347"/>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55"/>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31-1029810</w:t>
            </w:r>
          </w:p>
        </w:tc>
      </w:tr>
      <w:tr>
        <w:trPr>
          <w:trHeight w:val="148"/>
        </w:trPr>
        <w:tc>
          <w:tcPr>
            <w:tcW w:w="7560" w:type="dxa"/>
            <w:vAlign w:val="bottom"/>
            <w:gridSpan w:val="3"/>
          </w:tcPr>
          <w:p>
            <w:pPr>
              <w:jc w:val="center"/>
              <w:ind w:right="20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18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3 Limited Parkway</w:t>
            </w:r>
          </w:p>
        </w:tc>
        <w:tc>
          <w:tcPr>
            <w:tcW w:w="3460" w:type="dxa"/>
            <w:vAlign w:val="bottom"/>
          </w:tcPr>
          <w:p>
            <w:pPr>
              <w:spacing w:after="0"/>
              <w:rPr>
                <w:sz w:val="24"/>
                <w:szCs w:val="24"/>
                <w:color w:val="auto"/>
              </w:rPr>
            </w:pPr>
          </w:p>
        </w:tc>
      </w:tr>
      <w:tr>
        <w:trPr>
          <w:trHeight w:val="227"/>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Columbus, OH</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43230</w:t>
            </w:r>
          </w:p>
        </w:tc>
      </w:tr>
      <w:tr>
        <w:trPr>
          <w:trHeight w:val="190"/>
        </w:trPr>
        <w:tc>
          <w:tcPr>
            <w:tcW w:w="756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7"/>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Subordinated Debt Securities</w:t>
            </w:r>
          </w:p>
        </w:tc>
        <w:tc>
          <w:tcPr>
            <w:tcW w:w="3460" w:type="dxa"/>
            <w:vAlign w:val="bottom"/>
          </w:tcPr>
          <w:p>
            <w:pPr>
              <w:spacing w:after="0"/>
              <w:rPr>
                <w:sz w:val="24"/>
                <w:szCs w:val="24"/>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c>
          <w:tcPr>
            <w:tcW w:w="3460" w:type="dxa"/>
            <w:vAlign w:val="bottom"/>
          </w:tcPr>
          <w:p>
            <w:pPr>
              <w:spacing w:after="0"/>
              <w:rPr>
                <w:sz w:val="16"/>
                <w:szCs w:val="16"/>
                <w:color w:val="auto"/>
              </w:rPr>
            </w:pPr>
          </w:p>
        </w:tc>
      </w:tr>
      <w:tr>
        <w:trPr>
          <w:trHeight w:val="213"/>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17" w:right="439" w:bottom="1440" w:gutter="0" w:footer="0" w:header="0"/>
        </w:sectPr>
      </w:pPr>
    </w:p>
    <w:bookmarkStart w:id="71" w:name="page72"/>
    <w:bookmarkEnd w:id="71"/>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GENERAL INFORMATION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the following information as to the Trustee.</w:t>
      </w:r>
    </w:p>
    <w:p>
      <w:pPr>
        <w:spacing w:after="0" w:line="133" w:lineRule="exact"/>
        <w:rPr>
          <w:sz w:val="20"/>
          <w:szCs w:val="20"/>
          <w:color w:val="auto"/>
        </w:rPr>
      </w:pPr>
    </w:p>
    <w:p>
      <w:pPr>
        <w:ind w:left="1980" w:right="3400" w:hanging="999"/>
        <w:spacing w:after="0" w:line="262" w:lineRule="auto"/>
        <w:tabs>
          <w:tab w:leader="none" w:pos="14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Name and address of each examining or supervising authority to which it is subject. </w:t>
      </w:r>
      <w:r>
        <w:rPr>
          <w:rFonts w:ascii="Times New Roman" w:cs="Times New Roman" w:eastAsia="Times New Roman" w:hAnsi="Times New Roman"/>
          <w:sz w:val="18"/>
          <w:szCs w:val="18"/>
          <w:color w:val="auto"/>
        </w:rPr>
        <w:t>Comptroller of the Currency</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Washington, D.C.</w:t>
      </w:r>
    </w:p>
    <w:p>
      <w:pPr>
        <w:spacing w:after="0" w:line="11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Whether it is authorized to exercise corporate trust powers.</w:t>
      </w:r>
    </w:p>
    <w:p>
      <w:pPr>
        <w:spacing w:after="0" w:line="32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Yes</w:t>
      </w:r>
    </w:p>
    <w:p>
      <w:pPr>
        <w:sectPr>
          <w:pgSz w:w="11900" w:h="16838" w:orient="portrait"/>
          <w:cols w:equalWidth="0" w:num="1">
            <w:col w:w="10860"/>
          </w:cols>
          <w:pgMar w:left="440" w:top="266" w:right="599" w:bottom="1440" w:gutter="0" w:footer="0" w:header="0"/>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1280" w:hanging="33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AFFILIATIONS WITH THE OBLIGOR. </w:t>
      </w:r>
      <w:r>
        <w:rPr>
          <w:rFonts w:ascii="Times New Roman" w:cs="Times New Roman" w:eastAsia="Times New Roman" w:hAnsi="Times New Roman"/>
          <w:sz w:val="18"/>
          <w:szCs w:val="18"/>
          <w:i w:val="1"/>
          <w:iCs w:val="1"/>
          <w:color w:val="auto"/>
        </w:rPr>
        <w:t>If the obligor is an affiliate of the Trustee, describe each such affiliation.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ectPr>
          <w:pgSz w:w="11900" w:h="16838" w:orient="portrait"/>
          <w:cols w:equalWidth="0" w:num="2">
            <w:col w:w="700" w:space="720"/>
            <w:col w:w="9440"/>
          </w:cols>
          <w:pgMar w:left="440" w:top="266" w:right="599" w:bottom="1440" w:gutter="0" w:footer="0" w:header="0"/>
          <w:type w:val="continuous"/>
        </w:sectPr>
      </w:pPr>
    </w:p>
    <w:p>
      <w:pPr>
        <w:spacing w:after="0" w:line="103" w:lineRule="exact"/>
        <w:rPr>
          <w:sz w:val="20"/>
          <w:szCs w:val="20"/>
          <w:color w:val="auto"/>
        </w:rPr>
      </w:pPr>
    </w:p>
    <w:p>
      <w:pPr>
        <w:ind w:left="1080" w:hanging="1092"/>
        <w:spacing w:after="0" w:line="284"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Items 3-15</w:t>
      </w:r>
      <w:r>
        <w:rPr>
          <w:sz w:val="20"/>
          <w:szCs w:val="20"/>
          <w:color w:val="auto"/>
        </w:rPr>
        <w:tab/>
      </w:r>
      <w:r>
        <w:rPr>
          <w:rFonts w:ascii="Times New Roman" w:cs="Times New Roman" w:eastAsia="Times New Roman" w:hAnsi="Times New Roman"/>
          <w:sz w:val="18"/>
          <w:szCs w:val="18"/>
          <w:i w:val="1"/>
          <w:iCs w:val="1"/>
          <w:color w:val="auto"/>
        </w:rPr>
        <w:t>Items 3-15 are not applicable because to the best of the Trustee’s knowledge, the obligor is not in default under any Indenture for which the Trustee acts as Trustee.</w:t>
      </w:r>
    </w:p>
    <w:p>
      <w:pPr>
        <w:spacing w:after="0" w:line="30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 xml:space="preserve">LIST OF EXHIBITS: </w:t>
      </w:r>
      <w:r>
        <w:rPr>
          <w:rFonts w:ascii="Times New Roman" w:cs="Times New Roman" w:eastAsia="Times New Roman" w:hAnsi="Times New Roman"/>
          <w:sz w:val="18"/>
          <w:szCs w:val="18"/>
          <w:i w:val="1"/>
          <w:iCs w:val="1"/>
          <w:color w:val="auto"/>
        </w:rPr>
        <w:t>List below all exhibits filed as a part of this statement of eligibility and qualification.</w:t>
      </w:r>
    </w:p>
    <w:p>
      <w:pPr>
        <w:spacing w:after="0" w:line="135" w:lineRule="exact"/>
        <w:rPr>
          <w:sz w:val="20"/>
          <w:szCs w:val="20"/>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Trustee, attached as Exhibit 1.</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commence business, attached as Exhibit 2.</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authorization of the Trustee to exercise corporate trust powers, included as Exhibit 2.</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 attached as Exhibit 4.</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Indenture referred to in Item 4. Not applicable.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Trust Indenture Act of 1939, attached as Exhibit 6.</w:t>
      </w:r>
    </w:p>
    <w:p>
      <w:pPr>
        <w:spacing w:after="0" w:line="130" w:lineRule="exact"/>
        <w:rPr>
          <w:rFonts w:ascii="Times New Roman" w:cs="Times New Roman" w:eastAsia="Times New Roman" w:hAnsi="Times New Roman"/>
          <w:sz w:val="18"/>
          <w:szCs w:val="18"/>
          <w:color w:val="auto"/>
        </w:rPr>
      </w:pPr>
    </w:p>
    <w:p>
      <w:pPr>
        <w:ind w:left="1420" w:right="240" w:hanging="439"/>
        <w:spacing w:after="0" w:line="282"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Condition of the Trustee as of December 31, 2024, published pursuant to law or the requirements of its supervising or examining authority, attached as Exhibit 7.</w:t>
      </w:r>
    </w:p>
    <w:p>
      <w:pPr>
        <w:sectPr>
          <w:pgSz w:w="11900" w:h="16838" w:orient="portrait"/>
          <w:cols w:equalWidth="0" w:num="1">
            <w:col w:w="10860"/>
          </w:cols>
          <w:pgMar w:left="440" w:top="266" w:right="599" w:bottom="1440" w:gutter="0" w:footer="0" w:header="0"/>
          <w:type w:val="continuous"/>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Columbus, State of Ohio on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March, 2025.</w:t>
      </w:r>
    </w:p>
    <w:p>
      <w:pPr>
        <w:spacing w:after="0" w:line="29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Christina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Christina Bruno</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Assistant Vice President</w:t>
      </w:r>
    </w:p>
    <w:p>
      <w:pPr>
        <w:sectPr>
          <w:pgSz w:w="11900" w:h="16838" w:orient="portrait"/>
          <w:cols w:equalWidth="0" w:num="1">
            <w:col w:w="11000"/>
          </w:cols>
          <w:pgMar w:left="440" w:top="266" w:right="459" w:bottom="1440" w:gutter="0" w:footer="0" w:header="0"/>
        </w:sectPr>
      </w:pPr>
    </w:p>
    <w:bookmarkStart w:id="73" w:name="page74"/>
    <w:bookmarkEnd w:id="73"/>
    <w:p>
      <w:pPr>
        <w:ind w:left="516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w:t>
      </w:r>
    </w:p>
    <w:p>
      <w:pPr>
        <w:spacing w:after="0" w:line="117" w:lineRule="exact"/>
        <w:rPr>
          <w:sz w:val="20"/>
          <w:szCs w:val="20"/>
          <w:color w:val="auto"/>
        </w:rPr>
      </w:pPr>
    </w:p>
    <w:p>
      <w:pPr>
        <w:ind w:left="4264"/>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 S. BANK TRUST COMPANY, NATIONAL ASSOCIATION</w:t>
      </w:r>
    </w:p>
    <w:p>
      <w:pPr>
        <w:spacing w:after="0" w:line="207"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For the purpose of organizing an association (the “Association”) to perform any lawful activities of national banks, the undersigned enter into the following Articles of Association:</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title of this Association shall be U. S. Bank Trust Company, National Association.</w:t>
      </w:r>
    </w:p>
    <w:p>
      <w:pPr>
        <w:spacing w:after="0" w:line="225" w:lineRule="exact"/>
        <w:rPr>
          <w:sz w:val="20"/>
          <w:szCs w:val="20"/>
          <w:color w:val="auto"/>
        </w:rPr>
      </w:pPr>
    </w:p>
    <w:p>
      <w:pPr>
        <w:jc w:val="both"/>
        <w:ind w:left="4"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main office of the Association shall be in the city of Portland, county of Multnomah, state of Oregon. The business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71" w:lineRule="exact"/>
        <w:rPr>
          <w:sz w:val="20"/>
          <w:szCs w:val="20"/>
          <w:color w:val="auto"/>
        </w:rPr>
      </w:pPr>
    </w:p>
    <w:p>
      <w:pPr>
        <w:jc w:val="both"/>
        <w:ind w:left="4"/>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THIRD. </w:t>
      </w:r>
      <w:r>
        <w:rPr>
          <w:rFonts w:ascii="Times New Roman" w:cs="Times New Roman" w:eastAsia="Times New Roman" w:hAnsi="Times New Roman"/>
          <w:sz w:val="17"/>
          <w:szCs w:val="17"/>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w:t>
      </w:r>
    </w:p>
    <w:p>
      <w:pPr>
        <w:ind w:left="4" w:right="60" w:hanging="4"/>
        <w:spacing w:after="0" w:line="260" w:lineRule="auto"/>
        <w:tabs>
          <w:tab w:leader="none" w:pos="3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that person’s most recent election to the board of directors, whichever is more recent. Any combination of common or preferred stock of the Association or holding company may be used.</w:t>
      </w:r>
    </w:p>
    <w:p>
      <w:pPr>
        <w:spacing w:after="0" w:line="18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83"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76"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There shall be an annual meeting of the shareholders to elect directors and transact whatever other business may be brought before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It shall be held at the main office or any other convenient place the board of directors may designate, on the day of each year specified therefor in the Bylaws, or if that day falls on a legal holiday in the state in which the</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004"/>
          </w:cols>
          <w:pgMar w:left="436" w:top="266" w:right="459" w:bottom="1440" w:gutter="0" w:footer="0" w:header="0"/>
        </w:sectPr>
      </w:pPr>
    </w:p>
    <w:bookmarkStart w:id="74" w:name="page75"/>
    <w:bookmarkEnd w:id="7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authorized amount of capital stock of the Association shall be 1,000,000 shares of common stock of the par value of ten dollars ($10)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said capital stock may be increased or decreased from time to time, according to the provisions of the laws of the United States. The Association shall have only one class of capital stock.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0"/>
          </w:cols>
          <w:pgMar w:left="440" w:top="270" w:right="479" w:bottom="1440" w:gutter="0" w:footer="0" w:header="0"/>
        </w:sectPr>
      </w:pPr>
    </w:p>
    <w:bookmarkStart w:id="75" w:name="page76"/>
    <w:bookmarkEnd w:id="75"/>
    <w:p>
      <w:pPr>
        <w:ind w:left="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specified in the Articles of Association or required by law, all shares of voting stock shall be voted together as a class, on any matters requiring shareholder approval.</w:t>
      </w:r>
    </w:p>
    <w:p>
      <w:pPr>
        <w:spacing w:after="0" w:line="162"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76"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The board of directors shall appoint one of its members president of this Association and one of its members chairperson of the board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board of directors shall have the power to:</w:t>
      </w:r>
    </w:p>
    <w:p>
      <w:pPr>
        <w:spacing w:after="0" w:line="131" w:lineRule="exact"/>
        <w:rPr>
          <w:sz w:val="20"/>
          <w:szCs w:val="20"/>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duties of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performance of its duties, but not the responsibility for its duties, to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compensation and enter employment contracts with its officers and employees upon reasonable terms and conditions consistent with applicable law.</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 officers and employees.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bonds from officers and employees and to fix the penalty thereof.</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written policies authorized by the Association’s management or committees of the board.</w:t>
      </w:r>
    </w:p>
    <w:p>
      <w:pPr>
        <w:spacing w:after="0" w:line="130" w:lineRule="exact"/>
        <w:rPr>
          <w:rFonts w:ascii="Times New Roman" w:cs="Times New Roman" w:eastAsia="Times New Roman" w:hAnsi="Times New Roman"/>
          <w:sz w:val="18"/>
          <w:szCs w:val="18"/>
          <w:color w:val="auto"/>
        </w:rPr>
      </w:pPr>
    </w:p>
    <w:p>
      <w:pPr>
        <w:jc w:val="both"/>
        <w:ind w:left="424" w:right="40" w:hanging="424"/>
        <w:spacing w:after="0" w:line="266" w:lineRule="auto"/>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10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64"/>
          </w:cols>
          <w:pgMar w:left="436" w:top="270" w:right="499" w:bottom="1440" w:gutter="0" w:footer="0" w:header="0"/>
        </w:sectPr>
      </w:pPr>
    </w:p>
    <w:bookmarkStart w:id="76" w:name="page77"/>
    <w:bookmarkEnd w:id="76"/>
    <w:p>
      <w:pPr>
        <w:ind w:left="424" w:hanging="424"/>
        <w:spacing w:after="0"/>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 and administer the business and affairs of the Association.</w:t>
      </w:r>
    </w:p>
    <w:p>
      <w:pPr>
        <w:spacing w:after="0" w:line="130" w:lineRule="exact"/>
        <w:rPr>
          <w:rFonts w:ascii="Times New Roman" w:cs="Times New Roman" w:eastAsia="Times New Roman" w:hAnsi="Times New Roman"/>
          <w:sz w:val="18"/>
          <w:szCs w:val="18"/>
          <w:color w:val="auto"/>
        </w:rPr>
      </w:pPr>
    </w:p>
    <w:p>
      <w:pPr>
        <w:ind w:left="424" w:right="700" w:hanging="424"/>
        <w:spacing w:after="0" w:line="282"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initial Bylaws, not inconsistent with law or the Articles of Association, for managing the business and regulating the affairs of the Association.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repeal Bylaws, except to the extent that the Articles of Association reserve this power in whole or in part to the shareholders.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contracts.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perform all acts that are legal for a board of directors to perform.</w:t>
      </w:r>
    </w:p>
    <w:p>
      <w:pPr>
        <w:spacing w:after="0" w:line="221" w:lineRule="exact"/>
        <w:rPr>
          <w:sz w:val="20"/>
          <w:szCs w:val="20"/>
          <w:color w:val="auto"/>
        </w:rPr>
      </w:pPr>
    </w:p>
    <w:p>
      <w:pPr>
        <w:ind w:left="4"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board of directors shall have the power to change the location of the main office to any authorized branch within the limits of the 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The corporate existence of this Association shall continue until termination according to the laws of the United States.</w:t>
      </w:r>
    </w:p>
    <w:p>
      <w:pPr>
        <w:spacing w:after="0" w:line="225"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The board of directors of the Association, or any shareholder owning, in the aggregate, not less than 25 percent of the stock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8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64"/>
          </w:cols>
          <w:pgMar w:left="436" w:top="270" w:right="49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we have hereunto set our hands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of June, 1997.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T. Grubb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D. Sznewajs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Dwight V.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K. Chatterjee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Lane</w:t>
      </w:r>
    </w:p>
    <w:p>
      <w:pPr>
        <w:sectPr>
          <w:pgSz w:w="11900" w:h="16838" w:orient="portrait"/>
          <w:cols w:equalWidth="0" w:num="1">
            <w:col w:w="10019"/>
          </w:cols>
          <w:pgMar w:left="440" w:top="270" w:right="1440" w:bottom="1440"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97383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208520" cy="9738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4</w:t>
      </w:r>
    </w:p>
    <w:p>
      <w:pPr>
        <w:spacing w:after="0" w:line="1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1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BYLAWS</w:t>
      </w:r>
    </w:p>
    <w:p>
      <w:pPr>
        <w:spacing w:after="0" w:line="1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Meetings of Shareholders</w:t>
      </w:r>
    </w:p>
    <w:p>
      <w:pPr>
        <w:spacing w:after="0" w:line="20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Nominations for Directors</w:t>
      </w:r>
      <w:r>
        <w:rPr>
          <w:rFonts w:ascii="Times New Roman" w:cs="Times New Roman" w:eastAsia="Times New Roman" w:hAnsi="Times New Roman"/>
          <w:sz w:val="18"/>
          <w:szCs w:val="18"/>
          <w:color w:val="auto"/>
        </w:rPr>
        <w:t>. Nominations for election to the Board may be made by the Board or by any shareholder.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record date for determining shareholders entitled to notice and to vote at any meeting will be thirty days before the date of such meeting, unless otherwise determined by the Board.</w:t>
      </w:r>
    </w:p>
    <w:p>
      <w:pPr>
        <w:sectPr>
          <w:pgSz w:w="11900" w:h="16838" w:orient="portrait"/>
          <w:cols w:equalWidth="0" w:num="1">
            <w:col w:w="10960"/>
          </w:cols>
          <w:pgMar w:left="440" w:top="266" w:right="499" w:bottom="1440" w:gutter="0" w:footer="0" w:header="0"/>
        </w:sectPr>
      </w:pPr>
    </w:p>
    <w:bookmarkStart w:id="80" w:name="page81"/>
    <w:bookmarkEnd w:id="80"/>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Waiver and Consent</w:t>
      </w:r>
      <w:r>
        <w:rPr>
          <w:rFonts w:ascii="Times New Roman" w:cs="Times New Roman" w:eastAsia="Times New Roman" w:hAnsi="Times New Roman"/>
          <w:sz w:val="18"/>
          <w:szCs w:val="18"/>
          <w:color w:val="auto"/>
        </w:rPr>
        <w:t>. The shareholders may act without notice or a meeting by a unanimous written consent by all shareholders.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6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The directors of this Association shall hold office for one year and until their successors are duly elected and qualified, or until their earlier resignation or removal.</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In addition to the foregoing, the Board shall have and may exercise all of the powers granted to or conferred upon it by the Articles of Association, the Bylaws and by law.</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ectPr>
          <w:pgSz w:w="11900" w:h="16838" w:orient="portrait"/>
          <w:cols w:equalWidth="0" w:num="1">
            <w:col w:w="10980"/>
          </w:cols>
          <w:pgMar w:left="440" w:top="270" w:right="479" w:bottom="1440" w:gutter="0" w:footer="0" w:header="0"/>
        </w:sectPr>
      </w:pPr>
    </w:p>
    <w:bookmarkStart w:id="81" w:name="page82"/>
    <w:bookmarkEnd w:id="8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8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Organization Meeting</w:t>
      </w:r>
      <w:r>
        <w:rPr>
          <w:rFonts w:ascii="Times New Roman" w:cs="Times New Roman" w:eastAsia="Times New Roman" w:hAnsi="Times New Roman"/>
          <w:sz w:val="18"/>
          <w:szCs w:val="18"/>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regular meetings of the Board shall be held, without notice, as the Chairman or President may designate and deem suitable.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8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Quorum and Necessary Vote</w:t>
      </w:r>
      <w:r>
        <w:rPr>
          <w:rFonts w:ascii="Times New Roman" w:cs="Times New Roman" w:eastAsia="Times New Roman" w:hAnsi="Times New Roman"/>
          <w:sz w:val="18"/>
          <w:szCs w:val="18"/>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ectPr>
          <w:pgSz w:w="11900" w:h="16838" w:orient="portrait"/>
          <w:cols w:equalWidth="0" w:num="1">
            <w:col w:w="10940"/>
          </w:cols>
          <w:pgMar w:left="440" w:top="270" w:right="519" w:bottom="1440" w:gutter="0" w:footer="0" w:header="0"/>
        </w:sectPr>
      </w:pPr>
    </w:p>
    <w:bookmarkStart w:id="82" w:name="page83"/>
    <w:bookmarkEnd w:id="82"/>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When any vacancy occurs among the directors, the remaining members of the Board may appoint a director to fill such vacancy at any regular meeting of the Board, or at a special meeting called for that purpose.</w:t>
      </w:r>
    </w:p>
    <w:p>
      <w:pPr>
        <w:spacing w:after="0" w:line="37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0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Advisory Board of Directors</w:t>
      </w:r>
      <w:r>
        <w:rPr>
          <w:rFonts w:ascii="Times New Roman" w:cs="Times New Roman" w:eastAsia="Times New Roman" w:hAnsi="Times New Roman"/>
          <w:sz w:val="18"/>
          <w:szCs w:val="18"/>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Trust Audit Committee</w:t>
      </w:r>
      <w:r>
        <w:rPr>
          <w:rFonts w:ascii="Times New Roman" w:cs="Times New Roman" w:eastAsia="Times New Roman" w:hAnsi="Times New Roman"/>
          <w:sz w:val="18"/>
          <w:szCs w:val="18"/>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Audit Committee of the financial holding company that is the ultimate parent of this Association, fulfilling the function of the trust audit committee:</w:t>
      </w:r>
    </w:p>
    <w:p>
      <w:pPr>
        <w:sectPr>
          <w:pgSz w:w="11900" w:h="16838" w:orient="portrait"/>
          <w:cols w:equalWidth="0" w:num="1">
            <w:col w:w="11000"/>
          </w:cols>
          <w:pgMar w:left="440" w:top="270" w:right="459" w:bottom="1440" w:gutter="0" w:footer="0" w:header="0"/>
        </w:sectPr>
      </w:pPr>
    </w:p>
    <w:bookmarkStart w:id="83" w:name="page84"/>
    <w:bookmarkEnd w:id="83"/>
    <w:p>
      <w:pPr>
        <w:ind w:left="440" w:right="20" w:hanging="4"/>
        <w:spacing w:after="0" w:line="282"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Must not include any officers of the Association or an affiliate who participate significantly in the administration of the Association’s fiduciary activities; and</w:t>
      </w:r>
    </w:p>
    <w:p>
      <w:pPr>
        <w:spacing w:after="0" w:line="53" w:lineRule="exact"/>
        <w:rPr>
          <w:rFonts w:ascii="Times New Roman" w:cs="Times New Roman" w:eastAsia="Times New Roman" w:hAnsi="Times New Roman"/>
          <w:sz w:val="18"/>
          <w:szCs w:val="18"/>
          <w:color w:val="auto"/>
        </w:rPr>
      </w:pPr>
    </w:p>
    <w:p>
      <w:pPr>
        <w:ind w:left="440" w:right="260" w:hanging="4"/>
        <w:spacing w:after="0" w:line="282"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consist of a majority of members who are not also members of any committee to which the Board has delegated power to manage and control the fiduciary activities of the Association.</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Executive Committee</w:t>
      </w:r>
      <w:r>
        <w:rPr>
          <w:rFonts w:ascii="Times New Roman" w:cs="Times New Roman" w:eastAsia="Times New Roman" w:hAnsi="Times New Roman"/>
          <w:sz w:val="18"/>
          <w:szCs w:val="18"/>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Trust Management Committee</w:t>
      </w:r>
      <w:r>
        <w:rPr>
          <w:rFonts w:ascii="Times New Roman" w:cs="Times New Roman" w:eastAsia="Times New Roman" w:hAnsi="Times New Roman"/>
          <w:sz w:val="18"/>
          <w:szCs w:val="18"/>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Other Committees</w:t>
      </w:r>
      <w:r>
        <w:rPr>
          <w:rFonts w:ascii="Times New Roman" w:cs="Times New Roman" w:eastAsia="Times New Roman" w:hAnsi="Times New Roman"/>
          <w:sz w:val="18"/>
          <w:szCs w:val="18"/>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8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Meetings, Minutes and Rules</w:t>
      </w:r>
      <w:r>
        <w:rPr>
          <w:rFonts w:ascii="Times New Roman" w:cs="Times New Roman" w:eastAsia="Times New Roman" w:hAnsi="Times New Roman"/>
          <w:sz w:val="18"/>
          <w:szCs w:val="18"/>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ectPr>
          <w:pgSz w:w="11900" w:h="16838" w:orient="portrait"/>
          <w:cols w:equalWidth="0" w:num="1">
            <w:col w:w="11000"/>
          </w:cols>
          <w:pgMar w:left="440" w:top="270" w:right="45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80"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ectPr>
          <w:pgSz w:w="11900" w:h="16838" w:orient="portrait"/>
          <w:cols w:equalWidth="0" w:num="1">
            <w:col w:w="11000"/>
          </w:cols>
          <w:pgMar w:left="440" w:top="270" w:right="459" w:bottom="1440" w:gutter="0" w:footer="0" w:header="0"/>
        </w:sectPr>
      </w:pPr>
    </w:p>
    <w:bookmarkStart w:id="85" w:name="page86"/>
    <w:bookmarkEnd w:id="85"/>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80"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Tenure of Office</w:t>
      </w:r>
      <w:r>
        <w:rPr>
          <w:rFonts w:ascii="Times New Roman" w:cs="Times New Roman" w:eastAsia="Times New Roman" w:hAnsi="Times New Roman"/>
          <w:sz w:val="18"/>
          <w:szCs w:val="18"/>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0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200" w:lineRule="exact"/>
        <w:rPr>
          <w:sz w:val="20"/>
          <w:szCs w:val="20"/>
          <w:color w:val="auto"/>
        </w:rPr>
      </w:pPr>
    </w:p>
    <w:p>
      <w:pPr>
        <w:spacing w:after="0" w:line="20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Corporate Seal</w:t>
      </w:r>
    </w:p>
    <w:p>
      <w:pPr>
        <w:spacing w:after="0" w:line="20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ectPr>
          <w:pgSz w:w="11900" w:h="16838" w:orient="portrait"/>
          <w:cols w:equalWidth="0" w:num="1">
            <w:col w:w="11020"/>
          </w:cols>
          <w:pgMar w:left="440" w:top="270" w:right="439" w:bottom="1440" w:gutter="0" w:footer="0" w:header="0"/>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89"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76" w:lineRule="exact"/>
        <w:rPr>
          <w:sz w:val="20"/>
          <w:szCs w:val="20"/>
          <w:color w:val="auto"/>
        </w:rPr>
      </w:pPr>
    </w:p>
    <w:p>
      <w:pPr>
        <w:ind w:right="10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Trust Files</w:t>
      </w:r>
      <w:r>
        <w:rPr>
          <w:rFonts w:ascii="Times New Roman" w:cs="Times New Roman" w:eastAsia="Times New Roman" w:hAnsi="Times New Roman"/>
          <w:sz w:val="18"/>
          <w:szCs w:val="18"/>
          <w:color w:val="auto"/>
        </w:rPr>
        <w:t>. There shall be maintained in the Association files all fiduciary records necessary to assure that its fiduciary responsibilities have been properly undertaken and discharged.</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 Investments</w:t>
      </w:r>
      <w:r>
        <w:rPr>
          <w:rFonts w:ascii="Times New Roman" w:cs="Times New Roman" w:eastAsia="Times New Roman" w:hAnsi="Times New Roman"/>
          <w:sz w:val="18"/>
          <w:szCs w:val="18"/>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where specified otherwise in these Bylaws, prior notice shall be proper if given not more than 30 days nor less than 10 days prior to the event for which notice is given.</w:t>
      </w:r>
    </w:p>
    <w:p>
      <w:pPr>
        <w:sectPr>
          <w:pgSz w:w="11900" w:h="16838" w:orient="portrait"/>
          <w:cols w:equalWidth="0" w:num="1">
            <w:col w:w="10980"/>
          </w:cols>
          <w:pgMar w:left="440" w:top="270" w:right="479" w:bottom="1440" w:gutter="0" w:footer="0" w:header="0"/>
        </w:sectPr>
      </w:pPr>
    </w:p>
    <w:bookmarkStart w:id="87" w:name="page88"/>
    <w:bookmarkEnd w:id="87"/>
    <w:p>
      <w:pPr>
        <w:ind w:left="49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0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Bylaws: Interpretation and Amendment</w:t>
      </w:r>
    </w:p>
    <w:p>
      <w:pPr>
        <w:spacing w:after="0" w:line="20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Section 9.1. These Bylaws shall be interpreted in accordance with and subject to appropriate provisions of law, and may be added to, altered, amended, or repealed, at any regular or special meeting of the Board.</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Section 9.2. A copy of the Bylaws and all amendments shall at all times be kept in a convenient place at the principal office of the Association, and shall be open for inspection to all shareholders during Association hours.</w:t>
      </w:r>
    </w:p>
    <w:p>
      <w:pPr>
        <w:sectPr>
          <w:pgSz w:w="11900" w:h="16838" w:orient="portrait"/>
          <w:cols w:equalWidth="0" w:num="1">
            <w:col w:w="10920"/>
          </w:cols>
          <w:pgMar w:left="440" w:top="270" w:right="5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Association shall begin on the first day of January in each year and shall end on the thirty-first day of December following.</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8, 2021)</w:t>
      </w:r>
    </w:p>
    <w:p>
      <w:pPr>
        <w:sectPr>
          <w:pgSz w:w="11900" w:h="16838" w:orient="portrait"/>
          <w:cols w:equalWidth="0" w:num="1">
            <w:col w:w="11020"/>
          </w:cols>
          <w:pgMar w:left="440" w:top="270" w:right="439" w:bottom="1440" w:gutter="0" w:footer="0" w:header="0"/>
        </w:sectPr>
      </w:pPr>
    </w:p>
    <w:bookmarkStart w:id="89" w:name="page90"/>
    <w:bookmarkEnd w:id="89"/>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6</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Christina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Christina Bruno</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Assistant Vice President</w:t>
      </w:r>
    </w:p>
    <w:p>
      <w:pPr>
        <w:sectPr>
          <w:pgSz w:w="11900" w:h="16838" w:orient="portrait"/>
          <w:cols w:equalWidth="0" w:num="1">
            <w:col w:w="10920"/>
          </w:cols>
          <w:pgMar w:left="440" w:top="266" w:right="539" w:bottom="1440" w:gutter="0" w:footer="0" w:header="0"/>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 of Financial Condition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12/31/2024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5540" w:type="dxa"/>
            <w:vAlign w:val="bottom"/>
            <w:gridSpan w:val="2"/>
          </w:tcPr>
          <w:p>
            <w:pPr>
              <w:jc w:val="right"/>
              <w:ind w:right="4440"/>
              <w:spacing w:after="0"/>
              <w:rPr>
                <w:sz w:val="20"/>
                <w:szCs w:val="20"/>
                <w:color w:val="auto"/>
              </w:rPr>
            </w:pPr>
            <w:r>
              <w:rPr>
                <w:rFonts w:ascii="Times New Roman" w:cs="Times New Roman" w:eastAsia="Times New Roman" w:hAnsi="Times New Roman"/>
                <w:sz w:val="18"/>
                <w:szCs w:val="18"/>
                <w:b w:val="1"/>
                <w:bCs w:val="1"/>
                <w:color w:val="auto"/>
              </w:rPr>
              <w:t>($000’s)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4700" w:type="dxa"/>
            <w:vAlign w:val="bottom"/>
          </w:tcPr>
          <w:p>
            <w:pPr>
              <w:spacing w:after="0"/>
              <w:rPr>
                <w:sz w:val="24"/>
                <w:szCs w:val="24"/>
                <w:color w:val="auto"/>
              </w:rPr>
            </w:pP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60" w:type="dxa"/>
            <w:vAlign w:val="bottom"/>
          </w:tcPr>
          <w:p>
            <w:pPr>
              <w:spacing w:after="0"/>
              <w:rPr>
                <w:sz w:val="24"/>
                <w:szCs w:val="24"/>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5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5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1,677,809</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Funds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&amp; Lease Financing Receivables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576,194</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5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151,958</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2,411,396</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 Funds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Demand Notes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Trading Liabilities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Borrowed Money</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Acceptances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5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230,451</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230,451</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Surplus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1,171,635</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Undivided Profits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1,009,110</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Minority Interest in Subsidiaries</w:t>
            </w:r>
          </w:p>
        </w:tc>
        <w:tc>
          <w:tcPr>
            <w:tcW w:w="5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Equity Capital</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2,180,945</w:t>
            </w:r>
          </w:p>
        </w:tc>
      </w:t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5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2,411,396</w:t>
            </w:r>
          </w:p>
        </w:tc>
      </w:tr>
    </w:tbl>
    <w:p>
      <w:pPr>
        <w:sectPr>
          <w:pgSz w:w="11900" w:h="16838" w:orient="portrait"/>
          <w:cols w:equalWidth="0" w:num="1">
            <w:col w:w="11020"/>
          </w:cols>
          <w:pgMar w:left="440" w:top="266" w:right="4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185" w:lineRule="exact"/>
        <w:rPr>
          <w:sz w:val="20"/>
          <w:szCs w:val="20"/>
          <w:color w:val="auto"/>
        </w:rPr>
      </w:pPr>
    </w:p>
    <w:p>
      <w:pPr>
        <w:ind w:left="4324"/>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17"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b w:val="1"/>
          <w:bCs w:val="1"/>
          <w:color w:val="auto"/>
        </w:rPr>
        <w:t>FORM S-3ASR</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95" w:lineRule="exact"/>
        <w:rPr>
          <w:sz w:val="20"/>
          <w:szCs w:val="20"/>
          <w:color w:val="auto"/>
        </w:rPr>
      </w:pPr>
    </w:p>
    <w:p>
      <w:pPr>
        <w:ind w:left="4524"/>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3"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130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4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40"/>
        </w:trPr>
        <w:tc>
          <w:tcPr>
            <w:tcW w:w="13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Fee</w:t>
            </w:r>
          </w:p>
        </w:tc>
        <w:tc>
          <w:tcPr>
            <w:tcW w:w="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Proposed</w:t>
            </w:r>
          </w:p>
        </w:tc>
        <w:tc>
          <w:tcPr>
            <w:tcW w:w="74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rPr>
              <w:t>Carry</w:t>
            </w:r>
          </w:p>
        </w:tc>
        <w:tc>
          <w:tcPr>
            <w:tcW w:w="7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xml:space="preserve">       Calculation     </w:t>
            </w: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 xml:space="preserve"> Maximum </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 xml:space="preserve">Forward </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2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 Aggregate </w:t>
            </w: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 xml:space="preserve"> Forward </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12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 xml:space="preserve"> Registration </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64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75"/>
        </w:trPr>
        <w:tc>
          <w:tcPr>
            <w:tcW w:w="130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Title</w:t>
            </w:r>
            <w:r>
              <w:rPr>
                <w:rFonts w:ascii="Times New Roman" w:cs="Times New Roman" w:eastAsia="Times New Roman" w:hAnsi="Times New Roman"/>
                <w:sz w:val="15"/>
                <w:szCs w:val="15"/>
                <w:color w:val="auto"/>
                <w:w w:val="93"/>
                <w:vertAlign w:val="superscript"/>
              </w:rPr>
              <w:t>(1)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 xml:space="preserve"> Registered </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 Rate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0" w:type="dxa"/>
            <w:vAlign w:val="bottom"/>
          </w:tcPr>
          <w:p>
            <w:pPr>
              <w:spacing w:after="0"/>
              <w:rPr>
                <w:sz w:val="1"/>
                <w:szCs w:val="1"/>
                <w:color w:val="auto"/>
              </w:rPr>
            </w:pPr>
          </w:p>
        </w:tc>
      </w:tr>
      <w:tr>
        <w:trPr>
          <w:trHeight w:val="232"/>
        </w:trPr>
        <w:tc>
          <w:tcPr>
            <w:tcW w:w="130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5"/>
          </w:tcPr>
          <w:p>
            <w:pPr>
              <w:jc w:val="center"/>
              <w:ind w:left="755"/>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0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w:t>
            </w: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456(b) and</w:t>
            </w: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00" w:type="dxa"/>
            <w:vAlign w:val="bottom"/>
            <w:tcBorders>
              <w:left w:val="single" w:sz="8" w:color="auto"/>
              <w:right w:val="single" w:sz="8" w:color="auto"/>
            </w:tcBorders>
            <w:vMerge w:val="continue"/>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$0.50 par value</w:t>
            </w:r>
          </w:p>
        </w:tc>
        <w:tc>
          <w:tcPr>
            <w:tcW w:w="1280" w:type="dxa"/>
            <w:vAlign w:val="bottom"/>
            <w:vMerge w:val="continue"/>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457(r)</w:t>
            </w:r>
          </w:p>
        </w:tc>
        <w:tc>
          <w:tcPr>
            <w:tcW w:w="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 Stock,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456(b) and</w:t>
            </w: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0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$1.00 par value</w:t>
            </w:r>
          </w:p>
        </w:tc>
        <w:tc>
          <w:tcPr>
            <w:tcW w:w="1280" w:type="dxa"/>
            <w:vAlign w:val="bottom"/>
            <w:vMerge w:val="continue"/>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457(r)</w:t>
            </w:r>
          </w:p>
        </w:tc>
        <w:tc>
          <w:tcPr>
            <w:tcW w:w="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Depositary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Rule 456(b) and</w:t>
            </w: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457(r)</w:t>
            </w:r>
          </w:p>
        </w:tc>
        <w:tc>
          <w:tcPr>
            <w:tcW w:w="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Rule 456(b) and</w:t>
            </w: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Debt Securities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457(r)</w:t>
            </w:r>
          </w:p>
        </w:tc>
        <w:tc>
          <w:tcPr>
            <w:tcW w:w="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Guarantees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Rule 456(b) and</w:t>
            </w: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Debt Securities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Rule 457(r)</w:t>
            </w:r>
            <w:r>
              <w:rPr>
                <w:rFonts w:ascii="Times New Roman" w:cs="Times New Roman" w:eastAsia="Times New Roman" w:hAnsi="Times New Roman"/>
                <w:sz w:val="22"/>
                <w:szCs w:val="22"/>
                <w:color w:val="auto"/>
                <w:w w:val="95"/>
                <w:vertAlign w:val="superscript"/>
              </w:rPr>
              <w:t>(3)</w:t>
            </w:r>
          </w:p>
        </w:tc>
        <w:tc>
          <w:tcPr>
            <w:tcW w:w="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30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Rule 456(b) and</w:t>
            </w:r>
          </w:p>
        </w:tc>
        <w:tc>
          <w:tcPr>
            <w:tcW w:w="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Warrants(4)</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457(r)</w:t>
            </w:r>
          </w:p>
        </w:tc>
        <w:tc>
          <w:tcPr>
            <w:tcW w:w="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Rule 456(b) and</w:t>
            </w: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Contracts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457(r)</w:t>
            </w:r>
          </w:p>
        </w:tc>
        <w:tc>
          <w:tcPr>
            <w:tcW w:w="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Rule 456(b) and</w:t>
            </w: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457(r)</w:t>
            </w:r>
          </w:p>
        </w:tc>
        <w:tc>
          <w:tcPr>
            <w:tcW w:w="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6"/>
              </w:rPr>
              <w:t>Fees</w:t>
            </w: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Previously</w:t>
            </w: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0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337"/>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Carry</w:t>
            </w: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Forward</w:t>
            </w: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Securities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13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200" w:hanging="424"/>
        <w:spacing w:after="0" w:line="255"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together with other securities registered hereunder.</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456(b) and 457(r) under the Securities Act, the Registrant is deferring payment of all registration fees.</w:t>
      </w:r>
    </w:p>
    <w:p>
      <w:pPr>
        <w:spacing w:after="0" w:line="9"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separate consideration will be received for the guarantees of securities being registered. In accordance with Rule 457(n), no registration fee is payable with respect to such guarantees.</w:t>
      </w:r>
    </w:p>
    <w:p>
      <w:pPr>
        <w:ind w:left="424" w:right="480" w:hanging="424"/>
        <w:spacing w:after="0" w:line="260"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covered by this registration statement may be warrants for debt securities, common stock, preferred stock, depositary shares or securities of third parties or other rights.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lvl w:ilvl="1">
      <w:lvlJc w:val="left"/>
      <w:lvlText w:val="•"/>
      <w:numFmt w:val="bullet"/>
      <w:start w:val="1"/>
    </w:lvl>
  </w:abstractNum>
  <w:abstractNum w:abstractNumId="4">
    <w:nsid w:val="2CA88611"/>
    <w:multiLevelType w:val="hybridMultilevel"/>
    <w:lvl w:ilvl="0">
      <w:lvlJc w:val="left"/>
      <w:lvlText w:val="•"/>
      <w:numFmt w:val="bullet"/>
      <w:start w:val="1"/>
    </w:lvl>
    <w:lvl w:ilvl="1">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lowerLetter"/>
      <w:start w:val="1"/>
    </w:lvl>
    <w:lvl w:ilvl="1">
      <w:lvlJc w:val="left"/>
      <w:lvlText w:val="(%2)"/>
      <w:numFmt w:val="lowerRoman"/>
      <w:start w:val="1"/>
    </w:lvl>
  </w:abstractNum>
  <w:abstractNum w:abstractNumId="28">
    <w:nsid w:val="2D517796"/>
    <w:multiLevelType w:val="hybridMultilevel"/>
    <w:lvl w:ilvl="0">
      <w:lvlJc w:val="left"/>
      <w:lvlText w:val="(%1)"/>
      <w:numFmt w:val="lowerRoman"/>
      <w:start w:val="3"/>
    </w:lvl>
  </w:abstractNum>
  <w:abstractNum w:abstractNumId="29">
    <w:nsid w:val="580BD78F"/>
    <w:multiLevelType w:val="hybridMultilevel"/>
    <w:lvl w:ilvl="0">
      <w:lvlJc w:val="left"/>
      <w:lvlText w:val="(%1)"/>
      <w:numFmt w:val="lowerLetter"/>
      <w:start w:val="2"/>
    </w:lvl>
    <w:lvl w:ilvl="1">
      <w:lvlJc w:val="left"/>
      <w:lvlText w:val="(%2)"/>
      <w:numFmt w:val="lowerRoman"/>
      <w:start w:val="1"/>
    </w:lvl>
  </w:abstractNum>
  <w:abstractNum w:abstractNumId="30">
    <w:nsid w:val="153EA438"/>
    <w:multiLevelType w:val="hybridMultilevel"/>
    <w:lvl w:ilvl="0">
      <w:lvlJc w:val="left"/>
      <w:lvlText w:val="(%1)"/>
      <w:numFmt w:val="lowerLetter"/>
      <w:start w:val="6"/>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lowerLetter"/>
      <w:start w:val="6"/>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7"/>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lowerRoman"/>
      <w:start w:val="3"/>
    </w:lvl>
  </w:abstractNum>
  <w:abstractNum w:abstractNumId="40">
    <w:nsid w:val="4B588F54"/>
    <w:multiLevelType w:val="hybridMultilevel"/>
    <w:lvl w:ilvl="0">
      <w:lvlJc w:val="left"/>
      <w:lvlText w:val="(%1)"/>
      <w:numFmt w:val="decimal"/>
      <w:start w:val="1"/>
    </w:lvl>
    <w:lvl w:ilvl="1">
      <w:lvlJc w:val="left"/>
      <w:lvlText w:val="-"/>
      <w:numFmt w:val="bullet"/>
      <w:start w:val="1"/>
    </w:lvl>
  </w:abstractNum>
  <w:abstractNum w:abstractNumId="41">
    <w:nsid w:val="542289EC"/>
    <w:multiLevelType w:val="hybridMultilevel"/>
    <w:lvl w:ilvl="0">
      <w:lvlJc w:val="left"/>
      <w:lvlText w:val="(%1)"/>
      <w:numFmt w:val="decimal"/>
      <w:start w:val="8"/>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Roman"/>
      <w:start w:val="3"/>
    </w:lvl>
  </w:abstractNum>
  <w:abstractNum w:abstractNumId="47">
    <w:nsid w:val="579478FE"/>
    <w:multiLevelType w:val="hybridMultilevel"/>
    <w:lvl w:ilvl="0">
      <w:lvlJc w:val="left"/>
      <w:lvlText w:val="(%1)"/>
      <w:numFmt w:val="decimal"/>
      <w:start w:val="1"/>
    </w:lvl>
    <w:lvl w:ilvl="1">
      <w:lvlJc w:val="left"/>
      <w:lvlText w:val="-"/>
      <w:numFmt w:val="bullet"/>
      <w:start w:val="1"/>
    </w:lvl>
  </w:abstractNum>
  <w:abstractNum w:abstractNumId="48">
    <w:nsid w:val="749ABB43"/>
    <w:multiLevelType w:val="hybridMultilevel"/>
    <w:lvl w:ilvl="0">
      <w:lvlJc w:val="left"/>
      <w:lvlText w:val="(%1)"/>
      <w:numFmt w:val="decimal"/>
      <w:start w:val="8"/>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jpe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28" Type="http://schemas.openxmlformats.org/officeDocument/2006/relationships/hyperlink" Target="http://www.sec.gov/ix?doc=/Archives/edgar/data/0000701985/000070198525000011/bbwi-20250201.htm" TargetMode="External"/><Relationship Id="rId29" Type="http://schemas.openxmlformats.org/officeDocument/2006/relationships/hyperlink" Target="http://www.sec.gov/ix?doc=/Archives/edgar/data/701985/000070198525000002/bbwi-20250115.htm" TargetMode="External"/><Relationship Id="rId30" Type="http://schemas.openxmlformats.org/officeDocument/2006/relationships/hyperlink" Target="http://www.sec.gov/ix?doc=/Archives/edgar/data/701985/000095010325001428/dp224295_8k.htm" TargetMode="External"/><Relationship Id="rId77" Type="http://schemas.openxmlformats.org/officeDocument/2006/relationships/hyperlink" Target="http://www.sec.gov/Archives/edgar/data/701985/000114036121026658/nt10026698x7_ex3-1.htm" TargetMode="External"/><Relationship Id="rId78" Type="http://schemas.openxmlformats.org/officeDocument/2006/relationships/hyperlink" Target="http://www.sec.gov/Archives/edgar/data/701985/000095010324009021/dp213553_ex0301.htm" TargetMode="External"/><Relationship Id="rId79" Type="http://schemas.openxmlformats.org/officeDocument/2006/relationships/hyperlink" Target="http://www.sec.gov/Archives/edgar/data/701985/000119312516623095/d167047dex41.htm" TargetMode="External"/><Relationship Id="rId80" Type="http://schemas.openxmlformats.org/officeDocument/2006/relationships/hyperlink" Target="http://www.sec.gov/Archives/edgar/data/701985/000119312516623095/d167047dex42.htm" TargetMode="External"/><Relationship Id="rId81" Type="http://schemas.openxmlformats.org/officeDocument/2006/relationships/hyperlink" Target="http://www.sec.gov/Archives/edgar/data/701985/000119312518016808/d527009dex42.htm" TargetMode="External"/><Relationship Id="rId82" Type="http://schemas.openxmlformats.org/officeDocument/2006/relationships/hyperlink" Target="http://www.sec.gov/Archives/edgar/data/701985/000114036119011439/nc10002653x1_ex4-2.htm" TargetMode="External"/><Relationship Id="rId83" Type="http://schemas.openxmlformats.org/officeDocument/2006/relationships/hyperlink" Target="http://www.sec.gov/Archives/edgar/data/701985/000070198519000039/ltd-201983ex41.htm" TargetMode="External"/><Relationship Id="rId84" Type="http://schemas.openxmlformats.org/officeDocument/2006/relationships/hyperlink" Target="http://www.sec.gov/Archives/edgar/data/701985/000070198522000009/bbwi129202210kexhibit429.htm" TargetMode="External"/><Relationship Id="rId85" Type="http://schemas.openxmlformats.org/officeDocument/2006/relationships/hyperlink" Target="http://www.sec.gov/Archives/edgar/data/701985/000110465922035712/tm228755d2_ex4-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2025-03-14T16:41:54Z</dcterms:created>
  <dcterms:modified xsi:type="dcterms:W3CDTF">2025-03-14T16:41:54Z</dcterms:modified>
</cp:coreProperties>
</file>