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Nash Sarah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THREE LIMITED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Bath &amp; Body 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BBWI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52"/>
        <w:gridCol w:w="429"/>
        <w:gridCol w:w="831"/>
        <w:gridCol w:w="1382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$0.50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298,894.77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award of restricted stock units to independent non-employee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includes 88.77 shares acquired pursuant to the Issuer's Dividend Reinvestment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5709" TargetMode="External"/><Relationship Id="rId5" Type="http://schemas.openxmlformats.org/officeDocument/2006/relationships/hyperlink" Target="http://www.sec.gov/cgi-bin/browse-edgar?action=getcompany&amp;CIK=0000701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3203</Characters>
  <CharactersWithSpaces>3730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