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21, 2023 (February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Bath &amp; Body Works,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tbl>
      <w:tblPr>
        <w:tblLayout w:type="fixed"/>
        <w:tblInd w:w="1584"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4580" w:type="dxa"/>
            <w:vAlign w:val="bottom"/>
          </w:tcPr>
          <w:p>
            <w:pPr>
              <w:jc w:val="center"/>
              <w:ind w:right="2141"/>
              <w:spacing w:after="0"/>
              <w:rPr>
                <w:sz w:val="20"/>
                <w:szCs w:val="20"/>
                <w:color w:val="auto"/>
              </w:rPr>
            </w:pPr>
            <w:r>
              <w:rPr>
                <w:rFonts w:ascii="Arial" w:cs="Arial" w:eastAsia="Arial" w:hAnsi="Arial"/>
                <w:sz w:val="18"/>
                <w:szCs w:val="18"/>
                <w:b w:val="1"/>
                <w:bCs w:val="1"/>
                <w:color w:val="auto"/>
                <w:w w:val="91"/>
              </w:rPr>
              <w:t>Delaware</w:t>
            </w:r>
          </w:p>
        </w:tc>
      </w:tr>
      <w:tr>
        <w:trPr>
          <w:trHeight w:val="148"/>
        </w:trPr>
        <w:tc>
          <w:tcPr>
            <w:tcW w:w="2740" w:type="dxa"/>
            <w:vAlign w:val="bottom"/>
          </w:tcPr>
          <w:p>
            <w:pPr>
              <w:spacing w:after="0"/>
              <w:rPr>
                <w:sz w:val="12"/>
                <w:szCs w:val="12"/>
                <w:color w:val="auto"/>
              </w:rPr>
            </w:pPr>
          </w:p>
        </w:tc>
        <w:tc>
          <w:tcPr>
            <w:tcW w:w="458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r>
      <w:tr>
        <w:trPr>
          <w:trHeight w:val="186"/>
        </w:trPr>
        <w:tc>
          <w:tcPr>
            <w:tcW w:w="2740" w:type="dxa"/>
            <w:vAlign w:val="bottom"/>
          </w:tcPr>
          <w:p>
            <w:pPr>
              <w:spacing w:after="0"/>
              <w:rPr>
                <w:sz w:val="16"/>
                <w:szCs w:val="16"/>
                <w:color w:val="auto"/>
              </w:rPr>
            </w:pPr>
          </w:p>
        </w:tc>
        <w:tc>
          <w:tcPr>
            <w:tcW w:w="458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of incorporation)</w:t>
            </w:r>
          </w:p>
        </w:tc>
      </w:tr>
      <w:tr>
        <w:trPr>
          <w:trHeight w:val="327"/>
        </w:trPr>
        <w:tc>
          <w:tcPr>
            <w:tcW w:w="2740" w:type="dxa"/>
            <w:vAlign w:val="bottom"/>
          </w:tcPr>
          <w:p>
            <w:pPr>
              <w:jc w:val="center"/>
              <w:ind w:right="259"/>
              <w:spacing w:after="0"/>
              <w:rPr>
                <w:sz w:val="20"/>
                <w:szCs w:val="20"/>
                <w:color w:val="auto"/>
              </w:rPr>
            </w:pPr>
            <w:r>
              <w:rPr>
                <w:rFonts w:ascii="Arial" w:cs="Arial" w:eastAsia="Arial" w:hAnsi="Arial"/>
                <w:sz w:val="18"/>
                <w:szCs w:val="18"/>
                <w:b w:val="1"/>
                <w:bCs w:val="1"/>
                <w:color w:val="auto"/>
                <w:w w:val="92"/>
              </w:rPr>
              <w:t>1-8344</w:t>
            </w:r>
          </w:p>
        </w:tc>
        <w:tc>
          <w:tcPr>
            <w:tcW w:w="4580" w:type="dxa"/>
            <w:vAlign w:val="bottom"/>
          </w:tcPr>
          <w:p>
            <w:pPr>
              <w:jc w:val="right"/>
              <w:ind w:right="41"/>
              <w:spacing w:after="0"/>
              <w:rPr>
                <w:sz w:val="20"/>
                <w:szCs w:val="20"/>
                <w:color w:val="auto"/>
              </w:rPr>
            </w:pPr>
            <w:r>
              <w:rPr>
                <w:rFonts w:ascii="Arial" w:cs="Arial" w:eastAsia="Arial" w:hAnsi="Arial"/>
                <w:sz w:val="18"/>
                <w:szCs w:val="18"/>
                <w:b w:val="1"/>
                <w:bCs w:val="1"/>
                <w:color w:val="auto"/>
              </w:rPr>
              <w:t>31-1029810</w:t>
            </w:r>
          </w:p>
        </w:tc>
      </w:tr>
      <w:tr>
        <w:trPr>
          <w:trHeight w:val="148"/>
        </w:trPr>
        <w:tc>
          <w:tcPr>
            <w:tcW w:w="274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(Commission</w:t>
            </w:r>
          </w:p>
        </w:tc>
        <w:tc>
          <w:tcPr>
            <w:tcW w:w="4580" w:type="dxa"/>
            <w:vAlign w:val="bottom"/>
          </w:tcPr>
          <w:p>
            <w:pPr>
              <w:jc w:val="center"/>
              <w:ind w:left="33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40" w:type="dxa"/>
            <w:vAlign w:val="bottom"/>
          </w:tcPr>
          <w:p>
            <w:pPr>
              <w:jc w:val="center"/>
              <w:ind w:right="259"/>
              <w:spacing w:after="0"/>
              <w:rPr>
                <w:sz w:val="20"/>
                <w:szCs w:val="20"/>
                <w:color w:val="auto"/>
              </w:rPr>
            </w:pPr>
            <w:r>
              <w:rPr>
                <w:rFonts w:ascii="Arial" w:cs="Arial" w:eastAsia="Arial" w:hAnsi="Arial"/>
                <w:sz w:val="14"/>
                <w:szCs w:val="14"/>
                <w:b w:val="1"/>
                <w:bCs w:val="1"/>
                <w:color w:val="auto"/>
                <w:w w:val="98"/>
              </w:rPr>
              <w:t>File Number)</w:t>
            </w:r>
          </w:p>
        </w:tc>
        <w:tc>
          <w:tcPr>
            <w:tcW w:w="4580" w:type="dxa"/>
            <w:vAlign w:val="bottom"/>
          </w:tcPr>
          <w:p>
            <w:pPr>
              <w:jc w:val="center"/>
              <w:ind w:left="33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740" w:type="dxa"/>
            <w:vAlign w:val="bottom"/>
          </w:tcPr>
          <w:p>
            <w:pPr>
              <w:jc w:val="center"/>
              <w:ind w:right="259"/>
              <w:spacing w:after="0"/>
              <w:rPr>
                <w:sz w:val="20"/>
                <w:szCs w:val="20"/>
                <w:color w:val="auto"/>
              </w:rPr>
            </w:pPr>
            <w:r>
              <w:rPr>
                <w:rFonts w:ascii="Arial" w:cs="Arial" w:eastAsia="Arial" w:hAnsi="Arial"/>
                <w:sz w:val="18"/>
                <w:szCs w:val="18"/>
                <w:b w:val="1"/>
                <w:bCs w:val="1"/>
                <w:color w:val="auto"/>
                <w:w w:val="93"/>
              </w:rPr>
              <w:t>Three Limited Parkway</w:t>
            </w:r>
          </w:p>
        </w:tc>
        <w:tc>
          <w:tcPr>
            <w:tcW w:w="4580" w:type="dxa"/>
            <w:vAlign w:val="bottom"/>
          </w:tcPr>
          <w:p>
            <w:pPr>
              <w:spacing w:after="0"/>
              <w:rPr>
                <w:sz w:val="24"/>
                <w:szCs w:val="24"/>
                <w:color w:val="auto"/>
              </w:rPr>
            </w:pPr>
          </w:p>
        </w:tc>
      </w:tr>
      <w:tr>
        <w:trPr>
          <w:trHeight w:val="225"/>
        </w:trPr>
        <w:tc>
          <w:tcPr>
            <w:tcW w:w="2740" w:type="dxa"/>
            <w:vAlign w:val="bottom"/>
          </w:tcPr>
          <w:p>
            <w:pPr>
              <w:jc w:val="center"/>
              <w:ind w:right="259"/>
              <w:spacing w:after="0"/>
              <w:rPr>
                <w:sz w:val="20"/>
                <w:szCs w:val="20"/>
                <w:color w:val="auto"/>
              </w:rPr>
            </w:pPr>
            <w:r>
              <w:rPr>
                <w:rFonts w:ascii="Arial" w:cs="Arial" w:eastAsia="Arial" w:hAnsi="Arial"/>
                <w:sz w:val="18"/>
                <w:szCs w:val="18"/>
                <w:b w:val="1"/>
                <w:bCs w:val="1"/>
                <w:color w:val="auto"/>
                <w:w w:val="92"/>
              </w:rPr>
              <w:t>Columbus, OH</w:t>
            </w:r>
          </w:p>
        </w:tc>
        <w:tc>
          <w:tcPr>
            <w:tcW w:w="4580" w:type="dxa"/>
            <w:vAlign w:val="bottom"/>
          </w:tcPr>
          <w:p>
            <w:pPr>
              <w:jc w:val="right"/>
              <w:ind w:right="261"/>
              <w:spacing w:after="0"/>
              <w:rPr>
                <w:sz w:val="20"/>
                <w:szCs w:val="20"/>
                <w:color w:val="auto"/>
              </w:rPr>
            </w:pPr>
            <w:r>
              <w:rPr>
                <w:rFonts w:ascii="Arial" w:cs="Arial" w:eastAsia="Arial" w:hAnsi="Arial"/>
                <w:sz w:val="18"/>
                <w:szCs w:val="18"/>
                <w:b w:val="1"/>
                <w:bCs w:val="1"/>
                <w:color w:val="auto"/>
              </w:rPr>
              <w:t>43230</w:t>
            </w:r>
          </w:p>
        </w:tc>
      </w:tr>
      <w:tr>
        <w:trPr>
          <w:trHeight w:val="186"/>
        </w:trPr>
        <w:tc>
          <w:tcPr>
            <w:tcW w:w="2740" w:type="dxa"/>
            <w:vAlign w:val="bottom"/>
          </w:tcPr>
          <w:p>
            <w:pPr>
              <w:jc w:val="center"/>
              <w:ind w:right="2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80" w:type="dxa"/>
            <w:vAlign w:val="bottom"/>
          </w:tcPr>
          <w:p>
            <w:pPr>
              <w:jc w:val="center"/>
              <w:ind w:left="33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(614) 415-7000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$0.50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BBWI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On February 20, 2023, the Board of Directors (the “Board”) of Bath &amp; Body Works, Inc. (the “Company”) appointed Steven E. Voskuil as an independent director of the Company effective as of February 21, 2023.</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Voskuil has served as Senior Vice President and Chief Financial Officer of The Hershey Company (“Hershey”) since 2019, leading Hershey’s global finance organization, including financial planning and analysis, accounting and reporting, tax, treasury, internal audit and investor relations. Before joining Hershey, Mr. Voskuil served as Senior Vice President and Chief Financial Officer of Avanos Medical, Inc. (previously Halyard Health, Inc.), a global medical device company serving healthcare needs in more than 90 countries, since 2014.</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Mr. Voskuil will receive the standard compensation payable to non-employee directors of the Company, which is described in the Company’s 2022 proxy statement filed with the U.S. Securities and Exchange Commission on March 31, 2022. Mr. Voskuil has not been named to any committees of the Board at this time.</w:t>
      </w:r>
    </w:p>
    <w:p>
      <w:pPr>
        <w:spacing w:after="0" w:line="18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There is no arrangement or understanding between Mr. Voskuil and any other person pursuant to which he was selected as a director. Mr. Voskuil has no direct or indirect material interest in any transaction required to be disclosed pursuant to Item 404(a) of Regulation S-K.</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February 21, 2023, the Company issued a press release with respect to the appointment of Mr. Voskuil to the Board, a copy of which is furnished with this Current Report on Form 8-K (“Current Report”) as Exhibit 99.1 and incorporated into this Item 7.01 by reference. The information in this Item 7.01 of this Current Report (including Exhibit 99.1) shall not be deemed to be “filed” for the purposes of Section 18 of the Securities Exchange Act of 1934, as amended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u w:val="single" w:color="auto"/>
          <w:color w:val="0000EE"/>
        </w:rPr>
        <w:t>Press Release of Bath &amp; Body Works, Inc., dated February 21, 2023.</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760" w:type="dxa"/>
            <w:vAlign w:val="bottom"/>
            <w:gridSpan w:val="2"/>
          </w:tcPr>
          <w:p>
            <w:pPr>
              <w:ind w:left="1520"/>
              <w:spacing w:after="0"/>
              <w:rPr>
                <w:sz w:val="20"/>
                <w:szCs w:val="20"/>
                <w:color w:val="auto"/>
              </w:rPr>
            </w:pPr>
            <w:r>
              <w:rPr>
                <w:rFonts w:ascii="Arial" w:cs="Arial" w:eastAsia="Arial" w:hAnsi="Arial"/>
                <w:sz w:val="18"/>
                <w:szCs w:val="18"/>
                <w:color w:val="auto"/>
              </w:rPr>
              <w:t>BATH &amp; BODY WORKS, INC.</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February 21, 2023</w:t>
            </w:r>
          </w:p>
        </w:tc>
        <w:tc>
          <w:tcPr>
            <w:tcW w:w="7760" w:type="dxa"/>
            <w:vAlign w:val="bottom"/>
            <w:gridSpan w:val="2"/>
          </w:tcPr>
          <w:p>
            <w:pPr>
              <w:ind w:left="1520"/>
              <w:spacing w:after="0"/>
              <w:rPr>
                <w:sz w:val="20"/>
                <w:szCs w:val="20"/>
                <w:color w:val="auto"/>
              </w:rPr>
            </w:pPr>
            <w:r>
              <w:rPr>
                <w:rFonts w:ascii="Arial" w:cs="Arial" w:eastAsia="Arial" w:hAnsi="Arial"/>
                <w:sz w:val="18"/>
                <w:szCs w:val="18"/>
                <w:color w:val="auto"/>
              </w:rPr>
              <w:t>By:   /s/ Michael C. Wu</w:t>
            </w:r>
          </w:p>
        </w:tc>
      </w:tr>
      <w:tr>
        <w:trPr>
          <w:trHeight w:val="222"/>
        </w:trPr>
        <w:tc>
          <w:tcPr>
            <w:tcW w:w="3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Michael C. Wu</w:t>
            </w:r>
          </w:p>
        </w:tc>
      </w:tr>
      <w:tr>
        <w:trPr>
          <w:trHeight w:val="230"/>
        </w:trPr>
        <w:tc>
          <w:tcPr>
            <w:tcW w:w="3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Title:  Chief Legal Officer and Corporate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Bath &amp; Body Works Appoints Steve Voskuil to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Seasoned Finance Executive Brings Over 30 Years of Experience to Board</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COLUMBUS, Ohio, February 21, 2023 – Bath &amp; Body Works, Inc. (NYSE: BBWI) announced today that Steve Voskuil, currently Senior Vice President and Chief Financial Officer at The Hershey Company, has been appointed as a new independent member of the Company’s Board of Directors. Mr. Voskuil is a highly accomplished executive with over 30 years of experience who brings global consumer products expertise and strong financial and capital allocation experience to further strengthen the diverse set of skills and experiences represented on the Board.</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Sarah Nash, Board Chair, commented, “We are very pleased to welcome a finance leader of Steve’s caliber as the newest director on our Board. He brings deep knowledge of the global consumer products industry as well as substantial expertise in leading financial operations that spans from oversight of capital allocation and investment to technology infrastructure transformation. We are confident the Company and Board will benefit from his insights across areas directly relevant to our business as we advance our efforts to drive long-term value creation and position Bath &amp; Body Works for the future.”</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Mr. Voskuil said, “Bath &amp; Body Works is an industry leader with strong growth prospects, and I am thrilled to join its Board as a new independent director. I look forward to leveraging both my financial and industry expertise in collaboration with the Board and management team to help advance the Company’s strategic initiatives and deliver enhanced value for shareholders.”</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Mr. Voskuil’s appointment to the Bath &amp; Body Works Board follows the recently announced appointment of Lucy Brady, President, Grocery &amp; Snacks at Conagra Brands, as an independent director. With these two new directors, the Board now comprises 12 directors, 11 of whom are independent and seven of whom are members of diverse communities: female, people of color and/or LGBTQIA+.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Steve Voskuil</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Mr. Voskuil has served as Senior Vice President and Chief Financial Officer for The Hershey Company since 2019 and is responsible for leading its global finance organization, including financial planning and analysis, accounting and reporting, tax, treasury, internal audit and investor relations.</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Mr. Voskuil joined Hershey from Avanos Medical (previously Halyard Health), a global medical device company serving healthcare needs in more than 90 countries, where he served as Chief Financial Officer since 2014. Mr. Voskuil was Senior Vice President and Chief Financial Officer for Avanos/Halyard for four years where he helped lead its successful spin-off from Kimberly-Clark Corporation as a public company.</w:t>
      </w:r>
    </w:p>
    <w:p>
      <w:pPr>
        <w:spacing w:after="0" w:line="16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Before Avanos/Halyard Health, Mr. Voskuil worked for 23 years at Kimberly-Clark Corporation, including serving as Vice President of Finance for Kimberly-Clark International and Vice President and Treasurer of Kimberly-Clark Corporation. In his various leadership roles at Kimberly-Clark Corporation, he gained deep experiences across finance, operational management, international and transformative leadership.</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BATH &amp; BODY WORKS:</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Home of America’s Favorite Fragrances</w:t>
      </w:r>
      <w:r>
        <w:rPr>
          <w:rFonts w:ascii="Arial" w:cs="Arial" w:eastAsia="Arial" w:hAnsi="Arial"/>
          <w:sz w:val="26"/>
          <w:szCs w:val="26"/>
          <w:color w:val="auto"/>
          <w:vertAlign w:val="superscript"/>
        </w:rPr>
        <w:t>®</w:t>
      </w:r>
      <w:r>
        <w:rPr>
          <w:rFonts w:ascii="Arial" w:cs="Arial" w:eastAsia="Arial" w:hAnsi="Arial"/>
          <w:sz w:val="18"/>
          <w:szCs w:val="18"/>
          <w:color w:val="auto"/>
        </w:rPr>
        <w:t>, Bath &amp; Body Works is a global leader in personal care and home fragrance, including the #1 selling collections for fine fragrance mist, body lotion and body cream, 3-wick candles, home fragrance diffusers and liquid hand soap. Powered by agility and innovation, the company’s predominantly U.S.-based supply chain enables the company to deliver quality, on-trend luxuries at affordable prices. Bath &amp; Body Works serves and delights customers however and wherever they want to shop, from welcoming, in-store experiences at more than 1,785 company-operated Bath &amp; Body Works locations in the U.S. and Canada and more than 390 international franchised locations to an online storefront at bathandbodyworks.com.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72" w:lineRule="exact"/>
        <w:rPr>
          <w:sz w:val="20"/>
          <w:szCs w:val="20"/>
          <w:color w:val="auto"/>
        </w:rPr>
      </w:pPr>
    </w:p>
    <w:p>
      <w:pPr>
        <w:ind w:left="960" w:right="12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has had and may continue to have an adverse effect on our business and results of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anticipated benefits from the Victoria’s Secret &amp; Co. spin-off may not be realized;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spin-off of Victoria’s Secret &amp; Co. may not be tax-free for U.S. federal income tax purposes;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Victoria’s Secret &amp; Co. for information technology services;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dependence on store traffic and the availability of suitable store locations on appropriate terms;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continued growth in part through new store openings and existing store remodels and expansions;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direct channel 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complete environmental, social and governance initiatives, and associated costs thereof;</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enforce and protect our trade names, trademarks and patents;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130"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develop new merchandise and launch new product lines successfully;</w:t>
      </w:r>
    </w:p>
    <w:p>
      <w:pPr>
        <w:sectPr>
          <w:pgSz w:w="11900" w:h="16838" w:orient="portrait"/>
          <w:cols w:equalWidth="0" w:num="1">
            <w:col w:w="11000"/>
          </w:cols>
          <w:pgMar w:left="440" w:top="270" w:right="459" w:bottom="1440" w:gutter="0" w:footer="0" w:header="0"/>
        </w:sectPr>
      </w:pPr>
    </w:p>
    <w:bookmarkStart w:id="5" w:name="page6"/>
    <w:bookmarkEnd w:id="5"/>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ability to source, distribute and sell goods and materials on a global basis, including risks related to:</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wars and other armed conflicts, environmental hazards or natural disasters;</w:t>
      </w:r>
    </w:p>
    <w:p>
      <w:pPr>
        <w:spacing w:after="0" w:line="130" w:lineRule="exact"/>
        <w:rPr>
          <w:rFonts w:ascii="Arial" w:cs="Arial" w:eastAsia="Arial" w:hAnsi="Arial"/>
          <w:sz w:val="18"/>
          <w:szCs w:val="18"/>
          <w:color w:val="auto"/>
        </w:rPr>
      </w:pPr>
    </w:p>
    <w:p>
      <w:pPr>
        <w:ind w:left="1420" w:right="300" w:hanging="331"/>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significant health hazards or pandemics, which could result in closed factories and/or stores, reduced workforces, scarcity of raw materials, and scrutiny or embargoing of goods produced in impacted areas;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delays or disruptions in shipping and transportation and related pricing impacts;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suppliers to support a substantial portion of our inventory purchasing needs;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vendors to deliver products in a timely manner, meet quality standards and comply with applicable laws and regulations;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product input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energy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costs of mailing, paper, printing or other order fulfillment logistics;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130" w:lineRule="exact"/>
        <w:rPr>
          <w:rFonts w:ascii="Arial" w:cs="Arial" w:eastAsia="Arial" w:hAnsi="Arial"/>
          <w:sz w:val="18"/>
          <w:szCs w:val="18"/>
          <w:color w:val="auto"/>
        </w:rPr>
      </w:pPr>
    </w:p>
    <w:p>
      <w:pPr>
        <w:ind w:left="960" w:hanging="424"/>
        <w:spacing w:after="0" w:line="34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and our third-party service providers’, including Victoria’s Secret &amp; Co. during the term of the Transition Services Agreement between us and Victoria’s Secret &amp; Co., ability to implement and maintain information technology systems and to protect associated data;</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dividends and make share repurchases under share repurchase authorizations;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credit ratings;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or refinance our debt and maintain compliance with our restrictive covenants;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transition from London Interbank Offered Rate and our ability to adequately manage such transition;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laws, regulations and technology platform rules or other obligations related to data privacy and security;</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225" w:lineRule="exact"/>
        <w:rPr>
          <w:sz w:val="20"/>
          <w:szCs w:val="20"/>
          <w:color w:val="auto"/>
        </w:rPr>
      </w:pPr>
    </w:p>
    <w:p>
      <w:pPr>
        <w:jc w:val="both"/>
        <w:ind w:right="320"/>
        <w:spacing w:after="0" w:line="287" w:lineRule="auto"/>
        <w:rPr>
          <w:sz w:val="20"/>
          <w:szCs w:val="20"/>
          <w:color w:val="auto"/>
        </w:rPr>
      </w:pPr>
      <w:r>
        <w:rPr>
          <w:rFonts w:ascii="Arial" w:cs="Arial" w:eastAsia="Arial" w:hAnsi="Arial"/>
          <w:sz w:val="16"/>
          <w:szCs w:val="16"/>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Additional information regarding these and other factors can be found in “Item 1A. Risk Factors” in our 2021 Annual Report on Form 10-K, as filed with the Securities and Exchange Commission (the “SEC”), and our subsequent filings.</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Additional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Bath &amp; Body Works, Inc. (the “Company”) intends to file a proxy statement and WHITE proxy card with the SEC in connection with the solicitation of proxies for the Company’s 2023 Annual Meeting of Stockholders (the “Proxy Statement” and such meeting the “Annual Meeting”). The Company, its directors and certain of its executive officers will be participants in the solicitation of proxies from shareholders in respect of the Annual Meeting. Information regarding the names of the Company’s directors and executive officers and their respective interests in the Company by security holdings or otherwise are set forth in the Company’s proxy statement for the 2022 Annual Meeting of Stockholders, filed with the SEC on March 31, 2022 (the “2022 Proxy Statement”). To the extent holdings of such participants in the Company’s securities have changed since the amounts described in the 2022 Proxy Statement, such changes have been reflected on Initial Statements of Beneficial Ownership on Form 3 or Statements of Changes in Beneficial Ownership on Form 4 filed with the SEC. Additional information can also be found in the Company’s quarterly reports on Form 10-Q, filed with the SEC on November 30, 2022, September 2, 2022 and June 2, 2022. Details concerning the nominees of the Company’s Board of Directors for election at the Annual Meeting will be included in the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documents filed by the Company free of charge from the SEC’s website, www.sec.gov. The Company’s shareholders will also be able to obtain, without charge, a copy of the definitive Proxy Statement and other relevant filed documents by directing a request by mail to Bath &amp; Body Works, Inc., Attention: Investor Relations, Three Limited Parkway, Columbus, Ohio 43230, or from the Company’s website, www.bbwinc.com.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Bath &amp; Body Works,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Heather Hollander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InvestorRelations@bbw.com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Tammy Roberts Myers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Communications@bbw.com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2023-02-21T17:44:57Z</dcterms:created>
  <dcterms:modified xsi:type="dcterms:W3CDTF">2023-02-21T17:44:57Z</dcterms:modified>
</cp:coreProperties>
</file>