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Mazurek Thomas E.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THREE LIMITED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Bath &amp; Body Works,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BBWI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Supply Chain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$0.50 par value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40,921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118,653.577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$0.50 par value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112,681.404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units vesting 30% on the first anniversary of March 12, 2026 (the "Grant Date"), 30% on the second anniversary of the Grant Date and 40% on the third anniversary of the Grant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in connection with the vesting of restricted stock units to cover tax withholding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Total includes 354.827 shares acquired pursuant to the Issuer's Dividend Reinvestment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1854" TargetMode="External"/><Relationship Id="rId14" Type="http://schemas.openxmlformats.org/officeDocument/2006/relationships/hyperlink" Target="http://www.sec.gov/cgi-bin/browse-edgar?action=getcompany&amp;CIK=00007019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2026-03-16T17:26:34Z</dcterms:created>
  <dcterms:modified xsi:type="dcterms:W3CDTF">2026-03-16T17:26:34Z</dcterms:modified>
</cp:coreProperties>
</file>