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32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CURRENT REPORT PURSUANT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TO SECTION 13 OR 15(d) OF THE</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11, 2026</w:t>
      </w:r>
    </w:p>
    <w:tbl>
      <w:tblPr>
        <w:tblW w:w="9045" w:type="dxa"/>
        <w:jc w:val="center"/>
        <w:tblInd w:w="0" w:type="dxa"/>
        <w:tblLayout w:type="fixed"/>
        <w:tblCellMar>
          <w:top w:w="28" w:type="dxa"/>
          <w:left w:w="28" w:type="dxa"/>
          <w:bottom w:w="28" w:type="dxa"/>
          <w:right w:w="28" w:type="dxa"/>
        </w:tblCellMar>
      </w:tblPr>
      <w:tblGrid>
        <w:gridCol w:w="541"/>
        <w:gridCol w:w="475"/>
        <w:gridCol w:w="475"/>
        <w:gridCol w:w="475"/>
        <w:gridCol w:w="475"/>
        <w:gridCol w:w="484"/>
        <w:gridCol w:w="1074"/>
        <w:gridCol w:w="1074"/>
        <w:gridCol w:w="1077"/>
        <w:gridCol w:w="845"/>
        <w:gridCol w:w="845"/>
        <w:gridCol w:w="1205"/>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 xml:space="preserve">Bath &amp; Body Works, Inc. </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1-8344</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31-1029810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Limited Parkway</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Columbus,</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43230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415-7000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$0.50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BBWI</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Inc. (the "Company") held its Annual Meeting of Stockholders (the “Annual Meeting”) on June 11, 2026. The matters voted upon at the Annual Meeting, each of which is described in the Company’s 2026 Proxy Statement filed on April 28, 2026 (the “Proxy Statement”), and the results of the voting were as follows: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Election of Directors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Alessandro Bogliolo, Lucy O. Brady, Daniel J. Heaf, Francis A. Hondal, Danielle M. Lee, Sarah E. Nash, Juan Rajlin, Stephen D. Steinour, J.K. Symancyk, and Steven E. Voskuil were elected to the Board for a term of one year. Of the 180,873,116 shares present in person or represented by proxy at the meeting, the number of shares voted for, the number of shares voted against, the number of shares abstained and the number of broker non-votes were as follows, with respect to each of the nominees:</w:t>
      </w:r>
    </w:p>
    <w:tbl>
      <w:tblPr>
        <w:tblW w:w="7502" w:type="dxa"/>
        <w:jc w:val="left"/>
        <w:tblInd w:w="0" w:type="dxa"/>
        <w:tblLayout w:type="fixed"/>
        <w:tblCellMar>
          <w:top w:w="28" w:type="dxa"/>
          <w:left w:w="28" w:type="dxa"/>
          <w:bottom w:w="28" w:type="dxa"/>
          <w:right w:w="28" w:type="dxa"/>
        </w:tblCellMar>
      </w:tblPr>
      <w:tblGrid>
        <w:gridCol w:w="887"/>
        <w:gridCol w:w="780"/>
        <w:gridCol w:w="783"/>
        <w:gridCol w:w="379"/>
        <w:gridCol w:w="379"/>
        <w:gridCol w:w="383"/>
        <w:gridCol w:w="502"/>
        <w:gridCol w:w="502"/>
        <w:gridCol w:w="507"/>
        <w:gridCol w:w="259"/>
        <w:gridCol w:w="259"/>
        <w:gridCol w:w="263"/>
        <w:gridCol w:w="474"/>
        <w:gridCol w:w="474"/>
        <w:gridCol w:w="671"/>
      </w:tblGrid>
      <w:tr>
        <w:trPr/>
        <w:tc>
          <w:tcPr>
            <w:tcW w:w="8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5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Alessandro Bogliolo</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156,389,860</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7,851,331</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230,601</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Lucy O. Brady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161,941,704</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2,279,447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250,641</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Daniel J. Heaf</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163,161,351</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1,065,753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244,688</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Francis A. Hondal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162,546,250</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1,696,956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228,586</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Danielle M. Lee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161,772,345</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2,449,027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250,420</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Sarah E. Nash</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162,673,795</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80"/>
              <w:jc w:val="center"/>
              <w:rPr>
                <w:rFonts w:ascii="Times New Roman;serif" w:hAnsi="Times New Roman;serif"/>
                <w:b w:val="false"/>
                <w:color w:val="000000"/>
                <w:sz w:val="20"/>
              </w:rPr>
            </w:pPr>
            <w:r>
              <w:rPr>
                <w:rFonts w:ascii="Times New Roman;serif" w:hAnsi="Times New Roman;serif"/>
                <w:b w:val="false"/>
                <w:color w:val="000000"/>
                <w:sz w:val="20"/>
              </w:rPr>
              <w:t>1,574,595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223,402</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Juan Rajlin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161,864,901</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2,359,206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247,685</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Stephen D. Steinour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160,903,641</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3,340,853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227,298</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J.K. Symancyk</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161,975,515</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2,264,774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231,503</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r>
        <w:trPr/>
        <w:tc>
          <w:tcPr>
            <w:tcW w:w="24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Steven E. Voskuil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162,936,336</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560"/>
              <w:jc w:val="center"/>
              <w:rPr>
                <w:rFonts w:ascii="Times New Roman;serif" w:hAnsi="Times New Roman;serif"/>
                <w:b w:val="false"/>
                <w:color w:val="000000"/>
                <w:sz w:val="20"/>
              </w:rPr>
            </w:pPr>
            <w:r>
              <w:rPr>
                <w:rFonts w:ascii="Times New Roman;serif" w:hAnsi="Times New Roman;serif"/>
                <w:b w:val="false"/>
                <w:color w:val="000000"/>
                <w:sz w:val="20"/>
              </w:rPr>
              <w:t>1,309,686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225,770</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16,401,324</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Ratification of the Independent Registered Public Accounting Firm</w:t>
      </w:r>
    </w:p>
    <w:p>
      <w:pPr>
        <w:pStyle w:val="TextBody"/>
        <w:bidi w:val="0"/>
        <w:spacing w:before="0" w:after="0"/>
        <w:jc w:val="left"/>
        <w:rPr/>
      </w:pPr>
      <w:r>
        <w:rPr/>
      </w:r>
    </w:p>
    <w:p>
      <w:pPr>
        <w:pStyle w:val="TextBody"/>
        <w:bidi w:val="0"/>
        <w:spacing w:lineRule="auto" w:line="280" w:before="0" w:after="0"/>
        <w:jc w:val="left"/>
        <w:rPr>
          <w:rFonts w:ascii="Times New Roman;serif" w:hAnsi="Times New Roman;serif"/>
          <w:b w:val="false"/>
          <w:color w:val="000000"/>
          <w:sz w:val="20"/>
        </w:rPr>
      </w:pPr>
      <w:r>
        <w:rPr>
          <w:rFonts w:ascii="Times New Roman;serif" w:hAnsi="Times New Roman;serif"/>
          <w:b w:val="false"/>
          <w:color w:val="000000"/>
          <w:sz w:val="20"/>
        </w:rPr>
        <w:t>The appointment of Ernst &amp; Young LLP as the Company’s independent registered public accounting firm for the 2026 fiscal year was ratified, with 178,656,095 shares voting for the appointment, 2,033,828 shares voting against the appointment and 183,193 shares abstaining.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Advisory Vote on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of the Company’s named executive officers as described in the Proxy Statement was approved by the Company’s stockholders, on an advisory basis, with 159,868,611 shares voting for the Company’s executive compensation, 4,342,715 shares voting against the Company’s executive compensation, 260,466 shares abstaining and 16,401,324 broker non-votes. 97.35% of the shares voting on the proposal voted in favor of the proposal.</w:t>
      </w:r>
    </w:p>
    <w:p>
      <w:pPr>
        <w:pStyle w:val="TextBody"/>
        <w:bidi w:val="0"/>
        <w:spacing w:before="120" w:after="12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44" w:type="dxa"/>
        <w:jc w:val="righ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773"/>
        <w:gridCol w:w="773"/>
        <w:gridCol w:w="10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3904</Characters>
  <CharactersWithSpaces>4493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