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CURRENT REPORT PURSUANT</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 SECTION 13 OR 15(d) OF THE</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May 20, 2026</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Bath &amp; Body Works, Inc.</w:t>
            </w:r>
          </w:p>
        </w:tc>
      </w:tr>
      <w:tr>
        <w:trPr>
          <w:trHeight w:val="144"/>
        </w:trPr>
        <w:tc>
          <w:tcPr>
            <w:tcW w:w="2520" w:type="dxa"/>
            <w:vAlign w:val="bottom"/>
          </w:tcPr>
          <w:p>
            <w:pPr>
              <w:spacing w:after="0"/>
              <w:rPr>
                <w:sz w:val="12"/>
                <w:szCs w:val="12"/>
                <w:color w:val="auto"/>
              </w:rPr>
            </w:pPr>
          </w:p>
        </w:tc>
        <w:tc>
          <w:tcPr>
            <w:tcW w:w="6720" w:type="dxa"/>
            <w:vAlign w:val="bottom"/>
          </w:tcPr>
          <w:p>
            <w:pPr>
              <w:jc w:val="center"/>
              <w:ind w:right="2534"/>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9"/>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20" w:type="dxa"/>
            <w:vAlign w:val="bottom"/>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rPr>
              <w:t>1-8344</w:t>
            </w:r>
          </w:p>
        </w:tc>
        <w:tc>
          <w:tcPr>
            <w:tcW w:w="6720" w:type="dxa"/>
            <w:vAlign w:val="bottom"/>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31-1029810</w:t>
            </w:r>
          </w:p>
        </w:tc>
      </w:tr>
      <w:tr>
        <w:trPr>
          <w:trHeight w:val="234"/>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91"/>
        </w:trPr>
        <w:tc>
          <w:tcPr>
            <w:tcW w:w="2520" w:type="dxa"/>
            <w:vAlign w:val="bottom"/>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w w:val="99"/>
              </w:rPr>
              <w:t>Three Limited Parkway</w:t>
            </w:r>
          </w:p>
        </w:tc>
        <w:tc>
          <w:tcPr>
            <w:tcW w:w="6720" w:type="dxa"/>
            <w:vAlign w:val="bottom"/>
          </w:tcPr>
          <w:p>
            <w:pPr>
              <w:spacing w:after="0"/>
              <w:rPr>
                <w:sz w:val="24"/>
                <w:szCs w:val="24"/>
                <w:color w:val="auto"/>
              </w:rPr>
            </w:pPr>
          </w:p>
        </w:tc>
      </w:tr>
      <w:tr>
        <w:trPr>
          <w:trHeight w:val="229"/>
        </w:trPr>
        <w:tc>
          <w:tcPr>
            <w:tcW w:w="2520" w:type="dxa"/>
            <w:vAlign w:val="bottom"/>
          </w:tcPr>
          <w:p>
            <w:pPr>
              <w:jc w:val="center"/>
              <w:ind w:right="54"/>
              <w:spacing w:after="0"/>
              <w:rPr>
                <w:sz w:val="20"/>
                <w:szCs w:val="20"/>
                <w:color w:val="auto"/>
              </w:rPr>
            </w:pPr>
            <w:r>
              <w:rPr>
                <w:rFonts w:ascii="Times New Roman" w:cs="Times New Roman" w:eastAsia="Times New Roman" w:hAnsi="Times New Roman"/>
                <w:sz w:val="18"/>
                <w:szCs w:val="18"/>
                <w:b w:val="1"/>
                <w:bCs w:val="1"/>
                <w:color w:val="auto"/>
                <w:w w:val="98"/>
              </w:rPr>
              <w:t>Columbus, OH</w:t>
            </w:r>
          </w:p>
        </w:tc>
        <w:tc>
          <w:tcPr>
            <w:tcW w:w="6720" w:type="dxa"/>
            <w:vAlign w:val="bottom"/>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rPr>
              <w:t>43230</w:t>
            </w:r>
          </w:p>
        </w:tc>
      </w:tr>
      <w:tr>
        <w:trPr>
          <w:trHeight w:val="18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4"/>
                <w:szCs w:val="14"/>
                <w:color w:val="auto"/>
              </w:rPr>
              <w:t>(Zip Code)</w:t>
            </w:r>
          </w:p>
        </w:tc>
      </w:tr>
      <w:tr>
        <w:trPr>
          <w:trHeight w:val="514"/>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w w:val="99"/>
              </w:rPr>
              <w:t>(614) 415-7000</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5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$0.50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BBWI</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following information, including Exhibit 99.1,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May 27, 2026, Bath &amp; Body Works, Inc. (the "Company") issued a press release setting forth its unaudited financial results for the first quarter of 2026 and its earnings guidance for the second quarter of 2026. A copy of the press release is attached hereto as Exhibit 99.1 and is hereby incorporated by reference.</w:t>
      </w:r>
    </w:p>
    <w:p>
      <w:pPr>
        <w:spacing w:after="0" w:line="13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26, 2026, the Board of Directors (the "Board") of the Company approved the appointment of Tom Javitch to serve as the Company’s Interim Chief Financial Officer and D. Andrew Meeting to serve as the Company’s Senior Vice President, Controller and Principal Accounting Officer, to be effective as of June 12, 2026 (the "Transition Date"), which is the last day of Eva C. Boratto's employment with the Company as Chief Financial Officer and Chief Accounting Officer. Ms. Boratto provided notice of her intent to resign from the Company to pursue another professional opportunity, effective as of the Transition Date, on May 20, 2026. Ms. Boratto will continue to serve in her existing role until the Transition Date and will assist with the orderly transition of her duties.</w:t>
      </w:r>
    </w:p>
    <w:p>
      <w:pPr>
        <w:spacing w:after="0" w:line="14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Tom Javitch, age 56, has been with the Company for more than sixteen years, with a combined twenty-five years of service when including his roles at LBrands, Inc. and its legacy organizations. He has held a number of senior finance leadership roles across the Company, including most recently as Executive Vice President of Brand Finance.</w:t>
      </w:r>
    </w:p>
    <w:p>
      <w:pPr>
        <w:spacing w:after="0" w:line="13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 Andrew Meeting, age 52, has been with the Company for almost eight years, with a combined twenty-two years of service when including his roles at LBrands, Inc. and its legacy organizations. He started his career as an auditor at Ernst &amp; Young, LLP. He has held a number of senior positions across the Company, including most recently as Senior Vice President and Controller.</w:t>
      </w:r>
    </w:p>
    <w:p>
      <w:pPr>
        <w:spacing w:after="0" w:line="1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Mr. Javitch’s appointment to Interim Chief Financial Officer, he will receive a one-time equity award and a monthly stipend to reflect the increased responsibilities during his period of service as Interim Chief Financial Officer. In connection with Mr. Meeting’s appointment as Senior Vice President, Controller and Principal Accounting Officer, the Company and Mr. Meeting entered into an offer letter (the “Offer Letter”) pursuant to which Mr. Meeting will be eligible for the following compensation and benefits: (i) an annual base salary of $500,000, (ii) a target annual cash incentive opportunity under the Company’s annual incentive plan equal to 50% of his annual base, (iii) eligibility to participate in the Company’s 2020 Stock Option and Performance Incentive Plan, and (iv) eligibility to participate in the Company’s health, welfare and retirement benefit programs as in effect from time to time. The description of the Offer Letter is only a summary and is qualified in its entirety by the full text of the Offer Letter, a copy of which will be filed as an exhibit to the Company’s Quarter Report on Form 10-Q for the fiscal quarter ending August 1, 2026.</w:t>
      </w:r>
    </w:p>
    <w:p>
      <w:pPr>
        <w:spacing w:after="0" w:line="1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is no arrangement or understanding between Mr. Javitch or Mr. Meeting and any other person pursuant to which Mr. Javitch or Mr. Meeting has been appointed as Interim Chief Financial and Senior Vice President, Controller and Principal Accounting Officer, respectively, and there is no family relationship between Mr. Javitch or Mr. Meeting and any of the Company’s directors or executive officers. Each of Mr. Javitch and Mr. Meeting has no interest in any transaction required to be disclosed pursuant to Item 404(a) of Regulation S-K.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Exhibit 99.1</w:t>
      </w:r>
      <w:r>
        <w:rPr>
          <w:sz w:val="20"/>
          <w:szCs w:val="20"/>
          <w:color w:val="auto"/>
        </w:rPr>
        <w:tab/>
      </w:r>
      <w:r>
        <w:rPr>
          <w:rFonts w:ascii="Times New Roman" w:cs="Times New Roman" w:eastAsia="Times New Roman" w:hAnsi="Times New Roman"/>
          <w:sz w:val="17"/>
          <w:szCs w:val="17"/>
          <w:color w:val="auto"/>
        </w:rPr>
        <w:t>Press Release of Bath &amp; Body Works, Inc., dated May 27, 2026.</w:t>
      </w:r>
    </w:p>
    <w:p>
      <w:pPr>
        <w:spacing w:after="0" w:line="1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Bath &amp; Body Works, Inc.</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Times New Roman" w:cs="Times New Roman" w:eastAsia="Times New Roman" w:hAnsi="Times New Roman"/>
          <w:sz w:val="18"/>
          <w:szCs w:val="18"/>
          <w:color w:val="auto"/>
        </w:rPr>
        <w:t>Date: May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EVA C. BORATTO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Eva C. Boratto</w:t>
      </w:r>
    </w:p>
    <w:p>
      <w:pPr>
        <w:spacing w:after="0" w:line="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23495</wp:posOffset>
            </wp:positionV>
            <wp:extent cx="6017895"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1789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Reports First Quarter Results Exceeding Guidance and Progress Against the Consumer First Formula</w:t>
      </w:r>
    </w:p>
    <w:p>
      <w:pPr>
        <w:spacing w:after="0" w:line="245"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Delivers Q1 net sales and adjusted earnings per share results above guidance</w:t>
      </w:r>
    </w:p>
    <w:p>
      <w:pPr>
        <w:spacing w:after="0" w:line="4" w:lineRule="exact"/>
        <w:rPr>
          <w:rFonts w:ascii="Arial" w:cs="Arial" w:eastAsia="Arial" w:hAnsi="Arial"/>
          <w:sz w:val="20"/>
          <w:szCs w:val="20"/>
          <w:color w:val="auto"/>
        </w:rPr>
      </w:pPr>
    </w:p>
    <w:p>
      <w:pPr>
        <w:ind w:left="620" w:hanging="288"/>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First quarter net sales of $1.4 billion, down 3%. Earnings per diluted share of $0.90; Adjusted earnings per diluted share</w:t>
      </w:r>
    </w:p>
    <w:p>
      <w:pPr>
        <w:ind w:left="660"/>
        <w:spacing w:after="0" w:line="225" w:lineRule="auto"/>
        <w:rPr>
          <w:sz w:val="20"/>
          <w:szCs w:val="20"/>
          <w:color w:val="auto"/>
        </w:rPr>
      </w:pPr>
      <w:r>
        <w:rPr>
          <w:rFonts w:ascii="Arial" w:cs="Arial" w:eastAsia="Arial" w:hAnsi="Arial"/>
          <w:sz w:val="20"/>
          <w:szCs w:val="20"/>
          <w:i w:val="1"/>
          <w:iCs w:val="1"/>
          <w:color w:val="auto"/>
        </w:rPr>
        <w:t>of $0.32</w:t>
      </w:r>
    </w:p>
    <w:p>
      <w:pPr>
        <w:ind w:left="660" w:right="320" w:hanging="328"/>
        <w:spacing w:after="0" w:line="232"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Reaffirms full-year 2026 guidance of net sales down 4.5% to down 2.5%, earnings per diluted share of $3.00 to $3.25; and adjusted earnings per diluted share of $2.40 to $2.65</w:t>
      </w:r>
    </w:p>
    <w:p>
      <w:pPr>
        <w:ind w:left="620" w:hanging="288"/>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Chief Financial Officer Eva Boratto to step down June 12; Company appoints interim CFO with active search in progress</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COLUMBUS, Ohio –May 27, 2026 – Bath &amp; Body Works, Inc. (NYSE: BBWI) today reported first quarter 2026 results.</w:t>
      </w:r>
    </w:p>
    <w:p>
      <w:pPr>
        <w:spacing w:after="0" w:line="108"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Daniel Heaf, chief executive officer of Bath &amp; Body Works, commented, “Our first-quarter results exceeded guidance, but remain below the standard our brand is capable of delivering. That reality reinforces the urgency with which we are executing the Consumer First Formula. Our efforts to strengthen our hero categories, modernize the brand, and expand our reach are beginning to resonate with consumers, and we are encouraged by the early proof points we are seeing.”</w:t>
      </w:r>
    </w:p>
    <w:p>
      <w:pPr>
        <w:spacing w:after="0" w:line="73" w:lineRule="exact"/>
        <w:rPr>
          <w:sz w:val="20"/>
          <w:szCs w:val="20"/>
          <w:color w:val="auto"/>
        </w:rPr>
      </w:pPr>
    </w:p>
    <w:p>
      <w:pPr>
        <w:jc w:val="both"/>
        <w:ind w:right="420"/>
        <w:spacing w:after="0" w:line="248" w:lineRule="auto"/>
        <w:rPr>
          <w:sz w:val="20"/>
          <w:szCs w:val="20"/>
          <w:color w:val="auto"/>
        </w:rPr>
      </w:pPr>
      <w:r>
        <w:rPr>
          <w:rFonts w:ascii="Arial" w:cs="Arial" w:eastAsia="Arial" w:hAnsi="Arial"/>
          <w:sz w:val="20"/>
          <w:szCs w:val="20"/>
          <w:color w:val="auto"/>
        </w:rPr>
        <w:t>“We believe that the foundation we are building will drive improved performance over time, with the impact expected to build through the balance of 2026 and more meaningfully into 2027, as we position the company to return to sustainable, durable growth.”</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Quarter 2026 Results</w:t>
      </w:r>
    </w:p>
    <w:p>
      <w:pPr>
        <w:spacing w:after="0" w:line="123"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color w:val="auto"/>
        </w:rPr>
        <w:t>The company reported net sales of $1,378 million for the quarter ended May 2, 2026, a decrease of 3% compared to net sales of $1,424 million for the quarter ended May 3, 2025.</w:t>
      </w:r>
    </w:p>
    <w:p>
      <w:pPr>
        <w:spacing w:after="0" w:line="74" w:lineRule="exact"/>
        <w:rPr>
          <w:sz w:val="20"/>
          <w:szCs w:val="20"/>
          <w:color w:val="auto"/>
        </w:rPr>
      </w:pPr>
    </w:p>
    <w:p>
      <w:pPr>
        <w:ind w:right="200"/>
        <w:spacing w:after="0" w:line="298" w:lineRule="auto"/>
        <w:rPr>
          <w:sz w:val="20"/>
          <w:szCs w:val="20"/>
          <w:color w:val="auto"/>
        </w:rPr>
      </w:pPr>
      <w:r>
        <w:rPr>
          <w:rFonts w:ascii="Arial" w:cs="Arial" w:eastAsia="Arial" w:hAnsi="Arial"/>
          <w:sz w:val="19"/>
          <w:szCs w:val="19"/>
          <w:color w:val="auto"/>
        </w:rPr>
        <w:t>Earnings per diluted share were $0.90 for the first quarter of 2026, compared to $0.49 last year. First quarter operating income was $231 million compared to $209 million last year, and net income was $183 million compared to $105 million last year.</w:t>
      </w:r>
    </w:p>
    <w:p>
      <w:pPr>
        <w:spacing w:after="0" w:line="24"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Reported first quarter 2026 results included an $88 million pre-tax gain ($66 million after tax), net of legal fees, related to favorable settlements of payment card interchange fee litigation, aggregate pre-tax costs of $8 million ($ 6 million after tax) associated with business transformation activities, an $8 million pre-tax loss ($6 million after tax) related to the extinguishment of outstanding debt, a $3 million pre-tax gain ($3 million after tax) related to the sale of a non-core asset and a $62 million tax benefit due to the resolution of certain tax matters. Excluding these items, adjusted earnings per diluted share for the first quarter of 2026 was $0.32, adjusted operating income was $151 million and adjusted net income was $65 million.</w:t>
      </w:r>
    </w:p>
    <w:p>
      <w:pPr>
        <w:spacing w:after="0" w:line="49" w:lineRule="exact"/>
        <w:rPr>
          <w:sz w:val="20"/>
          <w:szCs w:val="20"/>
          <w:color w:val="auto"/>
        </w:rPr>
      </w:pPr>
    </w:p>
    <w:p>
      <w:pPr>
        <w:ind w:right="200"/>
        <w:spacing w:after="0" w:line="269" w:lineRule="exact"/>
        <w:rPr>
          <w:sz w:val="20"/>
          <w:szCs w:val="20"/>
          <w:color w:val="auto"/>
        </w:rPr>
      </w:pPr>
      <w:r>
        <w:rPr>
          <w:rFonts w:ascii="Arial" w:cs="Arial" w:eastAsia="Arial" w:hAnsi="Arial"/>
          <w:sz w:val="20"/>
          <w:szCs w:val="20"/>
          <w:color w:val="auto"/>
        </w:rPr>
        <w:t>At the conclusion of this press release is a reconciliation of reported</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adjusted results, including a description of the adjusted items.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2026 Guidance</w:t>
      </w:r>
    </w:p>
    <w:p>
      <w:pPr>
        <w:spacing w:after="0" w:line="123" w:lineRule="exact"/>
        <w:rPr>
          <w:sz w:val="20"/>
          <w:szCs w:val="20"/>
          <w:color w:val="auto"/>
        </w:rPr>
      </w:pPr>
    </w:p>
    <w:p>
      <w:pPr>
        <w:ind w:right="180"/>
        <w:spacing w:after="0" w:line="256" w:lineRule="auto"/>
        <w:rPr>
          <w:sz w:val="20"/>
          <w:szCs w:val="20"/>
          <w:color w:val="auto"/>
        </w:rPr>
      </w:pPr>
      <w:r>
        <w:rPr>
          <w:rFonts w:ascii="Arial" w:cs="Arial" w:eastAsia="Arial" w:hAnsi="Arial"/>
          <w:sz w:val="19"/>
          <w:szCs w:val="19"/>
          <w:color w:val="auto"/>
        </w:rPr>
        <w:t>The company is maintaining its full-year 2026 guidance of net sales to decline between 4.5% to 2.5% compared to $7,291 million in fiscal 2025. The company is also maintaining its full-year 2026 earnings per diluted share guidance of between $3.00 and $3.25 compared to $3.11 in fiscal 2025 and full-year 2026 adjusted earnings per diluted share guidance of between $2.40 and $2.65, compared to adjusted earnings per diluted share of $3.21 in 2025. There are no share repurchases or tariff refunds assumed in our outlook. In fiscal 2026, we expect to generate free cash flow of approximately $600 million.</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For the second quarter of 2026, the company is forecasting net sales to decline between 5% to 3% compared to $1,549 million in the second quarter of 2025. Second quarter 2026 earnings per diluted share is expected to be between $0.20 and $0.25, compared to earnings per diluted share of $0.30 and adjusted earnings per diluted share of $0.37 in the second quarter of 2025.</w:t>
      </w:r>
    </w:p>
    <w:p>
      <w:pPr>
        <w:sectPr>
          <w:pgSz w:w="11900" w:h="16838" w:orient="portrait"/>
          <w:cols w:equalWidth="0" w:num="1">
            <w:col w:w="11240"/>
          </w:cols>
          <w:pgMar w:left="320" w:top="885" w:right="339" w:bottom="1440" w:gutter="0" w:footer="0" w:header="0"/>
        </w:sectPr>
      </w:pPr>
    </w:p>
    <w:bookmarkStart w:id="4" w:name="page5"/>
    <w:bookmarkEnd w:id="4"/>
    <w:p>
      <w:pPr>
        <w:ind w:right="380"/>
        <w:spacing w:after="0" w:line="257" w:lineRule="auto"/>
        <w:rPr>
          <w:sz w:val="20"/>
          <w:szCs w:val="20"/>
          <w:color w:val="auto"/>
        </w:rPr>
      </w:pPr>
      <w:r>
        <w:rPr>
          <w:rFonts w:ascii="Arial" w:cs="Arial" w:eastAsia="Arial" w:hAnsi="Arial"/>
          <w:sz w:val="20"/>
          <w:szCs w:val="20"/>
          <w:color w:val="auto"/>
        </w:rPr>
        <w:t>At the conclusion of this press release is a reconciliation of our guidance-to-adjusted guidance, including a description of the adjusted items.</w:t>
      </w:r>
    </w:p>
    <w:p>
      <w:pPr>
        <w:spacing w:after="0" w:line="74" w:lineRule="exact"/>
        <w:rPr>
          <w:sz w:val="20"/>
          <w:szCs w:val="20"/>
          <w:color w:val="auto"/>
        </w:rPr>
      </w:pPr>
    </w:p>
    <w:p>
      <w:pPr>
        <w:ind w:right="280"/>
        <w:spacing w:after="0" w:line="248" w:lineRule="auto"/>
        <w:rPr>
          <w:sz w:val="20"/>
          <w:szCs w:val="20"/>
          <w:color w:val="auto"/>
        </w:rPr>
      </w:pPr>
      <w:r>
        <w:rPr>
          <w:rFonts w:ascii="Arial" w:cs="Arial" w:eastAsia="Arial" w:hAnsi="Arial"/>
          <w:sz w:val="20"/>
          <w:szCs w:val="20"/>
          <w:color w:val="auto"/>
        </w:rPr>
        <w:t>For a reconciliation of our reported GAAP to adjusted non-GAAP earnings per diluted share for fiscal 2025 and the second quarter of 2025, refer to our Annual Report on Form 10-K, filed with the SEC on March 12, 2026, and our Quarterly Report on Form 10-Q, filed with the SEC on August 28, 2025,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Chief Financial Officer Transition</w:t>
      </w:r>
    </w:p>
    <w:p>
      <w:pPr>
        <w:spacing w:after="0" w:line="137" w:lineRule="exact"/>
        <w:rPr>
          <w:sz w:val="20"/>
          <w:szCs w:val="20"/>
          <w:color w:val="auto"/>
        </w:rPr>
      </w:pPr>
    </w:p>
    <w:p>
      <w:pPr>
        <w:jc w:val="both"/>
        <w:ind w:right="280"/>
        <w:spacing w:after="0" w:line="248" w:lineRule="auto"/>
        <w:rPr>
          <w:sz w:val="20"/>
          <w:szCs w:val="20"/>
          <w:color w:val="auto"/>
        </w:rPr>
      </w:pPr>
      <w:r>
        <w:rPr>
          <w:rFonts w:ascii="Arial" w:cs="Arial" w:eastAsia="Arial" w:hAnsi="Arial"/>
          <w:sz w:val="20"/>
          <w:szCs w:val="20"/>
          <w:color w:val="auto"/>
        </w:rPr>
        <w:t>Chief Financial Officer Eva Boratto will step down from her role effective June 12 to pursue another professional opportunity. The company has initiated a comprehensive search process, supported by a leading executive search firm, to identify its next Chief Financial Officer.</w:t>
      </w:r>
    </w:p>
    <w:p>
      <w:pPr>
        <w:spacing w:after="0" w:line="84" w:lineRule="exact"/>
        <w:rPr>
          <w:sz w:val="20"/>
          <w:szCs w:val="20"/>
          <w:color w:val="auto"/>
        </w:rPr>
      </w:pPr>
    </w:p>
    <w:p>
      <w:pPr>
        <w:jc w:val="both"/>
        <w:ind w:right="60"/>
        <w:spacing w:after="0" w:line="248" w:lineRule="auto"/>
        <w:rPr>
          <w:sz w:val="20"/>
          <w:szCs w:val="20"/>
          <w:color w:val="auto"/>
        </w:rPr>
      </w:pPr>
      <w:r>
        <w:rPr>
          <w:rFonts w:ascii="Arial" w:cs="Arial" w:eastAsia="Arial" w:hAnsi="Arial"/>
          <w:sz w:val="20"/>
          <w:szCs w:val="20"/>
          <w:color w:val="auto"/>
        </w:rPr>
        <w:t>Tom Javitch has been appointed Interim Chief Financial Officer effective upon Boratto’s departure. Javitch has been with Bath &amp; Body Works for more than 16 years and L Brands for 25 years. He has held a number of senior finance leadership roles across the organization, including Executive Vice President of Brand Finance of Bath &amp; Body Works.</w:t>
      </w:r>
    </w:p>
    <w:p>
      <w:pPr>
        <w:spacing w:after="0" w:line="84" w:lineRule="exact"/>
        <w:rPr>
          <w:sz w:val="20"/>
          <w:szCs w:val="20"/>
          <w:color w:val="auto"/>
        </w:rPr>
      </w:pPr>
    </w:p>
    <w:p>
      <w:pPr>
        <w:ind w:right="160"/>
        <w:spacing w:after="0"/>
        <w:rPr>
          <w:sz w:val="20"/>
          <w:szCs w:val="20"/>
          <w:color w:val="auto"/>
        </w:rPr>
      </w:pPr>
      <w:r>
        <w:rPr>
          <w:rFonts w:ascii="Arial" w:cs="Arial" w:eastAsia="Arial" w:hAnsi="Arial"/>
          <w:sz w:val="20"/>
          <w:szCs w:val="20"/>
          <w:color w:val="auto"/>
        </w:rPr>
        <w:t>Daniel Heaf said, “We are grateful to Eva for her leadership and many contributions to Bath &amp; Body Works during an important period for the company. We thank her for her partnership and wish her continued success in her next chapter. While we search for a successor, I’m confident in Tom Javitch’s interim leadership, deep understanding of Bath &amp; Body Works and expertise across the business—from product to store operations to supply chain.”</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Boratto said, “It has been a pleasure to serve on the leadership team at Bath &amp; Body Works, and I would like to thank Daniel, my colleagues in the finance organization, the Board and all of our associates for the support during my time at this remarkable company. I leave with confidence in Daniel’s leadership and the strategy he has put in place, and I look forward to watching as Bath &amp; Body Works continues to regain momentum in the marketplace.”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Earnings Call and Additional Information</w:t>
      </w:r>
    </w:p>
    <w:p>
      <w:pPr>
        <w:spacing w:after="0" w:line="123" w:lineRule="exact"/>
        <w:rPr>
          <w:sz w:val="20"/>
          <w:szCs w:val="20"/>
          <w:color w:val="auto"/>
        </w:rPr>
      </w:pPr>
    </w:p>
    <w:p>
      <w:pPr>
        <w:ind w:right="200"/>
        <w:spacing w:after="0"/>
        <w:rPr>
          <w:sz w:val="20"/>
          <w:szCs w:val="20"/>
          <w:color w:val="auto"/>
        </w:rPr>
      </w:pPr>
      <w:r>
        <w:rPr>
          <w:rFonts w:ascii="Arial" w:cs="Arial" w:eastAsia="Arial" w:hAnsi="Arial"/>
          <w:sz w:val="20"/>
          <w:szCs w:val="20"/>
          <w:color w:val="auto"/>
        </w:rPr>
        <w:t>Bath &amp; Body Works, Inc. will conduct its first quarter earnings call at 8:30 a.m. ET on May 27th. To listen, call 877-407-9219 (international dial-in number: 412-652-1274). For an audio replay, call 877-660-6853 (international replay number: 201-612-7415); access code 13760165 or log onto www.BBWInc.com. A slide presentation has been posted on the company’s Investor Relations website that summarizes certain information in the company‘s prepared remarks from the earnings call as well as some additional facts and figures regarding the company’s operating performance and guidance.</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BATH &amp; BODY WORKS</w:t>
      </w:r>
    </w:p>
    <w:p>
      <w:pPr>
        <w:spacing w:after="0" w:line="137"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Bath &amp; Body Works is a global leader in personal care and home fragrance, driven by the belief that everybody deserves to feel good.</w:t>
      </w:r>
    </w:p>
    <w:p>
      <w:pPr>
        <w:spacing w:after="0" w:line="74"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The brand’s beloved and iconic scents are expertly crafted for exceptional performance and a luxury fragrance experience. Formulated with thoughtfully chosen ingredients, Bath &amp; Body Works’ body care products are available in multiple forms including fine fragrance mist, body cream, lotion, eau de parfum, body wash, hand soap, sanitizer and more. The brand’s famous 3-wick candles are made with rich, high quality fragrance oils layered throughout a premium soy wax base, for up to 45 hours of room-filling fragrance.</w:t>
      </w:r>
    </w:p>
    <w:p>
      <w:pPr>
        <w:spacing w:after="0" w:line="79" w:lineRule="exact"/>
        <w:rPr>
          <w:sz w:val="20"/>
          <w:szCs w:val="20"/>
          <w:color w:val="auto"/>
        </w:rPr>
      </w:pPr>
    </w:p>
    <w:p>
      <w:pPr>
        <w:jc w:val="both"/>
        <w:ind w:right="260"/>
        <w:spacing w:after="0" w:line="298" w:lineRule="auto"/>
        <w:rPr>
          <w:sz w:val="20"/>
          <w:szCs w:val="20"/>
          <w:color w:val="auto"/>
        </w:rPr>
      </w:pPr>
      <w:r>
        <w:rPr>
          <w:rFonts w:ascii="Arial" w:cs="Arial" w:eastAsia="Arial" w:hAnsi="Arial"/>
          <w:sz w:val="19"/>
          <w:szCs w:val="19"/>
          <w:color w:val="auto"/>
        </w:rPr>
        <w:t>Consumers can shop Bath &amp; Body Works anytime and anywhere they choose, from welcoming, in-store experiences at more than 1,900 stores in the U.S. and Canada, 500-plus international locations, online at bathandbodyworks.com and on Amazon.</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Safe Harbor Statement Under the Private Securities Litigation Reform Act of 1995</w:t>
      </w:r>
    </w:p>
    <w:p>
      <w:pPr>
        <w:spacing w:after="0" w:line="137"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color w:val="auto"/>
        </w:rPr>
        <w:t>We caution that any forward-looking statements (as such term is defined in the Private Securities Litigation Reform Act of 1995) contained in this press release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“potential,” “target,” “goal” and any similar expressions may identify forward-looking statements. There are risks, uncertainties and other factors that in some cases have affected and, in the future, could affect our financial performance and actual results and could cause actual results to differ materially from those expressed or implied in any forward-looking statements included in this report or otherwise made by the Company or our management.</w:t>
      </w:r>
    </w:p>
    <w:p>
      <w:pPr>
        <w:sectPr>
          <w:pgSz w:w="11900" w:h="16838" w:orient="portrait"/>
          <w:cols w:equalWidth="0" w:num="1">
            <w:col w:w="11240"/>
          </w:cols>
          <w:pgMar w:left="320" w:top="1387"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These factors can be found in Item 1A. Risk Factors in our 2025 Annual Report on Form 10-K and our subsequent filings.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We are not under any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w:t>
      </w:r>
    </w:p>
    <w:p>
      <w:pPr>
        <w:spacing w:after="0" w:line="93"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We announce material financial and operational information using our investor relations website, press releases, SEC filings and public conference calls and webcasts. Information about the Company, our business and our results of operations may also be announced by posts on our accounts on social media channels, including the following: Facebook, Instagram, X, LinkedIn, Pinterest, TikTok and YouTube. The information that we post through these social media channels and on our website may be deemed material. As a result, we encourage investors, the media and others interested in the Company to monitor these social media channels in addition to following our investor relations website, press releases, SEC filings and public conference calls and webcasts. The list of social media channels we use may be updated from time to time on our investor relations website.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Bath &amp; Body Works, Inc.:</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Luke Long</w:t>
      </w:r>
    </w:p>
    <w:p>
      <w:pPr>
        <w:spacing w:after="0"/>
        <w:rPr>
          <w:sz w:val="20"/>
          <w:szCs w:val="20"/>
          <w:color w:val="auto"/>
        </w:rPr>
      </w:pPr>
      <w:r>
        <w:rPr>
          <w:rFonts w:ascii="Arial" w:cs="Arial" w:eastAsia="Arial" w:hAnsi="Arial"/>
          <w:sz w:val="20"/>
          <w:szCs w:val="20"/>
          <w:color w:val="auto"/>
        </w:rPr>
        <w:t>InvestorRelations@bbw.com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Media Relations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Emmy Beach</w:t>
      </w:r>
    </w:p>
    <w:p>
      <w:pPr>
        <w:spacing w:after="0"/>
        <w:rPr>
          <w:sz w:val="20"/>
          <w:szCs w:val="20"/>
          <w:color w:val="auto"/>
        </w:rPr>
      </w:pPr>
      <w:r>
        <w:rPr>
          <w:rFonts w:ascii="Arial" w:cs="Arial" w:eastAsia="Arial" w:hAnsi="Arial"/>
          <w:sz w:val="20"/>
          <w:szCs w:val="20"/>
          <w:color w:val="auto"/>
        </w:rPr>
        <w:t>Communications@bbw.com</w:t>
      </w:r>
    </w:p>
    <w:p>
      <w:pPr>
        <w:sectPr>
          <w:pgSz w:w="11900" w:h="16838" w:orient="portrait"/>
          <w:cols w:equalWidth="0" w:num="1">
            <w:col w:w="11240"/>
          </w:cols>
          <w:pgMar w:left="320" w:top="100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BATH &amp; BODY WORKS,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Quarter 2026</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Sales (In millions):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First Quarter</w:t>
            </w: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60" w:type="dxa"/>
            <w:vAlign w:val="bottom"/>
            <w:vMerge w:val="restart"/>
          </w:tcPr>
          <w:p>
            <w:pPr>
              <w:spacing w:after="0"/>
              <w:rPr>
                <w:sz w:val="20"/>
                <w:szCs w:val="20"/>
                <w:color w:val="auto"/>
              </w:rPr>
            </w:pPr>
            <w:r>
              <w:rPr>
                <w:rFonts w:ascii="Arial" w:cs="Arial" w:eastAsia="Arial" w:hAnsi="Arial"/>
                <w:sz w:val="18"/>
                <w:szCs w:val="18"/>
                <w:color w:val="auto"/>
              </w:rPr>
              <w:t>Stores - U.S. and Canada (a)</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8"/>
        </w:trPr>
        <w:tc>
          <w:tcPr>
            <w:tcW w:w="666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Direct - U.S. and Canada</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5"/>
        </w:trPr>
        <w:tc>
          <w:tcPr>
            <w:tcW w:w="6660" w:type="dxa"/>
            <w:vAlign w:val="bottom"/>
          </w:tcPr>
          <w:p>
            <w:pPr>
              <w:spacing w:after="0"/>
              <w:rPr>
                <w:sz w:val="20"/>
                <w:szCs w:val="20"/>
                <w:color w:val="auto"/>
              </w:rPr>
            </w:pPr>
            <w:r>
              <w:rPr>
                <w:rFonts w:ascii="Arial" w:cs="Arial" w:eastAsia="Arial" w:hAnsi="Arial"/>
                <w:sz w:val="18"/>
                <w:szCs w:val="18"/>
                <w:color w:val="auto"/>
              </w:rPr>
              <w:t>International and Other (b)</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Total Bath &amp; Body Works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1,424</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83" w:lineRule="exact"/>
        <w:rPr>
          <w:sz w:val="20"/>
          <w:szCs w:val="20"/>
          <w:color w:val="auto"/>
        </w:rPr>
      </w:pPr>
    </w:p>
    <w:p>
      <w:pPr>
        <w:ind w:left="660" w:hanging="61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include fulfilled buy online pick up in store orders.</w:t>
      </w:r>
    </w:p>
    <w:p>
      <w:pPr>
        <w:spacing w:after="0" w:line="49" w:lineRule="exact"/>
        <w:rPr>
          <w:rFonts w:ascii="Arial" w:cs="Arial" w:eastAsia="Arial" w:hAnsi="Arial"/>
          <w:sz w:val="18"/>
          <w:szCs w:val="18"/>
          <w:color w:val="auto"/>
        </w:rPr>
      </w:pPr>
    </w:p>
    <w:p>
      <w:pPr>
        <w:ind w:left="460" w:hanging="41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include royalties associated with franchised stores, as well as international and domestic wholesale sales.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Company-operated Stores: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1480" w:type="dxa"/>
            <w:vAlign w:val="bottom"/>
            <w:gridSpan w:val="2"/>
          </w:tcPr>
          <w:p>
            <w:pPr>
              <w:ind w:left="400"/>
              <w:spacing w:after="0"/>
              <w:rPr>
                <w:sz w:val="20"/>
                <w:szCs w:val="20"/>
                <w:color w:val="auto"/>
              </w:rPr>
            </w:pPr>
            <w:r>
              <w:rPr>
                <w:rFonts w:ascii="Arial" w:cs="Arial" w:eastAsia="Arial" w:hAnsi="Arial"/>
                <w:sz w:val="18"/>
                <w:szCs w:val="18"/>
                <w:b w:val="1"/>
                <w:bCs w:val="1"/>
                <w:color w:val="auto"/>
              </w:rPr>
              <w:t>Stores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Stores</w:t>
            </w:r>
          </w:p>
        </w:tc>
        <w:tc>
          <w:tcPr>
            <w:tcW w:w="0" w:type="dxa"/>
            <w:vAlign w:val="bottom"/>
          </w:tcPr>
          <w:p>
            <w:pPr>
              <w:spacing w:after="0"/>
              <w:rPr>
                <w:sz w:val="1"/>
                <w:szCs w:val="1"/>
                <w:color w:val="auto"/>
              </w:rPr>
            </w:pPr>
          </w:p>
        </w:tc>
      </w:tr>
      <w:tr>
        <w:trPr>
          <w:trHeight w:val="235"/>
        </w:trPr>
        <w:tc>
          <w:tcPr>
            <w:tcW w:w="5380" w:type="dxa"/>
            <w:vAlign w:val="bottom"/>
            <w:vMerge w:val="restart"/>
          </w:tcPr>
          <w:p>
            <w:pPr>
              <w:spacing w:after="0"/>
              <w:rPr>
                <w:sz w:val="20"/>
                <w:szCs w:val="20"/>
                <w:color w:val="auto"/>
              </w:rPr>
            </w:pPr>
            <w:r>
              <w:rPr>
                <w:rFonts w:ascii="Arial" w:cs="Arial" w:eastAsia="Arial" w:hAnsi="Arial"/>
                <w:sz w:val="18"/>
                <w:szCs w:val="18"/>
                <w:color w:val="auto"/>
              </w:rPr>
              <w:t>United States</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1/31/2026</w:t>
            </w:r>
          </w:p>
        </w:tc>
        <w:tc>
          <w:tcPr>
            <w:tcW w:w="100" w:type="dxa"/>
            <w:vAlign w:val="bottom"/>
          </w:tcPr>
          <w:p>
            <w:pPr>
              <w:spacing w:after="0"/>
              <w:rPr>
                <w:sz w:val="20"/>
                <w:szCs w:val="20"/>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Opened</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9"/>
              </w:rPr>
              <w:t>Closed</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5/2/2026</w:t>
            </w:r>
          </w:p>
        </w:tc>
        <w:tc>
          <w:tcPr>
            <w:tcW w:w="0" w:type="dxa"/>
            <w:vAlign w:val="bottom"/>
          </w:tcPr>
          <w:p>
            <w:pPr>
              <w:spacing w:after="0"/>
              <w:rPr>
                <w:sz w:val="1"/>
                <w:szCs w:val="1"/>
                <w:color w:val="auto"/>
              </w:rPr>
            </w:pPr>
          </w:p>
        </w:tc>
      </w:tr>
      <w:tr>
        <w:trPr>
          <w:trHeight w:val="218"/>
        </w:trPr>
        <w:tc>
          <w:tcPr>
            <w:tcW w:w="538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35"/>
        </w:trPr>
        <w:tc>
          <w:tcPr>
            <w:tcW w:w="5380" w:type="dxa"/>
            <w:vAlign w:val="bottom"/>
          </w:tcPr>
          <w:p>
            <w:pPr>
              <w:spacing w:after="0"/>
              <w:rPr>
                <w:sz w:val="20"/>
                <w:szCs w:val="20"/>
                <w:color w:val="auto"/>
              </w:rPr>
            </w:pPr>
            <w:r>
              <w:rPr>
                <w:rFonts w:ascii="Arial" w:cs="Arial" w:eastAsia="Arial" w:hAnsi="Arial"/>
                <w:sz w:val="18"/>
                <w:szCs w:val="18"/>
                <w:color w:val="auto"/>
              </w:rPr>
              <w:t>Canada</w:t>
            </w:r>
          </w:p>
        </w:tc>
        <w:tc>
          <w:tcPr>
            <w:tcW w:w="13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gridSpan w:val="3"/>
          </w:tcPr>
          <w:p>
            <w:pPr>
              <w:jc w:val="right"/>
              <w:ind w:right="109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Total Bath &amp; Body Works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1,927</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(17)</w:t>
            </w:r>
          </w:p>
        </w:tc>
        <w:tc>
          <w:tcPr>
            <w:tcW w:w="8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Partner-operated Stores: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1480" w:type="dxa"/>
            <w:vAlign w:val="bottom"/>
            <w:gridSpan w:val="2"/>
          </w:tcPr>
          <w:p>
            <w:pPr>
              <w:ind w:left="400"/>
              <w:spacing w:after="0"/>
              <w:rPr>
                <w:sz w:val="20"/>
                <w:szCs w:val="20"/>
                <w:color w:val="auto"/>
              </w:rPr>
            </w:pPr>
            <w:r>
              <w:rPr>
                <w:rFonts w:ascii="Arial" w:cs="Arial" w:eastAsia="Arial" w:hAnsi="Arial"/>
                <w:sz w:val="18"/>
                <w:szCs w:val="18"/>
                <w:b w:val="1"/>
                <w:bCs w:val="1"/>
                <w:color w:val="auto"/>
              </w:rPr>
              <w:t>Stores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Stores</w:t>
            </w:r>
          </w:p>
        </w:tc>
        <w:tc>
          <w:tcPr>
            <w:tcW w:w="0" w:type="dxa"/>
            <w:vAlign w:val="bottom"/>
          </w:tcPr>
          <w:p>
            <w:pPr>
              <w:spacing w:after="0"/>
              <w:rPr>
                <w:sz w:val="1"/>
                <w:szCs w:val="1"/>
                <w:color w:val="auto"/>
              </w:rPr>
            </w:pPr>
          </w:p>
        </w:tc>
      </w:tr>
      <w:tr>
        <w:trPr>
          <w:trHeight w:val="235"/>
        </w:trPr>
        <w:tc>
          <w:tcPr>
            <w:tcW w:w="5380" w:type="dxa"/>
            <w:vAlign w:val="bottom"/>
            <w:vMerge w:val="restart"/>
          </w:tcPr>
          <w:p>
            <w:pPr>
              <w:spacing w:after="0"/>
              <w:rPr>
                <w:sz w:val="20"/>
                <w:szCs w:val="20"/>
                <w:color w:val="auto"/>
              </w:rPr>
            </w:pPr>
            <w:r>
              <w:rPr>
                <w:rFonts w:ascii="Arial" w:cs="Arial" w:eastAsia="Arial" w:hAnsi="Arial"/>
                <w:sz w:val="18"/>
                <w:szCs w:val="18"/>
                <w:color w:val="auto"/>
              </w:rPr>
              <w:t>International</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1/31/2026</w:t>
            </w:r>
          </w:p>
        </w:tc>
        <w:tc>
          <w:tcPr>
            <w:tcW w:w="100" w:type="dxa"/>
            <w:vAlign w:val="bottom"/>
          </w:tcPr>
          <w:p>
            <w:pPr>
              <w:spacing w:after="0"/>
              <w:rPr>
                <w:sz w:val="20"/>
                <w:szCs w:val="20"/>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Opened</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Closed</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5/2/2026</w:t>
            </w:r>
          </w:p>
        </w:tc>
        <w:tc>
          <w:tcPr>
            <w:tcW w:w="0" w:type="dxa"/>
            <w:vAlign w:val="bottom"/>
          </w:tcPr>
          <w:p>
            <w:pPr>
              <w:spacing w:after="0"/>
              <w:rPr>
                <w:sz w:val="1"/>
                <w:szCs w:val="1"/>
                <w:color w:val="auto"/>
              </w:rPr>
            </w:pPr>
          </w:p>
        </w:tc>
      </w:tr>
      <w:tr>
        <w:trPr>
          <w:trHeight w:val="218"/>
        </w:trPr>
        <w:tc>
          <w:tcPr>
            <w:tcW w:w="538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5"/>
        </w:trPr>
        <w:tc>
          <w:tcPr>
            <w:tcW w:w="5380" w:type="dxa"/>
            <w:vAlign w:val="bottom"/>
          </w:tcPr>
          <w:p>
            <w:pPr>
              <w:spacing w:after="0"/>
              <w:rPr>
                <w:sz w:val="20"/>
                <w:szCs w:val="20"/>
                <w:color w:val="auto"/>
              </w:rPr>
            </w:pPr>
            <w:r>
              <w:rPr>
                <w:rFonts w:ascii="Arial" w:cs="Arial" w:eastAsia="Arial" w:hAnsi="Arial"/>
                <w:sz w:val="18"/>
                <w:szCs w:val="18"/>
                <w:color w:val="auto"/>
              </w:rPr>
              <w:t>International - Travel Retail</w:t>
            </w: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jc w:val="right"/>
              <w:ind w:right="113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Total International (a)</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w:t>
            </w: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________________</w:t>
      </w:r>
    </w:p>
    <w:p>
      <w:pPr>
        <w:spacing w:after="0" w:line="177" w:lineRule="exact"/>
        <w:rPr>
          <w:sz w:val="20"/>
          <w:szCs w:val="20"/>
          <w:color w:val="auto"/>
        </w:rPr>
      </w:pPr>
    </w:p>
    <w:p>
      <w:pPr>
        <w:ind w:left="660" w:hanging="61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store locations only and does not include kiosks, shop-in-shops, gondola or beauty counter locations.</w:t>
      </w:r>
    </w:p>
    <w:p>
      <w:pPr>
        <w:sectPr>
          <w:pgSz w:w="11900" w:h="16838" w:orient="portrait"/>
          <w:cols w:equalWidth="0" w:num="1">
            <w:col w:w="11240"/>
          </w:cols>
          <w:pgMar w:left="320" w:top="894"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BATH &amp; BODY WORKS, INC.</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First Quarter</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0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2025</w:t>
            </w:r>
          </w:p>
        </w:tc>
        <w:tc>
          <w:tcPr>
            <w:tcW w:w="0" w:type="dxa"/>
            <w:vAlign w:val="bottom"/>
          </w:tcPr>
          <w:p>
            <w:pPr>
              <w:spacing w:after="0"/>
              <w:rPr>
                <w:sz w:val="1"/>
                <w:szCs w:val="1"/>
                <w:color w:val="auto"/>
              </w:rPr>
            </w:pPr>
          </w:p>
        </w:tc>
      </w:tr>
      <w:tr>
        <w:trPr>
          <w:trHeight w:val="218"/>
        </w:trPr>
        <w:tc>
          <w:tcPr>
            <w:tcW w:w="830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35"/>
        </w:trPr>
        <w:tc>
          <w:tcPr>
            <w:tcW w:w="8300" w:type="dxa"/>
            <w:vAlign w:val="bottom"/>
          </w:tcPr>
          <w:p>
            <w:pPr>
              <w:spacing w:after="0"/>
              <w:rPr>
                <w:sz w:val="20"/>
                <w:szCs w:val="20"/>
                <w:color w:val="auto"/>
              </w:rPr>
            </w:pPr>
            <w:r>
              <w:rPr>
                <w:rFonts w:ascii="Arial" w:cs="Arial" w:eastAsia="Arial" w:hAnsi="Arial"/>
                <w:sz w:val="18"/>
                <w:szCs w:val="18"/>
                <w:color w:val="auto"/>
              </w:rPr>
              <w:t>Costs of Goods Sold, Buying and Occupancy</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8"/>
        </w:trPr>
        <w:tc>
          <w:tcPr>
            <w:tcW w:w="830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5"/>
        </w:trPr>
        <w:tc>
          <w:tcPr>
            <w:tcW w:w="8300" w:type="dxa"/>
            <w:vAlign w:val="bottom"/>
          </w:tcPr>
          <w:p>
            <w:pPr>
              <w:spacing w:after="0"/>
              <w:rPr>
                <w:sz w:val="20"/>
                <w:szCs w:val="20"/>
                <w:color w:val="auto"/>
              </w:rPr>
            </w:pPr>
            <w:r>
              <w:rPr>
                <w:rFonts w:ascii="Arial" w:cs="Arial" w:eastAsia="Arial" w:hAnsi="Arial"/>
                <w:sz w:val="18"/>
                <w:szCs w:val="18"/>
                <w:color w:val="auto"/>
              </w:rPr>
              <w:t>General, Administrative and Store Operating Expenses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8"/>
        </w:trPr>
        <w:tc>
          <w:tcPr>
            <w:tcW w:w="830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5"/>
        </w:trPr>
        <w:tc>
          <w:tcPr>
            <w:tcW w:w="8300" w:type="dxa"/>
            <w:vAlign w:val="bottom"/>
          </w:tcPr>
          <w:p>
            <w:pPr>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8"/>
        </w:trPr>
        <w:tc>
          <w:tcPr>
            <w:tcW w:w="8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5"/>
        </w:trPr>
        <w:tc>
          <w:tcPr>
            <w:tcW w:w="83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300" w:type="dxa"/>
            <w:vAlign w:val="bottom"/>
          </w:tcPr>
          <w:p>
            <w:pPr>
              <w:spacing w:after="0"/>
              <w:rPr>
                <w:sz w:val="20"/>
                <w:szCs w:val="20"/>
                <w:color w:val="auto"/>
              </w:rPr>
            </w:pPr>
            <w:r>
              <w:rPr>
                <w:rFonts w:ascii="Arial" w:cs="Arial" w:eastAsia="Arial" w:hAnsi="Arial"/>
                <w:sz w:val="18"/>
                <w:szCs w:val="18"/>
                <w:color w:val="auto"/>
              </w:rPr>
              <w:t>Net Income per Diluted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30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025"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BATH &amp; BODY WORKS,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2,</w:t>
            </w:r>
          </w:p>
        </w:tc>
        <w:tc>
          <w:tcPr>
            <w:tcW w:w="260" w:type="dxa"/>
            <w:vAlign w:val="bottom"/>
          </w:tcPr>
          <w:p>
            <w:pPr>
              <w:spacing w:after="0"/>
              <w:rPr>
                <w:sz w:val="17"/>
                <w:szCs w:val="17"/>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3,</w:t>
            </w:r>
          </w:p>
        </w:tc>
        <w:tc>
          <w:tcPr>
            <w:tcW w:w="0" w:type="dxa"/>
            <w:vAlign w:val="bottom"/>
          </w:tcPr>
          <w:p>
            <w:pPr>
              <w:spacing w:after="0"/>
              <w:rPr>
                <w:sz w:val="1"/>
                <w:szCs w:val="1"/>
                <w:color w:val="auto"/>
              </w:rPr>
            </w:pPr>
          </w:p>
        </w:tc>
      </w:tr>
      <w:tr>
        <w:trPr>
          <w:trHeight w:val="243"/>
        </w:trPr>
        <w:tc>
          <w:tcPr>
            <w:tcW w:w="8300" w:type="dxa"/>
            <w:vAlign w:val="bottom"/>
            <w:vMerge w:val="restart"/>
          </w:tcPr>
          <w:p>
            <w:pPr>
              <w:ind w:left="378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04"/>
        </w:trPr>
        <w:tc>
          <w:tcPr>
            <w:tcW w:w="83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29"/>
        </w:trPr>
        <w:tc>
          <w:tcPr>
            <w:tcW w:w="83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83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Easton Assets Held for Sale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5"/>
        </w:trPr>
        <w:tc>
          <w:tcPr>
            <w:tcW w:w="8300" w:type="dxa"/>
            <w:vAlign w:val="bottom"/>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8"/>
        </w:trPr>
        <w:tc>
          <w:tcPr>
            <w:tcW w:w="8300" w:type="dxa"/>
            <w:vAlign w:val="bottom"/>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Operating Lease Assets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Trade Name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5"/>
        </w:trPr>
        <w:tc>
          <w:tcPr>
            <w:tcW w:w="830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1"/>
        </w:trPr>
        <w:tc>
          <w:tcPr>
            <w:tcW w:w="8300" w:type="dxa"/>
            <w:vAlign w:val="bottom"/>
            <w:vMerge w:val="restart"/>
          </w:tcPr>
          <w:p>
            <w:pPr>
              <w:ind w:left="2620"/>
              <w:spacing w:after="0"/>
              <w:rPr>
                <w:sz w:val="20"/>
                <w:szCs w:val="20"/>
                <w:color w:val="auto"/>
              </w:rPr>
            </w:pPr>
            <w:r>
              <w:rPr>
                <w:rFonts w:ascii="Arial" w:cs="Arial" w:eastAsia="Arial" w:hAnsi="Arial"/>
                <w:sz w:val="18"/>
                <w:szCs w:val="18"/>
                <w:b w:val="1"/>
                <w:bCs w:val="1"/>
                <w:color w:val="auto"/>
              </w:rPr>
              <w:t>LIABILITIES AND EQUITY (DEFICIT)</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83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Accrued Expenses and Other</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Current Operating Lease Liabilities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5"/>
        </w:trPr>
        <w:tc>
          <w:tcPr>
            <w:tcW w:w="830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8"/>
        </w:trPr>
        <w:tc>
          <w:tcPr>
            <w:tcW w:w="83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5"/>
        </w:trPr>
        <w:tc>
          <w:tcPr>
            <w:tcW w:w="8300" w:type="dxa"/>
            <w:vAlign w:val="bottom"/>
          </w:tcPr>
          <w:p>
            <w:pPr>
              <w:spacing w:after="0"/>
              <w:rPr>
                <w:sz w:val="20"/>
                <w:szCs w:val="20"/>
                <w:color w:val="auto"/>
              </w:rPr>
            </w:pPr>
            <w:r>
              <w:rPr>
                <w:rFonts w:ascii="Arial" w:cs="Arial" w:eastAsia="Arial" w:hAnsi="Arial"/>
                <w:sz w:val="18"/>
                <w:szCs w:val="18"/>
                <w:color w:val="auto"/>
              </w:rPr>
              <w:t>Total Equity (Deficit)</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Total Liabilities and Equity (Deficit)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985"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BATH &amp; BODY WORKS,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First Quarter</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2025</w:t>
            </w:r>
          </w:p>
        </w:tc>
        <w:tc>
          <w:tcPr>
            <w:tcW w:w="0" w:type="dxa"/>
            <w:vAlign w:val="bottom"/>
          </w:tcPr>
          <w:p>
            <w:pPr>
              <w:spacing w:after="0"/>
              <w:rPr>
                <w:sz w:val="1"/>
                <w:szCs w:val="1"/>
                <w:color w:val="auto"/>
              </w:rPr>
            </w:pPr>
          </w:p>
        </w:tc>
      </w:tr>
      <w:tr>
        <w:trPr>
          <w:trHeight w:val="204"/>
        </w:trPr>
        <w:tc>
          <w:tcPr>
            <w:tcW w:w="796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6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79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320"/>
              <w:spacing w:after="0"/>
              <w:rPr>
                <w:sz w:val="20"/>
                <w:szCs w:val="20"/>
                <w:color w:val="auto"/>
              </w:rPr>
            </w:pPr>
            <w:r>
              <w:rPr>
                <w:rFonts w:ascii="Arial" w:cs="Arial" w:eastAsia="Arial" w:hAnsi="Arial"/>
                <w:sz w:val="18"/>
                <w:szCs w:val="18"/>
                <w:color w:val="auto"/>
              </w:rPr>
              <w:t>Depreciation of Long-lived Assets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7960" w:type="dxa"/>
            <w:vAlign w:val="bottom"/>
          </w:tcPr>
          <w:p>
            <w:pPr>
              <w:ind w:left="320"/>
              <w:spacing w:after="0"/>
              <w:rPr>
                <w:sz w:val="20"/>
                <w:szCs w:val="20"/>
                <w:color w:val="auto"/>
              </w:rPr>
            </w:pPr>
            <w:r>
              <w:rPr>
                <w:rFonts w:ascii="Arial" w:cs="Arial" w:eastAsia="Arial" w:hAnsi="Arial"/>
                <w:sz w:val="18"/>
                <w:szCs w:val="18"/>
                <w:color w:val="auto"/>
              </w:rPr>
              <w:t>Share-based Compensation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960" w:type="dxa"/>
            <w:vAlign w:val="bottom"/>
          </w:tcPr>
          <w:p>
            <w:pPr>
              <w:ind w:left="320"/>
              <w:spacing w:after="0"/>
              <w:rPr>
                <w:sz w:val="20"/>
                <w:szCs w:val="20"/>
                <w:color w:val="auto"/>
              </w:rPr>
            </w:pPr>
            <w:r>
              <w:rPr>
                <w:rFonts w:ascii="Arial" w:cs="Arial" w:eastAsia="Arial" w:hAnsi="Arial"/>
                <w:sz w:val="18"/>
                <w:szCs w:val="18"/>
                <w:color w:val="auto"/>
              </w:rPr>
              <w:t>Gain on Sale of Non-core Asset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60" w:type="dxa"/>
            <w:vAlign w:val="bottom"/>
          </w:tcPr>
          <w:p>
            <w:pPr>
              <w:ind w:left="320"/>
              <w:spacing w:after="0"/>
              <w:rPr>
                <w:sz w:val="20"/>
                <w:szCs w:val="20"/>
                <w:color w:val="auto"/>
              </w:rPr>
            </w:pPr>
            <w:r>
              <w:rPr>
                <w:rFonts w:ascii="Arial" w:cs="Arial" w:eastAsia="Arial" w:hAnsi="Arial"/>
                <w:sz w:val="18"/>
                <w:szCs w:val="18"/>
                <w:color w:val="auto"/>
              </w:rPr>
              <w:t>Loss on Extinguishment of Debt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60" w:type="dxa"/>
            <w:vAlign w:val="bottom"/>
          </w:tcPr>
          <w:p>
            <w:pPr>
              <w:ind w:left="320"/>
              <w:spacing w:after="0"/>
              <w:rPr>
                <w:sz w:val="20"/>
                <w:szCs w:val="20"/>
                <w:color w:val="auto"/>
              </w:rPr>
            </w:pPr>
            <w:r>
              <w:rPr>
                <w:rFonts w:ascii="Arial" w:cs="Arial" w:eastAsia="Arial" w:hAnsi="Arial"/>
                <w:sz w:val="18"/>
                <w:szCs w:val="18"/>
                <w:color w:val="auto"/>
              </w:rPr>
              <w:t>Tax Benefit from Resolution of Certain Tax Matters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796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7960" w:type="dxa"/>
            <w:vAlign w:val="bottom"/>
          </w:tcPr>
          <w:p>
            <w:pPr>
              <w:ind w:left="320"/>
              <w:spacing w:after="0"/>
              <w:rPr>
                <w:sz w:val="20"/>
                <w:szCs w:val="20"/>
                <w:color w:val="auto"/>
              </w:rPr>
            </w:pPr>
            <w:r>
              <w:rPr>
                <w:rFonts w:ascii="Arial" w:cs="Arial" w:eastAsia="Arial" w:hAnsi="Arial"/>
                <w:sz w:val="18"/>
                <w:szCs w:val="18"/>
                <w:color w:val="auto"/>
              </w:rPr>
              <w:t>Accounts Payable, Accrued Expenses and Other</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96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5"/>
        </w:trPr>
        <w:tc>
          <w:tcPr>
            <w:tcW w:w="7960" w:type="dxa"/>
            <w:vAlign w:val="bottom"/>
          </w:tcPr>
          <w:p>
            <w:pPr>
              <w:ind w:left="320"/>
              <w:spacing w:after="0"/>
              <w:rPr>
                <w:sz w:val="20"/>
                <w:szCs w:val="20"/>
                <w:color w:val="auto"/>
              </w:rPr>
            </w:pPr>
            <w:r>
              <w:rPr>
                <w:rFonts w:ascii="Arial" w:cs="Arial" w:eastAsia="Arial" w:hAnsi="Arial"/>
                <w:sz w:val="18"/>
                <w:szCs w:val="18"/>
                <w:color w:val="auto"/>
              </w:rPr>
              <w:t>Other Assets and Liabilities</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Net Cash Provided by (Used for) Operating Activities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474"/>
        </w:trPr>
        <w:tc>
          <w:tcPr>
            <w:tcW w:w="79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60" w:type="dxa"/>
            <w:vAlign w:val="bottom"/>
          </w:tcPr>
          <w:p>
            <w:pPr>
              <w:spacing w:after="0"/>
              <w:rPr>
                <w:sz w:val="20"/>
                <w:szCs w:val="20"/>
                <w:color w:val="auto"/>
              </w:rPr>
            </w:pPr>
            <w:r>
              <w:rPr>
                <w:rFonts w:ascii="Arial" w:cs="Arial" w:eastAsia="Arial" w:hAnsi="Arial"/>
                <w:sz w:val="18"/>
                <w:szCs w:val="18"/>
                <w:color w:val="auto"/>
              </w:rPr>
              <w:t>Capital Expenditures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Proceeds from Sale of Non-core Asset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96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74"/>
        </w:trPr>
        <w:tc>
          <w:tcPr>
            <w:tcW w:w="79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Payments for Long-term Debt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9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7960" w:type="dxa"/>
            <w:vAlign w:val="bottom"/>
          </w:tcPr>
          <w:p>
            <w:pPr>
              <w:spacing w:after="0"/>
              <w:rPr>
                <w:sz w:val="20"/>
                <w:szCs w:val="20"/>
                <w:color w:val="auto"/>
              </w:rPr>
            </w:pPr>
            <w:r>
              <w:rPr>
                <w:rFonts w:ascii="Arial" w:cs="Arial" w:eastAsia="Arial" w:hAnsi="Arial"/>
                <w:sz w:val="18"/>
                <w:szCs w:val="18"/>
                <w:color w:val="auto"/>
              </w:rPr>
              <w:t>Dividends Paid</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Tax Payments related to Share-based Awards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5"/>
        </w:trPr>
        <w:tc>
          <w:tcPr>
            <w:tcW w:w="796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Net Cash Used for Financing Activities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479"/>
        </w:trPr>
        <w:tc>
          <w:tcPr>
            <w:tcW w:w="796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9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9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500" w:top="890" w:right="47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BATH &amp; BODY WORKS, INC.</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ADJUSTED FINANCIAL INFORMATION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First Quarter</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Reconciliation of Reported Operating Income to Adjusted Operating Income</w:t>
            </w:r>
          </w:p>
        </w:tc>
        <w:tc>
          <w:tcPr>
            <w:tcW w:w="1800" w:type="dxa"/>
            <w:vAlign w:val="bottom"/>
            <w:vMerge w:val="restart"/>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2026</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2025</w:t>
            </w:r>
          </w:p>
        </w:tc>
        <w:tc>
          <w:tcPr>
            <w:tcW w:w="0" w:type="dxa"/>
            <w:vAlign w:val="bottom"/>
          </w:tcPr>
          <w:p>
            <w:pPr>
              <w:spacing w:after="0"/>
              <w:rPr>
                <w:sz w:val="1"/>
                <w:szCs w:val="1"/>
                <w:color w:val="auto"/>
              </w:rPr>
            </w:pPr>
          </w:p>
        </w:tc>
      </w:tr>
      <w:tr>
        <w:trPr>
          <w:trHeight w:val="174"/>
        </w:trPr>
        <w:tc>
          <w:tcPr>
            <w:tcW w:w="6500" w:type="dxa"/>
            <w:vAlign w:val="bottom"/>
            <w:tcBorders>
              <w:bottom w:val="single" w:sz="8" w:color="auto"/>
            </w:tcBorders>
            <w:gridSpan w:val="2"/>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300" w:type="dxa"/>
            <w:vAlign w:val="bottom"/>
            <w:gridSpan w:val="3"/>
          </w:tcPr>
          <w:p>
            <w:pPr>
              <w:spacing w:after="0"/>
              <w:rPr>
                <w:sz w:val="20"/>
                <w:szCs w:val="20"/>
                <w:color w:val="auto"/>
              </w:rPr>
            </w:pPr>
            <w:r>
              <w:rPr>
                <w:rFonts w:ascii="Arial" w:cs="Arial" w:eastAsia="Arial" w:hAnsi="Arial"/>
                <w:sz w:val="18"/>
                <w:szCs w:val="18"/>
                <w:color w:val="auto"/>
              </w:rPr>
              <w:t>Reported 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8300" w:type="dxa"/>
            <w:vAlign w:val="bottom"/>
            <w:gridSpan w:val="3"/>
          </w:tcPr>
          <w:p>
            <w:pPr>
              <w:spacing w:after="0"/>
              <w:rPr>
                <w:sz w:val="20"/>
                <w:szCs w:val="20"/>
                <w:color w:val="auto"/>
              </w:rPr>
            </w:pPr>
            <w:r>
              <w:rPr>
                <w:rFonts w:ascii="Arial" w:cs="Arial" w:eastAsia="Arial" w:hAnsi="Arial"/>
                <w:sz w:val="18"/>
                <w:szCs w:val="18"/>
                <w:color w:val="auto"/>
              </w:rPr>
              <w:t>Interchange Fee Settlements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300" w:type="dxa"/>
            <w:vAlign w:val="bottom"/>
            <w:gridSpan w:val="3"/>
          </w:tcPr>
          <w:p>
            <w:pPr>
              <w:spacing w:after="0"/>
              <w:rPr>
                <w:sz w:val="20"/>
                <w:szCs w:val="20"/>
                <w:color w:val="auto"/>
              </w:rPr>
            </w:pPr>
            <w:r>
              <w:rPr>
                <w:rFonts w:ascii="Arial" w:cs="Arial" w:eastAsia="Arial" w:hAnsi="Arial"/>
                <w:sz w:val="18"/>
                <w:szCs w:val="18"/>
                <w:color w:val="auto"/>
              </w:rPr>
              <w:t>Business Transformation Activities</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Adjusted Operating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w w:val="99"/>
              </w:rPr>
              <w:t>Reconciliation of Reported Net Income to Adjusted Net Income</w:t>
            </w:r>
          </w:p>
        </w:tc>
        <w:tc>
          <w:tcPr>
            <w:tcW w:w="2920" w:type="dxa"/>
            <w:vAlign w:val="bottom"/>
            <w:gridSpan w:val="2"/>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5380" w:type="dxa"/>
            <w:vAlign w:val="bottom"/>
            <w:tcBorders>
              <w:bottom w:val="single" w:sz="8" w:color="auto"/>
            </w:tcBorders>
            <w:vMerge w:val="continue"/>
          </w:tcPr>
          <w:p>
            <w:pPr>
              <w:spacing w:after="0"/>
              <w:rPr>
                <w:sz w:val="24"/>
                <w:szCs w:val="24"/>
                <w:color w:val="auto"/>
              </w:rPr>
            </w:pPr>
          </w:p>
        </w:tc>
        <w:tc>
          <w:tcPr>
            <w:tcW w:w="29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300" w:type="dxa"/>
            <w:vAlign w:val="bottom"/>
            <w:gridSpan w:val="3"/>
          </w:tcPr>
          <w:p>
            <w:pPr>
              <w:spacing w:after="0"/>
              <w:rPr>
                <w:sz w:val="20"/>
                <w:szCs w:val="20"/>
                <w:color w:val="auto"/>
              </w:rPr>
            </w:pPr>
            <w:r>
              <w:rPr>
                <w:rFonts w:ascii="Arial" w:cs="Arial" w:eastAsia="Arial" w:hAnsi="Arial"/>
                <w:sz w:val="18"/>
                <w:szCs w:val="18"/>
                <w:color w:val="auto"/>
              </w:rPr>
              <w:t>Reported 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8300" w:type="dxa"/>
            <w:vAlign w:val="bottom"/>
            <w:gridSpan w:val="3"/>
          </w:tcPr>
          <w:p>
            <w:pPr>
              <w:spacing w:after="0"/>
              <w:rPr>
                <w:sz w:val="20"/>
                <w:szCs w:val="20"/>
                <w:color w:val="auto"/>
              </w:rPr>
            </w:pPr>
            <w:r>
              <w:rPr>
                <w:rFonts w:ascii="Arial" w:cs="Arial" w:eastAsia="Arial" w:hAnsi="Arial"/>
                <w:sz w:val="18"/>
                <w:szCs w:val="18"/>
                <w:color w:val="auto"/>
              </w:rPr>
              <w:t>Interchange Fee Settlements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00" w:type="dxa"/>
            <w:vAlign w:val="bottom"/>
            <w:gridSpan w:val="3"/>
          </w:tcPr>
          <w:p>
            <w:pPr>
              <w:spacing w:after="0"/>
              <w:rPr>
                <w:sz w:val="20"/>
                <w:szCs w:val="20"/>
                <w:color w:val="auto"/>
              </w:rPr>
            </w:pPr>
            <w:r>
              <w:rPr>
                <w:rFonts w:ascii="Arial" w:cs="Arial" w:eastAsia="Arial" w:hAnsi="Arial"/>
                <w:sz w:val="18"/>
                <w:szCs w:val="18"/>
                <w:color w:val="auto"/>
              </w:rPr>
              <w:t>Business Transformation Activities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00" w:type="dxa"/>
            <w:vAlign w:val="bottom"/>
            <w:gridSpan w:val="3"/>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00" w:type="dxa"/>
            <w:vAlign w:val="bottom"/>
            <w:gridSpan w:val="3"/>
          </w:tcPr>
          <w:p>
            <w:pPr>
              <w:spacing w:after="0"/>
              <w:rPr>
                <w:sz w:val="20"/>
                <w:szCs w:val="20"/>
                <w:color w:val="auto"/>
              </w:rPr>
            </w:pPr>
            <w:r>
              <w:rPr>
                <w:rFonts w:ascii="Arial" w:cs="Arial" w:eastAsia="Arial" w:hAnsi="Arial"/>
                <w:sz w:val="18"/>
                <w:szCs w:val="18"/>
                <w:color w:val="auto"/>
              </w:rPr>
              <w:t>Gain on Sale of Non-core Asset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00" w:type="dxa"/>
            <w:vAlign w:val="bottom"/>
            <w:gridSpan w:val="3"/>
          </w:tcPr>
          <w:p>
            <w:pPr>
              <w:spacing w:after="0"/>
              <w:rPr>
                <w:sz w:val="20"/>
                <w:szCs w:val="20"/>
                <w:color w:val="auto"/>
              </w:rPr>
            </w:pPr>
            <w:r>
              <w:rPr>
                <w:rFonts w:ascii="Arial" w:cs="Arial" w:eastAsia="Arial" w:hAnsi="Arial"/>
                <w:sz w:val="18"/>
                <w:szCs w:val="18"/>
                <w:color w:val="auto"/>
              </w:rPr>
              <w:t>Tax Effect of Adjustments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300" w:type="dxa"/>
            <w:vAlign w:val="bottom"/>
            <w:gridSpan w:val="3"/>
          </w:tcPr>
          <w:p>
            <w:pPr>
              <w:spacing w:after="0"/>
              <w:rPr>
                <w:sz w:val="20"/>
                <w:szCs w:val="20"/>
                <w:color w:val="auto"/>
              </w:rPr>
            </w:pPr>
            <w:r>
              <w:rPr>
                <w:rFonts w:ascii="Arial" w:cs="Arial" w:eastAsia="Arial" w:hAnsi="Arial"/>
                <w:sz w:val="18"/>
                <w:szCs w:val="18"/>
                <w:color w:val="auto"/>
              </w:rPr>
              <w:t>Tax Benefit from Resolution of Certain Tax Matters</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Adjusted 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9200" w:type="dxa"/>
            <w:vAlign w:val="bottom"/>
            <w:gridSpan w:val="5"/>
          </w:tcPr>
          <w:p>
            <w:pPr>
              <w:spacing w:after="0"/>
              <w:rPr>
                <w:sz w:val="20"/>
                <w:szCs w:val="20"/>
                <w:color w:val="auto"/>
              </w:rPr>
            </w:pPr>
            <w:r>
              <w:rPr>
                <w:rFonts w:ascii="Arial" w:cs="Arial" w:eastAsia="Arial" w:hAnsi="Arial"/>
                <w:sz w:val="18"/>
                <w:szCs w:val="18"/>
                <w:b w:val="1"/>
                <w:bCs w:val="1"/>
                <w:color w:val="auto"/>
              </w:rPr>
              <w:t>Reconciliation of Reported Net Income per Diluted Share to Adjusted Net Income per Diluted Share</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3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Reported Net Income per Diluted Share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30"/>
        </w:trPr>
        <w:tc>
          <w:tcPr>
            <w:tcW w:w="8300" w:type="dxa"/>
            <w:vAlign w:val="bottom"/>
            <w:gridSpan w:val="3"/>
          </w:tcPr>
          <w:p>
            <w:pPr>
              <w:spacing w:after="0"/>
              <w:rPr>
                <w:sz w:val="20"/>
                <w:szCs w:val="20"/>
                <w:color w:val="auto"/>
              </w:rPr>
            </w:pPr>
            <w:r>
              <w:rPr>
                <w:rFonts w:ascii="Arial" w:cs="Arial" w:eastAsia="Arial" w:hAnsi="Arial"/>
                <w:sz w:val="18"/>
                <w:szCs w:val="18"/>
                <w:color w:val="auto"/>
              </w:rPr>
              <w:t>Interchange Fee Settlements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(0.43)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00" w:type="dxa"/>
            <w:vAlign w:val="bottom"/>
            <w:gridSpan w:val="3"/>
          </w:tcPr>
          <w:p>
            <w:pPr>
              <w:spacing w:after="0"/>
              <w:rPr>
                <w:sz w:val="20"/>
                <w:szCs w:val="20"/>
                <w:color w:val="auto"/>
              </w:rPr>
            </w:pPr>
            <w:r>
              <w:rPr>
                <w:rFonts w:ascii="Arial" w:cs="Arial" w:eastAsia="Arial" w:hAnsi="Arial"/>
                <w:sz w:val="18"/>
                <w:szCs w:val="18"/>
                <w:color w:val="auto"/>
              </w:rPr>
              <w:t>Business Transformation Activities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00" w:type="dxa"/>
            <w:vAlign w:val="bottom"/>
            <w:gridSpan w:val="3"/>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00" w:type="dxa"/>
            <w:vAlign w:val="bottom"/>
            <w:gridSpan w:val="3"/>
          </w:tcPr>
          <w:p>
            <w:pPr>
              <w:spacing w:after="0"/>
              <w:rPr>
                <w:sz w:val="20"/>
                <w:szCs w:val="20"/>
                <w:color w:val="auto"/>
              </w:rPr>
            </w:pPr>
            <w:r>
              <w:rPr>
                <w:rFonts w:ascii="Arial" w:cs="Arial" w:eastAsia="Arial" w:hAnsi="Arial"/>
                <w:sz w:val="18"/>
                <w:szCs w:val="18"/>
                <w:color w:val="auto"/>
              </w:rPr>
              <w:t>Gain on Sale of Non-core Asset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(0.02)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00" w:type="dxa"/>
            <w:vAlign w:val="bottom"/>
            <w:gridSpan w:val="3"/>
          </w:tcPr>
          <w:p>
            <w:pPr>
              <w:spacing w:after="0"/>
              <w:rPr>
                <w:sz w:val="20"/>
                <w:szCs w:val="20"/>
                <w:color w:val="auto"/>
              </w:rPr>
            </w:pPr>
            <w:r>
              <w:rPr>
                <w:rFonts w:ascii="Arial" w:cs="Arial" w:eastAsia="Arial" w:hAnsi="Arial"/>
                <w:sz w:val="18"/>
                <w:szCs w:val="18"/>
                <w:color w:val="auto"/>
              </w:rPr>
              <w:t>Tax Effect of Adjustments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300" w:type="dxa"/>
            <w:vAlign w:val="bottom"/>
            <w:gridSpan w:val="3"/>
          </w:tcPr>
          <w:p>
            <w:pPr>
              <w:spacing w:after="0"/>
              <w:rPr>
                <w:sz w:val="20"/>
                <w:szCs w:val="20"/>
                <w:color w:val="auto"/>
              </w:rPr>
            </w:pPr>
            <w:r>
              <w:rPr>
                <w:rFonts w:ascii="Arial" w:cs="Arial" w:eastAsia="Arial" w:hAnsi="Arial"/>
                <w:sz w:val="18"/>
                <w:szCs w:val="18"/>
                <w:color w:val="auto"/>
              </w:rPr>
              <w:t>Tax Benefit from Resolution of Certain Tax Matters</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(0.31)</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Adjusted Net Income per Diluted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Adjusted Financial Information.</w:t>
      </w:r>
    </w:p>
    <w:p>
      <w:pPr>
        <w:sectPr>
          <w:pgSz w:w="11900" w:h="16838" w:orient="portrait"/>
          <w:cols w:equalWidth="0" w:num="1">
            <w:col w:w="11220"/>
          </w:cols>
          <w:pgMar w:left="340" w:top="1025"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BATH &amp; BODY WORKS, INC.</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FORECASTED ADJUSTED FINANCIAL INFORMATION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62" w:lineRule="exact"/>
        <w:rPr>
          <w:sz w:val="20"/>
          <w:szCs w:val="20"/>
          <w:color w:val="auto"/>
        </w:rPr>
      </w:pPr>
    </w:p>
    <w:p>
      <w:pPr>
        <w:ind w:left="9420"/>
        <w:spacing w:after="0"/>
        <w:rPr>
          <w:sz w:val="20"/>
          <w:szCs w:val="20"/>
          <w:color w:val="auto"/>
        </w:rPr>
      </w:pPr>
      <w:r>
        <w:rPr>
          <w:rFonts w:ascii="Arial" w:cs="Arial" w:eastAsia="Arial" w:hAnsi="Arial"/>
          <w:sz w:val="18"/>
          <w:szCs w:val="18"/>
          <w:b w:val="1"/>
          <w:bCs w:val="1"/>
          <w:color w:val="auto"/>
        </w:rPr>
        <w:t>Full-Year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17780</wp:posOffset>
            </wp:positionV>
            <wp:extent cx="1808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0"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15240</wp:posOffset>
            </wp:positionV>
            <wp:extent cx="1808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Reconciliation of Forecasted Net Income Per Diluted Share to Forecasted Adjusted Net Income per Diluted Share</w:t>
      </w:r>
    </w:p>
    <w:p>
      <w:pPr>
        <w:spacing w:after="0" w:line="23" w:lineRule="exact"/>
        <w:rPr>
          <w:sz w:val="20"/>
          <w:szCs w:val="20"/>
          <w:color w:val="auto"/>
        </w:rPr>
      </w:pPr>
    </w:p>
    <w:p>
      <w:pPr>
        <w:ind w:left="8880"/>
        <w:spacing w:after="0"/>
        <w:tabs>
          <w:tab w:leader="none" w:pos="10320" w:val="left"/>
        </w:tabs>
        <w:rPr>
          <w:sz w:val="20"/>
          <w:szCs w:val="20"/>
          <w:color w:val="auto"/>
        </w:rPr>
      </w:pPr>
      <w:r>
        <w:rPr>
          <w:rFonts w:ascii="Arial" w:cs="Arial" w:eastAsia="Arial" w:hAnsi="Arial"/>
          <w:sz w:val="18"/>
          <w:szCs w:val="18"/>
          <w:b w:val="1"/>
          <w:bCs w:val="1"/>
          <w:color w:val="auto"/>
        </w:rPr>
        <w:t>Low</w:t>
      </w:r>
      <w:r>
        <w:rPr>
          <w:sz w:val="20"/>
          <w:szCs w:val="20"/>
          <w:color w:val="auto"/>
        </w:rPr>
        <w:tab/>
      </w:r>
      <w:r>
        <w:rPr>
          <w:rFonts w:ascii="Arial" w:cs="Arial" w:eastAsia="Arial" w:hAnsi="Arial"/>
          <w:sz w:val="18"/>
          <w:szCs w:val="18"/>
          <w:b w:val="1"/>
          <w:bCs w:val="1"/>
          <w:color w:val="auto"/>
        </w:rPr>
        <w:t>High</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380" w:type="dxa"/>
            <w:vAlign w:val="bottom"/>
          </w:tcPr>
          <w:p>
            <w:pPr>
              <w:spacing w:after="0"/>
              <w:rPr>
                <w:sz w:val="20"/>
                <w:szCs w:val="20"/>
                <w:color w:val="auto"/>
              </w:rPr>
            </w:pPr>
            <w:r>
              <w:rPr>
                <w:rFonts w:ascii="Arial" w:cs="Arial" w:eastAsia="Arial" w:hAnsi="Arial"/>
                <w:sz w:val="18"/>
                <w:szCs w:val="18"/>
                <w:color w:val="auto"/>
              </w:rPr>
              <w:t>Forecasted Net Income per Diluted Share</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center"/>
              <w:ind w:left="17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Interchange Fee Settlements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center"/>
              <w:ind w:left="150"/>
              <w:spacing w:after="0"/>
              <w:rPr>
                <w:sz w:val="20"/>
                <w:szCs w:val="20"/>
                <w:color w:val="auto"/>
              </w:rPr>
            </w:pPr>
            <w:r>
              <w:rPr>
                <w:rFonts w:ascii="Arial" w:cs="Arial" w:eastAsia="Arial" w:hAnsi="Arial"/>
                <w:sz w:val="18"/>
                <w:szCs w:val="18"/>
                <w:color w:val="auto"/>
                <w:w w:val="97"/>
              </w:rPr>
              <w:t>(0.43)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29"/>
        </w:trPr>
        <w:tc>
          <w:tcPr>
            <w:tcW w:w="8380" w:type="dxa"/>
            <w:vAlign w:val="bottom"/>
          </w:tcPr>
          <w:p>
            <w:pPr>
              <w:spacing w:after="0"/>
              <w:rPr>
                <w:sz w:val="20"/>
                <w:szCs w:val="20"/>
                <w:color w:val="auto"/>
              </w:rPr>
            </w:pPr>
            <w:r>
              <w:rPr>
                <w:rFonts w:ascii="Arial" w:cs="Arial" w:eastAsia="Arial" w:hAnsi="Arial"/>
                <w:sz w:val="18"/>
                <w:szCs w:val="18"/>
                <w:color w:val="auto"/>
              </w:rPr>
              <w:t>Business Transformation Activities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center"/>
              <w:ind w:left="17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center"/>
              <w:ind w:left="17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9"/>
        </w:trPr>
        <w:tc>
          <w:tcPr>
            <w:tcW w:w="8380" w:type="dxa"/>
            <w:vAlign w:val="bottom"/>
          </w:tcPr>
          <w:p>
            <w:pPr>
              <w:spacing w:after="0"/>
              <w:rPr>
                <w:sz w:val="20"/>
                <w:szCs w:val="20"/>
                <w:color w:val="auto"/>
              </w:rPr>
            </w:pPr>
            <w:r>
              <w:rPr>
                <w:rFonts w:ascii="Arial" w:cs="Arial" w:eastAsia="Arial" w:hAnsi="Arial"/>
                <w:sz w:val="18"/>
                <w:szCs w:val="18"/>
                <w:color w:val="auto"/>
              </w:rPr>
              <w:t>Gain on Sale of Non-core Asset</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center"/>
              <w:ind w:left="150"/>
              <w:spacing w:after="0"/>
              <w:rPr>
                <w:sz w:val="20"/>
                <w:szCs w:val="20"/>
                <w:color w:val="auto"/>
              </w:rPr>
            </w:pPr>
            <w:r>
              <w:rPr>
                <w:rFonts w:ascii="Arial" w:cs="Arial" w:eastAsia="Arial" w:hAnsi="Arial"/>
                <w:sz w:val="18"/>
                <w:szCs w:val="18"/>
                <w:color w:val="auto"/>
                <w:w w:val="97"/>
              </w:rPr>
              <w:t>(0.02)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8380" w:type="dxa"/>
            <w:vAlign w:val="bottom"/>
          </w:tcPr>
          <w:p>
            <w:pPr>
              <w:spacing w:after="0"/>
              <w:rPr>
                <w:sz w:val="20"/>
                <w:szCs w:val="20"/>
                <w:color w:val="auto"/>
              </w:rPr>
            </w:pPr>
            <w:r>
              <w:rPr>
                <w:rFonts w:ascii="Arial" w:cs="Arial" w:eastAsia="Arial" w:hAnsi="Arial"/>
                <w:sz w:val="18"/>
                <w:szCs w:val="18"/>
                <w:color w:val="auto"/>
              </w:rPr>
              <w:t>Tax Effect of Adjustments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center"/>
              <w:ind w:left="17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5"/>
        </w:trPr>
        <w:tc>
          <w:tcPr>
            <w:tcW w:w="8380" w:type="dxa"/>
            <w:vAlign w:val="bottom"/>
          </w:tcPr>
          <w:p>
            <w:pPr>
              <w:spacing w:after="0"/>
              <w:rPr>
                <w:sz w:val="20"/>
                <w:szCs w:val="20"/>
                <w:color w:val="auto"/>
              </w:rPr>
            </w:pPr>
            <w:r>
              <w:rPr>
                <w:rFonts w:ascii="Arial" w:cs="Arial" w:eastAsia="Arial" w:hAnsi="Arial"/>
                <w:sz w:val="18"/>
                <w:szCs w:val="18"/>
                <w:color w:val="auto"/>
              </w:rPr>
              <w:t>Tax Benefit from Resolution of Certain Tax Matters</w:t>
            </w: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7"/>
              </w:rPr>
              <w:t>(0.31)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Forecasted Adjusted Net Income Per Diluted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
        </w:trPr>
        <w:tc>
          <w:tcPr>
            <w:tcW w:w="8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9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Reconciliation of Forecasted Net Cash Provided by Operating Activities to Forecasted Free Cash Flow</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Full-Year</w:t>
            </w:r>
          </w:p>
        </w:tc>
        <w:tc>
          <w:tcPr>
            <w:tcW w:w="0" w:type="dxa"/>
            <w:vAlign w:val="bottom"/>
          </w:tcPr>
          <w:p>
            <w:pPr>
              <w:spacing w:after="0"/>
              <w:rPr>
                <w:sz w:val="1"/>
                <w:szCs w:val="1"/>
                <w:color w:val="auto"/>
              </w:rPr>
            </w:pPr>
          </w:p>
        </w:tc>
      </w:tr>
      <w:tr>
        <w:trPr>
          <w:trHeight w:val="183"/>
        </w:trPr>
        <w:tc>
          <w:tcPr>
            <w:tcW w:w="9000" w:type="dxa"/>
            <w:vAlign w:val="bottom"/>
            <w:gridSpan w:val="3"/>
            <w:vMerge w:val="continue"/>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2026</w:t>
            </w:r>
          </w:p>
        </w:tc>
        <w:tc>
          <w:tcPr>
            <w:tcW w:w="0" w:type="dxa"/>
            <w:vAlign w:val="bottom"/>
          </w:tcPr>
          <w:p>
            <w:pPr>
              <w:spacing w:after="0"/>
              <w:rPr>
                <w:sz w:val="1"/>
                <w:szCs w:val="1"/>
                <w:color w:val="auto"/>
              </w:rPr>
            </w:pPr>
          </w:p>
        </w:tc>
      </w:tr>
      <w:tr>
        <w:trPr>
          <w:trHeight w:val="21"/>
        </w:trPr>
        <w:tc>
          <w:tcPr>
            <w:tcW w:w="83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Forecasted Net Cash Provided by Operating Activities</w:t>
            </w:r>
          </w:p>
        </w:tc>
        <w:tc>
          <w:tcPr>
            <w:tcW w:w="3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83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5"/>
        </w:trPr>
        <w:tc>
          <w:tcPr>
            <w:tcW w:w="8380" w:type="dxa"/>
            <w:vAlign w:val="bottom"/>
          </w:tcPr>
          <w:p>
            <w:pPr>
              <w:spacing w:after="0"/>
              <w:rPr>
                <w:sz w:val="20"/>
                <w:szCs w:val="20"/>
                <w:color w:val="auto"/>
              </w:rPr>
            </w:pPr>
            <w:r>
              <w:rPr>
                <w:rFonts w:ascii="Arial" w:cs="Arial" w:eastAsia="Arial" w:hAnsi="Arial"/>
                <w:sz w:val="18"/>
                <w:szCs w:val="18"/>
                <w:color w:val="auto"/>
              </w:rPr>
              <w:t>Forecasted Capital Expenditures</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Forecasted Free Cash Flow</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Adjusted Financial Information.</w:t>
      </w:r>
    </w:p>
    <w:p>
      <w:pPr>
        <w:sectPr>
          <w:pgSz w:w="11900" w:h="16838" w:orient="portrait"/>
          <w:cols w:equalWidth="0" w:num="1">
            <w:col w:w="11220"/>
          </w:cols>
          <w:pgMar w:left="340" w:top="1025" w:right="3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BATH &amp; BODY WORKS,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ADJUSTED FINANCIAL INFORMATION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adjusted financial information should not be construed as an alternative to the results determined in accordance with generally accepted accounting principles. Further, the company’s definitions of adjusted income information may differ from similarly titled measures used by other companies. Management believes that the presentation of adjusted financial information provides additional information to investors to facilitate the comparison of past and present operations. While it is not possible to predict future results, management believes the adjusted financial information is useful for the assessment of the operations of the company because the adjusted items are not indicative of the company’s ongoing operations due to their size and nature. Additionally, management uses adjusted financial information as key performance measures for the purpose of evaluating performance internally. The adjusted financial information should be read in conjunction with the company’s historical financial statements and notes thereto contained in the company’s Quarterly Reports on Form 10-Q and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“Adjusted Financial Information” provided in the attached reflects the following non-GAAP financial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2026, adjusted results exclude the following:</w:t>
      </w:r>
    </w:p>
    <w:p>
      <w:pPr>
        <w:spacing w:after="0" w:line="171" w:lineRule="exact"/>
        <w:rPr>
          <w:sz w:val="20"/>
          <w:szCs w:val="20"/>
          <w:color w:val="auto"/>
        </w:rPr>
      </w:pPr>
    </w:p>
    <w:p>
      <w:pPr>
        <w:ind w:left="660" w:right="100" w:hanging="328"/>
        <w:spacing w:after="0" w:line="281"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$88 million pre-tax gain ($66 million after tax), included as a reduction to General, Administrative and Store Operating Expenses, related to cash proceeds received, net of legal fees, for favorable settlements of payment card interchange fee litigation;</w:t>
      </w:r>
    </w:p>
    <w:p>
      <w:pPr>
        <w:spacing w:after="0" w:line="1" w:lineRule="exact"/>
        <w:rPr>
          <w:rFonts w:ascii="Arial" w:cs="Arial" w:eastAsia="Arial" w:hAnsi="Arial"/>
          <w:sz w:val="18"/>
          <w:szCs w:val="18"/>
          <w:color w:val="auto"/>
        </w:rPr>
      </w:pPr>
    </w:p>
    <w:p>
      <w:pPr>
        <w:ind w:left="660" w:right="760" w:hanging="328"/>
        <w:spacing w:after="0" w:line="281"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pre-tax costs of $8 million ($6 million after tax), primarily included in General, Administrative and Store Operating Expenses, resulting from business transformation activities in connection with the Consumer First Formula;</w:t>
      </w:r>
    </w:p>
    <w:p>
      <w:pPr>
        <w:spacing w:after="0" w:line="1" w:lineRule="exact"/>
        <w:rPr>
          <w:rFonts w:ascii="Arial" w:cs="Arial" w:eastAsia="Arial" w:hAnsi="Arial"/>
          <w:sz w:val="18"/>
          <w:szCs w:val="18"/>
          <w:color w:val="auto"/>
        </w:rPr>
      </w:pPr>
    </w:p>
    <w:p>
      <w:pPr>
        <w:ind w:left="660" w:right="120" w:hanging="328"/>
        <w:spacing w:after="0" w:line="281"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$8 million pre-tax loss ($6 million after tax), included in Other Income, Net, related to the repurchase and early extinguishment of outstanding debt;</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$3 million pre-tax gain ($3 million after tax), included in Other Income, Net, related to the sale of a non-core asset;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$62 million tax benefit associated with the resolution of certain tax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Full-year 2026 Forecasted Adjusted Net Income per Diluted Share excludes the adjustments referenced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adjustments to results in the first quarter of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Forecasted Free Cash Flow</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Forecasted Free Cash Flow is defined as Forecasted Net Cash Provided by Operating Activities less our Forecasted Capital Expenditures. Our Forecasted Free Cash Flow is a non-GAAP financial measure which we believe is useful to analyze our anticipated ability to generate cash. Our Forecasted Free Cash Flow calculation may not be comparable to similarly-titled measures reported by other companies. Our Forecasted Free Cash Flow should be evaluated in addition to, and not considered a substitute for, other GAAP financial measures.</w:t>
      </w:r>
    </w:p>
    <w:sectPr>
      <w:pgSz w:w="11900" w:h="16838" w:orient="portrait"/>
      <w:cols w:equalWidth="0" w:num="1">
        <w:col w:w="11220"/>
      </w:cols>
      <w:pgMar w:left="320" w:top="8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2026-05-27T06:14:08Z</dcterms:created>
  <dcterms:modified xsi:type="dcterms:W3CDTF">2026-05-27T06:14:08Z</dcterms:modified>
</cp:coreProperties>
</file>