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Bath &amp; Body 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584" w:type="dxa"/>
        <w:tblCellMar>
          <w:top w:w="0" w:type="dxa"/>
          <w:left w:w="0" w:type="dxa"/>
          <w:bottom w:w="0" w:type="dxa"/>
          <w:right w:w="0" w:type="dxa"/>
        </w:tblCellMar>
      </w:tblPr>
      <w:tr>
        <w:trPr>
          <w:trHeight w:val="214"/>
        </w:trPr>
        <w:tc>
          <w:tcPr>
            <w:tcW w:w="2480" w:type="dxa"/>
            <w:vAlign w:val="bottom"/>
          </w:tcPr>
          <w:p>
            <w:pPr>
              <w:spacing w:after="0"/>
              <w:rPr>
                <w:sz w:val="18"/>
                <w:szCs w:val="18"/>
                <w:color w:val="auto"/>
              </w:rPr>
            </w:pPr>
          </w:p>
        </w:tc>
        <w:tc>
          <w:tcPr>
            <w:tcW w:w="4840" w:type="dxa"/>
            <w:vAlign w:val="bottom"/>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90"/>
        </w:trPr>
        <w:tc>
          <w:tcPr>
            <w:tcW w:w="2480" w:type="dxa"/>
            <w:vAlign w:val="bottom"/>
          </w:tcPr>
          <w:p>
            <w:pPr>
              <w:spacing w:after="0"/>
              <w:rPr>
                <w:sz w:val="16"/>
                <w:szCs w:val="16"/>
                <w:color w:val="auto"/>
              </w:rPr>
            </w:pPr>
          </w:p>
        </w:tc>
        <w:tc>
          <w:tcPr>
            <w:tcW w:w="4840" w:type="dxa"/>
            <w:vAlign w:val="bottom"/>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417"/>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1-8344</w:t>
            </w:r>
          </w:p>
        </w:tc>
        <w:tc>
          <w:tcPr>
            <w:tcW w:w="484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31-1029810</w:t>
            </w:r>
          </w:p>
        </w:tc>
      </w:tr>
      <w:tr>
        <w:trPr>
          <w:trHeight w:val="148"/>
        </w:trPr>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840" w:type="dxa"/>
            <w:vAlign w:val="bottom"/>
          </w:tcPr>
          <w:p>
            <w:pPr>
              <w:jc w:val="center"/>
              <w:ind w:left="36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840" w:type="dxa"/>
            <w:vAlign w:val="bottom"/>
          </w:tcPr>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Limited Parkway</w:t>
            </w:r>
          </w:p>
        </w:tc>
        <w:tc>
          <w:tcPr>
            <w:tcW w:w="4840" w:type="dxa"/>
            <w:vAlign w:val="bottom"/>
          </w:tcPr>
          <w:p>
            <w:pPr>
              <w:spacing w:after="0"/>
              <w:rPr>
                <w:sz w:val="24"/>
                <w:szCs w:val="24"/>
                <w:color w:val="auto"/>
              </w:rPr>
            </w:pPr>
          </w:p>
        </w:tc>
      </w:tr>
      <w:tr>
        <w:trPr>
          <w:trHeight w:val="214"/>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Columbus, OH</w:t>
            </w:r>
          </w:p>
        </w:tc>
        <w:tc>
          <w:tcPr>
            <w:tcW w:w="484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43230</w:t>
            </w:r>
          </w:p>
        </w:tc>
      </w:tr>
      <w:tr>
        <w:trPr>
          <w:trHeight w:val="190"/>
        </w:trPr>
        <w:tc>
          <w:tcPr>
            <w:tcW w:w="24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(614) 415-7000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00" w:hanging="444"/>
        <w:spacing w:after="0" w:line="51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$0.50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BBWI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May 19, 2025, Bath &amp; Body Works, Inc. (the “Company”) issued a press release announcing, among other things, certain anticipated financial results for the first quarter of 2025. A copy of the press release is furnished as Exhibit 99.1 to this Current Report on Form 8-K and is incorporated by reference herein.</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(including Exhibit 99.1) shall not be deemed to be “filed” for the purposes of Section 18 of the Securities Exchange Act of 1934, as amended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May 19, 2025, the Company announced that the Board of Directors of the Company (the “Board”) has appointed Daniel Heaf to serve as Chief Executive Officer of the Company, effective May 16, 2025. The Company also announced that Mr. Heaf will be appointed as a member of the Board effective as of immediately following the conclusion of the Company’s 2025 Annual Meeting of Shareholders. Gina Boswell ceased to serve as Chief Executive Officer of the Company effective as of May 16, 2025 and resigned as a member of the Board effective the same day.</w:t>
      </w:r>
    </w:p>
    <w:p>
      <w:pPr>
        <w:spacing w:after="0" w:line="180"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Mr. Heaf, age 47, served in various leadership roles at Nike, Inc. (Nike), including Chief Strategy and Transformation Officer, Vice President Nike Direct, and Vice President, Nike Direct Digital Commerce from 2018 to 2025. Prior to Nike, Mr. Heaf served in leadership roles at Burberry and BBC Worldwide. Mr. Heaf graduated from the University of Nottingham’s School of Geography in England with a 1st class bachelor’s degree in geography.</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May 16, 2025, the Company entered into an offer letter (the “Offer Letter”) with Mr. Heaf in connection with his employment as the Chief Executive Officer of the Company. Pursuant to the Offer Letter, Mr. Heaf will be eligible for the following compensation and benefits: (i) an annual base salary of $1,350,000, (ii) a target annual incentive opportunity under the Company’s incentive compensation plan equal to 190% of his annual base salary (with the 2025 award for the spring season to be prorated based on his period of service with the Company), (iii) beginning with the 2026 fiscal year, an annual equity incentive award opportunity with a grant date fair value of $8,000,000, (iv) a one-time award of restricted stock units with a grant date fair value of $2,500,000 (“Sign-On RSUs”), with 30% of such Sign-On RSUs vesting on the first anniversary of the start date of May 16, 2025, 30% on the second anniversary of the start date, and 40% on the third anniversary of the start date, subject to Mr. Heaf’s continued employment with the Company through each vesting date, (v) a one-time award of performance share units with a grant date fair value of $2,500,000, which will vest based on the level of achievement of the performance goals applicable to the performance share awards granted to senior executives of the Company in March of 2025 and subject to Mr. Heaf’s continued employment through the vesting date, (vi) relocation assistance and an allowance of up to $200,000 (prorated for a partial year) for travel and related costs for him and his family until his relocation is complete (no later than June 30, 2027), and (vii) participation in the Company’s health, welfare and retirement benefit programs.</w:t>
      </w:r>
    </w:p>
    <w:p>
      <w:pPr>
        <w:spacing w:after="0" w:line="190" w:lineRule="exact"/>
        <w:rPr>
          <w:sz w:val="20"/>
          <w:szCs w:val="20"/>
          <w:color w:val="auto"/>
        </w:rPr>
      </w:pPr>
    </w:p>
    <w:p>
      <w:pPr>
        <w:ind w:right="400" w:firstLine="440"/>
        <w:spacing w:after="0" w:line="256" w:lineRule="auto"/>
        <w:rPr>
          <w:sz w:val="20"/>
          <w:szCs w:val="20"/>
          <w:color w:val="auto"/>
        </w:rPr>
      </w:pPr>
      <w:r>
        <w:rPr>
          <w:rFonts w:ascii="Times New Roman" w:cs="Times New Roman" w:eastAsia="Times New Roman" w:hAnsi="Times New Roman"/>
          <w:sz w:val="18"/>
          <w:szCs w:val="18"/>
          <w:color w:val="auto"/>
        </w:rPr>
        <w:t>As a condition to his employment, Mr. Heaf entered into a Confidentiality, Non-Competition and Intellectual Property Agreement with the Company, which restricts him from disclosing the Company’s confidential information and soliciting the Company’s employees and customers and competing with the Company while employed and during the twelve months thereafter. In addition, Mr. Heaf entered into the Company’s standard indemnification agreement for executive officers and directors and an executive severance agreement with the Company, described below (the “Severance Agreement”), which is substantially similar to the executive severance agreements entered into between the Company and its other executive officers.</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Severance Agreement, in the event of a termination of Mr. Heaf’s employment by the Company without “cause” or by him for “good reason,” in each case other than during the three-month period prior to, and the 24-month period following, a “change in control” of the Company, he will be entitled to receive (i) continued payment of annual base salary for two years following the termination date, (ii) an amount equal to two years of COBRA premiums, (iii) the annual cash incentive compensation award payable (A) for the performance period in</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which the termination date occurs, and (B) for the performance periods commencing during the two-year period following his termination date (prorated for any fiscal year ending after the second anniversary of the termination date), with such amounts determined based on actual performance (but not greater than his target incentive opportunity as of the termination date), (iv) accelerated vesting of a pro rata portion of the unvested time-vesting equity awards held by him and (v) continued vesting of a pro rata portion of the unvested equity awards held by him that vest based on performance-based vesting conditions, which will remain subject to the existing performance metrics. If such termination of employment occurs during the three-month period prior to, or during the 24-month period following, a “change in control” of the Company, then Mr. Heaf will be entitled to receive (a) the amounts described in clauses (i) and (ii) above, (b) a payment equal to the product of (1) the greater of (A) his target annual bonus as of the termination date and</w:t>
      </w:r>
    </w:p>
    <w:p>
      <w:pPr>
        <w:spacing w:after="0" w:line="2" w:lineRule="exact"/>
        <w:rPr>
          <w:sz w:val="20"/>
          <w:szCs w:val="20"/>
          <w:color w:val="auto"/>
        </w:rPr>
      </w:pPr>
    </w:p>
    <w:p>
      <w:pPr>
        <w:ind w:left="4" w:hanging="4"/>
        <w:spacing w:after="0" w:line="250" w:lineRule="auto"/>
        <w:tabs>
          <w:tab w:leader="none" w:pos="2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cash incentive compensation payouts that he received for the two completed fiscal years prior to the termination date (such greater amount, the “Applicable Bonus”) and (2) two, (c) his incentive compensation award for the performance period in which the termination date occurs, prorated based on the number of days employed during such performance period and determined by reference to the Applicable Bonus, and</w:t>
      </w:r>
    </w:p>
    <w:p>
      <w:pPr>
        <w:spacing w:after="0" w:line="1" w:lineRule="exact"/>
        <w:rPr>
          <w:rFonts w:ascii="Times New Roman" w:cs="Times New Roman" w:eastAsia="Times New Roman" w:hAnsi="Times New Roman"/>
          <w:sz w:val="18"/>
          <w:szCs w:val="18"/>
          <w:color w:val="auto"/>
        </w:rPr>
      </w:pPr>
    </w:p>
    <w:p>
      <w:pPr>
        <w:ind w:left="4"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accelerated vesting of any outstanding unvested equity awards held by him, with performance goals deemed to be achieved at target levels if less than one-third of the applicable performance period has lapsed, and otherwise deemed achieved at maximum levels. The above payments and benefits are subject to Mr. Heaf’s execution and non-revocation of a release of claims.</w:t>
      </w:r>
    </w:p>
    <w:p>
      <w:pPr>
        <w:spacing w:after="0" w:line="186"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above, there is no arrangement or understanding between Mr. Heaf and any other person pursuant to which Mr. Heaf has been appointed as Chief Executive Officer, and there is no family relationship between Mr. Heaf and any of the Company’s directors or executive officers. Mr. Heaf has no interest in any transaction required to be disclosed pursuant to Item 404(a) of Regulation S-K.</w:t>
      </w:r>
    </w:p>
    <w:p>
      <w:pPr>
        <w:spacing w:after="0" w:line="176" w:lineRule="exact"/>
        <w:rPr>
          <w:sz w:val="20"/>
          <w:szCs w:val="20"/>
          <w:color w:val="auto"/>
        </w:rPr>
      </w:pPr>
    </w:p>
    <w:p>
      <w:pPr>
        <w:ind w:left="4" w:right="260" w:firstLine="440"/>
        <w:spacing w:after="0" w:line="256" w:lineRule="auto"/>
        <w:rPr>
          <w:sz w:val="20"/>
          <w:szCs w:val="20"/>
          <w:color w:val="auto"/>
        </w:rPr>
      </w:pPr>
      <w:r>
        <w:rPr>
          <w:rFonts w:ascii="Times New Roman" w:cs="Times New Roman" w:eastAsia="Times New Roman" w:hAnsi="Times New Roman"/>
          <w:sz w:val="18"/>
          <w:szCs w:val="18"/>
          <w:color w:val="auto"/>
        </w:rPr>
        <w:t>Ms. Boswell’s termination of employment will entitle her to the severance payments and benefits payable upon a termination without cause pursuant to the terms of the previously disclosed executive severance agreement between the Company and Ms. Boswell, dated December 1, 2022, subject to the terms thereof, including the Company’s receipt of an effective release of claims against the Company from Ms. Boswell. The executive severance agreement with Ms. Boswell is filed as Exhibit 10.16 to the Company’s Annual Report on Form 10-K for the fiscal year ended February 1, 2025, filed with the Securities and Exchange Commission on March 14, 2025. Following her separation, Ms. Boswell will continue to be subject to certain restrictive covenants, including non-competition and non-solicitation covenants.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On May 19, 2025, the Company issued a press release announcing the appointment of Mr. Heaf and the departure of Ms. Boswell, a copy of which is furnished with this Current Report as Exhibit 99.1 and incorporated into this Item 7.01 by reference.</w:t>
      </w:r>
    </w:p>
    <w:p>
      <w:pPr>
        <w:spacing w:after="0" w:line="162"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(including Exhibit 99.1) shall not be deemed to be “filed” for the purposes of Section 18 of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4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Press Release of Bath &amp; Body Works, Inc., dated May 19, 2025.</w:t>
            </w:r>
          </w:p>
        </w:tc>
      </w:tr>
    </w:tbl>
    <w:p>
      <w:pPr>
        <w:spacing w:after="0" w:line="117" w:lineRule="exact"/>
        <w:rPr>
          <w:sz w:val="20"/>
          <w:szCs w:val="20"/>
          <w:color w:val="auto"/>
        </w:rPr>
      </w:pPr>
    </w:p>
    <w:p>
      <w:pPr>
        <w:ind w:left="5464" w:right="3720" w:hanging="5464"/>
        <w:spacing w:after="0" w:line="454" w:lineRule="auto"/>
        <w:tabs>
          <w:tab w:leader="none" w:pos="14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1004"/>
          </w:cols>
          <w:pgMar w:left="436" w:top="297" w:right="4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Michael C. Wu</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Bath &amp; Body Works Appoints Daniel Heaf as Chief Executive Officer</w:t>
      </w:r>
    </w:p>
    <w:p>
      <w:pPr>
        <w:spacing w:after="0" w:line="1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Heaf Brings Proven Track Record of Driving Growth Across Iconic Global Consumer Brands Through Product, Retail, and Marketing Transformation</w:t>
      </w:r>
    </w:p>
    <w:p>
      <w:pPr>
        <w:spacing w:after="0" w:line="11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Company Pre-Announces First Quarter 2025 Net Sales of $1.4 billion and Earnings Per Diluted Share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 $0.49, Meeting the High End of Sales Guidance and Exceeding EPS Guidance;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Maintains 2025 Full-Year Outlook</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COLUMBUS, Ohio, May 19, 2025 (GLOBE NEWSWIRE) </w:t>
      </w:r>
      <w:r>
        <w:rPr>
          <w:rFonts w:ascii="Times New Roman" w:cs="Times New Roman" w:eastAsia="Times New Roman" w:hAnsi="Times New Roman"/>
          <w:sz w:val="18"/>
          <w:szCs w:val="18"/>
          <w:color w:val="auto"/>
        </w:rPr>
        <w:t>– Bath &amp; Body Works, Inc. (NYSE: BBWI) today announced that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 voted unanimously to appoint Daniel Heaf as Chief Executive Officer, effective immediately. Heaf will be appointed as a member of the Board immediately following the conclusion of the Company’s 2025 Annual Meeting of Shareholders.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Heaf is a transformative leader with a deep consumer-centric mindset and a track record of driving bold innovation at scale across global consumer and retail companies. In senior leadership roles at Nike, Heaf oversaw strategy and drove significant growth in retail and digital sales channels at a time of massive upheaval in the marketplace. Most recently, as Nike’s Chief Strategy and Transformation Officer, Heaf delivered material productivity gains by refocusing resources and investment in product and brand. Prior to that, as Head of Nike Direct, Heaf oversaw 45,000 employees in 9,000 stores across 41 countries and more than doubled the business to $22.3 billion in five years. Before Nike, Heaf served as Senior Vice President of Digital, Digital Marketing, Customer Service &amp; Data at Burberry, where he helped reposition the brand as a digital innovator.</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 a strategic search, the Board recognized a rare and exciting opportunity to bring on Daniel as the next CEO of Bath &amp; Body Works,” said Sarah Nash, Chair of the Board. “Daniel is a forward-thinking leader with a remarkable track record of driving innovative, transformative growth across iconic global brands. He brings bold and direct leadership which energizes and inspires teams to rally behind him. His vision for evolving Bath &amp; Body Works to be highly coveted, relevant, and resonant for customers everywhere – combined with his consumer-first mindset – make him the right person to lead Bath &amp; Body Works. Daniel, his leadership team, and the Board will partner closely to develop a forward-looking strategy that honors the company’s legacy while embracing bold, necessary transformation to meet consumers where they are.”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 am honored and energized by the opportunity to lead Bath &amp; Body Works into its next chapter of growth,” said Daniel Heaf. “Bath &amp; Body Works has extraordinary untapped potential and sits at an exciting inflection point. Together, with the foundation of an iconic brand, more than 50,000 associates, tens of millions of active loyalty members, and a strong North American store footprint and supply chain, we have an opportunity to become the defining home fragrance and beauty brand of choice globally. I look forward to working closely with the Board, the leadership team, and our associates to build on the company’s fragrance leadership and accelerate growth.”</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Gina Boswell has stepped down from her role as CEO and a member of the Bath &amp; Body Works Board, effective immediately.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behalf of the Board, I want to thank Gina for her contributions to Bath &amp; Body Works. In the post COVID-normalization period she was able to stabilize the business and return it to profitable revenue growth,” said Nash.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Pre-Announces First Quarter 2025 Net Sales and Earnings Per Diluted Share Results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today’s announcement, the Company is pre-announcing its preliminary first quarter net sales and earnings per diluted share results. For the first quarter ended May 3, 2025, net sales were $1,424 million, an increase of 3% compared to the prior year period. Earnings per diluted share were $0.49 for the first quarter of 2025, compared to $0.38 last year. First quarter 2025 sales were at the high end of the guidance range, and earnings per share exceeded the high end of the guidance range. The Company maintains its initial full-year 2025 net sales guidance of 1% to 3% growth and $3.25 to $3.60 earnings per diluted share.</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forward-looking guidance reflects the impact of the initial 10% tariff on goods imported from China and excludes potential impacts from other possible tariff changes.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preliminary results for the first quarter ended May 3, 2025, are an estimate, based on information available to management as of the date of this release, and are subject to further changes upon completion of the Company’s standard closing procedures. It is possible that management may identify items that require it to make adjustments to the preliminary financial information set forth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Call and Additional Information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Bath &amp; Body Works, Inc. will conduct its first quarter earnings call at 8:30 a.m. Eastern Time on Thursday, May 29, 2025. Investors can expect to hear from Sarah Nash, Board Chair, Daniel Heaf, Chief Executive Officer, and Eva Boratto, Chief Financial Officer. To listen, call 877-407-9219 (international dial-in number: 412-652-1274). For an audio replay, call 877-660-6853 (international replay number: 201-612-7415); access code 13753334 or log onto www.BBWInc.com. A slide presentation will be posted on the Company’s Investor Relations website that summarizes certain information in the Company’s prepared remarks from the earnings call as well as some additional facts and figures regarding the Company’s operating performance and guidance.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Daniel Heaf</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Daniel is a passionate and innovative leader with over two decades of experience executing transformational growth strategies across consumer goods, media, retail, and technology sectors. As Head of Nike Direct, Heaf oversaw 45,000 employees in 9,000 stores across 41 countries, managing the global direct-to-consumer (DTC) business. Under his leadership, Nike’s DTC business grew from $10.4 billion in 2018 to $22.3 billion in 2023. He also launched and expanded Nike’s portfolio of digital apps, including the Nike App, Nike Run Club, Nike Training Club, and SNKRS. Most recently, Heaf was Chief Strategy and Transformation Officer at Nike, where he built the Company’s Transformation</w:t>
      </w:r>
    </w:p>
    <w:p>
      <w:pPr>
        <w:sectPr>
          <w:pgSz w:w="11900" w:h="16838" w:orient="portrait"/>
          <w:cols w:equalWidth="0" w:num="1">
            <w:col w:w="10960"/>
          </w:cols>
          <w:pgMar w:left="440" w:top="270" w:right="499" w:bottom="1440" w:gutter="0" w:footer="0" w:header="0"/>
        </w:sectPr>
      </w:pPr>
    </w:p>
    <w:bookmarkStart w:id="6" w:name="page7"/>
    <w:bookmarkEnd w:id="6"/>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 and developed Nike’s corporate, functional, consumer, and geography strategies. Prior to Nike, Heaf served as Senior Vice President of Digital, Digital Marketing, Customer Service &amp; Data at Burberry, where he helped reposition the brand as a digital innovator. At Burberry, Heaf increased digital sales from 5% to 15% and pioneered the livestreaming of fashion shows in partnership with Apple.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BATH &amp; BODY WORKS: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 of America’s Favorite Fragrances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Bath &amp; Body Works is a global leader in personal care and home fragrance, including top-selling collections</w:t>
      </w:r>
    </w:p>
    <w:p>
      <w:pPr>
        <w:spacing w:after="0"/>
        <w:rPr>
          <w:sz w:val="20"/>
          <w:szCs w:val="20"/>
          <w:color w:val="auto"/>
        </w:rPr>
      </w:pPr>
      <w:r>
        <w:rPr>
          <w:rFonts w:ascii="Times New Roman" w:cs="Times New Roman" w:eastAsia="Times New Roman" w:hAnsi="Times New Roman"/>
          <w:sz w:val="18"/>
          <w:szCs w:val="18"/>
          <w:color w:val="auto"/>
        </w:rPr>
        <w:t>for fine fragrance mist, body lotion and body cream, 3-wick candles, home fragrance diffusers and liquid hand soap. Powered by agility and innovation,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predominantly U.S.-based supply chain enables the Company to deliver quality, on-trend luxuries at affordable prices. Bath &amp; Body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Works serves and delights customers however and wherever they want to shop, from welcoming, in-store experiences at 1,895 Company-operated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Bath &amp; Body Works locations in the U.S. and Canada and 529 international franchised locations to an online storefront at </w:t>
      </w:r>
      <w:r>
        <w:rPr>
          <w:rFonts w:ascii="Times New Roman" w:cs="Times New Roman" w:eastAsia="Times New Roman" w:hAnsi="Times New Roman"/>
          <w:sz w:val="17"/>
          <w:szCs w:val="17"/>
          <w:u w:val="single" w:color="auto"/>
          <w:color w:val="auto"/>
        </w:rPr>
        <w:t>bathandbodyworks.com</w:t>
      </w:r>
      <w:r>
        <w:rPr>
          <w:rFonts w:ascii="Times New Roman" w:cs="Times New Roman" w:eastAsia="Times New Roman" w:hAnsi="Times New Roman"/>
          <w:sz w:val="17"/>
          <w:szCs w:val="17"/>
          <w:color w:val="auto"/>
        </w:rPr>
        <w:t xml:space="preserve">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 Under the Private Securities Litigation Reform Act of 1995</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report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“target,” “goal” and any similar expressions may identify forward-looking statements. There are risks, uncertainties and other factors that in some cases have affected and, in the future, could affect our financial performance and actual results and could cause actual results to differ materially from those expressed or implied in any forward-looking statements included in this report or otherwise made by the Company or our management.</w:t>
      </w:r>
    </w:p>
    <w:p>
      <w:pPr>
        <w:sectPr>
          <w:pgSz w:w="11900" w:h="16838" w:orient="portrait"/>
          <w:cols w:equalWidth="0" w:num="1">
            <w:col w:w="10980"/>
          </w:cols>
          <w:pgMar w:left="440" w:top="270" w:right="47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and our subsequent filings.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further information,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Luke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InvestorRelations@bbw.com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Emmy Beach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Communications@bbw.com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Brunswick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Darren McDermott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DMcdermott@brunswickgroup.com</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2"/>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2025-05-19T07:58:35Z</dcterms:created>
  <dcterms:modified xsi:type="dcterms:W3CDTF">2025-05-19T07:58:35Z</dcterms:modified>
</cp:coreProperties>
</file>