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pBdr>
          <w:bottom w:val="single" w:sz="2" w:space="1" w:color="000000"/>
        </w:pBdr>
        <w:bidi w:val="0"/>
        <w:spacing w:lineRule="atLeast" w:line="142" w:before="0" w:after="0"/>
        <w:jc w:val="left"/>
        <w:rPr/>
      </w:pPr>
      <w:bookmarkStart w:id="0" w:name="d571342ddefa14a.htm"/>
      <w:bookmarkStart w:id="1" w:name="ksd571342ddefa14a"/>
      <w:bookmarkEnd w:id="0"/>
      <w:bookmarkEnd w:id="1"/>
      <w:r>
        <w:rPr/>
        <w:t> </w:t>
      </w:r>
    </w:p>
    <w:p>
      <w:pPr>
        <w:pStyle w:val="TextBody"/>
        <w:pBdr>
          <w:bottom w:val="single" w:sz="2" w:space="1" w:color="000000"/>
        </w:pBdr>
        <w:bidi w:val="0"/>
        <w:spacing w:lineRule="atLeast" w:line="142" w:before="0" w:after="40"/>
        <w:jc w:val="left"/>
        <w:rPr/>
      </w:pPr>
      <w:r>
        <w:rPr/>
        <w:t> </w:t>
      </w:r>
    </w:p>
    <w:p>
      <w:pPr>
        <w:pStyle w:val="TextBody"/>
        <w:bidi w:val="0"/>
        <w:spacing w:before="2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Washington, D.C. 20549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8" w:space="1" w:color="000000"/>
        </w:pBdr>
        <w:bidi w:val="0"/>
        <w:spacing w:lineRule="atLeast" w:line="142" w:before="0" w:after="40"/>
        <w:jc w:val="center"/>
        <w:rPr/>
      </w:pPr>
      <w:r>
        <w:rPr/>
        <w:t> </w:t>
      </w:r>
    </w:p>
    <w:p>
      <w:pPr>
        <w:pStyle w:val="TextBody"/>
        <w:bidi w:val="0"/>
        <w:spacing w:before="12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SCHEDULE 14A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(Rule 14a-101)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INFORMATION REQUIRED IN PROXY STATEMENT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SCHEDULE 14A INFORMATION </w:t>
      </w:r>
    </w:p>
    <w:p>
      <w:pPr>
        <w:pStyle w:val="TextBody"/>
        <w:bidi w:val="0"/>
        <w:spacing w:before="12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Proxy Statement Pursuant to Section 14(a) of the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Securities Exchange Act of 1934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8" w:space="1" w:color="000000"/>
        </w:pBdr>
        <w:bidi w:val="0"/>
        <w:spacing w:lineRule="atLeast" w:line="142" w:before="0" w:after="40"/>
        <w:jc w:val="center"/>
        <w:rPr/>
      </w:pPr>
      <w:r>
        <w:rPr/>
        <w:t> </w:t>
      </w:r>
    </w:p>
    <w:p>
      <w:pPr>
        <w:pStyle w:val="TextBody"/>
        <w:bidi w:val="0"/>
        <w:spacing w:before="120" w:after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Filed by the Registrant ☒       Filed by a party other than the Registrant ☐ </w:t>
      </w:r>
    </w:p>
    <w:p>
      <w:pPr>
        <w:pStyle w:val="TextBody"/>
        <w:bidi w:val="0"/>
        <w:spacing w:before="120" w:after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Check the appropriate box: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 xml:space="preserve">Preliminary Proxy Statement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9797"/>
      </w:tblGrid>
      <w:tr>
        <w:trPr/>
        <w:tc>
          <w:tcPr>
            <w:tcW w:w="40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7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Confidential, for Use of the Commission Only (as permitted by Rule 14a-6(e)(2))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9797"/>
      </w:tblGrid>
      <w:tr>
        <w:trPr/>
        <w:tc>
          <w:tcPr>
            <w:tcW w:w="40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7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 xml:space="preserve">Definitive Proxy Statement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 xml:space="preserve">Definitive Additional Materials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 xml:space="preserve">Soliciting Material Pursuant to §240.14a-12 </w:t>
            </w:r>
          </w:p>
        </w:tc>
      </w:tr>
    </w:tbl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40"/>
        </w:rPr>
      </w:pPr>
      <w:r>
        <w:rPr>
          <w:rFonts w:ascii="Times New Roman" w:hAnsi="Times New Roman"/>
          <w:b/>
          <w:sz w:val="40"/>
        </w:rPr>
        <w:t xml:space="preserve">Bath &amp; Body Works, Inc.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(Name of Registrant as Specified in its Charter) </w:t>
      </w:r>
    </w:p>
    <w:p>
      <w:pPr>
        <w:pStyle w:val="TextBody"/>
        <w:bidi w:val="0"/>
        <w:spacing w:before="12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Not applicable.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(Name of Person(s) Filing Proxy Statement, if other than the Registrant) </w:t>
      </w:r>
    </w:p>
    <w:p>
      <w:pPr>
        <w:pStyle w:val="TextBody"/>
        <w:bidi w:val="0"/>
        <w:spacing w:before="120" w:after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Payment of Filing Fee (Check all boxes that apply): 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5"/>
        <w:gridCol w:w="135"/>
        <w:gridCol w:w="749"/>
        <w:gridCol w:w="306"/>
        <w:gridCol w:w="8480"/>
      </w:tblGrid>
      <w:tr>
        <w:trPr/>
        <w:tc>
          <w:tcPr>
            <w:tcW w:w="5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6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120" w:hRule="atLeast"/>
        </w:trPr>
        <w:tc>
          <w:tcPr>
            <w:tcW w:w="5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70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3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13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535" w:type="dxa"/>
            <w:gridSpan w:val="3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 fee required.</w:t>
            </w:r>
          </w:p>
        </w:tc>
      </w:tr>
      <w:tr>
        <w:trPr>
          <w:trHeight w:val="120" w:hRule="atLeast"/>
        </w:trPr>
        <w:tc>
          <w:tcPr>
            <w:tcW w:w="5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70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3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13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535" w:type="dxa"/>
            <w:gridSpan w:val="3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Fee paid previously with preliminary materials.</w:t>
            </w:r>
          </w:p>
        </w:tc>
      </w:tr>
      <w:tr>
        <w:trPr>
          <w:trHeight w:val="120" w:hRule="atLeast"/>
        </w:trPr>
        <w:tc>
          <w:tcPr>
            <w:tcW w:w="5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70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3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13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535" w:type="dxa"/>
            <w:gridSpan w:val="3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Fee computed on table in exhibit required by Item 25(b) per Exchange Act Rules 14a-6(i)(1) and 0-11.</w:t>
            </w:r>
          </w:p>
        </w:tc>
      </w:tr>
    </w:tbl>
    <w:p>
      <w:pPr>
        <w:pStyle w:val="TextBody"/>
        <w:pBdr>
          <w:bottom w:val="single" w:sz="2" w:space="1" w:color="000000"/>
        </w:pBdr>
        <w:bidi w:val="0"/>
        <w:spacing w:lineRule="atLeast" w:line="142"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2" w:space="1" w:color="000000"/>
        </w:pBdr>
        <w:bidi w:val="0"/>
        <w:spacing w:lineRule="atLeast" w:line="142" w:before="0" w:after="40"/>
        <w:jc w:val="left"/>
        <w:rPr/>
      </w:pPr>
      <w:r>
        <w:rPr/>
        <w:t> 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46"/>
        <w:gridCol w:w="120"/>
        <w:gridCol w:w="5139"/>
      </w:tblGrid>
      <w:tr>
        <w:trPr/>
        <w:tc>
          <w:tcPr>
            <w:tcW w:w="4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46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    </w:t>
            </w:r>
            <w:r>
              <w:rPr/>
              <w:drawing>
                <wp:inline distT="0" distB="0" distL="0" distR="0">
                  <wp:extent cx="2419350" cy="28575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color w:val="040707"/>
              </w:rPr>
            </w:pPr>
            <w:r>
              <w:rPr>
                <w:color w:val="040707"/>
              </w:rPr>
              <w:t>  </w:t>
            </w:r>
            <w:r>
              <w:rPr>
                <w:rFonts w:ascii="ARIAL" w:hAnsi="ARIAL"/>
                <w:color w:val="040707"/>
                <w:sz w:val="12"/>
              </w:rPr>
              <w:t>C/O TABULATOR, P.O. BOX 8016, CARY, NC 27512-9903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133725" cy="88582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372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 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139" w:type="dxa"/>
            <w:tcBorders/>
          </w:tcPr>
          <w:p>
            <w:pPr>
              <w:pStyle w:val="TableContents"/>
              <w:bidi w:val="0"/>
              <w:spacing w:before="0" w:after="0"/>
              <w:jc w:val="right"/>
              <w:rPr/>
            </w:pPr>
            <w:r>
              <w:rPr/>
              <w:drawing>
                <wp:inline distT="0" distB="0" distL="0" distR="0">
                  <wp:extent cx="3257550" cy="26574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550" cy="2657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17"/>
        <w:gridCol w:w="134"/>
        <w:gridCol w:w="305"/>
        <w:gridCol w:w="134"/>
        <w:gridCol w:w="4415"/>
      </w:tblGrid>
      <w:tr>
        <w:trPr/>
        <w:tc>
          <w:tcPr>
            <w:tcW w:w="52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217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040707"/>
                <w:sz w:val="28"/>
              </w:rPr>
            </w:pPr>
            <w:r>
              <w:rPr>
                <w:rFonts w:ascii="ARIAL" w:hAnsi="ARIAL"/>
                <w:b/>
                <w:color w:val="040707"/>
                <w:sz w:val="28"/>
              </w:rPr>
              <w:t>Bath &amp; Body Works, Inc.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06569A"/>
                <w:sz w:val="28"/>
              </w:rPr>
            </w:pPr>
            <w:r>
              <w:rPr>
                <w:rFonts w:ascii="ARIAL" w:hAnsi="ARIAL"/>
                <w:b/>
                <w:color w:val="06569A"/>
                <w:sz w:val="28"/>
              </w:rPr>
              <w:t>Annual Meeting of Shareholders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color w:val="040707"/>
                <w:sz w:val="16"/>
              </w:rPr>
            </w:pPr>
            <w:r>
              <w:rPr>
                <w:rFonts w:ascii="ARIAL" w:hAnsi="ARIAL"/>
                <w:color w:val="040707"/>
                <w:sz w:val="16"/>
              </w:rPr>
              <w:t>Thursday, June 27, 2024 8:30 AM, Eastern Time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color w:val="040707"/>
                <w:sz w:val="16"/>
              </w:rPr>
            </w:pPr>
            <w:r>
              <w:rPr>
                <w:rFonts w:ascii="ARIAL" w:hAnsi="ARIAL"/>
                <w:color w:val="040707"/>
                <w:sz w:val="16"/>
              </w:rPr>
              <w:t>Three Limited Parkway, Columbus, Ohio 43230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pBdr>
                <w:bottom w:val="single" w:sz="16" w:space="1" w:color="005699"/>
              </w:pBdr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040707"/>
                <w:sz w:val="20"/>
              </w:rPr>
            </w:pPr>
            <w:r>
              <w:rPr>
                <w:rFonts w:ascii="ARIAL" w:hAnsi="ARIAL"/>
                <w:b/>
                <w:color w:val="040707"/>
                <w:sz w:val="20"/>
              </w:rPr>
              <w:t>For a convenient way to view proxy materials, VOTE, and obtain directions to attend the meeting and vote in person go to www.proxydocs.com/BBWI which has the Combined Annual Report and Proxy Statement.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040707"/>
                <w:sz w:val="20"/>
              </w:rPr>
            </w:pPr>
            <w:r>
              <w:rPr>
                <w:rFonts w:ascii="ARIAL" w:hAnsi="ARIAL"/>
                <w:b/>
                <w:color w:val="040707"/>
                <w:sz w:val="20"/>
              </w:rPr>
              <w:t>To vote your proxy while visiting this site, you will need the 12 digit control number in the box below.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color w:val="040707"/>
                <w:sz w:val="16"/>
              </w:rPr>
            </w:pPr>
            <w:r>
              <w:rPr>
                <w:rFonts w:ascii="ARIAL" w:hAnsi="ARIAL"/>
                <w:color w:val="040707"/>
                <w:sz w:val="16"/>
              </w:rPr>
              <w:t>This communication presents only an overview of the more complete proxy materials that are available to you on the Internet or by mail. This is not a ballot. You cannot use this notice to vote your shares. We encourage you to access and review all of the important information contained in the proxy materials before voting.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color w:val="040707"/>
                <w:sz w:val="16"/>
              </w:rPr>
            </w:pPr>
            <w:r>
              <w:rPr>
                <w:rFonts w:ascii="ARIAL" w:hAnsi="ARIAL"/>
                <w:color w:val="040707"/>
                <w:sz w:val="16"/>
              </w:rPr>
              <w:t>Under United States Securities and Exchange Commission rules, proxy materials do not have to be delivered in paper. Proxy materials can be distributed by making them available on the Internet.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color w:val="040707"/>
                <w:sz w:val="16"/>
              </w:rPr>
            </w:pPr>
            <w:r>
              <w:rPr>
                <w:rFonts w:ascii="ARIAL" w:hAnsi="ARIAL"/>
                <w:color w:val="040707"/>
                <w:sz w:val="16"/>
              </w:rPr>
              <w:t>If you want to receive a paper or e-mail copy of the proxy materials, you must request one. There is no charge to you for requesting a copy. In order to receive a paper package in time for this years meeting, you must make this request on or before June 17, 2024.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 </w:t>
            </w:r>
          </w:p>
        </w:tc>
        <w:tc>
          <w:tcPr>
            <w:tcW w:w="13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305" w:type="dxa"/>
            <w:tcBorders/>
          </w:tcPr>
          <w:p>
            <w:pPr>
              <w:pStyle w:val="TableContents"/>
              <w:bidi w:val="0"/>
              <w:spacing w:before="0" w:after="0"/>
              <w:jc w:val="right"/>
              <w:rPr/>
            </w:pPr>
            <w:r>
              <w:rPr/>
              <w:t xml:space="preserve">   </w:t>
            </w:r>
            <w:r>
              <w:rPr/>
              <w:drawing>
                <wp:inline distT="0" distB="0" distL="0" distR="0">
                  <wp:extent cx="180975" cy="5791200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579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   </w:t>
            </w:r>
          </w:p>
        </w:tc>
        <w:tc>
          <w:tcPr>
            <w:tcW w:w="13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4415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rFonts w:ascii="ARIAL" w:hAnsi="ARIAL"/>
                <w:b/>
                <w:color w:val="06569A"/>
                <w:sz w:val="22"/>
              </w:rPr>
            </w:pPr>
            <w:r>
              <w:rPr>
                <w:rFonts w:ascii="ARIAL" w:hAnsi="ARIAL"/>
                <w:b/>
                <w:color w:val="06569A"/>
                <w:sz w:val="22"/>
              </w:rPr>
              <w:t>Scan QR for  </w:t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rFonts w:ascii="ARIAL" w:hAnsi="ARIAL"/>
                <w:b/>
                <w:color w:val="06569A"/>
                <w:sz w:val="22"/>
              </w:rPr>
            </w:pPr>
            <w:r>
              <w:rPr>
                <w:rFonts w:ascii="ARIAL" w:hAnsi="ARIAL"/>
                <w:b/>
                <w:color w:val="06569A"/>
                <w:sz w:val="22"/>
              </w:rPr>
              <w:t>digital voting  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color w:val="040707"/>
                <w:sz w:val="16"/>
              </w:rPr>
            </w:pPr>
            <w:r>
              <w:rPr>
                <w:rFonts w:ascii="ARIAL" w:hAnsi="ARIAL"/>
                <w:b/>
                <w:color w:val="040707"/>
                <w:sz w:val="16"/>
              </w:rPr>
              <w:t xml:space="preserve">Meeting Materials: </w:t>
            </w:r>
            <w:r>
              <w:rPr>
                <w:rFonts w:ascii="ARIAL" w:hAnsi="ARIAL"/>
                <w:color w:val="040707"/>
                <w:sz w:val="16"/>
              </w:rPr>
              <w:t>Notice of Meeting and Proxy Statement &amp; Annual Report on Form 10-K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06569A"/>
                <w:sz w:val="18"/>
              </w:rPr>
            </w:pPr>
            <w:r>
              <w:rPr>
                <w:rFonts w:ascii="ARIAL" w:hAnsi="ARIAL"/>
                <w:b/>
                <w:color w:val="06569A"/>
                <w:sz w:val="18"/>
              </w:rPr>
              <w:t>Important Notice Regarding the Availability of Proxy Materials for the Shareholders Meeting To Be Held On June 27, 2024 For Shareholders of Record as of April 30, 2024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040707"/>
                <w:sz w:val="18"/>
              </w:rPr>
            </w:pPr>
            <w:r>
              <w:rPr>
                <w:rFonts w:ascii="ARIAL" w:hAnsi="ARIAL"/>
                <w:b/>
                <w:color w:val="040707"/>
                <w:sz w:val="18"/>
              </w:rPr>
              <w:t>To request paper materials or an email copy, use one of the following methods.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both"/>
              <w:rPr/>
            </w:pPr>
            <w:r>
              <w:rPr/>
              <w:t xml:space="preserve">  </w:t>
            </w:r>
            <w:r>
              <w:rPr/>
              <w:drawing>
                <wp:inline distT="0" distB="0" distL="0" distR="0">
                  <wp:extent cx="390525" cy="3333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06569A"/>
                <w:sz w:val="18"/>
              </w:rPr>
            </w:pPr>
            <w:r>
              <w:rPr>
                <w:rFonts w:ascii="ARIAL" w:hAnsi="ARIAL"/>
                <w:b/>
                <w:color w:val="06569A"/>
                <w:sz w:val="18"/>
              </w:rPr>
              <w:t>Internet: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1BA3B8"/>
                <w:sz w:val="18"/>
              </w:rPr>
            </w:pPr>
            <w:r>
              <w:rPr>
                <w:rFonts w:ascii="ARIAL" w:hAnsi="ARIAL"/>
                <w:b/>
                <w:color w:val="1BA3B8"/>
                <w:sz w:val="18"/>
              </w:rPr>
              <w:t>www.investorelections.com/BBWI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  </w:t>
            </w:r>
            <w:r>
              <w:rPr/>
              <w:drawing>
                <wp:inline distT="0" distB="0" distL="0" distR="0">
                  <wp:extent cx="257175" cy="39052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06569A"/>
                <w:sz w:val="18"/>
              </w:rPr>
            </w:pPr>
            <w:r>
              <w:rPr>
                <w:rFonts w:ascii="ARIAL" w:hAnsi="ARIAL"/>
                <w:b/>
                <w:color w:val="06569A"/>
                <w:sz w:val="18"/>
              </w:rPr>
              <w:t>Call: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1BA3B8"/>
                <w:sz w:val="18"/>
              </w:rPr>
            </w:pPr>
            <w:r>
              <w:rPr>
                <w:rFonts w:ascii="ARIAL" w:hAnsi="ARIAL"/>
                <w:b/>
                <w:color w:val="1BA3B8"/>
                <w:sz w:val="18"/>
              </w:rPr>
              <w:t>1-866-648-8133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  </w:t>
            </w:r>
            <w:r>
              <w:rPr/>
              <w:drawing>
                <wp:inline distT="0" distB="0" distL="0" distR="0">
                  <wp:extent cx="371475" cy="37147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06569A"/>
                <w:sz w:val="18"/>
              </w:rPr>
            </w:pPr>
            <w:r>
              <w:rPr>
                <w:rFonts w:ascii="ARIAL" w:hAnsi="ARIAL"/>
                <w:b/>
                <w:color w:val="06569A"/>
                <w:sz w:val="18"/>
              </w:rPr>
              <w:t>Email: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1BA3B8"/>
                <w:sz w:val="18"/>
              </w:rPr>
            </w:pPr>
            <w:r>
              <w:rPr>
                <w:rFonts w:ascii="ARIAL" w:hAnsi="ARIAL"/>
                <w:b/>
                <w:color w:val="1BA3B8"/>
                <w:sz w:val="18"/>
              </w:rPr>
              <w:t>paper@investorelections.com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color w:val="040707"/>
                <w:sz w:val="12"/>
              </w:rPr>
            </w:pPr>
            <w:r>
              <w:rPr>
                <w:rFonts w:ascii="ARIAL" w:hAnsi="ARIAL"/>
                <w:color w:val="040707"/>
                <w:sz w:val="12"/>
              </w:rPr>
              <w:t>* If requesting material by e-mail, please send a blank e-mail with the 12 digit control number (located below) in the subject line. No other requests, instructions OR other inquiries should be included with your e-mail requesting material.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143125" cy="438150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1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30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4415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color w:val="040707"/>
                <w:sz w:val="14"/>
              </w:rPr>
            </w:pPr>
            <w:r>
              <w:rPr>
                <w:rFonts w:ascii="ARIAL" w:hAnsi="ARIAL"/>
                <w:color w:val="040707"/>
                <w:sz w:val="14"/>
              </w:rPr>
              <w:t>Have the 12 digit control number located in the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box above available when you access the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website and follow the instructions.</w:t>
            </w:r>
          </w:p>
        </w:tc>
      </w:tr>
      <w:tr>
        <w:trPr>
          <w:trHeight w:val="120" w:hRule="atLeast"/>
        </w:trPr>
        <w:tc>
          <w:tcPr>
            <w:tcW w:w="52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21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b/>
                <w:color w:val="040707"/>
                <w:sz w:val="18"/>
              </w:rPr>
            </w:pPr>
            <w:r>
              <w:rPr>
                <w:b/>
                <w:color w:val="040707"/>
                <w:sz w:val="18"/>
              </w:rPr>
              <w:t>SEE REVERSE FOR FULL AGENDA</w:t>
            </w:r>
          </w:p>
        </w:tc>
        <w:tc>
          <w:tcPr>
            <w:tcW w:w="13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30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44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120" w:hRule="atLeast"/>
        </w:trPr>
        <w:tc>
          <w:tcPr>
            <w:tcW w:w="52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8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21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4854" w:type="dxa"/>
            <w:gridSpan w:val="3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rFonts w:ascii="ARIAL" w:hAnsi="ARIAL"/>
                <w:color w:val="040707"/>
                <w:sz w:val="16"/>
              </w:rPr>
            </w:pPr>
            <w:r>
              <w:rPr>
                <w:rFonts w:ascii="ARIAL" w:hAnsi="ARIAL"/>
                <w:color w:val="040707"/>
                <w:sz w:val="16"/>
              </w:rPr>
              <w:t>Copyright © 2024 BetaNXT, Inc. or its affiliates. All Rights Reserved</w:t>
            </w:r>
          </w:p>
        </w:tc>
      </w:tr>
    </w:tbl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br w:type="page"/>
      </w:r>
      <w:r>
        <w:rPr/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87"/>
        <w:gridCol w:w="102"/>
        <w:gridCol w:w="6216"/>
      </w:tblGrid>
      <w:tr>
        <w:trPr/>
        <w:tc>
          <w:tcPr>
            <w:tcW w:w="38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87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 xml:space="preserve">  </w:t>
            </w:r>
            <w:r>
              <w:rPr/>
              <w:drawing>
                <wp:inline distT="0" distB="0" distL="0" distR="0">
                  <wp:extent cx="2419350" cy="285750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</w:tc>
        <w:tc>
          <w:tcPr>
            <w:tcW w:w="10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216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>
                <w:b/>
                <w:color w:val="005699"/>
              </w:rPr>
            </w:pPr>
            <w:r>
              <w:rPr>
                <w:b/>
                <w:color w:val="005699"/>
              </w:rPr>
              <w:t>Bath &amp; Body Works, Inc. Annual Meeting of Shareholders</w:t>
            </w:r>
          </w:p>
        </w:tc>
      </w:tr>
      <w:tr>
        <w:trPr/>
        <w:tc>
          <w:tcPr>
            <w:tcW w:w="3887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21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360" w:after="0"/>
        <w:jc w:val="lef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THE BOARD OF DIRECTORS RECOMMENDS A VOTE: </w:t>
      </w:r>
    </w:p>
    <w:p>
      <w:pPr>
        <w:pStyle w:val="TextBody"/>
        <w:bidi w:val="0"/>
        <w:spacing w:before="0" w:after="0"/>
        <w:jc w:val="left"/>
        <w:rPr/>
      </w:pPr>
      <w:r>
        <w:rPr/>
        <w:t>    </w:t>
      </w:r>
      <w:r>
        <w:rPr>
          <w:rFonts w:ascii="ARIAL" w:hAnsi="ARIAL"/>
          <w:b/>
          <w:sz w:val="16"/>
        </w:rPr>
        <w:t xml:space="preserve">FOR </w:t>
      </w:r>
      <w:r>
        <w:rPr>
          <w:rFonts w:ascii="ARIAL" w:hAnsi="ARIAL"/>
          <w:sz w:val="16"/>
        </w:rPr>
        <w:t xml:space="preserve">ON PROPOSALS 1, 2 AND 3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4"/>
        <w:gridCol w:w="101"/>
        <w:gridCol w:w="9800"/>
      </w:tblGrid>
      <w:tr>
        <w:trPr/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4" w:type="dxa"/>
            <w:tcBorders/>
            <w:shd w:fill="D9D9D9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shd w:fill="D9D9D9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800" w:type="dxa"/>
            <w:tcBorders/>
            <w:shd w:fill="D9D9D9" w:val="clea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PROPOSAL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7"/>
        <w:gridCol w:w="125"/>
        <w:gridCol w:w="9127"/>
        <w:gridCol w:w="125"/>
        <w:gridCol w:w="511"/>
      </w:tblGrid>
      <w:tr>
        <w:trPr/>
        <w:tc>
          <w:tcPr>
            <w:tcW w:w="3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30" w:hRule="atLeast"/>
        </w:trPr>
        <w:tc>
          <w:tcPr>
            <w:tcW w:w="3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16"/>
              </w:rPr>
            </w:pPr>
            <w:r>
              <w:rPr>
                <w:sz w:val="16"/>
              </w:rPr>
              <w:t>1.</w:t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2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Elect the 10 nominees proposed by the Board of Directors as directors.</w:t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1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120" w:hRule="atLeast"/>
        </w:trPr>
        <w:tc>
          <w:tcPr>
            <w:tcW w:w="3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2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1.01 Sarah E. Nash</w:t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1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120" w:hRule="atLeast"/>
        </w:trPr>
        <w:tc>
          <w:tcPr>
            <w:tcW w:w="3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2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1.02 Alessandro Bogliolo</w:t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1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120" w:hRule="atLeast"/>
        </w:trPr>
        <w:tc>
          <w:tcPr>
            <w:tcW w:w="3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2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1.03 Gina R. Boswell</w:t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1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120" w:hRule="atLeast"/>
        </w:trPr>
        <w:tc>
          <w:tcPr>
            <w:tcW w:w="3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2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1.04 Lucy O. Brady</w:t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1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120" w:hRule="atLeast"/>
        </w:trPr>
        <w:tc>
          <w:tcPr>
            <w:tcW w:w="3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2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1.05 Francis A. Hondal</w:t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1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  </w:t>
            </w:r>
          </w:p>
        </w:tc>
      </w:tr>
      <w:tr>
        <w:trPr>
          <w:trHeight w:val="120" w:hRule="atLeast"/>
        </w:trPr>
        <w:tc>
          <w:tcPr>
            <w:tcW w:w="3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2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1.06 Danielle M. Lee</w:t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1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120" w:hRule="atLeast"/>
        </w:trPr>
        <w:tc>
          <w:tcPr>
            <w:tcW w:w="3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2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1.07 Juan Rajlin</w:t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1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120" w:hRule="atLeast"/>
        </w:trPr>
        <w:tc>
          <w:tcPr>
            <w:tcW w:w="3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2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1.08 Stephen D. Steinour</w:t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1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120" w:hRule="atLeast"/>
        </w:trPr>
        <w:tc>
          <w:tcPr>
            <w:tcW w:w="3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2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1.09 J.K. Symancyk</w:t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1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120" w:hRule="atLeast"/>
        </w:trPr>
        <w:tc>
          <w:tcPr>
            <w:tcW w:w="3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2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1.10 Steven E. Voskuil</w:t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1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360" w:hRule="atLeast"/>
        </w:trPr>
        <w:tc>
          <w:tcPr>
            <w:tcW w:w="3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16"/>
              </w:rPr>
            </w:pPr>
            <w:r>
              <w:rPr>
                <w:sz w:val="16"/>
              </w:rPr>
              <w:t>2.</w:t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12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Ratification of the appointment of our independent registered public accounting firm.</w:t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1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120" w:hRule="atLeast"/>
        </w:trPr>
        <w:tc>
          <w:tcPr>
            <w:tcW w:w="3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8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16"/>
              </w:rPr>
            </w:pPr>
            <w:r>
              <w:rPr>
                <w:sz w:val="16"/>
              </w:rPr>
              <w:t>3.</w:t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763" w:type="dxa"/>
            <w:gridSpan w:val="3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Advisory vote to approve named executive officer compensation.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NOTE: Transact such other business as may properly come before the meeting.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r>
        <w:br w:type="page"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ARIAL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619</Words>
  <Characters>3191</Characters>
  <CharactersWithSpaces>3921</CharactersWithSpaces>
  <Paragraphs>182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DEFA14A</dc:title>
</cp:coreProperties>
</file>