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January 29, 2019</w:t>
      </w:r>
    </w:p>
    <w:p>
      <w:pPr>
        <w:spacing w:after="0" w:line="136"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5" w:lineRule="exact"/>
        <w:rPr>
          <w:sz w:val="24"/>
          <w:szCs w:val="24"/>
          <w:color w:val="auto"/>
        </w:rPr>
      </w:pPr>
    </w:p>
    <w:p>
      <w:pPr>
        <w:ind w:left="5060"/>
        <w:spacing w:after="0"/>
        <w:rPr>
          <w:sz w:val="20"/>
          <w:szCs w:val="20"/>
          <w:color w:val="auto"/>
        </w:rPr>
      </w:pPr>
      <w:r>
        <w:rPr>
          <w:rFonts w:ascii="Arial" w:cs="Arial" w:eastAsia="Arial" w:hAnsi="Arial"/>
          <w:sz w:val="25"/>
          <w:szCs w:val="25"/>
          <w:b w:val="1"/>
          <w:bCs w:val="1"/>
          <w:color w:val="auto"/>
        </w:rPr>
        <w:t>FORM S-3</w:t>
      </w:r>
    </w:p>
    <w:p>
      <w:pPr>
        <w:spacing w:after="0" w:line="38" w:lineRule="exact"/>
        <w:rPr>
          <w:sz w:val="24"/>
          <w:szCs w:val="24"/>
          <w:color w:val="auto"/>
        </w:rPr>
      </w:pPr>
    </w:p>
    <w:p>
      <w:pPr>
        <w:ind w:left="3940"/>
        <w:spacing w:after="0"/>
        <w:rPr>
          <w:sz w:val="20"/>
          <w:szCs w:val="20"/>
          <w:color w:val="auto"/>
        </w:rPr>
      </w:pPr>
      <w:r>
        <w:rPr>
          <w:rFonts w:ascii="Arial" w:cs="Arial" w:eastAsia="Arial" w:hAnsi="Arial"/>
          <w:sz w:val="25"/>
          <w:szCs w:val="25"/>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L BRANDS,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1700" w:type="dxa"/>
        <w:tblCellMar>
          <w:top w:w="0" w:type="dxa"/>
          <w:left w:w="0" w:type="dxa"/>
          <w:bottom w:w="0" w:type="dxa"/>
          <w:right w:w="0" w:type="dxa"/>
        </w:tblCellMar>
      </w:tblPr>
      <w:tr>
        <w:trPr>
          <w:trHeight w:val="234"/>
        </w:trPr>
        <w:tc>
          <w:tcPr>
            <w:tcW w:w="4260" w:type="dxa"/>
            <w:vAlign w:val="bottom"/>
          </w:tcPr>
          <w:p>
            <w:pPr>
              <w:jc w:val="center"/>
              <w:ind w:right="1730"/>
              <w:spacing w:after="0"/>
              <w:rPr>
                <w:sz w:val="20"/>
                <w:szCs w:val="20"/>
                <w:color w:val="auto"/>
              </w:rPr>
            </w:pPr>
            <w:r>
              <w:rPr>
                <w:rFonts w:ascii="Arial" w:cs="Arial" w:eastAsia="Arial" w:hAnsi="Arial"/>
                <w:sz w:val="18"/>
                <w:szCs w:val="18"/>
                <w:b w:val="1"/>
                <w:bCs w:val="1"/>
                <w:color w:val="auto"/>
                <w:w w:val="91"/>
              </w:rPr>
              <w:t>Delaware</w:t>
            </w:r>
          </w:p>
        </w:tc>
        <w:tc>
          <w:tcPr>
            <w:tcW w:w="3620" w:type="dxa"/>
            <w:vAlign w:val="bottom"/>
          </w:tcPr>
          <w:p>
            <w:pPr>
              <w:jc w:val="center"/>
              <w:ind w:left="1750"/>
              <w:spacing w:after="0"/>
              <w:rPr>
                <w:sz w:val="20"/>
                <w:szCs w:val="20"/>
                <w:color w:val="auto"/>
              </w:rPr>
            </w:pPr>
            <w:r>
              <w:rPr>
                <w:rFonts w:ascii="Arial" w:cs="Arial" w:eastAsia="Arial" w:hAnsi="Arial"/>
                <w:sz w:val="18"/>
                <w:szCs w:val="18"/>
                <w:b w:val="1"/>
                <w:bCs w:val="1"/>
                <w:color w:val="auto"/>
                <w:w w:val="89"/>
              </w:rPr>
              <w:t>31-1029810</w:t>
            </w:r>
          </w:p>
        </w:tc>
      </w:tr>
      <w:tr>
        <w:trPr>
          <w:trHeight w:val="225"/>
        </w:trPr>
        <w:tc>
          <w:tcPr>
            <w:tcW w:w="4260" w:type="dxa"/>
            <w:vAlign w:val="bottom"/>
          </w:tcPr>
          <w:p>
            <w:pPr>
              <w:jc w:val="center"/>
              <w:ind w:right="1730"/>
              <w:spacing w:after="0"/>
              <w:rPr>
                <w:sz w:val="20"/>
                <w:szCs w:val="20"/>
                <w:color w:val="auto"/>
              </w:rPr>
            </w:pPr>
            <w:r>
              <w:rPr>
                <w:rFonts w:ascii="Arial" w:cs="Arial" w:eastAsia="Arial" w:hAnsi="Arial"/>
                <w:sz w:val="18"/>
                <w:szCs w:val="18"/>
                <w:b w:val="1"/>
                <w:bCs w:val="1"/>
                <w:color w:val="auto"/>
                <w:w w:val="90"/>
              </w:rPr>
              <w:t>(State or Other Jurisdiction of</w:t>
            </w:r>
          </w:p>
        </w:tc>
        <w:tc>
          <w:tcPr>
            <w:tcW w:w="3620" w:type="dxa"/>
            <w:vAlign w:val="bottom"/>
          </w:tcPr>
          <w:p>
            <w:pPr>
              <w:jc w:val="center"/>
              <w:ind w:left="175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260" w:type="dxa"/>
            <w:vAlign w:val="bottom"/>
          </w:tcPr>
          <w:p>
            <w:pPr>
              <w:jc w:val="center"/>
              <w:ind w:right="1750"/>
              <w:spacing w:after="0"/>
              <w:rPr>
                <w:sz w:val="20"/>
                <w:szCs w:val="20"/>
                <w:color w:val="auto"/>
              </w:rPr>
            </w:pPr>
            <w:r>
              <w:rPr>
                <w:rFonts w:ascii="Arial" w:cs="Arial" w:eastAsia="Arial" w:hAnsi="Arial"/>
                <w:sz w:val="18"/>
                <w:szCs w:val="18"/>
                <w:b w:val="1"/>
                <w:bCs w:val="1"/>
                <w:color w:val="auto"/>
                <w:w w:val="93"/>
              </w:rPr>
              <w:t>Incorporation or Organization)</w:t>
            </w:r>
          </w:p>
        </w:tc>
        <w:tc>
          <w:tcPr>
            <w:tcW w:w="3620" w:type="dxa"/>
            <w:vAlign w:val="bottom"/>
          </w:tcPr>
          <w:p>
            <w:pPr>
              <w:jc w:val="center"/>
              <w:ind w:left="1750"/>
              <w:spacing w:after="0"/>
              <w:rPr>
                <w:sz w:val="20"/>
                <w:szCs w:val="20"/>
                <w:color w:val="auto"/>
              </w:rPr>
            </w:pPr>
            <w:r>
              <w:rPr>
                <w:rFonts w:ascii="Arial" w:cs="Arial" w:eastAsia="Arial" w:hAnsi="Arial"/>
                <w:sz w:val="18"/>
                <w:szCs w:val="18"/>
                <w:b w:val="1"/>
                <w:bCs w:val="1"/>
                <w:color w:val="auto"/>
                <w:w w:val="93"/>
              </w:rPr>
              <w:t>Identification Number)</w:t>
            </w:r>
          </w:p>
        </w:tc>
      </w:tr>
    </w:tbl>
    <w:p>
      <w:pPr>
        <w:jc w:val="center"/>
        <w:spacing w:after="0"/>
        <w:rPr>
          <w:sz w:val="20"/>
          <w:szCs w:val="20"/>
          <w:color w:val="auto"/>
        </w:rPr>
      </w:pPr>
      <w:r>
        <w:rPr>
          <w:rFonts w:ascii="Arial" w:cs="Arial" w:eastAsia="Arial" w:hAnsi="Arial"/>
          <w:sz w:val="18"/>
          <w:szCs w:val="18"/>
          <w:b w:val="1"/>
          <w:bCs w:val="1"/>
          <w:color w:val="auto"/>
        </w:rPr>
        <w:t>Three Limited Parkway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Columbus, Ohio, 43230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(614) 415-7000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Samuel P. Fried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Executive Vice President – Law, Policy, and Governance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 Brands,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Three Limited Parkway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Columbus, Ohio, 43230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(614) 415-7000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Copy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Deanna L. Kirkpatrick,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Davis Polk &amp; Wardwell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450 Lexington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10017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450-4000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Approximate date of commencement of proposed sale to the public</w:t>
      </w:r>
      <w:r>
        <w:rPr>
          <w:rFonts w:ascii="Arial" w:cs="Arial" w:eastAsia="Arial" w:hAnsi="Arial"/>
          <w:sz w:val="17"/>
          <w:szCs w:val="17"/>
          <w:color w:val="auto"/>
        </w:rPr>
        <w:t>: From time to time after this Registration Statement becomes effective.</w:t>
      </w:r>
    </w:p>
    <w:p>
      <w:pPr>
        <w:spacing w:after="0" w:line="20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81"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220"/>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7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62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10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0" w:lineRule="exact"/>
        <w:rPr>
          <w:sz w:val="24"/>
          <w:szCs w:val="24"/>
          <w:color w:val="auto"/>
        </w:rPr>
      </w:pP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20"/>
                <w:szCs w:val="20"/>
                <w:color w:val="auto"/>
              </w:rPr>
            </w:pPr>
            <w:r>
              <w:rPr>
                <w:rFonts w:ascii="Arial" w:cs="Arial" w:eastAsia="Arial" w:hAnsi="Arial"/>
                <w:sz w:val="18"/>
                <w:szCs w:val="18"/>
                <w:color w:val="auto"/>
                <w:w w:val="98"/>
              </w:rPr>
              <w:t>Large accelerated</w:t>
            </w:r>
          </w:p>
        </w:tc>
        <w:tc>
          <w:tcPr>
            <w:tcW w:w="398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520" w:type="dxa"/>
            <w:vAlign w:val="bottom"/>
            <w:vMerge w:val="restart"/>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50"/>
        </w:trPr>
        <w:tc>
          <w:tcPr>
            <w:tcW w:w="1440" w:type="dxa"/>
            <w:vAlign w:val="bottom"/>
          </w:tcPr>
          <w:p>
            <w:pPr>
              <w:spacing w:after="0"/>
              <w:rPr>
                <w:sz w:val="20"/>
                <w:szCs w:val="20"/>
                <w:color w:val="auto"/>
              </w:rPr>
            </w:pPr>
            <w:r>
              <w:rPr>
                <w:rFonts w:ascii="Arial" w:cs="Arial" w:eastAsia="Arial" w:hAnsi="Arial"/>
                <w:sz w:val="18"/>
                <w:szCs w:val="18"/>
                <w:color w:val="auto"/>
              </w:rPr>
              <w:t>filer</w:t>
            </w:r>
          </w:p>
        </w:tc>
        <w:tc>
          <w:tcPr>
            <w:tcW w:w="3980" w:type="dxa"/>
            <w:vAlign w:val="bottom"/>
          </w:tcPr>
          <w:p>
            <w:pPr>
              <w:ind w:left="180"/>
              <w:spacing w:after="0"/>
              <w:rPr>
                <w:sz w:val="20"/>
                <w:szCs w:val="20"/>
                <w:color w:val="auto"/>
              </w:rPr>
            </w:pPr>
            <w:r>
              <w:rPr>
                <w:rFonts w:ascii="Arial" w:cs="Arial" w:eastAsia="Arial" w:hAnsi="Arial"/>
                <w:sz w:val="18"/>
                <w:szCs w:val="18"/>
                <w:color w:val="auto"/>
              </w:rPr>
              <w:t>x</w:t>
            </w:r>
          </w:p>
        </w:tc>
        <w:tc>
          <w:tcPr>
            <w:tcW w:w="5300" w:type="dxa"/>
            <w:vAlign w:val="bottom"/>
          </w:tcPr>
          <w:p>
            <w:pPr>
              <w:ind w:left="3740"/>
              <w:spacing w:after="0"/>
              <w:rPr>
                <w:sz w:val="20"/>
                <w:szCs w:val="20"/>
                <w:color w:val="auto"/>
              </w:rPr>
            </w:pPr>
            <w:r>
              <w:rPr>
                <w:rFonts w:ascii="Arial" w:cs="Arial" w:eastAsia="Arial" w:hAnsi="Arial"/>
                <w:sz w:val="18"/>
                <w:szCs w:val="18"/>
                <w:color w:val="auto"/>
              </w:rPr>
              <w:t>Accelerated filer</w:t>
            </w:r>
          </w:p>
        </w:tc>
        <w:tc>
          <w:tcPr>
            <w:tcW w:w="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096"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Non-accelerated</w:t>
            </w:r>
          </w:p>
        </w:tc>
        <w:tc>
          <w:tcPr>
            <w:tcW w:w="406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3700"/>
              <w:spacing w:after="0"/>
              <w:rPr>
                <w:sz w:val="20"/>
                <w:szCs w:val="20"/>
                <w:color w:val="auto"/>
              </w:rPr>
            </w:pPr>
            <w:r>
              <w:rPr>
                <w:rFonts w:ascii="Arial" w:cs="Arial" w:eastAsia="Arial" w:hAnsi="Arial"/>
                <w:sz w:val="18"/>
                <w:szCs w:val="18"/>
                <w:color w:val="auto"/>
              </w:rPr>
              <w:t>Smaller reporting</w:t>
            </w:r>
          </w:p>
        </w:tc>
        <w:tc>
          <w:tcPr>
            <w:tcW w:w="500" w:type="dxa"/>
            <w:vAlign w:val="bottom"/>
            <w:vMerge w:val="restart"/>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50"/>
        </w:trPr>
        <w:tc>
          <w:tcPr>
            <w:tcW w:w="1400" w:type="dxa"/>
            <w:vAlign w:val="bottom"/>
          </w:tcPr>
          <w:p>
            <w:pPr>
              <w:spacing w:after="0"/>
              <w:rPr>
                <w:sz w:val="20"/>
                <w:szCs w:val="20"/>
                <w:color w:val="auto"/>
              </w:rPr>
            </w:pPr>
            <w:r>
              <w:rPr>
                <w:rFonts w:ascii="Arial" w:cs="Arial" w:eastAsia="Arial" w:hAnsi="Arial"/>
                <w:sz w:val="18"/>
                <w:szCs w:val="18"/>
                <w:color w:val="auto"/>
              </w:rPr>
              <w:t>filer</w:t>
            </w:r>
          </w:p>
        </w:tc>
        <w:tc>
          <w:tcPr>
            <w:tcW w:w="4060" w:type="dxa"/>
            <w:vAlign w:val="bottom"/>
            <w:vMerge w:val="continue"/>
          </w:tcPr>
          <w:p>
            <w:pPr>
              <w:spacing w:after="0"/>
              <w:rPr>
                <w:sz w:val="21"/>
                <w:szCs w:val="21"/>
                <w:color w:val="auto"/>
              </w:rPr>
            </w:pPr>
          </w:p>
        </w:tc>
        <w:tc>
          <w:tcPr>
            <w:tcW w:w="5280" w:type="dxa"/>
            <w:vAlign w:val="bottom"/>
          </w:tcPr>
          <w:p>
            <w:pPr>
              <w:ind w:left="3700"/>
              <w:spacing w:after="0"/>
              <w:rPr>
                <w:sz w:val="20"/>
                <w:szCs w:val="20"/>
                <w:color w:val="auto"/>
              </w:rPr>
            </w:pPr>
            <w:r>
              <w:rPr>
                <w:rFonts w:ascii="Arial" w:cs="Arial" w:eastAsia="Arial" w:hAnsi="Arial"/>
                <w:sz w:val="18"/>
                <w:szCs w:val="18"/>
                <w:color w:val="auto"/>
              </w:rPr>
              <w:t>company</w:t>
            </w:r>
          </w:p>
        </w:tc>
        <w:tc>
          <w:tcPr>
            <w:tcW w:w="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398" w:lineRule="exact"/>
        <w:rPr>
          <w:sz w:val="20"/>
          <w:szCs w:val="20"/>
          <w:color w:val="auto"/>
        </w:rPr>
      </w:pPr>
    </w:p>
    <w:p>
      <w:pPr>
        <w:ind w:left="9160"/>
        <w:spacing w:after="0"/>
        <w:rPr>
          <w:sz w:val="20"/>
          <w:szCs w:val="20"/>
          <w:color w:val="auto"/>
        </w:rPr>
      </w:pPr>
      <w:r>
        <w:rPr>
          <w:rFonts w:ascii="Arial" w:cs="Arial" w:eastAsia="Arial" w:hAnsi="Arial"/>
          <w:sz w:val="18"/>
          <w:szCs w:val="18"/>
          <w:color w:val="auto"/>
        </w:rPr>
        <w:t>Emerging Growth</w:t>
      </w:r>
    </w:p>
    <w:p>
      <w:pPr>
        <w:spacing w:after="0" w:line="18" w:lineRule="exact"/>
        <w:rPr>
          <w:sz w:val="20"/>
          <w:szCs w:val="20"/>
          <w:color w:val="auto"/>
        </w:rPr>
      </w:pPr>
    </w:p>
    <w:p>
      <w:pPr>
        <w:ind w:left="9160"/>
        <w:spacing w:after="0" w:line="207" w:lineRule="exact"/>
        <w:tabs>
          <w:tab w:leader="none" w:pos="11060" w:val="left"/>
        </w:tabs>
        <w:rPr>
          <w:sz w:val="20"/>
          <w:szCs w:val="20"/>
          <w:color w:val="auto"/>
        </w:rPr>
      </w:pPr>
      <w:r>
        <w:rPr>
          <w:rFonts w:ascii="Arial" w:cs="Arial" w:eastAsia="Arial" w:hAnsi="Arial"/>
          <w:sz w:val="18"/>
          <w:szCs w:val="18"/>
          <w:color w:val="auto"/>
        </w:rPr>
        <w:t>Company</w:t>
      </w:r>
      <w:r>
        <w:rPr>
          <w:sz w:val="20"/>
          <w:szCs w:val="20"/>
          <w:color w:val="auto"/>
        </w:rPr>
        <w:tab/>
      </w:r>
      <w:r>
        <w:rPr>
          <w:rFonts w:ascii="MS PGothic" w:cs="MS PGothic" w:eastAsia="MS PGothic" w:hAnsi="MS PGothic"/>
          <w:sz w:val="18"/>
          <w:szCs w:val="18"/>
          <w:color w:val="auto"/>
        </w:rPr>
        <w:t>☐</w:t>
      </w:r>
    </w:p>
    <w:p>
      <w:pPr>
        <w:spacing w:after="0" w:line="216" w:lineRule="exact"/>
        <w:rPr>
          <w:sz w:val="20"/>
          <w:szCs w:val="20"/>
          <w:color w:val="auto"/>
        </w:rPr>
      </w:pPr>
    </w:p>
    <w:p>
      <w:pPr>
        <w:ind w:left="240" w:right="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193" w:lineRule="exact"/>
        <w:rPr>
          <w:sz w:val="20"/>
          <w:szCs w:val="20"/>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Includes certain subsidiaries of L Brands, Inc. identified on the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CALCULATIO</w:t>
      </w:r>
      <w:r>
        <w:rPr>
          <w:rFonts w:ascii="Arial" w:cs="Arial" w:eastAsia="Arial" w:hAnsi="Arial"/>
          <w:sz w:val="18"/>
          <w:szCs w:val="18"/>
          <w:b w:val="1"/>
          <w:bCs w:val="1"/>
          <w:u w:val="single" w:color="auto"/>
          <w:color w:val="auto"/>
        </w:rPr>
        <w:t>N OF REGISTRATI</w:t>
      </w:r>
      <w:r>
        <w:rPr>
          <w:rFonts w:ascii="Arial" w:cs="Arial" w:eastAsia="Arial" w:hAnsi="Arial"/>
          <w:sz w:val="18"/>
          <w:szCs w:val="18"/>
          <w:b w:val="1"/>
          <w:bCs w:val="1"/>
          <w:color w:val="auto"/>
        </w:rPr>
        <w:t>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wp:posOffset>
            </wp:positionV>
            <wp:extent cx="7272020" cy="24352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2435225"/>
                    </a:xfrm>
                    <a:prstGeom prst="rect">
                      <a:avLst/>
                    </a:prstGeom>
                    <a:noFill/>
                  </pic:spPr>
                </pic:pic>
              </a:graphicData>
            </a:graphic>
          </wp:anchor>
        </w:drawing>
      </w:r>
    </w:p>
    <w:p>
      <w:pPr>
        <w:spacing w:after="0" w:line="43"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6"/>
              </w:rPr>
              <w:t>Proposed</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6"/>
              </w:rPr>
              <w:t>Proposed</w:t>
            </w:r>
          </w:p>
        </w:tc>
        <w:tc>
          <w:tcPr>
            <w:tcW w:w="156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2140" w:type="dxa"/>
            <w:vAlign w:val="bottom"/>
          </w:tcPr>
          <w:p>
            <w:pPr>
              <w:jc w:val="center"/>
              <w:ind w:left="610"/>
              <w:spacing w:after="0"/>
              <w:rPr>
                <w:sz w:val="20"/>
                <w:szCs w:val="20"/>
                <w:color w:val="auto"/>
              </w:rPr>
            </w:pPr>
            <w:r>
              <w:rPr>
                <w:rFonts w:ascii="Arial" w:cs="Arial" w:eastAsia="Arial" w:hAnsi="Arial"/>
                <w:sz w:val="18"/>
                <w:szCs w:val="18"/>
                <w:b w:val="1"/>
                <w:bCs w:val="1"/>
                <w:color w:val="auto"/>
                <w:w w:val="94"/>
              </w:rPr>
              <w:t>Amount</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560" w:type="dxa"/>
            <w:vAlign w:val="bottom"/>
          </w:tcPr>
          <w:p>
            <w:pPr>
              <w:spacing w:after="0"/>
              <w:rPr>
                <w:sz w:val="18"/>
                <w:szCs w:val="18"/>
                <w:color w:val="auto"/>
              </w:rPr>
            </w:pPr>
          </w:p>
        </w:tc>
      </w:tr>
      <w:tr>
        <w:trPr>
          <w:trHeight w:val="216"/>
        </w:trPr>
        <w:tc>
          <w:tcPr>
            <w:tcW w:w="2960" w:type="dxa"/>
            <w:vAlign w:val="bottom"/>
          </w:tcPr>
          <w:p>
            <w:pPr>
              <w:jc w:val="center"/>
              <w:ind w:right="830"/>
              <w:spacing w:after="0"/>
              <w:rPr>
                <w:sz w:val="20"/>
                <w:szCs w:val="20"/>
                <w:color w:val="auto"/>
              </w:rPr>
            </w:pPr>
            <w:r>
              <w:rPr>
                <w:rFonts w:ascii="Arial" w:cs="Arial" w:eastAsia="Arial" w:hAnsi="Arial"/>
                <w:sz w:val="18"/>
                <w:szCs w:val="18"/>
                <w:b w:val="1"/>
                <w:bCs w:val="1"/>
                <w:color w:val="auto"/>
                <w:w w:val="90"/>
              </w:rPr>
              <w:t>Title of Each Class of</w:t>
            </w:r>
          </w:p>
        </w:tc>
        <w:tc>
          <w:tcPr>
            <w:tcW w:w="2140" w:type="dxa"/>
            <w:vAlign w:val="bottom"/>
          </w:tcPr>
          <w:p>
            <w:pPr>
              <w:jc w:val="center"/>
              <w:ind w:left="630"/>
              <w:spacing w:after="0"/>
              <w:rPr>
                <w:sz w:val="20"/>
                <w:szCs w:val="20"/>
                <w:color w:val="auto"/>
              </w:rPr>
            </w:pPr>
            <w:r>
              <w:rPr>
                <w:rFonts w:ascii="Arial" w:cs="Arial" w:eastAsia="Arial" w:hAnsi="Arial"/>
                <w:sz w:val="18"/>
                <w:szCs w:val="18"/>
                <w:b w:val="1"/>
                <w:bCs w:val="1"/>
                <w:color w:val="auto"/>
                <w:w w:val="88"/>
              </w:rPr>
              <w:t>to be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Offering Price</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7"/>
              </w:rPr>
              <w:t>Aggregate</w:t>
            </w:r>
          </w:p>
        </w:tc>
        <w:tc>
          <w:tcPr>
            <w:tcW w:w="156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Amount of</w:t>
            </w:r>
          </w:p>
        </w:tc>
      </w:tr>
      <w:tr>
        <w:trPr>
          <w:trHeight w:val="234"/>
        </w:trPr>
        <w:tc>
          <w:tcPr>
            <w:tcW w:w="2960" w:type="dxa"/>
            <w:vAlign w:val="bottom"/>
          </w:tcPr>
          <w:p>
            <w:pPr>
              <w:jc w:val="center"/>
              <w:ind w:right="830"/>
              <w:spacing w:after="0"/>
              <w:rPr>
                <w:sz w:val="20"/>
                <w:szCs w:val="20"/>
                <w:color w:val="auto"/>
              </w:rPr>
            </w:pPr>
            <w:r>
              <w:rPr>
                <w:rFonts w:ascii="Arial" w:cs="Arial" w:eastAsia="Arial" w:hAnsi="Arial"/>
                <w:sz w:val="18"/>
                <w:szCs w:val="18"/>
                <w:b w:val="1"/>
                <w:bCs w:val="1"/>
                <w:color w:val="auto"/>
                <w:w w:val="87"/>
              </w:rPr>
              <w:t>Securities to be Registered</w:t>
            </w:r>
          </w:p>
        </w:tc>
        <w:tc>
          <w:tcPr>
            <w:tcW w:w="2140" w:type="dxa"/>
            <w:vAlign w:val="bottom"/>
          </w:tcPr>
          <w:p>
            <w:pPr>
              <w:jc w:val="center"/>
              <w:ind w:left="630"/>
              <w:spacing w:after="0"/>
              <w:rPr>
                <w:sz w:val="20"/>
                <w:szCs w:val="20"/>
                <w:color w:val="auto"/>
              </w:rPr>
            </w:pPr>
            <w:r>
              <w:rPr>
                <w:rFonts w:ascii="Arial" w:cs="Arial" w:eastAsia="Arial" w:hAnsi="Arial"/>
                <w:sz w:val="18"/>
                <w:szCs w:val="18"/>
                <w:b w:val="1"/>
                <w:bCs w:val="1"/>
                <w:color w:val="auto"/>
                <w:w w:val="88"/>
              </w:rPr>
              <w:t>Registered(1)</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4"/>
              </w:rPr>
              <w:t>Per Unit(1)</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3"/>
              </w:rPr>
              <w:t>Offering Price(1)</w:t>
            </w:r>
          </w:p>
        </w:tc>
        <w:tc>
          <w:tcPr>
            <w:tcW w:w="156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Registration Fee(1)</w:t>
            </w:r>
          </w:p>
        </w:tc>
      </w:tr>
    </w:tbl>
    <w:p>
      <w:pPr>
        <w:spacing w:after="0"/>
        <w:rPr>
          <w:sz w:val="20"/>
          <w:szCs w:val="20"/>
          <w:color w:val="auto"/>
        </w:rPr>
      </w:pPr>
      <w:r>
        <w:rPr>
          <w:sz w:val="1"/>
          <w:szCs w:val="1"/>
          <w:color w:val="auto"/>
        </w:rPr>
        <w:drawing>
          <wp:inline distT="0" distB="0" distL="0" distR="0">
            <wp:extent cx="34290" cy="2000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200025"/>
                    </a:xfrm>
                    <a:prstGeom prst="rect">
                      <a:avLst/>
                    </a:prstGeom>
                    <a:noFill/>
                    <a:ln>
                      <a:noFill/>
                    </a:ln>
                  </pic:spPr>
                </pic:pic>
              </a:graphicData>
            </a:graphic>
          </wp:inline>
        </w:drawing>
      </w:r>
      <w:r>
        <w:rPr>
          <w:rFonts w:ascii="Arial" w:cs="Arial" w:eastAsia="Arial" w:hAnsi="Arial"/>
          <w:sz w:val="18"/>
          <w:szCs w:val="18"/>
          <w:color w:val="auto"/>
        </w:rPr>
        <w:t>Common Stock, $0.50 par value</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Preferred Stock, $1.00 par value</w:t>
      </w:r>
    </w:p>
    <w:p>
      <w:pPr>
        <w:spacing w:after="0" w:line="6" w:lineRule="exact"/>
        <w:rPr>
          <w:sz w:val="20"/>
          <w:szCs w:val="20"/>
          <w:color w:val="auto"/>
        </w:rPr>
      </w:pPr>
    </w:p>
    <w:p>
      <w:pPr>
        <w:spacing w:after="0"/>
        <w:rPr>
          <w:sz w:val="20"/>
          <w:szCs w:val="20"/>
          <w:color w:val="auto"/>
        </w:rPr>
      </w:pPr>
      <w:r>
        <w:rPr>
          <w:sz w:val="1"/>
          <w:szCs w:val="1"/>
          <w:color w:val="auto"/>
        </w:rPr>
        <w:drawing>
          <wp:inline distT="0" distB="0" distL="0" distR="0">
            <wp:extent cx="34290" cy="21399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213995"/>
                    </a:xfrm>
                    <a:prstGeom prst="rect">
                      <a:avLst/>
                    </a:prstGeom>
                    <a:noFill/>
                    <a:ln>
                      <a:noFill/>
                    </a:ln>
                  </pic:spPr>
                </pic:pic>
              </a:graphicData>
            </a:graphic>
          </wp:inline>
        </w:drawing>
      </w:r>
      <w:r>
        <w:rPr>
          <w:rFonts w:ascii="Arial" w:cs="Arial" w:eastAsia="Arial" w:hAnsi="Arial"/>
          <w:sz w:val="18"/>
          <w:szCs w:val="18"/>
          <w:color w:val="auto"/>
        </w:rPr>
        <w:t>Depositary Shares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Debt Securities</w:t>
      </w:r>
    </w:p>
    <w:p>
      <w:pPr>
        <w:spacing w:after="0" w:line="6" w:lineRule="exact"/>
        <w:rPr>
          <w:sz w:val="20"/>
          <w:szCs w:val="20"/>
          <w:color w:val="auto"/>
        </w:rPr>
      </w:pPr>
    </w:p>
    <w:p>
      <w:pPr>
        <w:spacing w:after="0"/>
        <w:rPr>
          <w:sz w:val="20"/>
          <w:szCs w:val="20"/>
          <w:color w:val="auto"/>
        </w:rPr>
      </w:pPr>
      <w:r>
        <w:rPr>
          <w:sz w:val="1"/>
          <w:szCs w:val="1"/>
          <w:color w:val="auto"/>
        </w:rPr>
        <w:drawing>
          <wp:inline distT="0" distB="0" distL="0" distR="0">
            <wp:extent cx="34290" cy="21399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213995"/>
                    </a:xfrm>
                    <a:prstGeom prst="rect">
                      <a:avLst/>
                    </a:prstGeom>
                    <a:noFill/>
                    <a:ln>
                      <a:noFill/>
                    </a:ln>
                  </pic:spPr>
                </pic:pic>
              </a:graphicData>
            </a:graphic>
          </wp:inline>
        </w:drawing>
      </w:r>
      <w:r>
        <w:rPr>
          <w:rFonts w:ascii="Arial" w:cs="Arial" w:eastAsia="Arial" w:hAnsi="Arial"/>
          <w:sz w:val="18"/>
          <w:szCs w:val="18"/>
          <w:color w:val="auto"/>
        </w:rPr>
        <w:t>Guarantees of Debt Securities(2)</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8"/>
          <w:szCs w:val="18"/>
          <w:color w:val="auto"/>
        </w:rPr>
        <w:t>Warrants</w:t>
      </w:r>
    </w:p>
    <w:p>
      <w:pPr>
        <w:spacing w:after="0" w:line="6" w:lineRule="exact"/>
        <w:rPr>
          <w:sz w:val="20"/>
          <w:szCs w:val="20"/>
          <w:color w:val="auto"/>
        </w:rPr>
      </w:pPr>
    </w:p>
    <w:p>
      <w:pPr>
        <w:spacing w:after="0"/>
        <w:rPr>
          <w:sz w:val="20"/>
          <w:szCs w:val="20"/>
          <w:color w:val="auto"/>
        </w:rPr>
      </w:pPr>
      <w:r>
        <w:rPr>
          <w:sz w:val="1"/>
          <w:szCs w:val="1"/>
          <w:color w:val="auto"/>
        </w:rPr>
        <w:drawing>
          <wp:inline distT="0" distB="0" distL="0" distR="0">
            <wp:extent cx="34290" cy="21399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213995"/>
                    </a:xfrm>
                    <a:prstGeom prst="rect">
                      <a:avLst/>
                    </a:prstGeom>
                    <a:noFill/>
                    <a:ln>
                      <a:noFill/>
                    </a:ln>
                  </pic:spPr>
                </pic:pic>
              </a:graphicData>
            </a:graphic>
          </wp:inline>
        </w:drawing>
      </w:r>
      <w:r>
        <w:rPr>
          <w:rFonts w:ascii="Arial" w:cs="Arial" w:eastAsia="Arial" w:hAnsi="Arial"/>
          <w:sz w:val="18"/>
          <w:szCs w:val="18"/>
          <w:color w:val="auto"/>
        </w:rPr>
        <w:t>Purchase Contracts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Units</w:t>
      </w:r>
    </w:p>
    <w:p>
      <w:pPr>
        <w:spacing w:after="0" w:line="6" w:lineRule="exact"/>
        <w:rPr>
          <w:sz w:val="20"/>
          <w:szCs w:val="20"/>
          <w:color w:val="auto"/>
        </w:rPr>
      </w:pPr>
    </w:p>
    <w:p>
      <w:pPr>
        <w:spacing w:after="0"/>
        <w:rPr>
          <w:sz w:val="20"/>
          <w:szCs w:val="20"/>
          <w:color w:val="auto"/>
        </w:rPr>
      </w:pPr>
      <w:r>
        <w:rPr>
          <w:sz w:val="1"/>
          <w:szCs w:val="1"/>
          <w:color w:val="auto"/>
        </w:rPr>
        <w:drawing>
          <wp:inline distT="0" distB="0" distL="0" distR="0">
            <wp:extent cx="34290" cy="21399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213995"/>
                    </a:xfrm>
                    <a:prstGeom prst="rect">
                      <a:avLst/>
                    </a:prstGeom>
                    <a:noFill/>
                    <a:ln>
                      <a:noFill/>
                    </a:ln>
                  </pic:spPr>
                </pic:pic>
              </a:graphicData>
            </a:graphic>
          </wp:inline>
        </w:drawing>
      </w:r>
      <w:r>
        <w:rPr>
          <w:rFonts w:ascii="Arial" w:cs="Arial" w:eastAsia="Arial" w:hAnsi="Arial"/>
          <w:sz w:val="18"/>
          <w:szCs w:val="18"/>
          <w:color w:val="auto"/>
        </w:rPr>
        <w:t>Total</w:t>
      </w:r>
    </w:p>
    <w:p>
      <w:pPr>
        <w:spacing w:after="0" w:line="128" w:lineRule="exact"/>
        <w:rPr>
          <w:sz w:val="20"/>
          <w:szCs w:val="20"/>
          <w:color w:val="auto"/>
        </w:rPr>
      </w:pPr>
    </w:p>
    <w:p>
      <w:pPr>
        <w:ind w:left="240" w:right="260" w:hanging="232"/>
        <w:spacing w:after="0" w:line="291" w:lineRule="auto"/>
        <w:tabs>
          <w:tab w:leader="none" w:pos="240" w:val="left"/>
        </w:tabs>
        <w:numPr>
          <w:ilvl w:val="0"/>
          <w:numId w:val="2"/>
        </w:numPr>
        <w:rPr>
          <w:rFonts w:ascii="Arial" w:cs="Arial" w:eastAsia="Arial" w:hAnsi="Arial"/>
          <w:sz w:val="16"/>
          <w:szCs w:val="16"/>
          <w:color w:val="auto"/>
        </w:rPr>
      </w:pPr>
      <w:r>
        <w:rPr>
          <w:rFonts w:ascii="Arial" w:cs="Arial" w:eastAsia="Arial" w:hAnsi="Arial"/>
          <w:sz w:val="16"/>
          <w:szCs w:val="16"/>
          <w:color w:val="auto"/>
        </w:rPr>
        <w:t>An indeterminate amount of securities to be offered at indeterminate prices is being registered pursuant to this registration statement. The Registrant is deferring payment of the registration fee pursuant to Rule 456(b) and is omitting this information in reliance on Rule 456(b) and Rule 457(r).</w:t>
      </w:r>
    </w:p>
    <w:p>
      <w:pPr>
        <w:ind w:left="240" w:right="120" w:hanging="232"/>
        <w:spacing w:after="0" w:line="261" w:lineRule="auto"/>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separate consideration will be received for the guarantees of the debt securities being registered. In accordance with Rule 457(n) under the Securities Act, no registration fee is payable with respect to the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1129030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520" w:type="dxa"/>
            <w:vAlign w:val="bottom"/>
            <w:gridSpan w:val="4"/>
          </w:tcPr>
          <w:p>
            <w:pPr>
              <w:ind w:left="4000"/>
              <w:spacing w:after="0"/>
              <w:rPr>
                <w:sz w:val="20"/>
                <w:szCs w:val="20"/>
                <w:color w:val="auto"/>
              </w:rPr>
            </w:pPr>
            <w:r>
              <w:rPr>
                <w:rFonts w:ascii="Arial" w:cs="Arial" w:eastAsia="Arial" w:hAnsi="Arial"/>
                <w:sz w:val="18"/>
                <w:szCs w:val="18"/>
                <w:b w:val="1"/>
                <w:bCs w:val="1"/>
                <w:color w:val="auto"/>
              </w:rPr>
              <w:t>TABLE OF ADDITIONAL REGISTRANTS</w:t>
            </w: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4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95"/>
              </w:rPr>
              <w:t>Primary</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4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91"/>
              </w:rPr>
              <w:t>State or Other</w:t>
            </w:r>
          </w:p>
        </w:tc>
        <w:tc>
          <w:tcPr>
            <w:tcW w:w="184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92"/>
              </w:rPr>
              <w:t>Standard</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4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88"/>
              </w:rPr>
              <w:t>Jurisdiction of</w:t>
            </w:r>
          </w:p>
        </w:tc>
        <w:tc>
          <w:tcPr>
            <w:tcW w:w="184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93"/>
              </w:rPr>
              <w:t>Industrial</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7"/>
              </w:rPr>
              <w:t>I.R.S.</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4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3"/>
              </w:rPr>
              <w:t>Incorporation</w:t>
            </w:r>
          </w:p>
        </w:tc>
        <w:tc>
          <w:tcPr>
            <w:tcW w:w="184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88"/>
              </w:rPr>
              <w:t>Classification</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2"/>
              </w:rPr>
              <w:t>Employer</w:t>
            </w:r>
          </w:p>
        </w:tc>
        <w:tc>
          <w:tcPr>
            <w:tcW w:w="0" w:type="dxa"/>
            <w:vAlign w:val="bottom"/>
          </w:tcPr>
          <w:p>
            <w:pPr>
              <w:spacing w:after="0"/>
              <w:rPr>
                <w:sz w:val="1"/>
                <w:szCs w:val="1"/>
                <w:color w:val="auto"/>
              </w:rPr>
            </w:pPr>
          </w:p>
        </w:tc>
      </w:tr>
      <w:tr>
        <w:trPr>
          <w:trHeight w:val="216"/>
        </w:trPr>
        <w:tc>
          <w:tcPr>
            <w:tcW w:w="5780" w:type="dxa"/>
            <w:vAlign w:val="bottom"/>
            <w:vMerge w:val="restart"/>
          </w:tcPr>
          <w:p>
            <w:pPr>
              <w:spacing w:after="0"/>
              <w:rPr>
                <w:sz w:val="20"/>
                <w:szCs w:val="20"/>
                <w:color w:val="auto"/>
              </w:rPr>
            </w:pPr>
            <w:r>
              <w:rPr>
                <w:rFonts w:ascii="Arial" w:cs="Arial" w:eastAsia="Arial" w:hAnsi="Arial"/>
                <w:sz w:val="18"/>
                <w:szCs w:val="18"/>
                <w:b w:val="1"/>
                <w:bCs w:val="1"/>
                <w:color w:val="auto"/>
              </w:rPr>
              <w:t>Exact Name of Registrant as Specified in Its Charter*</w:t>
            </w:r>
          </w:p>
        </w:tc>
        <w:tc>
          <w:tcPr>
            <w:tcW w:w="800" w:type="dxa"/>
            <w:vAlign w:val="bottom"/>
          </w:tcPr>
          <w:p>
            <w:pPr>
              <w:spacing w:after="0"/>
              <w:rPr>
                <w:sz w:val="18"/>
                <w:szCs w:val="18"/>
                <w:color w:val="auto"/>
              </w:rPr>
            </w:pPr>
          </w:p>
        </w:tc>
        <w:tc>
          <w:tcPr>
            <w:tcW w:w="194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99"/>
              </w:rPr>
              <w:t>or</w:t>
            </w:r>
          </w:p>
        </w:tc>
        <w:tc>
          <w:tcPr>
            <w:tcW w:w="184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88"/>
              </w:rPr>
              <w:t>Code</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2"/>
              </w:rPr>
              <w:t>Identification</w:t>
            </w:r>
          </w:p>
        </w:tc>
        <w:tc>
          <w:tcPr>
            <w:tcW w:w="0" w:type="dxa"/>
            <w:vAlign w:val="bottom"/>
          </w:tcPr>
          <w:p>
            <w:pPr>
              <w:spacing w:after="0"/>
              <w:rPr>
                <w:sz w:val="1"/>
                <w:szCs w:val="1"/>
                <w:color w:val="auto"/>
              </w:rPr>
            </w:pPr>
          </w:p>
        </w:tc>
      </w:tr>
      <w:tr>
        <w:trPr>
          <w:trHeight w:val="241"/>
        </w:trPr>
        <w:tc>
          <w:tcPr>
            <w:tcW w:w="5780" w:type="dxa"/>
            <w:vAlign w:val="bottom"/>
            <w:tcBorders>
              <w:bottom w:val="single" w:sz="8" w:color="auto"/>
            </w:tcBorders>
            <w:vMerge w:val="continue"/>
          </w:tcPr>
          <w:p>
            <w:pPr>
              <w:spacing w:after="0"/>
              <w:rPr>
                <w:sz w:val="20"/>
                <w:szCs w:val="20"/>
                <w:color w:val="auto"/>
              </w:rPr>
            </w:pPr>
          </w:p>
        </w:tc>
        <w:tc>
          <w:tcPr>
            <w:tcW w:w="800" w:type="dxa"/>
            <w:vAlign w:val="bottom"/>
          </w:tcPr>
          <w:p>
            <w:pPr>
              <w:spacing w:after="0"/>
              <w:rPr>
                <w:sz w:val="20"/>
                <w:szCs w:val="20"/>
                <w:color w:val="auto"/>
              </w:rPr>
            </w:pPr>
          </w:p>
        </w:tc>
        <w:tc>
          <w:tcPr>
            <w:tcW w:w="194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92"/>
              </w:rPr>
              <w:t>Organization</w:t>
            </w:r>
          </w:p>
        </w:tc>
        <w:tc>
          <w:tcPr>
            <w:tcW w:w="184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94"/>
              </w:rPr>
              <w:t>Number</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0" w:type="dxa"/>
            <w:vAlign w:val="bottom"/>
          </w:tcPr>
          <w:p>
            <w:pPr>
              <w:spacing w:after="0"/>
              <w:rPr>
                <w:sz w:val="1"/>
                <w:szCs w:val="1"/>
                <w:color w:val="auto"/>
              </w:rPr>
            </w:pPr>
          </w:p>
        </w:tc>
      </w:tr>
      <w:tr>
        <w:trPr>
          <w:trHeight w:val="189"/>
        </w:trPr>
        <w:tc>
          <w:tcPr>
            <w:tcW w:w="5780" w:type="dxa"/>
            <w:vAlign w:val="bottom"/>
          </w:tcPr>
          <w:p>
            <w:pPr>
              <w:spacing w:after="0" w:line="189" w:lineRule="exact"/>
              <w:rPr>
                <w:sz w:val="20"/>
                <w:szCs w:val="20"/>
                <w:color w:val="auto"/>
              </w:rPr>
            </w:pPr>
            <w:r>
              <w:rPr>
                <w:rFonts w:ascii="Arial" w:cs="Arial" w:eastAsia="Arial" w:hAnsi="Arial"/>
                <w:sz w:val="18"/>
                <w:szCs w:val="18"/>
                <w:color w:val="auto"/>
              </w:rPr>
              <w:t>Bath &amp; Body Works Brand Management, Inc.</w:t>
            </w:r>
          </w:p>
        </w:tc>
        <w:tc>
          <w:tcPr>
            <w:tcW w:w="800" w:type="dxa"/>
            <w:vAlign w:val="bottom"/>
          </w:tcPr>
          <w:p>
            <w:pPr>
              <w:spacing w:after="0"/>
              <w:rPr>
                <w:sz w:val="16"/>
                <w:szCs w:val="16"/>
                <w:color w:val="auto"/>
              </w:rPr>
            </w:pPr>
          </w:p>
        </w:tc>
        <w:tc>
          <w:tcPr>
            <w:tcW w:w="11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2"/>
              </w:rPr>
              <w:t>Delaware</w:t>
            </w:r>
          </w:p>
        </w:tc>
        <w:tc>
          <w:tcPr>
            <w:tcW w:w="800" w:type="dxa"/>
            <w:vAlign w:val="bottom"/>
          </w:tcPr>
          <w:p>
            <w:pPr>
              <w:spacing w:after="0"/>
              <w:rPr>
                <w:sz w:val="16"/>
                <w:szCs w:val="16"/>
                <w:color w:val="auto"/>
              </w:rPr>
            </w:pPr>
          </w:p>
        </w:tc>
        <w:tc>
          <w:tcPr>
            <w:tcW w:w="10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5600</w:t>
            </w:r>
          </w:p>
        </w:tc>
        <w:tc>
          <w:tcPr>
            <w:tcW w:w="800" w:type="dxa"/>
            <w:vAlign w:val="bottom"/>
          </w:tcPr>
          <w:p>
            <w:pPr>
              <w:spacing w:after="0"/>
              <w:rPr>
                <w:sz w:val="16"/>
                <w:szCs w:val="16"/>
                <w:color w:val="auto"/>
              </w:rPr>
            </w:pPr>
          </w:p>
        </w:tc>
        <w:tc>
          <w:tcPr>
            <w:tcW w:w="106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52-2450868</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Bath &amp; Body Works Direct, Inc.</w:t>
            </w:r>
          </w:p>
        </w:tc>
        <w:tc>
          <w:tcPr>
            <w:tcW w:w="800" w:type="dxa"/>
            <w:vAlign w:val="bottom"/>
          </w:tcPr>
          <w:p>
            <w:pPr>
              <w:spacing w:after="0"/>
              <w:rPr>
                <w:sz w:val="18"/>
                <w:szCs w:val="18"/>
                <w:color w:val="auto"/>
              </w:rPr>
            </w:pPr>
          </w:p>
        </w:tc>
        <w:tc>
          <w:tcPr>
            <w:tcW w:w="1940" w:type="dxa"/>
            <w:vAlign w:val="bottom"/>
            <w:gridSpan w:val="2"/>
          </w:tcPr>
          <w:p>
            <w:pPr>
              <w:jc w:val="center"/>
              <w:ind w:right="800"/>
              <w:spacing w:after="0"/>
              <w:rPr>
                <w:sz w:val="20"/>
                <w:szCs w:val="20"/>
                <w:color w:val="auto"/>
              </w:rPr>
            </w:pPr>
            <w:r>
              <w:rPr>
                <w:rFonts w:ascii="Arial" w:cs="Arial" w:eastAsia="Arial" w:hAnsi="Arial"/>
                <w:sz w:val="18"/>
                <w:szCs w:val="18"/>
                <w:color w:val="auto"/>
                <w:w w:val="92"/>
              </w:rPr>
              <w:t>Delaware</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5600</w:t>
            </w:r>
          </w:p>
        </w:tc>
        <w:tc>
          <w:tcPr>
            <w:tcW w:w="8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20-3048392</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Bath &amp; Body Works, LLC</w:t>
            </w:r>
          </w:p>
        </w:tc>
        <w:tc>
          <w:tcPr>
            <w:tcW w:w="800" w:type="dxa"/>
            <w:vAlign w:val="bottom"/>
          </w:tcPr>
          <w:p>
            <w:pPr>
              <w:spacing w:after="0"/>
              <w:rPr>
                <w:sz w:val="18"/>
                <w:szCs w:val="18"/>
                <w:color w:val="auto"/>
              </w:rPr>
            </w:pPr>
          </w:p>
        </w:tc>
        <w:tc>
          <w:tcPr>
            <w:tcW w:w="1940" w:type="dxa"/>
            <w:vAlign w:val="bottom"/>
            <w:gridSpan w:val="2"/>
          </w:tcPr>
          <w:p>
            <w:pPr>
              <w:jc w:val="center"/>
              <w:ind w:right="800"/>
              <w:spacing w:after="0"/>
              <w:rPr>
                <w:sz w:val="20"/>
                <w:szCs w:val="20"/>
                <w:color w:val="auto"/>
              </w:rPr>
            </w:pPr>
            <w:r>
              <w:rPr>
                <w:rFonts w:ascii="Arial" w:cs="Arial" w:eastAsia="Arial" w:hAnsi="Arial"/>
                <w:sz w:val="18"/>
                <w:szCs w:val="18"/>
                <w:color w:val="auto"/>
                <w:w w:val="92"/>
              </w:rPr>
              <w:t>Delaware</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5600</w:t>
            </w:r>
          </w:p>
        </w:tc>
        <w:tc>
          <w:tcPr>
            <w:tcW w:w="8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52-2455381</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beautyAvenues, LLC</w:t>
            </w:r>
          </w:p>
        </w:tc>
        <w:tc>
          <w:tcPr>
            <w:tcW w:w="800" w:type="dxa"/>
            <w:vAlign w:val="bottom"/>
          </w:tcPr>
          <w:p>
            <w:pPr>
              <w:spacing w:after="0"/>
              <w:rPr>
                <w:sz w:val="18"/>
                <w:szCs w:val="18"/>
                <w:color w:val="auto"/>
              </w:rPr>
            </w:pPr>
          </w:p>
        </w:tc>
        <w:tc>
          <w:tcPr>
            <w:tcW w:w="1940" w:type="dxa"/>
            <w:vAlign w:val="bottom"/>
            <w:gridSpan w:val="2"/>
          </w:tcPr>
          <w:p>
            <w:pPr>
              <w:jc w:val="center"/>
              <w:ind w:right="800"/>
              <w:spacing w:after="0"/>
              <w:rPr>
                <w:sz w:val="20"/>
                <w:szCs w:val="20"/>
                <w:color w:val="auto"/>
              </w:rPr>
            </w:pPr>
            <w:r>
              <w:rPr>
                <w:rFonts w:ascii="Arial" w:cs="Arial" w:eastAsia="Arial" w:hAnsi="Arial"/>
                <w:sz w:val="18"/>
                <w:szCs w:val="18"/>
                <w:color w:val="auto"/>
                <w:w w:val="92"/>
              </w:rPr>
              <w:t>Delaware</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5600</w:t>
            </w:r>
          </w:p>
        </w:tc>
        <w:tc>
          <w:tcPr>
            <w:tcW w:w="8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52-2450857</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Intimate Brands, Inc.</w:t>
            </w:r>
          </w:p>
        </w:tc>
        <w:tc>
          <w:tcPr>
            <w:tcW w:w="800" w:type="dxa"/>
            <w:vAlign w:val="bottom"/>
          </w:tcPr>
          <w:p>
            <w:pPr>
              <w:spacing w:after="0"/>
              <w:rPr>
                <w:sz w:val="18"/>
                <w:szCs w:val="18"/>
                <w:color w:val="auto"/>
              </w:rPr>
            </w:pPr>
          </w:p>
        </w:tc>
        <w:tc>
          <w:tcPr>
            <w:tcW w:w="1940" w:type="dxa"/>
            <w:vAlign w:val="bottom"/>
            <w:gridSpan w:val="2"/>
          </w:tcPr>
          <w:p>
            <w:pPr>
              <w:jc w:val="center"/>
              <w:ind w:right="800"/>
              <w:spacing w:after="0"/>
              <w:rPr>
                <w:sz w:val="20"/>
                <w:szCs w:val="20"/>
                <w:color w:val="auto"/>
              </w:rPr>
            </w:pPr>
            <w:r>
              <w:rPr>
                <w:rFonts w:ascii="Arial" w:cs="Arial" w:eastAsia="Arial" w:hAnsi="Arial"/>
                <w:sz w:val="18"/>
                <w:szCs w:val="18"/>
                <w:color w:val="auto"/>
                <w:w w:val="92"/>
              </w:rPr>
              <w:t>Delaware</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5600</w:t>
            </w:r>
          </w:p>
        </w:tc>
        <w:tc>
          <w:tcPr>
            <w:tcW w:w="8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51-0346269</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Intimate Brands Holding, LLC</w:t>
            </w:r>
          </w:p>
        </w:tc>
        <w:tc>
          <w:tcPr>
            <w:tcW w:w="800" w:type="dxa"/>
            <w:vAlign w:val="bottom"/>
          </w:tcPr>
          <w:p>
            <w:pPr>
              <w:spacing w:after="0"/>
              <w:rPr>
                <w:sz w:val="18"/>
                <w:szCs w:val="18"/>
                <w:color w:val="auto"/>
              </w:rPr>
            </w:pPr>
          </w:p>
        </w:tc>
        <w:tc>
          <w:tcPr>
            <w:tcW w:w="1940" w:type="dxa"/>
            <w:vAlign w:val="bottom"/>
            <w:gridSpan w:val="2"/>
          </w:tcPr>
          <w:p>
            <w:pPr>
              <w:jc w:val="center"/>
              <w:ind w:right="800"/>
              <w:spacing w:after="0"/>
              <w:rPr>
                <w:sz w:val="20"/>
                <w:szCs w:val="20"/>
                <w:color w:val="auto"/>
              </w:rPr>
            </w:pPr>
            <w:r>
              <w:rPr>
                <w:rFonts w:ascii="Arial" w:cs="Arial" w:eastAsia="Arial" w:hAnsi="Arial"/>
                <w:sz w:val="18"/>
                <w:szCs w:val="18"/>
                <w:color w:val="auto"/>
                <w:w w:val="92"/>
              </w:rPr>
              <w:t>Delaware</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5600</w:t>
            </w:r>
          </w:p>
        </w:tc>
        <w:tc>
          <w:tcPr>
            <w:tcW w:w="8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90-0648718</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L Brands Direct Fulfillment, Inc.</w:t>
            </w:r>
          </w:p>
        </w:tc>
        <w:tc>
          <w:tcPr>
            <w:tcW w:w="800" w:type="dxa"/>
            <w:vAlign w:val="bottom"/>
          </w:tcPr>
          <w:p>
            <w:pPr>
              <w:spacing w:after="0"/>
              <w:rPr>
                <w:sz w:val="18"/>
                <w:szCs w:val="18"/>
                <w:color w:val="auto"/>
              </w:rPr>
            </w:pPr>
          </w:p>
        </w:tc>
        <w:tc>
          <w:tcPr>
            <w:tcW w:w="1940" w:type="dxa"/>
            <w:vAlign w:val="bottom"/>
            <w:gridSpan w:val="2"/>
          </w:tcPr>
          <w:p>
            <w:pPr>
              <w:jc w:val="center"/>
              <w:ind w:right="800"/>
              <w:spacing w:after="0"/>
              <w:rPr>
                <w:sz w:val="20"/>
                <w:szCs w:val="20"/>
                <w:color w:val="auto"/>
              </w:rPr>
            </w:pPr>
            <w:r>
              <w:rPr>
                <w:rFonts w:ascii="Arial" w:cs="Arial" w:eastAsia="Arial" w:hAnsi="Arial"/>
                <w:sz w:val="18"/>
                <w:szCs w:val="18"/>
                <w:color w:val="auto"/>
                <w:w w:val="92"/>
              </w:rPr>
              <w:t>Delaware</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5600</w:t>
            </w:r>
          </w:p>
        </w:tc>
        <w:tc>
          <w:tcPr>
            <w:tcW w:w="8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52-2450847</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L Brands Service Company, LLC</w:t>
            </w:r>
          </w:p>
        </w:tc>
        <w:tc>
          <w:tcPr>
            <w:tcW w:w="800" w:type="dxa"/>
            <w:vAlign w:val="bottom"/>
          </w:tcPr>
          <w:p>
            <w:pPr>
              <w:spacing w:after="0"/>
              <w:rPr>
                <w:sz w:val="18"/>
                <w:szCs w:val="18"/>
                <w:color w:val="auto"/>
              </w:rPr>
            </w:pPr>
          </w:p>
        </w:tc>
        <w:tc>
          <w:tcPr>
            <w:tcW w:w="1940" w:type="dxa"/>
            <w:vAlign w:val="bottom"/>
            <w:gridSpan w:val="2"/>
          </w:tcPr>
          <w:p>
            <w:pPr>
              <w:jc w:val="center"/>
              <w:ind w:right="800"/>
              <w:spacing w:after="0"/>
              <w:rPr>
                <w:sz w:val="20"/>
                <w:szCs w:val="20"/>
                <w:color w:val="auto"/>
              </w:rPr>
            </w:pPr>
            <w:r>
              <w:rPr>
                <w:rFonts w:ascii="Arial" w:cs="Arial" w:eastAsia="Arial" w:hAnsi="Arial"/>
                <w:sz w:val="18"/>
                <w:szCs w:val="18"/>
                <w:color w:val="auto"/>
                <w:w w:val="92"/>
              </w:rPr>
              <w:t>Delaware</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5600</w:t>
            </w:r>
          </w:p>
        </w:tc>
        <w:tc>
          <w:tcPr>
            <w:tcW w:w="8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31-1048997</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L Brands Store Design &amp; Construction, Inc.</w:t>
            </w:r>
          </w:p>
        </w:tc>
        <w:tc>
          <w:tcPr>
            <w:tcW w:w="800" w:type="dxa"/>
            <w:vAlign w:val="bottom"/>
          </w:tcPr>
          <w:p>
            <w:pPr>
              <w:spacing w:after="0"/>
              <w:rPr>
                <w:sz w:val="18"/>
                <w:szCs w:val="18"/>
                <w:color w:val="auto"/>
              </w:rPr>
            </w:pPr>
          </w:p>
        </w:tc>
        <w:tc>
          <w:tcPr>
            <w:tcW w:w="1940" w:type="dxa"/>
            <w:vAlign w:val="bottom"/>
            <w:gridSpan w:val="2"/>
          </w:tcPr>
          <w:p>
            <w:pPr>
              <w:jc w:val="center"/>
              <w:ind w:right="800"/>
              <w:spacing w:after="0"/>
              <w:rPr>
                <w:sz w:val="20"/>
                <w:szCs w:val="20"/>
                <w:color w:val="auto"/>
              </w:rPr>
            </w:pPr>
            <w:r>
              <w:rPr>
                <w:rFonts w:ascii="Arial" w:cs="Arial" w:eastAsia="Arial" w:hAnsi="Arial"/>
                <w:sz w:val="18"/>
                <w:szCs w:val="18"/>
                <w:color w:val="auto"/>
                <w:w w:val="92"/>
              </w:rPr>
              <w:t>Delaware</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5600</w:t>
            </w:r>
          </w:p>
        </w:tc>
        <w:tc>
          <w:tcPr>
            <w:tcW w:w="8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31-1301070</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La Senza, Inc.</w:t>
            </w:r>
          </w:p>
        </w:tc>
        <w:tc>
          <w:tcPr>
            <w:tcW w:w="800" w:type="dxa"/>
            <w:vAlign w:val="bottom"/>
          </w:tcPr>
          <w:p>
            <w:pPr>
              <w:spacing w:after="0"/>
              <w:rPr>
                <w:sz w:val="18"/>
                <w:szCs w:val="18"/>
                <w:color w:val="auto"/>
              </w:rPr>
            </w:pPr>
          </w:p>
        </w:tc>
        <w:tc>
          <w:tcPr>
            <w:tcW w:w="1940" w:type="dxa"/>
            <w:vAlign w:val="bottom"/>
            <w:gridSpan w:val="2"/>
          </w:tcPr>
          <w:p>
            <w:pPr>
              <w:jc w:val="center"/>
              <w:ind w:right="800"/>
              <w:spacing w:after="0"/>
              <w:rPr>
                <w:sz w:val="20"/>
                <w:szCs w:val="20"/>
                <w:color w:val="auto"/>
              </w:rPr>
            </w:pPr>
            <w:r>
              <w:rPr>
                <w:rFonts w:ascii="Arial" w:cs="Arial" w:eastAsia="Arial" w:hAnsi="Arial"/>
                <w:sz w:val="18"/>
                <w:szCs w:val="18"/>
                <w:color w:val="auto"/>
                <w:w w:val="92"/>
              </w:rPr>
              <w:t>Delaware</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5600</w:t>
            </w:r>
          </w:p>
        </w:tc>
        <w:tc>
          <w:tcPr>
            <w:tcW w:w="8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01-0960215</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Mast Industries, Inc.</w:t>
            </w:r>
          </w:p>
        </w:tc>
        <w:tc>
          <w:tcPr>
            <w:tcW w:w="800" w:type="dxa"/>
            <w:vAlign w:val="bottom"/>
          </w:tcPr>
          <w:p>
            <w:pPr>
              <w:spacing w:after="0"/>
              <w:rPr>
                <w:sz w:val="18"/>
                <w:szCs w:val="18"/>
                <w:color w:val="auto"/>
              </w:rPr>
            </w:pPr>
          </w:p>
        </w:tc>
        <w:tc>
          <w:tcPr>
            <w:tcW w:w="1940" w:type="dxa"/>
            <w:vAlign w:val="bottom"/>
            <w:gridSpan w:val="2"/>
          </w:tcPr>
          <w:p>
            <w:pPr>
              <w:jc w:val="center"/>
              <w:ind w:right="800"/>
              <w:spacing w:after="0"/>
              <w:rPr>
                <w:sz w:val="20"/>
                <w:szCs w:val="20"/>
                <w:color w:val="auto"/>
              </w:rPr>
            </w:pPr>
            <w:r>
              <w:rPr>
                <w:rFonts w:ascii="Arial" w:cs="Arial" w:eastAsia="Arial" w:hAnsi="Arial"/>
                <w:sz w:val="18"/>
                <w:szCs w:val="18"/>
                <w:color w:val="auto"/>
                <w:w w:val="92"/>
              </w:rPr>
              <w:t>Delaware</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5600</w:t>
            </w:r>
          </w:p>
        </w:tc>
        <w:tc>
          <w:tcPr>
            <w:tcW w:w="8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04-2468696</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Victoria’s Secret Direct Brand Management, LLC</w:t>
            </w:r>
          </w:p>
        </w:tc>
        <w:tc>
          <w:tcPr>
            <w:tcW w:w="800" w:type="dxa"/>
            <w:vAlign w:val="bottom"/>
          </w:tcPr>
          <w:p>
            <w:pPr>
              <w:spacing w:after="0"/>
              <w:rPr>
                <w:sz w:val="18"/>
                <w:szCs w:val="18"/>
                <w:color w:val="auto"/>
              </w:rPr>
            </w:pPr>
          </w:p>
        </w:tc>
        <w:tc>
          <w:tcPr>
            <w:tcW w:w="1940" w:type="dxa"/>
            <w:vAlign w:val="bottom"/>
            <w:gridSpan w:val="2"/>
          </w:tcPr>
          <w:p>
            <w:pPr>
              <w:jc w:val="center"/>
              <w:ind w:right="800"/>
              <w:spacing w:after="0"/>
              <w:rPr>
                <w:sz w:val="20"/>
                <w:szCs w:val="20"/>
                <w:color w:val="auto"/>
              </w:rPr>
            </w:pPr>
            <w:r>
              <w:rPr>
                <w:rFonts w:ascii="Arial" w:cs="Arial" w:eastAsia="Arial" w:hAnsi="Arial"/>
                <w:sz w:val="18"/>
                <w:szCs w:val="18"/>
                <w:color w:val="auto"/>
                <w:w w:val="92"/>
              </w:rPr>
              <w:t>Delaware</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5600</w:t>
            </w:r>
          </w:p>
        </w:tc>
        <w:tc>
          <w:tcPr>
            <w:tcW w:w="8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52-2450873</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Victoria’s Secret Stores Brand Management, Inc.</w:t>
            </w:r>
          </w:p>
        </w:tc>
        <w:tc>
          <w:tcPr>
            <w:tcW w:w="800" w:type="dxa"/>
            <w:vAlign w:val="bottom"/>
          </w:tcPr>
          <w:p>
            <w:pPr>
              <w:spacing w:after="0"/>
              <w:rPr>
                <w:sz w:val="18"/>
                <w:szCs w:val="18"/>
                <w:color w:val="auto"/>
              </w:rPr>
            </w:pPr>
          </w:p>
        </w:tc>
        <w:tc>
          <w:tcPr>
            <w:tcW w:w="1940" w:type="dxa"/>
            <w:vAlign w:val="bottom"/>
            <w:gridSpan w:val="2"/>
          </w:tcPr>
          <w:p>
            <w:pPr>
              <w:jc w:val="center"/>
              <w:ind w:right="800"/>
              <w:spacing w:after="0"/>
              <w:rPr>
                <w:sz w:val="20"/>
                <w:szCs w:val="20"/>
                <w:color w:val="auto"/>
              </w:rPr>
            </w:pPr>
            <w:r>
              <w:rPr>
                <w:rFonts w:ascii="Arial" w:cs="Arial" w:eastAsia="Arial" w:hAnsi="Arial"/>
                <w:sz w:val="18"/>
                <w:szCs w:val="18"/>
                <w:color w:val="auto"/>
                <w:w w:val="92"/>
              </w:rPr>
              <w:t>Delaware</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5600</w:t>
            </w:r>
          </w:p>
        </w:tc>
        <w:tc>
          <w:tcPr>
            <w:tcW w:w="8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52-2450861</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Victoria’s Secret Stores, LLC</w:t>
            </w:r>
          </w:p>
        </w:tc>
        <w:tc>
          <w:tcPr>
            <w:tcW w:w="800" w:type="dxa"/>
            <w:vAlign w:val="bottom"/>
          </w:tcPr>
          <w:p>
            <w:pPr>
              <w:spacing w:after="0"/>
              <w:rPr>
                <w:sz w:val="20"/>
                <w:szCs w:val="20"/>
                <w:color w:val="auto"/>
              </w:rPr>
            </w:pPr>
          </w:p>
        </w:tc>
        <w:tc>
          <w:tcPr>
            <w:tcW w:w="1940" w:type="dxa"/>
            <w:vAlign w:val="bottom"/>
            <w:gridSpan w:val="2"/>
          </w:tcPr>
          <w:p>
            <w:pPr>
              <w:jc w:val="center"/>
              <w:ind w:right="800"/>
              <w:spacing w:after="0"/>
              <w:rPr>
                <w:sz w:val="20"/>
                <w:szCs w:val="20"/>
                <w:color w:val="auto"/>
              </w:rPr>
            </w:pPr>
            <w:r>
              <w:rPr>
                <w:rFonts w:ascii="Arial" w:cs="Arial" w:eastAsia="Arial" w:hAnsi="Arial"/>
                <w:sz w:val="18"/>
                <w:szCs w:val="18"/>
                <w:color w:val="auto"/>
                <w:w w:val="92"/>
              </w:rPr>
              <w:t>Delaware</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5600</w:t>
            </w:r>
          </w:p>
        </w:tc>
        <w:tc>
          <w:tcPr>
            <w:tcW w:w="80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54-2170171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0"/>
          <w:szCs w:val="20"/>
          <w:color w:val="auto"/>
        </w:rPr>
      </w:pPr>
    </w:p>
    <w:p>
      <w:pPr>
        <w:ind w:left="240" w:right="300" w:hanging="232"/>
        <w:spacing w:after="0" w:line="277" w:lineRule="auto"/>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address, including zip code, and telephone number, including area code, of each Registrant’s principal executive offices is Three Limited Parkway, Columbus, Ohio 43230, Tel. (614) 415-7000.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L BRANDS, INC.</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COMMON STOCK</w:t>
      </w: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PREFERRED STOCK</w:t>
      </w: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DEPOSITARY SHARES</w:t>
      </w: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DEBT SECURITIES</w:t>
      </w: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GUARANTEES OF DEBT SECURITIES</w:t>
      </w: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WARRANTS</w:t>
      </w: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PURCHASE CONTRACTS</w:t>
      </w: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prospectus relates to common stock, preferred stock, depositary shares, debt securities, warrants, purchase contracts and units that we may sell from time to time in one or more offerings. The debt securities may be guaranteed by one or more subsidiaries identified in this prospectus on terms to be determined at the time of an offering. This prospectus will allow us to issue securities over time.</w:t>
      </w:r>
    </w:p>
    <w:p>
      <w:pPr>
        <w:spacing w:after="0" w:line="18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will provide a prospectus supplement each time we issue securities, which will inform you about the specific terms of that offering and may also supplement, update or amend information contained in this document. You should read this prospectus and the applicable prospectus supplement carefully before you invest in our securities.</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common stock is listed on the New York Stock Exchange under the symbol “LB.” We have not yet determined whether any of the other securities that may be offered by this prospectus will be listed on any exchange, inter-dealer quotation system or over-the-counter market. If we decide to seek the listing of any such securities upon issuance, the prospectus supplement relating to those securities will disclose the exchange, quotation system or market on which the securities will be listed.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Investing in our securities involves risk. See “</w:t>
      </w:r>
      <w:r>
        <w:rPr>
          <w:rFonts w:ascii="Arial" w:cs="Arial" w:eastAsia="Arial" w:hAnsi="Arial"/>
          <w:sz w:val="22"/>
          <w:szCs w:val="22"/>
          <w:b w:val="1"/>
          <w:bCs w:val="1"/>
          <w:u w:val="single" w:color="auto"/>
          <w:color w:val="auto"/>
        </w:rPr>
        <w:t>Risk Factors</w:t>
      </w:r>
      <w:r>
        <w:rPr>
          <w:rFonts w:ascii="Arial" w:cs="Arial" w:eastAsia="Arial" w:hAnsi="Arial"/>
          <w:sz w:val="22"/>
          <w:szCs w:val="22"/>
          <w:b w:val="1"/>
          <w:bCs w:val="1"/>
          <w:color w:val="auto"/>
        </w:rPr>
        <w:t>” beginning on page 5 of this prospectus.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We may offer and sell these securities to or through one or more underwriters, dealers or agents, or directly to investors, on a continuous or delayed basis.</w:t>
      </w:r>
    </w:p>
    <w:p>
      <w:pPr>
        <w:spacing w:after="0" w:line="2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applicable prospectus supplement will provide the names of any underwriters, dealers or agents, the specific terms of the plan of distribution, any over-allotment option and any applicable underwriting discounts and commissions.</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62"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The date of this prospectus is January 29,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this prospectus the terms “L Brands,” “we,” “us,” “our” and the “Company” refer to L Brands,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4" w:name="page5"/>
    <w:bookmarkEnd w:id="4"/>
    <w:p>
      <w:pPr>
        <w:ind w:right="40"/>
        <w:spacing w:after="0" w:line="257" w:lineRule="auto"/>
        <w:rPr>
          <w:sz w:val="20"/>
          <w:szCs w:val="20"/>
          <w:color w:val="auto"/>
        </w:rPr>
      </w:pPr>
      <w:r>
        <w:rPr>
          <w:rFonts w:ascii="Arial" w:cs="Arial" w:eastAsia="Arial" w:hAnsi="Arial"/>
          <w:sz w:val="18"/>
          <w:szCs w:val="18"/>
          <w:color w:val="auto"/>
        </w:rPr>
        <w:t>We have not authorized anyone to provide any information other than that contained or incorporated by reference into this prospectus or in any free writing prospectus prepared by or on behalf of us or to which we have referred you. We take no responsibility for, and can provided no assurance as to the reliability or, any other information that others may give you. We are not making an offer of these securities in any jurisdiction where the offer is not permitted. You should not assume that the information contained in or incorporated by reference into this prospectus is accurate as of any date other than the date on the front of this prospectus.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00" w:type="dxa"/>
            <w:vAlign w:val="bottom"/>
            <w:gridSpan w:val="3"/>
          </w:tcPr>
          <w:p>
            <w:pPr>
              <w:ind w:left="4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648"/>
        </w:trPr>
        <w:tc>
          <w:tcPr>
            <w:tcW w:w="4720" w:type="dxa"/>
            <w:vAlign w:val="bottom"/>
            <w:gridSpan w:val="18"/>
            <w:vMerge w:val="restart"/>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About This Prospectus</w:t>
              </w:r>
            </w:hyperlink>
          </w:p>
        </w:tc>
        <w:tc>
          <w:tcPr>
            <w:tcW w:w="6140" w:type="dxa"/>
            <w:vAlign w:val="bottom"/>
          </w:tcPr>
          <w:p>
            <w:pPr>
              <w:spacing w:after="0"/>
              <w:rPr>
                <w:sz w:val="24"/>
                <w:szCs w:val="24"/>
                <w:color w:val="auto"/>
              </w:rPr>
            </w:pPr>
          </w:p>
        </w:tc>
        <w:tc>
          <w:tcPr>
            <w:tcW w:w="560" w:type="dxa"/>
            <w:vAlign w:val="bottom"/>
            <w:gridSpan w:val="2"/>
          </w:tcPr>
          <w:p>
            <w:pPr>
              <w:ind w:left="4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56"/>
        </w:trPr>
        <w:tc>
          <w:tcPr>
            <w:tcW w:w="4720" w:type="dxa"/>
            <w:vAlign w:val="bottom"/>
            <w:gridSpan w:val="18"/>
            <w:vMerge w:val="continue"/>
          </w:tcPr>
          <w:p>
            <w:pPr>
              <w:spacing w:after="0"/>
              <w:rPr>
                <w:sz w:val="13"/>
                <w:szCs w:val="13"/>
                <w:color w:val="auto"/>
              </w:rPr>
            </w:pPr>
          </w:p>
        </w:tc>
        <w:tc>
          <w:tcPr>
            <w:tcW w:w="6140" w:type="dxa"/>
            <w:vAlign w:val="bottom"/>
          </w:tcPr>
          <w:p>
            <w:pPr>
              <w:spacing w:after="0"/>
              <w:rPr>
                <w:sz w:val="13"/>
                <w:szCs w:val="13"/>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7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8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7">
              <w:r>
                <w:rPr>
                  <w:rFonts w:ascii="Arial" w:cs="Arial" w:eastAsia="Arial" w:hAnsi="Arial"/>
                  <w:sz w:val="18"/>
                  <w:szCs w:val="18"/>
                  <w:color w:val="0000EE"/>
                  <w:w w:val="92"/>
                </w:rPr>
                <w:t>Where You Can Find More Information</w:t>
              </w:r>
            </w:hyperlink>
          </w:p>
        </w:tc>
        <w:tc>
          <w:tcPr>
            <w:tcW w:w="1840" w:type="dxa"/>
            <w:vAlign w:val="bottom"/>
            <w:gridSpan w:val="3"/>
          </w:tcPr>
          <w:p>
            <w:pPr>
              <w:spacing w:after="0"/>
              <w:rPr>
                <w:sz w:val="18"/>
                <w:szCs w:val="18"/>
                <w:color w:val="auto"/>
              </w:rPr>
            </w:pPr>
          </w:p>
        </w:tc>
        <w:tc>
          <w:tcPr>
            <w:tcW w:w="670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720" w:type="dxa"/>
            <w:vAlign w:val="bottom"/>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Incorporation of Documents by Reference</w:t>
              </w:r>
            </w:hyperlink>
          </w:p>
        </w:tc>
        <w:tc>
          <w:tcPr>
            <w:tcW w:w="6700" w:type="dxa"/>
            <w:vAlign w:val="bottom"/>
            <w:gridSpan w:val="3"/>
          </w:tcPr>
          <w:p>
            <w:pPr>
              <w:jc w:val="right"/>
              <w:ind w:right="10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30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Forward-Looking Statements</w:t>
              </w:r>
            </w:hyperlink>
          </w:p>
        </w:tc>
        <w:tc>
          <w:tcPr>
            <w:tcW w:w="1680" w:type="dxa"/>
            <w:vAlign w:val="bottom"/>
            <w:gridSpan w:val="2"/>
          </w:tcPr>
          <w:p>
            <w:pPr>
              <w:spacing w:after="0"/>
              <w:rPr>
                <w:sz w:val="17"/>
                <w:szCs w:val="17"/>
                <w:color w:val="auto"/>
              </w:rPr>
            </w:pPr>
          </w:p>
        </w:tc>
        <w:tc>
          <w:tcPr>
            <w:tcW w:w="6700" w:type="dxa"/>
            <w:vAlign w:val="bottom"/>
            <w:gridSpan w:val="3"/>
          </w:tcPr>
          <w:p>
            <w:pPr>
              <w:jc w:val="right"/>
              <w:ind w:right="10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0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w:anchor="page9">
              <w:r>
                <w:rPr>
                  <w:rFonts w:ascii="Arial" w:cs="Arial" w:eastAsia="Arial" w:hAnsi="Arial"/>
                  <w:sz w:val="18"/>
                  <w:szCs w:val="18"/>
                  <w:color w:val="0000EE"/>
                  <w:w w:val="91"/>
                </w:rPr>
                <w:t>L Brands, Inc.</w:t>
              </w:r>
            </w:hyperlink>
          </w:p>
        </w:tc>
        <w:tc>
          <w:tcPr>
            <w:tcW w:w="1080" w:type="dxa"/>
            <w:vAlign w:val="bottom"/>
            <w:tcBorders>
              <w:top w:val="single" w:sz="8" w:color="0000EE"/>
            </w:tcBorders>
            <w:gridSpan w:val="9"/>
          </w:tcPr>
          <w:p>
            <w:pPr>
              <w:spacing w:after="0"/>
              <w:rPr>
                <w:sz w:val="17"/>
                <w:szCs w:val="17"/>
                <w:color w:val="auto"/>
              </w:rPr>
            </w:pPr>
          </w:p>
        </w:tc>
        <w:tc>
          <w:tcPr>
            <w:tcW w:w="2600" w:type="dxa"/>
            <w:vAlign w:val="bottom"/>
            <w:gridSpan w:val="6"/>
          </w:tcPr>
          <w:p>
            <w:pPr>
              <w:spacing w:after="0"/>
              <w:rPr>
                <w:sz w:val="17"/>
                <w:szCs w:val="17"/>
                <w:color w:val="auto"/>
              </w:rPr>
            </w:pPr>
          </w:p>
        </w:tc>
        <w:tc>
          <w:tcPr>
            <w:tcW w:w="6700" w:type="dxa"/>
            <w:vAlign w:val="bottom"/>
            <w:gridSpan w:val="3"/>
          </w:tcPr>
          <w:p>
            <w:pPr>
              <w:jc w:val="right"/>
              <w:ind w:right="10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1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The Guarantors</w:t>
              </w:r>
            </w:hyperlink>
          </w:p>
        </w:tc>
        <w:tc>
          <w:tcPr>
            <w:tcW w:w="3580" w:type="dxa"/>
            <w:vAlign w:val="bottom"/>
            <w:gridSpan w:val="13"/>
          </w:tcPr>
          <w:p>
            <w:pPr>
              <w:spacing w:after="0"/>
              <w:rPr>
                <w:sz w:val="17"/>
                <w:szCs w:val="17"/>
                <w:color w:val="auto"/>
              </w:rPr>
            </w:pPr>
          </w:p>
        </w:tc>
        <w:tc>
          <w:tcPr>
            <w:tcW w:w="6700" w:type="dxa"/>
            <w:vAlign w:val="bottom"/>
            <w:gridSpan w:val="3"/>
          </w:tcPr>
          <w:p>
            <w:pPr>
              <w:jc w:val="right"/>
              <w:ind w:right="10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Risk Factors</w:t>
              </w:r>
            </w:hyperlink>
          </w:p>
        </w:tc>
        <w:tc>
          <w:tcPr>
            <w:tcW w:w="3800" w:type="dxa"/>
            <w:vAlign w:val="bottom"/>
            <w:gridSpan w:val="16"/>
          </w:tcPr>
          <w:p>
            <w:pPr>
              <w:spacing w:after="0"/>
              <w:rPr>
                <w:sz w:val="17"/>
                <w:szCs w:val="17"/>
                <w:color w:val="auto"/>
              </w:rPr>
            </w:pPr>
          </w:p>
        </w:tc>
        <w:tc>
          <w:tcPr>
            <w:tcW w:w="6700" w:type="dxa"/>
            <w:vAlign w:val="bottom"/>
            <w:gridSpan w:val="3"/>
          </w:tcPr>
          <w:p>
            <w:pPr>
              <w:jc w:val="right"/>
              <w:ind w:right="10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Use of Proceeds</w:t>
              </w:r>
            </w:hyperlink>
          </w:p>
        </w:tc>
        <w:tc>
          <w:tcPr>
            <w:tcW w:w="3540" w:type="dxa"/>
            <w:vAlign w:val="bottom"/>
            <w:gridSpan w:val="12"/>
          </w:tcPr>
          <w:p>
            <w:pPr>
              <w:spacing w:after="0"/>
              <w:rPr>
                <w:sz w:val="17"/>
                <w:szCs w:val="17"/>
                <w:color w:val="auto"/>
              </w:rPr>
            </w:pPr>
          </w:p>
        </w:tc>
        <w:tc>
          <w:tcPr>
            <w:tcW w:w="6700" w:type="dxa"/>
            <w:vAlign w:val="bottom"/>
            <w:gridSpan w:val="3"/>
          </w:tcPr>
          <w:p>
            <w:pPr>
              <w:jc w:val="right"/>
              <w:ind w:right="10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720" w:type="dxa"/>
            <w:vAlign w:val="bottom"/>
            <w:gridSpan w:val="18"/>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Description of Capital Stock</w:t>
              </w:r>
            </w:hyperlink>
          </w:p>
        </w:tc>
        <w:tc>
          <w:tcPr>
            <w:tcW w:w="6700" w:type="dxa"/>
            <w:vAlign w:val="bottom"/>
            <w:gridSpan w:val="3"/>
          </w:tcPr>
          <w:p>
            <w:pPr>
              <w:jc w:val="right"/>
              <w:ind w:right="10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7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20" w:type="dxa"/>
            <w:vAlign w:val="bottom"/>
            <w:gridSpan w:val="18"/>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Description of Depositary Shares</w:t>
              </w:r>
            </w:hyperlink>
          </w:p>
        </w:tc>
        <w:tc>
          <w:tcPr>
            <w:tcW w:w="6700" w:type="dxa"/>
            <w:vAlign w:val="bottom"/>
            <w:gridSpan w:val="3"/>
          </w:tcPr>
          <w:p>
            <w:pPr>
              <w:jc w:val="right"/>
              <w:ind w:right="10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7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Description of Debt Securities and Guarantees of Debt Securities</w:t>
              </w:r>
            </w:hyperlink>
          </w:p>
        </w:tc>
        <w:tc>
          <w:tcPr>
            <w:tcW w:w="20" w:type="dxa"/>
            <w:vAlign w:val="bottom"/>
          </w:tcPr>
          <w:p>
            <w:pPr>
              <w:spacing w:after="0"/>
              <w:rPr>
                <w:sz w:val="17"/>
                <w:szCs w:val="17"/>
                <w:color w:val="auto"/>
              </w:rPr>
            </w:pPr>
          </w:p>
        </w:tc>
        <w:tc>
          <w:tcPr>
            <w:tcW w:w="6700" w:type="dxa"/>
            <w:vAlign w:val="bottom"/>
            <w:gridSpan w:val="3"/>
          </w:tcPr>
          <w:p>
            <w:pPr>
              <w:jc w:val="right"/>
              <w:ind w:right="10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74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Description of Warrants</w:t>
              </w:r>
            </w:hyperlink>
          </w:p>
        </w:tc>
        <w:tc>
          <w:tcPr>
            <w:tcW w:w="2980" w:type="dxa"/>
            <w:vAlign w:val="bottom"/>
            <w:gridSpan w:val="8"/>
          </w:tcPr>
          <w:p>
            <w:pPr>
              <w:spacing w:after="0"/>
              <w:rPr>
                <w:sz w:val="17"/>
                <w:szCs w:val="17"/>
                <w:color w:val="auto"/>
              </w:rPr>
            </w:pPr>
          </w:p>
        </w:tc>
        <w:tc>
          <w:tcPr>
            <w:tcW w:w="6700" w:type="dxa"/>
            <w:vAlign w:val="bottom"/>
            <w:gridSpan w:val="3"/>
          </w:tcPr>
          <w:p>
            <w:pPr>
              <w:jc w:val="right"/>
              <w:ind w:right="10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248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Description of Purchase Contracts</w:t>
              </w:r>
            </w:hyperlink>
          </w:p>
        </w:tc>
        <w:tc>
          <w:tcPr>
            <w:tcW w:w="2240" w:type="dxa"/>
            <w:vAlign w:val="bottom"/>
            <w:gridSpan w:val="4"/>
          </w:tcPr>
          <w:p>
            <w:pPr>
              <w:spacing w:after="0"/>
              <w:rPr>
                <w:sz w:val="17"/>
                <w:szCs w:val="17"/>
                <w:color w:val="auto"/>
              </w:rPr>
            </w:pPr>
          </w:p>
        </w:tc>
        <w:tc>
          <w:tcPr>
            <w:tcW w:w="6700" w:type="dxa"/>
            <w:vAlign w:val="bottom"/>
            <w:gridSpan w:val="3"/>
          </w:tcPr>
          <w:p>
            <w:pPr>
              <w:jc w:val="right"/>
              <w:ind w:right="10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w:anchor="page24">
              <w:r>
                <w:rPr>
                  <w:rFonts w:ascii="Arial" w:cs="Arial" w:eastAsia="Arial" w:hAnsi="Arial"/>
                  <w:sz w:val="18"/>
                  <w:szCs w:val="18"/>
                  <w:color w:val="0000EE"/>
                  <w:w w:val="93"/>
                </w:rPr>
                <w:t>Description of Units</w:t>
              </w:r>
            </w:hyperlink>
          </w:p>
        </w:tc>
        <w:tc>
          <w:tcPr>
            <w:tcW w:w="3240" w:type="dxa"/>
            <w:vAlign w:val="bottom"/>
            <w:gridSpan w:val="10"/>
          </w:tcPr>
          <w:p>
            <w:pPr>
              <w:spacing w:after="0"/>
              <w:rPr>
                <w:sz w:val="17"/>
                <w:szCs w:val="17"/>
                <w:color w:val="auto"/>
              </w:rPr>
            </w:pPr>
          </w:p>
        </w:tc>
        <w:tc>
          <w:tcPr>
            <w:tcW w:w="6700" w:type="dxa"/>
            <w:vAlign w:val="bottom"/>
            <w:gridSpan w:val="3"/>
          </w:tcPr>
          <w:p>
            <w:pPr>
              <w:jc w:val="right"/>
              <w:ind w:right="10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25">
              <w:r>
                <w:rPr>
                  <w:rFonts w:ascii="Arial" w:cs="Arial" w:eastAsia="Arial" w:hAnsi="Arial"/>
                  <w:sz w:val="18"/>
                  <w:szCs w:val="18"/>
                  <w:color w:val="0000EE"/>
                  <w:w w:val="93"/>
                </w:rPr>
                <w:t>Plan of Distribution</w:t>
              </w:r>
            </w:hyperlink>
          </w:p>
        </w:tc>
        <w:tc>
          <w:tcPr>
            <w:tcW w:w="3280" w:type="dxa"/>
            <w:vAlign w:val="bottom"/>
            <w:gridSpan w:val="11"/>
          </w:tcPr>
          <w:p>
            <w:pPr>
              <w:spacing w:after="0"/>
              <w:rPr>
                <w:sz w:val="17"/>
                <w:szCs w:val="17"/>
                <w:color w:val="auto"/>
              </w:rPr>
            </w:pPr>
          </w:p>
        </w:tc>
        <w:tc>
          <w:tcPr>
            <w:tcW w:w="6700" w:type="dxa"/>
            <w:vAlign w:val="bottom"/>
            <w:gridSpan w:val="3"/>
          </w:tcPr>
          <w:p>
            <w:pPr>
              <w:jc w:val="right"/>
              <w:ind w:right="10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720" w:type="dxa"/>
            <w:vAlign w:val="bottom"/>
            <w:gridSpan w:val="18"/>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Legal Opinions</w:t>
              </w:r>
            </w:hyperlink>
          </w:p>
        </w:tc>
        <w:tc>
          <w:tcPr>
            <w:tcW w:w="6700" w:type="dxa"/>
            <w:vAlign w:val="bottom"/>
            <w:gridSpan w:val="3"/>
          </w:tcPr>
          <w:p>
            <w:pPr>
              <w:jc w:val="right"/>
              <w:ind w:right="10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1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Experts</w:t>
              </w:r>
            </w:hyperlink>
          </w:p>
        </w:tc>
        <w:tc>
          <w:tcPr>
            <w:tcW w:w="3600" w:type="dxa"/>
            <w:vAlign w:val="bottom"/>
            <w:gridSpan w:val="14"/>
          </w:tcPr>
          <w:p>
            <w:pPr>
              <w:spacing w:after="0"/>
              <w:rPr>
                <w:sz w:val="17"/>
                <w:szCs w:val="17"/>
                <w:color w:val="auto"/>
              </w:rPr>
            </w:pPr>
          </w:p>
        </w:tc>
        <w:tc>
          <w:tcPr>
            <w:tcW w:w="6700" w:type="dxa"/>
            <w:vAlign w:val="bottom"/>
            <w:gridSpan w:val="3"/>
          </w:tcPr>
          <w:p>
            <w:pPr>
              <w:jc w:val="right"/>
              <w:ind w:right="10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588"/>
        </w:trPr>
        <w:tc>
          <w:tcPr>
            <w:tcW w:w="560" w:type="dxa"/>
            <w:vAlign w:val="bottom"/>
            <w:tcBorders>
              <w:top w:val="single" w:sz="8" w:color="0000EE"/>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(“SEC”) utilizing a “shelf” registration process. Under this shelf process, we may sell any combination of the securities described in this prospectus in one or more offerings. This prospectus provides you with a general description of the securities we may offer. Each time we sell securities, we will provide a prospectus supplement that will contain specific information about the terms of that offering. The accompanying prospectus supplement may also add, update or change information contained in this prospectus. If the information varies between this prospectus and the accompanying prospectus supplement, you should rely on the information in the accompanying prospectus supplement. You should read both this prospectus and any prospectus supplement together with additional information described under the heading “Where You Can Find More Information.”</w:t>
      </w: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We file reports and other information with the SEC. Such reports and other information filed by us may be inspected and copied at the SEC’s public reference room at 100 F Street NE, Washington, D.C. 20549. For further information about the public reference room, call 1-800-SEC-0330. The SEC also maintains a website on the Internet that contains reports, proxy and information statements and other information regarding registrants that file electronically with the SEC, and such website is located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You may request a copy of these filings, at no cost, by writing or telephoning us at the following address: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 Brands,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Investor Relations Department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Three Limited Parkway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Columbus, Ohio 43230</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This document incorporates by reference the documents set forth below. The information incorporated by reference is an important part of this prospectus, and information that we file later with the SEC will automatically update and supersede this information. We incorporate by reference the documents listed below and any future filings we make with the SEC under Sections 13(a), 13(c), 14, or 15(d) of the Securities Exchange Act of 1934, as amended (other than, in each case, documents or information deemed to have been furnished and not filed in accordance with SEC rules) on or after the date of this prospectus:</w:t>
      </w:r>
    </w:p>
    <w:p>
      <w:pPr>
        <w:spacing w:after="0" w:line="154"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Annual Report on Form 10-K for the year ended February 3, 2018;</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Quarterly Reports on Form 10-Q for the quarterly periods ended May 5, 2018, August 4, 2018 and November 3, 2018;</w:t>
      </w:r>
    </w:p>
    <w:p>
      <w:pPr>
        <w:spacing w:after="0" w:line="252" w:lineRule="exact"/>
        <w:rPr>
          <w:rFonts w:ascii="Arial" w:cs="Arial" w:eastAsia="Arial" w:hAnsi="Arial"/>
          <w:sz w:val="18"/>
          <w:szCs w:val="18"/>
          <w:color w:val="auto"/>
        </w:rPr>
      </w:pPr>
    </w:p>
    <w:p>
      <w:pPr>
        <w:ind w:left="340" w:hanging="332"/>
        <w:spacing w:after="0" w:line="297"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Current Reports on Form 8-K filed on May 17, 2018, June 1, 2018, June 14, 2018, August 23, 2018 (with respect to Item 9.01 only), September 17, 2018, November 19, 2018, (with respect to Items 8.01 and 9.01 only), December 17, 2018, January 10, 2019 (with respect to Item 2.05 only) and as furnished on May 11, 2018 (with respect to Items 2.02 and 7.01 only), May 23, 2018 (with respect to Items 2.02 and 7.01 only), August 10, 2018 (with respect to Items 2.02 and 7.01 only), August 23, 2018 (with respect to Items 2.02 and 7.01 only), November 9, 2018 (with respect to Items 2.02 and 7.01 only), November 19, 2018 (with respect to Items 2.02 and 7.01 only), January 10, 2019 (with respect to Items 2.02 and 7.01 only); and</w:t>
      </w:r>
    </w:p>
    <w:p>
      <w:pPr>
        <w:spacing w:after="0" w:line="185" w:lineRule="exact"/>
        <w:rPr>
          <w:rFonts w:ascii="Arial" w:cs="Arial" w:eastAsia="Arial" w:hAnsi="Arial"/>
          <w:sz w:val="16"/>
          <w:szCs w:val="16"/>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Definitive Proxy Statement on Form 14A filed on April 5, 2018.</w:t>
      </w:r>
    </w:p>
    <w:p>
      <w:pPr>
        <w:spacing w:after="0" w:line="32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ind w:left="4160"/>
        <w:spacing w:after="0"/>
        <w:rPr>
          <w:sz w:val="20"/>
          <w:szCs w:val="20"/>
          <w:color w:val="auto"/>
        </w:rPr>
      </w:pPr>
      <w:r>
        <w:rPr>
          <w:rFonts w:ascii="Arial" w:cs="Arial" w:eastAsia="Arial" w:hAnsi="Arial"/>
          <w:sz w:val="18"/>
          <w:szCs w:val="18"/>
          <w:b w:val="1"/>
          <w:bCs w:val="1"/>
          <w:color w:val="auto"/>
        </w:rPr>
        <w:t>FORWARD-LOOKING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 Under the Private Securities Litigation Reform Act of 1995</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caution that any forward-looking statements (as such term is defined in the Private Securities Litigation Reform Act of 1995) contained in this prospectus or made by our company or our management involve risks and uncertainties and are subject to change based on various factors, many of which are beyond our control. Accordingly, our future performance and financial results may differ materially from those expressed or implied in any such forward-looking statements. Words such as “estimate,” “project,” “plan,” “believe,” “expect,” “anticipate,” “intend,” “planned,” “potential” and any similar expressions may identify forward-looking statements. Risks associated with the following factors, among others, in some cases have affected and in the future could affect our financial performance and actual results and could cause actual results to differ materially from those expressed or implied in any forward-looking statements included in this prospectus or otherwise made by our company or our management:</w:t>
      </w:r>
    </w:p>
    <w:p>
      <w:pPr>
        <w:spacing w:after="0" w:line="178" w:lineRule="exact"/>
        <w:rPr>
          <w:sz w:val="20"/>
          <w:szCs w:val="20"/>
          <w:color w:val="auto"/>
        </w:rPr>
      </w:pPr>
    </w:p>
    <w:p>
      <w:pPr>
        <w:ind w:left="340" w:right="320" w:hanging="332"/>
        <w:spacing w:after="0" w:line="308"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general economic conditions, consumer confidence, consumer spending patterns and market disruptions including severe weather conditions, natural disasters, health hazards, terrorist activities, financial crises, political crises or other major events, or the prospect of these events;</w:t>
      </w:r>
    </w:p>
    <w:p>
      <w:pPr>
        <w:spacing w:after="0" w:line="173" w:lineRule="exact"/>
        <w:rPr>
          <w:rFonts w:ascii="Arial" w:cs="Arial" w:eastAsia="Arial" w:hAnsi="Arial"/>
          <w:sz w:val="17"/>
          <w:szCs w:val="17"/>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seasonality of our business;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dependence on mall traffic and the availability of suitable store locations on appropriate terms;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grow through new store openings and existing store remodels and expansions;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expand internationally and related risks;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independent franchise, license and wholesale partners;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direct channel businesses;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protect our reputation and our brand images;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attract customers with marketing, advertising and promotional programs;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protect our trade names, trademarks and patents;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highly competitive nature of the retail industry and the segments in which we operate;</w:t>
      </w:r>
    </w:p>
    <w:p>
      <w:pPr>
        <w:spacing w:after="0" w:line="252" w:lineRule="exact"/>
        <w:rPr>
          <w:rFonts w:ascii="Arial" w:cs="Arial" w:eastAsia="Arial" w:hAnsi="Arial"/>
          <w:sz w:val="18"/>
          <w:szCs w:val="18"/>
          <w:color w:val="auto"/>
        </w:rPr>
      </w:pPr>
    </w:p>
    <w:p>
      <w:pPr>
        <w:ind w:left="340" w:right="14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consumer acceptance of our products and our ability to manage the life cycle of our brands, keep up with fashion trends, develop new merchandise and launch new product lines successfully;</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source, distribute and sell goods and materials on a global basis, including risks related to:</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political instability, significant health hazards, environmental hazards or natural disasters;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duties, taxes and other charges;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legal and regulatory matters;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volatility in currency exchange rates;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local business practices and political issues;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potential delays or disruptions in shipping and transportation and related pricing impacts;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disruption due to labor disputes;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changing expectations regarding product safety due to new legislation;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geographic concentration of vendor and distribution facilities in central Ohio;</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stock price volatility;</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8" w:name="page9"/>
    <w:bookmarkEnd w:id="8"/>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pay dividends and related effects;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our credit rating;</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service or refinance our debt;</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retain key personnel;</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attract, develop and retain qualified associates and manage labor-related costs;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our vendors to deliver products in a timely manner, meet quality standards and comply with applicable laws and regulations;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product input costs;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adequately protect our assets from loss and theft;</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energy costs;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in the costs of mailing, paper and printing;</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claims arising from our self-insurance;</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implement and maintain information technology systems and to protect associated data;</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the security of customer, associate, third-party or company information;</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comply with regulatory requirements;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legal and compliance matters;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tax, trade and other regulatory matters.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are not under any obligation and do not intend to make publicly available any update or other revisions to any of the forward-looking statements contained in this prospectus to reflect circumstances existing after the date of this prospectus or to reflect the occurrence of future events even if experience or future events make it clear that any expected results expressed or implied by those forward-looking statements will not be realized.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 BRANDS, INC.</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 xml:space="preserve">L Brands, Inc., through Victoria’s Secret, PINK and Bath &amp; Body Works, is an international company. We operate company-owned specialty stores in the United States, Canada, the United Kingdom, Ireland and Greater China (China and Hong Kong), and our brands are sold in franchised locations worldwide. Our products are also available online at </w:t>
      </w:r>
      <w:r>
        <w:rPr>
          <w:rFonts w:ascii="Arial" w:cs="Arial" w:eastAsia="Arial" w:hAnsi="Arial"/>
          <w:sz w:val="18"/>
          <w:szCs w:val="18"/>
          <w:u w:val="single" w:color="auto"/>
          <w:color w:val="auto"/>
        </w:rPr>
        <w:t>www.VictoriasSecret.com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www.BathandBodyWorks.com</w:t>
      </w:r>
      <w:r>
        <w:rPr>
          <w:rFonts w:ascii="Arial" w:cs="Arial" w:eastAsia="Arial" w:hAnsi="Arial"/>
          <w:sz w:val="18"/>
          <w:szCs w:val="18"/>
          <w:color w:val="auto"/>
        </w:rPr>
        <w:t>.</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L Brands, Inc. was re-incorporated as The Limited, Inc. under the laws of Delaware in 1982 and changed its name to L Brands, Inc. in March 2013. Our principal executive offices are located at Three Limited Parkway, Columbus, Ohio 43230. Our Investor Relations telephone number is 614-415-6400, option #1. Internet users can obtain information about L Brands at www.lb.com. However, the information on our website, the Victoria’s Secret website and the Bath &amp; Body Works website is not a part of this prospectus.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GUARANTORS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L Brands, Inc. is a holding company and its most significant assets are the stock of its subsidiaries. The guarantors of the debt securities offered hereunder may include the following companies, each of which is a direct or indirect subsidiary of L Brands, Inc.:</w:t>
      </w:r>
    </w:p>
    <w:p>
      <w:pPr>
        <w:spacing w:after="0" w:line="170" w:lineRule="exact"/>
        <w:rPr>
          <w:sz w:val="20"/>
          <w:szCs w:val="20"/>
          <w:color w:val="auto"/>
        </w:rPr>
      </w:pPr>
    </w:p>
    <w:p>
      <w:pPr>
        <w:ind w:left="700" w:hanging="341"/>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Bath &amp; Body Works Brand Management, Inc.</w:t>
      </w:r>
    </w:p>
    <w:p>
      <w:pPr>
        <w:spacing w:after="0" w:line="252" w:lineRule="exact"/>
        <w:rPr>
          <w:rFonts w:ascii="Arial" w:cs="Arial" w:eastAsia="Arial" w:hAnsi="Arial"/>
          <w:sz w:val="18"/>
          <w:szCs w:val="18"/>
          <w:color w:val="auto"/>
        </w:rPr>
      </w:pPr>
    </w:p>
    <w:p>
      <w:pPr>
        <w:ind w:left="700" w:hanging="341"/>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Bath &amp; Body Works Direct, Inc.</w:t>
      </w: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9" w:name="page10"/>
    <w:bookmarkEnd w:id="9"/>
    <w:p>
      <w:pPr>
        <w:ind w:left="700" w:hanging="341"/>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Bath &amp; Body Works, LLC</w:t>
      </w:r>
    </w:p>
    <w:p>
      <w:pPr>
        <w:spacing w:after="0" w:line="252" w:lineRule="exact"/>
        <w:rPr>
          <w:rFonts w:ascii="Arial" w:cs="Arial" w:eastAsia="Arial" w:hAnsi="Arial"/>
          <w:sz w:val="18"/>
          <w:szCs w:val="18"/>
          <w:color w:val="auto"/>
        </w:rPr>
      </w:pPr>
    </w:p>
    <w:p>
      <w:pPr>
        <w:ind w:left="700" w:hanging="341"/>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beautyAvenues, LLC</w:t>
      </w:r>
    </w:p>
    <w:p>
      <w:pPr>
        <w:spacing w:after="0" w:line="252" w:lineRule="exact"/>
        <w:rPr>
          <w:rFonts w:ascii="Arial" w:cs="Arial" w:eastAsia="Arial" w:hAnsi="Arial"/>
          <w:sz w:val="18"/>
          <w:szCs w:val="18"/>
          <w:color w:val="auto"/>
        </w:rPr>
      </w:pPr>
    </w:p>
    <w:p>
      <w:pPr>
        <w:ind w:left="700" w:hanging="341"/>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Intimate Brands, Inc.</w:t>
      </w:r>
    </w:p>
    <w:p>
      <w:pPr>
        <w:spacing w:after="0" w:line="252" w:lineRule="exact"/>
        <w:rPr>
          <w:rFonts w:ascii="Arial" w:cs="Arial" w:eastAsia="Arial" w:hAnsi="Arial"/>
          <w:sz w:val="18"/>
          <w:szCs w:val="18"/>
          <w:color w:val="auto"/>
        </w:rPr>
      </w:pPr>
    </w:p>
    <w:p>
      <w:pPr>
        <w:ind w:left="700" w:hanging="341"/>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Intimate Brands Holding, LLC</w:t>
      </w:r>
    </w:p>
    <w:p>
      <w:pPr>
        <w:spacing w:after="0" w:line="252" w:lineRule="exact"/>
        <w:rPr>
          <w:rFonts w:ascii="Arial" w:cs="Arial" w:eastAsia="Arial" w:hAnsi="Arial"/>
          <w:sz w:val="18"/>
          <w:szCs w:val="18"/>
          <w:color w:val="auto"/>
        </w:rPr>
      </w:pPr>
    </w:p>
    <w:p>
      <w:pPr>
        <w:ind w:left="700" w:hanging="341"/>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 Brands Direct Fulfillment, Inc.</w:t>
      </w:r>
    </w:p>
    <w:p>
      <w:pPr>
        <w:spacing w:after="0" w:line="252" w:lineRule="exact"/>
        <w:rPr>
          <w:rFonts w:ascii="Arial" w:cs="Arial" w:eastAsia="Arial" w:hAnsi="Arial"/>
          <w:sz w:val="18"/>
          <w:szCs w:val="18"/>
          <w:color w:val="auto"/>
        </w:rPr>
      </w:pPr>
    </w:p>
    <w:p>
      <w:pPr>
        <w:ind w:left="700" w:hanging="341"/>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 Brands Service Company, LLC</w:t>
      </w:r>
    </w:p>
    <w:p>
      <w:pPr>
        <w:spacing w:after="0" w:line="252" w:lineRule="exact"/>
        <w:rPr>
          <w:rFonts w:ascii="Arial" w:cs="Arial" w:eastAsia="Arial" w:hAnsi="Arial"/>
          <w:sz w:val="18"/>
          <w:szCs w:val="18"/>
          <w:color w:val="auto"/>
        </w:rPr>
      </w:pPr>
    </w:p>
    <w:p>
      <w:pPr>
        <w:ind w:left="700" w:hanging="341"/>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 Brands Store Design &amp; Construction, Inc.</w:t>
      </w:r>
    </w:p>
    <w:p>
      <w:pPr>
        <w:spacing w:after="0" w:line="252" w:lineRule="exact"/>
        <w:rPr>
          <w:rFonts w:ascii="Arial" w:cs="Arial" w:eastAsia="Arial" w:hAnsi="Arial"/>
          <w:sz w:val="18"/>
          <w:szCs w:val="18"/>
          <w:color w:val="auto"/>
        </w:rPr>
      </w:pPr>
    </w:p>
    <w:p>
      <w:pPr>
        <w:ind w:left="700" w:hanging="341"/>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 Senza, Inc.</w:t>
      </w:r>
    </w:p>
    <w:p>
      <w:pPr>
        <w:spacing w:after="0" w:line="252" w:lineRule="exact"/>
        <w:rPr>
          <w:rFonts w:ascii="Arial" w:cs="Arial" w:eastAsia="Arial" w:hAnsi="Arial"/>
          <w:sz w:val="18"/>
          <w:szCs w:val="18"/>
          <w:color w:val="auto"/>
        </w:rPr>
      </w:pPr>
    </w:p>
    <w:p>
      <w:pPr>
        <w:ind w:left="700" w:hanging="341"/>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Mast Industries, Inc.</w:t>
      </w:r>
    </w:p>
    <w:p>
      <w:pPr>
        <w:spacing w:after="0" w:line="252" w:lineRule="exact"/>
        <w:rPr>
          <w:rFonts w:ascii="Arial" w:cs="Arial" w:eastAsia="Arial" w:hAnsi="Arial"/>
          <w:sz w:val="18"/>
          <w:szCs w:val="18"/>
          <w:color w:val="auto"/>
        </w:rPr>
      </w:pPr>
    </w:p>
    <w:p>
      <w:pPr>
        <w:ind w:left="700" w:hanging="341"/>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Victoria’s Secret Direct Brand Management, LLC</w:t>
      </w:r>
    </w:p>
    <w:p>
      <w:pPr>
        <w:spacing w:after="0" w:line="252" w:lineRule="exact"/>
        <w:rPr>
          <w:rFonts w:ascii="Arial" w:cs="Arial" w:eastAsia="Arial" w:hAnsi="Arial"/>
          <w:sz w:val="18"/>
          <w:szCs w:val="18"/>
          <w:color w:val="auto"/>
        </w:rPr>
      </w:pPr>
    </w:p>
    <w:p>
      <w:pPr>
        <w:ind w:left="700" w:hanging="341"/>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Victoria’s Secret Stores Brand Management, Inc.</w:t>
      </w:r>
    </w:p>
    <w:p>
      <w:pPr>
        <w:spacing w:after="0" w:line="252" w:lineRule="exact"/>
        <w:rPr>
          <w:rFonts w:ascii="Arial" w:cs="Arial" w:eastAsia="Arial" w:hAnsi="Arial"/>
          <w:sz w:val="18"/>
          <w:szCs w:val="18"/>
          <w:color w:val="auto"/>
        </w:rPr>
      </w:pPr>
    </w:p>
    <w:p>
      <w:pPr>
        <w:ind w:left="700" w:hanging="341"/>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Victoria’s Secret Stores, LLC</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Investing in our securities may involve risks. You should carefully consider the specific factors discussed under the caption “Risk Factors” in the applicable prospectus supplement, together with all the other information contained in the prospectus supplement or appearing or incorporated by reference into this prospectus. You should also consider the risks, uncertainties and assumptions discussed under the caption “Risk Factors” beginning of page 6 of our Annual Report on Form 10-K filed for the year ended February 3, 2018, which is incorporated by reference into this prospectus, as updated by annual, quarterly and other reports and documents we file with the SEC after the date of this prospectus and that are incorporated by reference herein or in the applicable prospectus supplement.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Except as otherwise set forth in a prospectus supplement, we intend to use the net proceeds from the sale of the securities offered hereunder for general corporate purposes, which could include capital expenditures, dividends and share repurchases.</w:t>
      </w:r>
    </w:p>
    <w:p>
      <w:pPr>
        <w:spacing w:after="0" w:line="200" w:lineRule="exact"/>
        <w:rPr>
          <w:sz w:val="20"/>
          <w:szCs w:val="20"/>
          <w:color w:val="auto"/>
        </w:rPr>
      </w:pPr>
    </w:p>
    <w:p>
      <w:pPr>
        <w:spacing w:after="0" w:line="2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The following description of the terms of our capital stock is not meant to be complete and is qualified by reference to our restated certificate of incorporation (“certificate of incorporation”) and our amended and restated bylaws (“bylaws”), copies of which have been filed with the SEC and are incorporated herein by reference, and applicable provisions of law. See “Where You Can Find More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Under our certificate of incorporation, our authorized capital stock consists of 1,000,000,000 shares of common stock with $0.50 par value and 10,000,000 shares of preferred stock with $1.00 par value. Neither class of capital stock has preemptive or preferential rights of subscription for any shares of our common stock or other securities.</w:t>
      </w:r>
    </w:p>
    <w:p>
      <w:pPr>
        <w:spacing w:after="0" w:line="18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On January 5, 2019, there were approximately 275 million outstanding shares of our common stock and no outstanding shares of our preferred stock. On January 5, 2019, there were employee stock options and restricted stock awards outstanding to issue approximately 13 million shares of our common stock.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outstanding shares of common stock are, and any shares of common stock issued will be, duly authorized, validly issued, fully paid and nonassessable. There are no restrictions on the alienability of shares of our common stock, and there are no</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sinking fund provisions for the redemption or purchase of shares of our common stock. The rights of holders of shares of our common stock may be modified by the rights of holders of preferred stock, amendments to our certificate of incorporation and Delaware corporate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New York Stock Exchange under the symbol “LB.”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Each holder of common stock is entitled to one vote for each share of common stock held of record on the applicable record date on all matters submitted to a vote of stockholders. Holders of common stock do not have cumulative voting rights.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Subject to the rights of any shares of preferred stock which may at the time be outstanding, holders of common stock are entitled to receive dividends as may be declared from time to time by our Board of Directors out of funds legally available therefor.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upon Liquidation or Dissolution</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the event of liquidation or dissolution, each share of common stock is entitled to share pro rata in any distribution of our assets after payment or providing for the payment of liabilities and the liquidation preference of any outstanding preferred stock. Holders of our common stock have no preferential, preemptive, conversion or redemption rights.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Serial Preferred Stock</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Under our certificate of incorporation, without further stockholder action, our Board of Directors is authorized to provide for the issuance of up to 10,000,000 shares of preferred stock without any further approval</w:t>
      </w:r>
    </w:p>
    <w:p>
      <w:pPr>
        <w:spacing w:after="0" w:line="200" w:lineRule="exact"/>
        <w:rPr>
          <w:sz w:val="20"/>
          <w:szCs w:val="20"/>
          <w:color w:val="auto"/>
        </w:rPr>
      </w:pP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1" w:name="page12"/>
    <w:bookmarkEnd w:id="11"/>
    <w:p>
      <w:pPr>
        <w:ind w:right="160"/>
        <w:spacing w:after="0" w:line="259" w:lineRule="auto"/>
        <w:rPr>
          <w:sz w:val="20"/>
          <w:szCs w:val="20"/>
          <w:color w:val="auto"/>
        </w:rPr>
      </w:pPr>
      <w:r>
        <w:rPr>
          <w:rFonts w:ascii="Arial" w:cs="Arial" w:eastAsia="Arial" w:hAnsi="Arial"/>
          <w:sz w:val="18"/>
          <w:szCs w:val="18"/>
          <w:color w:val="auto"/>
        </w:rPr>
        <w:t>from our shareholders. Preferred stock may be issued in one or more series, with such designations of titles, number of shares to comprise each series, dividend rates, any redemption provisions, special or relative rights in the event of liquidation, dissolution, distribution or winding-up of L Brands, Inc., any sinking fund provisions, any conversion provisions, any voting rights and any other preferences, privileges, powers, rights, qualifications, limitations and restrictions as shall be set forth as and when established by our Board of Directors.</w:t>
      </w:r>
    </w:p>
    <w:p>
      <w:pPr>
        <w:spacing w:after="0" w:line="18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shares of any series of serial preferred stock will be, when issued, fully paid and nonassessable and the holders will have no preemptive rights in connection with the preferred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Blank Check Preferred Stock</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Under our certificate of incorporation, our Board of Directors has the authority, without stockholder approval, to create one or more classes or series within a class of preferred stock, to issue shares of preferred stock in such class or series up to the maximum number of shares of the relevant class or series of preferred stock authorized, and to determine the preferences, rights, privileges and restrictions of any such class or series, including the dividend rights, voting rights, the rights and terms of redemption, the rights and terms of conversion, liquidation preferences, the number of shares constituting any such class or series and the designation of such class or series. Acting under this authority, our Board of Directors could create and issue a class or series of preferred stock with rights, privileges or restrictions, and adopt a stockholder rights plan having the effect of, discriminating against an existing or prospective holder of securities as a result of such stockholder beneficially owning or commencing a tender offer for a substantial amount of our common stock. One of the effects of authorized but unissued and unreserved shares of capital stock may be to render more difficult or discourage an attempt by a potential acquirer to obtain control of L Brands, Inc. by means of a merger, tender offer, proxy contest or otherwise, and thereby protect the continuity of our management. The issuance of such shares of capital stock may have the effect of delaying, deferring or preventing a change in control of L Brands, Inc. without any further action by our stockholders. We have no present intention to adopt a stockholder rights plan, but could do so without stockholder approval at any future time.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Effects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w:t>
      </w:r>
    </w:p>
    <w:p>
      <w:pPr>
        <w:spacing w:after="0" w:line="22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Our certificate of incorporation provides that our Board of Directors are divided into three classes of directors, with the classes to be as nearly equal in number as possible. As a result, approximately one-third of our Board of Directors are elected each year. The holders of preferred stock may be granted the right to elect a specified number of directors without any vote of the holders of shares of our common stock. The classification of directors has the effect of making it more difficult for stockholders to change the composition of our Board of Directors. Our certificate of incorporation and bylaws provide that the number of directors will be fixed from time to time exclusively pursuant to a resolution adopted by a majority of the board but must consist of not less than six or more than fifteen directors.</w:t>
      </w:r>
    </w:p>
    <w:p>
      <w:pPr>
        <w:spacing w:after="0" w:line="19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Nominations for the election of directors may be made by the Board of Directors or by any shareholder entitled to vote for the election of directors. Any such nomination, if not made by the Board of Directors, must be made by notice in writing to our Secretary and must set forth (i) the name, age, business address and, if known, residence address of each nominee proposed in such notice, (ii) the principal occupation or employment of each nominee, and (iii) the number of shares of our stock that are beneficially owned by each such nominee. Such notice must be delivered or mailed by first class U.S. mail, postage prepaid, not less than 14 days nor more than 50 days prior to any meeting of the shareholders called for the election of directors unless less than 21 days’ notice of the meeting is given to shareholders, in which case the notice must be so delivered or mailed not later than the seventh day following the day on which notice of the meeting was mailed to shareholders.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Under the Delaware General Corporation Law (the “DGCL”), unless otherwise provided in our certificate of incorporation, directors serving on a classified board may be removed by the stockholders only for cause and</w:t>
      </w:r>
    </w:p>
    <w:p>
      <w:pPr>
        <w:spacing w:after="0" w:line="200" w:lineRule="exact"/>
        <w:rPr>
          <w:sz w:val="20"/>
          <w:szCs w:val="20"/>
          <w:color w:val="auto"/>
        </w:rPr>
      </w:pPr>
    </w:p>
    <w:p>
      <w:pPr>
        <w:spacing w:after="0" w:line="2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 w:name="page13"/>
    <w:bookmarkEnd w:id="12"/>
    <w:p>
      <w:pPr>
        <w:ind w:right="20"/>
        <w:spacing w:after="0" w:line="273" w:lineRule="auto"/>
        <w:rPr>
          <w:sz w:val="20"/>
          <w:szCs w:val="20"/>
          <w:color w:val="auto"/>
        </w:rPr>
      </w:pPr>
      <w:r>
        <w:rPr>
          <w:rFonts w:ascii="Arial" w:cs="Arial" w:eastAsia="Arial" w:hAnsi="Arial"/>
          <w:sz w:val="17"/>
          <w:szCs w:val="17"/>
          <w:color w:val="auto"/>
        </w:rPr>
        <w:t>only by the holders of a majority of the shares entitled to vote thereon, unless the certificate of incorporation provides otherwise. Subject to certain exceptions with respect to directors who may, in certain circumstances, be elected by holders of shares of preferred stock, voting as a class, our certificate of incorporation and bylaws provide that directors may be removed only (i) for cause, (ii) at an annual meeting or special meeting of shareholders called for that purpose and upon the affirmative vote of the holders of at least 75% of the votes of the outstanding shares of our common stock entitled to be cast in the election of directors. In addition, our certificate of incorporation provides that any vacancies on our Board of Directors will be filled only by the affirmative vote of a majority of the remaining directors, even if the number of directors voting would not constitute a quorum.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Supermajority Provisions</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DGCL provides that a certificate of incorporation may be amended by a majority of shares entitled to vote thereon, unless the certificate of incorporation otherwise provides or the amendment relates to a provision requiring a greater vote. generally that the affirmative vote of the holders of a majority of the outstanding shares of a company’s common stock entitled to vote is required to amend a company’s certificate of incorporation or bylaws, unless the certificate of incorporation requires a greater percentage. Our certificate of incorporation provides that the following provisions in the certificate of incorporation may be amended only by a vote of 75% or more of the votes of the outstanding shares of our common stock entitled to vote thereon:</w:t>
      </w:r>
    </w:p>
    <w:p>
      <w:pPr>
        <w:spacing w:after="0" w:line="158" w:lineRule="exact"/>
        <w:rPr>
          <w:sz w:val="20"/>
          <w:szCs w:val="20"/>
          <w:color w:val="auto"/>
        </w:rPr>
      </w:pPr>
    </w:p>
    <w:p>
      <w:pPr>
        <w:ind w:left="700" w:hanging="341"/>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amendment of bylaws by shareholders;</w:t>
      </w:r>
    </w:p>
    <w:p>
      <w:pPr>
        <w:spacing w:after="0" w:line="252" w:lineRule="exact"/>
        <w:rPr>
          <w:rFonts w:ascii="Arial" w:cs="Arial" w:eastAsia="Arial" w:hAnsi="Arial"/>
          <w:sz w:val="18"/>
          <w:szCs w:val="18"/>
          <w:color w:val="auto"/>
        </w:rPr>
      </w:pPr>
    </w:p>
    <w:p>
      <w:pPr>
        <w:ind w:left="700" w:hanging="341"/>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classified board;</w:t>
      </w:r>
    </w:p>
    <w:p>
      <w:pPr>
        <w:spacing w:after="0" w:line="252" w:lineRule="exact"/>
        <w:rPr>
          <w:rFonts w:ascii="Arial" w:cs="Arial" w:eastAsia="Arial" w:hAnsi="Arial"/>
          <w:sz w:val="18"/>
          <w:szCs w:val="18"/>
          <w:color w:val="auto"/>
        </w:rPr>
      </w:pPr>
    </w:p>
    <w:p>
      <w:pPr>
        <w:ind w:left="700" w:hanging="341"/>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requirement that shareholder action be taken at annual or special meetings;</w:t>
      </w:r>
    </w:p>
    <w:p>
      <w:pPr>
        <w:spacing w:after="0" w:line="252" w:lineRule="exact"/>
        <w:rPr>
          <w:rFonts w:ascii="Arial" w:cs="Arial" w:eastAsia="Arial" w:hAnsi="Arial"/>
          <w:sz w:val="18"/>
          <w:szCs w:val="18"/>
          <w:color w:val="auto"/>
        </w:rPr>
      </w:pPr>
    </w:p>
    <w:p>
      <w:pPr>
        <w:ind w:left="700" w:hanging="341"/>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requirement for a 75% vote in certain mergers and other corporate reorganizations and dissolution;</w:t>
      </w:r>
    </w:p>
    <w:p>
      <w:pPr>
        <w:spacing w:after="0" w:line="252" w:lineRule="exact"/>
        <w:rPr>
          <w:rFonts w:ascii="Arial" w:cs="Arial" w:eastAsia="Arial" w:hAnsi="Arial"/>
          <w:sz w:val="18"/>
          <w:szCs w:val="18"/>
          <w:color w:val="auto"/>
        </w:rPr>
      </w:pPr>
    </w:p>
    <w:p>
      <w:pPr>
        <w:ind w:left="700" w:hanging="341"/>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matters to be considered by the Board of Directors in evaluating certain offers by third parties; and</w:t>
      </w:r>
    </w:p>
    <w:p>
      <w:pPr>
        <w:spacing w:after="0" w:line="252" w:lineRule="exact"/>
        <w:rPr>
          <w:rFonts w:ascii="Arial" w:cs="Arial" w:eastAsia="Arial" w:hAnsi="Arial"/>
          <w:sz w:val="18"/>
          <w:szCs w:val="18"/>
          <w:color w:val="auto"/>
        </w:rPr>
      </w:pPr>
    </w:p>
    <w:p>
      <w:pPr>
        <w:ind w:left="700" w:hanging="341"/>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on removal of directors.</w:t>
      </w:r>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certificate of incorporation grants our Board of Directors the authority to amend our bylaws without a stockholder vote in any manner that is consistent with the laws of the State of Delaware and our certificate of incorporation.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Business Combinations and Transactions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certificate of incorporation provides that the affirmative vote of 75% or more of the outstanding shares of our common stock entitled to vote thereon is required for the approval of any proposal of certain business transactions with related corporations. A “related corporation” is any corporation that, along with its affiliates, singly or in the aggregate, directly or indirectly the beneficial owners of more than 5% of the outstanding shares of any class of stock entitled to vote in the election of directors (the “Voting Shares”).</w:t>
      </w:r>
    </w:p>
    <w:p>
      <w:pPr>
        <w:spacing w:after="0" w:line="18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This provision does not apply to a reorganization approved by the Board of Directors prior to acquisition of the beneficial ownership of 5% of the outstanding shares by the other corporation or its affiliates, nor would it apply to a reorganization with one of our subsidiaries having substantially identical charter provisions or a reorganization with a party (or an affiliate of a party) who is a 10% beneficial owner at the time of the merger.</w:t>
      </w:r>
    </w:p>
    <w:p>
      <w:pPr>
        <w:spacing w:after="0" w:line="166"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Our certificate of incorporation provides that certain business combinations with any entity that beneficially owns 20% or more of the Voting Shares (an “Interested Person”) will require for its approval the affirmative vote of 75% or more of the Voting Shares held by stockholders other than the Interested Person.</w:t>
      </w:r>
    </w:p>
    <w:p>
      <w:pPr>
        <w:spacing w:after="0" w:line="200" w:lineRule="exact"/>
        <w:rPr>
          <w:sz w:val="20"/>
          <w:szCs w:val="20"/>
          <w:color w:val="auto"/>
        </w:rPr>
      </w:pPr>
    </w:p>
    <w:p>
      <w:pPr>
        <w:spacing w:after="0" w:line="29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3" w:name="page14"/>
    <w:bookmarkEnd w:id="13"/>
    <w:p>
      <w:pPr>
        <w:ind w:right="320"/>
        <w:spacing w:after="0" w:line="302" w:lineRule="auto"/>
        <w:rPr>
          <w:sz w:val="20"/>
          <w:szCs w:val="20"/>
          <w:color w:val="auto"/>
        </w:rPr>
      </w:pPr>
      <w:r>
        <w:rPr>
          <w:rFonts w:ascii="Arial" w:cs="Arial" w:eastAsia="Arial" w:hAnsi="Arial"/>
          <w:sz w:val="16"/>
          <w:szCs w:val="16"/>
          <w:color w:val="auto"/>
        </w:rPr>
        <w:t>This provision does not apply if two-thirds of the disinterested directors approved either the business combination or the acquisition of the Voting Shares which caused the Interested Person to own 20% or more of the Voting Shares. This provision also does not apply to any business combination where two-thirds of the disinterested directors determine the consideration per share to be received by holders of the Voting Shares in connection with the business combination to be not less than the highest price per share paid by the Interested Person in acquiring the Voting Shares.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Business Combination Statute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Section 203 of the DGCL is applicable to us and restricts certain transactions and “business combinations” between a corporation and a 15% stockholder for a period of three years after the date of the transaction in which the stockholder acquires 15% or more of the company’s outstanding stock unless the business combination is approved in a prescribed manner. A “business combination” includes mergers, asset sales and other transactions resulting in a financial benefit to the interested stockholder.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Registrar and Transfer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register of holders of our shares of common stock is maintained by American Stock Transfer, who serves as registrar and transfer agent.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DEPOSITARY SHARES</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i w:val="1"/>
          <w:iCs w:val="1"/>
          <w:color w:val="auto"/>
        </w:rPr>
        <w:t>The following description, together with the additional information that we include in any applicable prospectus supplements, summarizes the material terms and provisions of a depositary agreement and the related depositary receipts that we may offer under this prospectus. While the terms we have summarized below will apply generally to any depositary agreement and the related depositary receipts that we may offer under this prospectus, we will describe the particular terms of any depositary agreement and the related depositary receipts in more detail in the applicable prospectus supplement. The terms of any depositary agreement and the related depositary receipts offered under a prospectus supplement may differ from the terms described below.</w:t>
      </w:r>
    </w:p>
    <w:p>
      <w:pPr>
        <w:spacing w:after="0" w:line="158"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We may, at our option, elect to offer fractional shares of preferred stock rather than full shares of preferred stock. If we exercise this option, we will issue to the public receipts for depositary shares, and each of these depositary shares will represent a fraction of a share of a particular series of preferred stock.</w:t>
      </w:r>
    </w:p>
    <w:p>
      <w:pPr>
        <w:spacing w:after="0" w:line="12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shares of any series of preferred stock underlying the depositary shares will be deposited under a depositary agreement between us and a bank or trust company selected by us. The depositary will have its principal office in the United States and a combined capital and surplus of at least $50,000,000. Subject to the terms of the depositary agreement, each owner of a depositary share will be entitled, in proportion to the applicable fraction of a share of preferred stock underlying the depositary share, to all of the rights and preferences of the preferred stock underlying that depositary share. Those rights may include dividend, voting, redemption, conversion and liquidation rights.</w:t>
      </w:r>
    </w:p>
    <w:p>
      <w:pPr>
        <w:spacing w:after="0" w:line="188"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depositary shares will be evidenced by depositary receipts issued under a depositary agreement. Depositary receipts will be distributed to those persons purchasing the fractional shares of preferred stock underlying the depositary shares, in accordance with the terms of the offering.</w:t>
      </w:r>
    </w:p>
    <w:p>
      <w:pPr>
        <w:spacing w:after="0" w:line="14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will describe the material terms of the depositary agreement, the depositary shares and the depositary receipts in a prospectus supplement relating to the depositary shares. You should also refer to the forms of the depositary agreement and related depositary receipts that will be filed with the SEC in connection with the offering of the specific depositary shares.</w:t>
      </w:r>
    </w:p>
    <w:p>
      <w:pPr>
        <w:spacing w:after="0" w:line="200" w:lineRule="exact"/>
        <w:rPr>
          <w:sz w:val="20"/>
          <w:szCs w:val="20"/>
          <w:color w:val="auto"/>
        </w:rPr>
      </w:pPr>
    </w:p>
    <w:p>
      <w:pPr>
        <w:spacing w:after="0" w:line="29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DESCRIPTION OF DEBT SECURITIES AND GUARANTEES OF DEBT SECURITIES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The following description, together with the additional information that we include in any applicable prospectus supplements, summarizes the material terms and provisions of the debt securities and any related guarantees that we may offer under this prospectus. While the terms we have summarized below will apply generally to any debt securities and related guarantees that we may offer under this prospectus, we will describe the particular terms of any debt securities and related guarantees in more detail in the applicable prospectus supplement. The terms of any debt securities and related guarantees offered under a prospectus supplement may differ from the terms described below.</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will issue senior debt securities under an indenture entered into between us and U.S. Bank National Association, as trustee (the “Senior Debt Indenture”). We will issue subordinated debt securities under an indenture to be entered into between us and U.S. Bank National Association, as trustee (the “Subordinated Debt Indenture”). Copies of each indenture are filed as exhibits to the registration statement to which this prospectus relates. The following summary of the indentures does not purpose to be complete and is subject to, and qualified in its entirety by reference to, the indentures. Numerical references in parentheses below are to sections in the indentures. Wherever we refer to particular sections of, or defined terms in, the indentures, we intend that these sections or defined terms shall be incorporated herein by reference.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debt securities will be unsecured general obligations of L Brands, Inc. and will constitute either senior or subordinated debt of L Brands, Inc. If so provided in a prospectus supplement or term sheet, the debt securities will have the benefit of the guarantees from the guarantors named therein. Our subsidiaries are separate and distinct legal entities and have no obligation, contingent or otherwise, to pay any amounts due pursuant to the debt securities or to make any funds available therefor, whether by dividends, loans or other payments, other than as expressly provided in the guarantees.</w:t>
      </w:r>
    </w:p>
    <w:p>
      <w:pPr>
        <w:spacing w:after="0" w:line="15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As a holding company, our principal source of funds is dividends and advances from subsidiaries. Our rights and the rights of our creditors, including the holders of debt securities, to participate in the assets of any subsidiary upon the subsidiary’s liquidation or reorganization would be subject to the prior claims of such subsidiary’s creditors, except to the extent that L Brands, Inc. may itself be a creditor with allowable claims against the subsidiary.</w:t>
      </w:r>
    </w:p>
    <w:p>
      <w:pPr>
        <w:spacing w:after="0" w:line="166"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Each indenture provides that debt securities may be issued from time to time in one or more series. We may authorize the issuance and provide for the terms of a series of debt securities pursuant to a supplemental indenture, officers’ certificate or resolution of our Board of Directors, any duly authorized committee of the Board of Directors or any committee of officers or other representatives of L Brands, Inc. duly authorized by the Board of Directors for this purpose.</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indenture provides L Brands, Inc. with the ability to “reopen” a previous issue of a series of debt securities and to issue additional debt securities of such series. The indentures do not limit or otherwise restrict the amount of indebtedness which may be issued in accordance with it or that may otherwise be issued by us or any of our subsidiaries. (Sections 301 and 1301)</w:t>
      </w:r>
    </w:p>
    <w:p>
      <w:pPr>
        <w:spacing w:after="0" w:line="18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indentures do not contain any covenants or provisions that would afford holders of debt securities protection in the event of a highly-leveraged transaction, reorganization, restructuring or similar transaction.</w:t>
      </w:r>
    </w:p>
    <w:p>
      <w:pPr>
        <w:spacing w:after="0" w:line="17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You should refer to the prospectus supplement relating to a particular series of debt securities for the terms of those debt securities, including, where applicable:</w:t>
      </w:r>
    </w:p>
    <w:p>
      <w:pPr>
        <w:spacing w:after="0" w:line="170" w:lineRule="exact"/>
        <w:rPr>
          <w:sz w:val="20"/>
          <w:szCs w:val="20"/>
          <w:color w:val="auto"/>
        </w:rPr>
      </w:pPr>
    </w:p>
    <w:p>
      <w:pPr>
        <w:ind w:left="700" w:hanging="341"/>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classification as senior or subordinated debt securities;</w:t>
      </w: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5" w:name="page16"/>
    <w:bookmarkEnd w:id="15"/>
    <w:p>
      <w:pPr>
        <w:ind w:left="341" w:hanging="341"/>
        <w:spacing w:after="0"/>
        <w:tabs>
          <w:tab w:leader="none" w:pos="341"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ranking of the specific series of debt securities relative to other outstanding indebtedness, including subsidiaries’ debt;</w:t>
      </w:r>
    </w:p>
    <w:p>
      <w:pPr>
        <w:spacing w:after="0" w:line="252" w:lineRule="exact"/>
        <w:rPr>
          <w:rFonts w:ascii="Arial" w:cs="Arial" w:eastAsia="Arial" w:hAnsi="Arial"/>
          <w:sz w:val="18"/>
          <w:szCs w:val="18"/>
          <w:color w:val="auto"/>
        </w:rPr>
      </w:pPr>
    </w:p>
    <w:p>
      <w:pPr>
        <w:ind w:left="341" w:right="480" w:hanging="341"/>
        <w:spacing w:after="0" w:line="277" w:lineRule="auto"/>
        <w:tabs>
          <w:tab w:leader="none" w:pos="341"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debt securities are subordinated, the aggregate amount of outstanding indebtedness, as of a recent date, that is senior to the subordinated securities, and any limitation on the issuance of additional senior indebtedness;</w:t>
      </w:r>
    </w:p>
    <w:p>
      <w:pPr>
        <w:spacing w:after="0" w:line="197" w:lineRule="exact"/>
        <w:rPr>
          <w:rFonts w:ascii="Arial" w:cs="Arial" w:eastAsia="Arial" w:hAnsi="Arial"/>
          <w:sz w:val="18"/>
          <w:szCs w:val="18"/>
          <w:color w:val="auto"/>
        </w:rPr>
      </w:pPr>
    </w:p>
    <w:p>
      <w:pPr>
        <w:ind w:left="341" w:hanging="341"/>
        <w:spacing w:after="0"/>
        <w:tabs>
          <w:tab w:leader="none" w:pos="34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designation, aggregate principal amount and denominations of the debt securities;</w:t>
      </w:r>
    </w:p>
    <w:p>
      <w:pPr>
        <w:spacing w:after="0" w:line="252" w:lineRule="exact"/>
        <w:rPr>
          <w:rFonts w:ascii="Arial" w:cs="Arial" w:eastAsia="Arial" w:hAnsi="Arial"/>
          <w:sz w:val="18"/>
          <w:szCs w:val="18"/>
          <w:color w:val="auto"/>
        </w:rPr>
      </w:pPr>
    </w:p>
    <w:p>
      <w:pPr>
        <w:ind w:left="341" w:hanging="341"/>
        <w:spacing w:after="0"/>
        <w:tabs>
          <w:tab w:leader="none" w:pos="341"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price (expressed as a percentage of the aggregate principal amount of the debt securities) at which the debt securities will be issued;</w:t>
      </w:r>
    </w:p>
    <w:p>
      <w:pPr>
        <w:spacing w:after="0" w:line="263" w:lineRule="exact"/>
        <w:rPr>
          <w:rFonts w:ascii="Arial" w:cs="Arial" w:eastAsia="Arial" w:hAnsi="Arial"/>
          <w:sz w:val="17"/>
          <w:szCs w:val="17"/>
          <w:color w:val="auto"/>
        </w:rPr>
      </w:pPr>
    </w:p>
    <w:p>
      <w:pPr>
        <w:ind w:left="341" w:hanging="341"/>
        <w:spacing w:after="0"/>
        <w:tabs>
          <w:tab w:leader="none" w:pos="34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date or dates of maturity;</w:t>
      </w:r>
    </w:p>
    <w:p>
      <w:pPr>
        <w:spacing w:after="0" w:line="252" w:lineRule="exact"/>
        <w:rPr>
          <w:rFonts w:ascii="Arial" w:cs="Arial" w:eastAsia="Arial" w:hAnsi="Arial"/>
          <w:sz w:val="18"/>
          <w:szCs w:val="18"/>
          <w:color w:val="auto"/>
        </w:rPr>
      </w:pPr>
    </w:p>
    <w:p>
      <w:pPr>
        <w:ind w:left="341" w:hanging="341"/>
        <w:spacing w:after="0" w:line="264" w:lineRule="auto"/>
        <w:tabs>
          <w:tab w:leader="none" w:pos="34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currency or currencies in which the relevant debt securities are being sold and in which the principal of, premium if any, or interest on these debt securities will be payable and, if the holders of any of these debt securities may elect the currency in which payments according to such debt securities are to be made, the manner of the election;</w:t>
      </w:r>
    </w:p>
    <w:p>
      <w:pPr>
        <w:spacing w:after="0" w:line="208" w:lineRule="exact"/>
        <w:rPr>
          <w:rFonts w:ascii="Arial" w:cs="Arial" w:eastAsia="Arial" w:hAnsi="Arial"/>
          <w:sz w:val="18"/>
          <w:szCs w:val="18"/>
          <w:color w:val="auto"/>
        </w:rPr>
      </w:pPr>
    </w:p>
    <w:p>
      <w:pPr>
        <w:ind w:left="341" w:hanging="341"/>
        <w:spacing w:after="0"/>
        <w:tabs>
          <w:tab w:leader="none" w:pos="34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annual rate or rates (which may be fixed, variable or zero) at which the relevant debt securities will bear interest;</w:t>
      </w:r>
    </w:p>
    <w:p>
      <w:pPr>
        <w:spacing w:after="0" w:line="252" w:lineRule="exact"/>
        <w:rPr>
          <w:rFonts w:ascii="Arial" w:cs="Arial" w:eastAsia="Arial" w:hAnsi="Arial"/>
          <w:sz w:val="18"/>
          <w:szCs w:val="18"/>
          <w:color w:val="auto"/>
        </w:rPr>
      </w:pPr>
    </w:p>
    <w:p>
      <w:pPr>
        <w:ind w:left="341" w:right="280" w:hanging="341"/>
        <w:spacing w:after="0" w:line="277" w:lineRule="auto"/>
        <w:tabs>
          <w:tab w:leader="none" w:pos="34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date from which the interest on the relevant debt securities will accrue, the dates on which this interest will be payable and the date on which payment of this interest will commence;</w:t>
      </w:r>
    </w:p>
    <w:p>
      <w:pPr>
        <w:spacing w:after="0" w:line="197" w:lineRule="exact"/>
        <w:rPr>
          <w:rFonts w:ascii="Arial" w:cs="Arial" w:eastAsia="Arial" w:hAnsi="Arial"/>
          <w:sz w:val="18"/>
          <w:szCs w:val="18"/>
          <w:color w:val="auto"/>
        </w:rPr>
      </w:pPr>
    </w:p>
    <w:p>
      <w:pPr>
        <w:jc w:val="both"/>
        <w:ind w:left="341" w:right="120" w:hanging="341"/>
        <w:spacing w:after="0" w:line="286" w:lineRule="auto"/>
        <w:tabs>
          <w:tab w:leader="none" w:pos="341" w:val="left"/>
        </w:tabs>
        <w:numPr>
          <w:ilvl w:val="0"/>
          <w:numId w:val="11"/>
        </w:numPr>
        <w:rPr>
          <w:rFonts w:ascii="Arial" w:cs="Arial" w:eastAsia="Arial" w:hAnsi="Arial"/>
          <w:sz w:val="17"/>
          <w:szCs w:val="17"/>
          <w:color w:val="auto"/>
        </w:rPr>
      </w:pPr>
      <w:r>
        <w:rPr>
          <w:rFonts w:ascii="Arial" w:cs="Arial" w:eastAsia="Arial" w:hAnsi="Arial"/>
          <w:sz w:val="17"/>
          <w:szCs w:val="17"/>
          <w:color w:val="auto"/>
        </w:rPr>
        <w:t>provisions relating to the deferral of interest payments or extension of interest payments on the subordinated debt securities, including the duration of any such deferral or extension period and the maximum period during which interest payments may be deferred or extended and any provisions relating to the obligations of the Company or limitations on claims of holders with respect to deferred interest;</w:t>
      </w:r>
    </w:p>
    <w:p>
      <w:pPr>
        <w:spacing w:after="0" w:line="192" w:lineRule="exact"/>
        <w:rPr>
          <w:rFonts w:ascii="Arial" w:cs="Arial" w:eastAsia="Arial" w:hAnsi="Arial"/>
          <w:sz w:val="17"/>
          <w:szCs w:val="17"/>
          <w:color w:val="auto"/>
        </w:rPr>
      </w:pPr>
    </w:p>
    <w:p>
      <w:pPr>
        <w:ind w:left="341" w:right="280" w:hanging="341"/>
        <w:spacing w:after="0" w:line="342" w:lineRule="auto"/>
        <w:tabs>
          <w:tab w:leader="none" w:pos="341"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the amount of payments of principal and premium, if any, or any interest may be determined with reference to an index based on a currency or currencies other than that in which the debt securities are stated to be payable, the manner in which these amounts shall be determined;</w:t>
      </w:r>
    </w:p>
    <w:p>
      <w:pPr>
        <w:spacing w:after="0" w:line="150" w:lineRule="exact"/>
        <w:rPr>
          <w:rFonts w:ascii="Arial" w:cs="Arial" w:eastAsia="Arial" w:hAnsi="Arial"/>
          <w:sz w:val="16"/>
          <w:szCs w:val="16"/>
          <w:color w:val="auto"/>
        </w:rPr>
      </w:pPr>
    </w:p>
    <w:p>
      <w:pPr>
        <w:ind w:left="341" w:right="160" w:hanging="341"/>
        <w:spacing w:after="0" w:line="264" w:lineRule="auto"/>
        <w:tabs>
          <w:tab w:leader="none" w:pos="341"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amount of payments of principal and premium, if any, or any interest may be determined with reference to an index based on the prices of securities or commodities, with reference to changes in the prices of particular securities or commodities or otherwise by application of a formula, the manner in which this amount shall be determined;</w:t>
      </w:r>
    </w:p>
    <w:p>
      <w:pPr>
        <w:spacing w:after="0" w:line="208" w:lineRule="exact"/>
        <w:rPr>
          <w:rFonts w:ascii="Arial" w:cs="Arial" w:eastAsia="Arial" w:hAnsi="Arial"/>
          <w:sz w:val="18"/>
          <w:szCs w:val="18"/>
          <w:color w:val="auto"/>
        </w:rPr>
      </w:pPr>
    </w:p>
    <w:p>
      <w:pPr>
        <w:ind w:left="341" w:right="280" w:hanging="341"/>
        <w:spacing w:after="0" w:line="264" w:lineRule="auto"/>
        <w:tabs>
          <w:tab w:leader="none" w:pos="34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dates on which and the price or prices at which the relevant debt securities will, pursuant to any mandatory sinking fund provision, or may, pursuant to any optional redemption or required repayment provisions, be redeemed or repaid and the other terms and provisions of any optional redemption or required repayment;</w:t>
      </w:r>
    </w:p>
    <w:p>
      <w:pPr>
        <w:spacing w:after="0" w:line="208" w:lineRule="exact"/>
        <w:rPr>
          <w:rFonts w:ascii="Arial" w:cs="Arial" w:eastAsia="Arial" w:hAnsi="Arial"/>
          <w:sz w:val="18"/>
          <w:szCs w:val="18"/>
          <w:color w:val="auto"/>
        </w:rPr>
      </w:pPr>
    </w:p>
    <w:p>
      <w:pPr>
        <w:ind w:left="341" w:right="320" w:hanging="341"/>
        <w:spacing w:after="0" w:line="277" w:lineRule="auto"/>
        <w:tabs>
          <w:tab w:leader="none" w:pos="341"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such debt securities are to be issued in the form of one or more global securities and, if so, the identity of the depositary for such global security or securities;</w:t>
      </w:r>
    </w:p>
    <w:p>
      <w:pPr>
        <w:spacing w:after="0" w:line="197" w:lineRule="exact"/>
        <w:rPr>
          <w:rFonts w:ascii="Arial" w:cs="Arial" w:eastAsia="Arial" w:hAnsi="Arial"/>
          <w:sz w:val="18"/>
          <w:szCs w:val="18"/>
          <w:color w:val="auto"/>
        </w:rPr>
      </w:pPr>
    </w:p>
    <w:p>
      <w:pPr>
        <w:ind w:left="341" w:right="140" w:hanging="341"/>
        <w:spacing w:after="0" w:line="259" w:lineRule="auto"/>
        <w:tabs>
          <w:tab w:leader="none" w:pos="341"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subordinated debt securities will be convertible or exchangeable into shares of common stock or preferred stock, or any of our other capital stock, or any capital stock of any other issuer, cash, or any other property, or any combination of the foregoing, the terms on which such subordinated debt securities are convertible and any requirements relating to the reservation of such shares of common stock or preferred stock for purposes of conversion;</w:t>
      </w:r>
    </w:p>
    <w:p>
      <w:pPr>
        <w:spacing w:after="0" w:line="213" w:lineRule="exact"/>
        <w:rPr>
          <w:rFonts w:ascii="Arial" w:cs="Arial" w:eastAsia="Arial" w:hAnsi="Arial"/>
          <w:sz w:val="18"/>
          <w:szCs w:val="18"/>
          <w:color w:val="auto"/>
        </w:rPr>
      </w:pPr>
    </w:p>
    <w:p>
      <w:pPr>
        <w:ind w:left="341" w:hanging="341"/>
        <w:spacing w:after="0"/>
        <w:tabs>
          <w:tab w:leader="none" w:pos="341"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listing of debt securities on any securities exchange;</w:t>
      </w:r>
    </w:p>
    <w:p>
      <w:pPr>
        <w:spacing w:after="0" w:line="252" w:lineRule="exact"/>
        <w:rPr>
          <w:rFonts w:ascii="Arial" w:cs="Arial" w:eastAsia="Arial" w:hAnsi="Arial"/>
          <w:sz w:val="18"/>
          <w:szCs w:val="18"/>
          <w:color w:val="auto"/>
        </w:rPr>
      </w:pPr>
    </w:p>
    <w:p>
      <w:pPr>
        <w:ind w:left="341" w:hanging="341"/>
        <w:spacing w:after="0" w:line="277" w:lineRule="auto"/>
        <w:tabs>
          <w:tab w:leader="none" w:pos="341"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and the extent that debt securities shall be guaranteed by the guarantors, the ranking of any such guarantee, the terms of such subordination, if applicable, of any such guarantee and the form of any such guarantee;</w:t>
      </w:r>
    </w:p>
    <w:p>
      <w:pPr>
        <w:spacing w:after="0" w:line="271" w:lineRule="exact"/>
        <w:rPr>
          <w:sz w:val="20"/>
          <w:szCs w:val="20"/>
          <w:color w:val="auto"/>
        </w:rPr>
      </w:pPr>
    </w:p>
    <w:p>
      <w:pPr>
        <w:jc w:val="center"/>
        <w:ind w:right="35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7620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1"/>
          </w:cols>
          <w:pgMar w:left="599" w:top="584" w:right="279" w:bottom="1440" w:gutter="0" w:footer="0" w:header="0"/>
        </w:sectPr>
      </w:pPr>
    </w:p>
    <w:bookmarkStart w:id="16" w:name="page17"/>
    <w:bookmarkEnd w:id="16"/>
    <w:p>
      <w:pPr>
        <w:ind w:left="700" w:hanging="341"/>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terms of any debt warrants offered together with the relevant debt securities; and</w:t>
      </w:r>
    </w:p>
    <w:p>
      <w:pPr>
        <w:spacing w:after="0" w:line="252" w:lineRule="exact"/>
        <w:rPr>
          <w:rFonts w:ascii="Arial" w:cs="Arial" w:eastAsia="Arial" w:hAnsi="Arial"/>
          <w:sz w:val="18"/>
          <w:szCs w:val="18"/>
          <w:color w:val="auto"/>
        </w:rPr>
      </w:pPr>
    </w:p>
    <w:p>
      <w:pPr>
        <w:ind w:left="700" w:hanging="341"/>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other specific terms of or matters relating to the relevant debt securities.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debt securities will be issuable only in fully registered form without coupons or in the form of one or more global securities, as described below under “Global Securities.” Unless the prospectus supplement specifies otherwise, debt securities denominated in U.S. dollars will be issued only in denominations of U.S. $1,000 and any integral multiple of this amount. The prospectus supplement relating to debt securities denominated in a foreign or composite currency will specify the authorized denominations. (Sections 301 and 302)</w:t>
      </w:r>
    </w:p>
    <w:p>
      <w:pPr>
        <w:spacing w:after="0" w:line="18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Holders of debt securities (other than global securities) may present them for transfer (with the form of transfer endorsed thereon duly executed) or exchange for other debt securities of the same series at the office of any transfer agent or such other agency as may be designated by L Brands, Inc. without service charge and upon payment of any taxes and other governmental charges as described in the indenture. (Section 305)</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debt securities of a series may be issued in the form of one or more fully registered global securities that will be deposited with, or on behalf of, a depositary identified in the prospectus supplement relating to such series. In such case, one or more global securities will be issued in a denomination or aggregate denominations equal to the aggregate principal amount of outstanding debt securities of the series represented by such global security or securities. Unless and until it is exchanged in whole or in part for debt securities in definitive registered form, a global security may not be transferred except as a whole by a depositary for such global security to a nominee of such depositary or by a nominee of such depositary to such depositary or another nominee of such depositary or by such depositary or any such nominee to a successor of such depositary or a nominee of such successor. (Section 303) The specific terms of the depositary arrangement with respect to a series of debt securities will be described in the prospectus supplement relating to such series.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Liens under the Senior Debt Indenture</w:t>
      </w:r>
    </w:p>
    <w:p>
      <w:pPr>
        <w:spacing w:after="0" w:line="22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We have agreed under the Senior Debt Indenture that we will not, and will not permit any subsidiary (as defined below) to, incur, issue, assume or guarantee any indebtedness for money borrowed if such indebtedness is secured by a pledge of, lien on or security interest in any shares of voting stock (as defined below) of any significant subsidiary (as defined below), whether such voting stock is now owned or is hereafter acquired, without providing that each series of senior debt securities issued under such indenture (together with, if we shall so determine, any other indebtedness or obligations of L Brands, Inc. or any subsidiary ranking equally with such senior debt securities and then existing or thereafter created) shall be secured equally and ratably with such indebtedness. The foregoing limitation shall not apply to indebtedness secured by a pledge of, lien on or security interest in any shares of voting stock of any corporation at the time it becomes a significant subsidiary. (Section 504)</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term “subsidiary” means any corporation of which securities entitled to elect at least a majority of the corporation’s directors shall at the time be owned, directly or indirectly, by us or one or more other subsidiaries, or by us and one or more other subsidiaries. (Section 101)</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term “significant subsidiary” means a subsidiary (treated for purposes of this definition on a consolidated basis together with its subsidiaries) which meets any of the following conditions:</w:t>
      </w:r>
    </w:p>
    <w:p>
      <w:pPr>
        <w:spacing w:after="0" w:line="170" w:lineRule="exact"/>
        <w:rPr>
          <w:sz w:val="20"/>
          <w:szCs w:val="20"/>
          <w:color w:val="auto"/>
        </w:rPr>
      </w:pPr>
    </w:p>
    <w:p>
      <w:pPr>
        <w:ind w:left="700" w:right="120" w:hanging="341"/>
        <w:spacing w:after="0" w:line="277"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and our other subsidiaries’ investments in, and advances to, the subsidiary exceed 10% of the consolidated total assets as of the end of the most recently completed fiscal year;</w:t>
      </w:r>
    </w:p>
    <w:p>
      <w:pPr>
        <w:spacing w:after="0" w:line="197" w:lineRule="exact"/>
        <w:rPr>
          <w:rFonts w:ascii="Arial" w:cs="Arial" w:eastAsia="Arial" w:hAnsi="Arial"/>
          <w:sz w:val="18"/>
          <w:szCs w:val="18"/>
          <w:color w:val="auto"/>
        </w:rPr>
      </w:pPr>
    </w:p>
    <w:p>
      <w:pPr>
        <w:ind w:left="700" w:right="640" w:hanging="341"/>
        <w:spacing w:after="0" w:line="277"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and our other subsidiaries’ proportionate share of the total assets (after intercompany eliminations) of the subsidiary exceeds 10% of the consolidated total assets as of the end of the most recently completed fiscal year; or</w:t>
      </w:r>
    </w:p>
    <w:p>
      <w:pPr>
        <w:spacing w:after="0" w:line="27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 w:name="page18"/>
    <w:bookmarkEnd w:id="17"/>
    <w:p>
      <w:pPr>
        <w:ind w:left="700" w:right="80" w:hanging="341"/>
        <w:spacing w:after="0" w:line="264"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and our other subsidiaries’ equity in the income from continuing operations before income taxes, extraordinary items and cumulative effect of a change in accounting principles of the subsidiary exceeds 10% of such consolidated income for the most recently completed fiscal year. (Section 504)</w:t>
      </w:r>
    </w:p>
    <w:p>
      <w:pPr>
        <w:spacing w:after="0" w:line="20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 xml:space="preserve">The term “voting stock” means capital stock the holders of which have general voting power under ordinary circumstances to elect at least a majority of the board of directors of a corporation;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capital stock that carries only a conditional right to vote upon the occurrence of an event shall not be considered voting stock, whether or not such event shall have occurred. (Section 504)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Consolidations, Mergers and Sales of Assets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have agreed under each indenture not to consolidate with or merge into another corporation, or sell other than for cash or lease all or substantially all our assets to another corporation, unless:</w:t>
      </w:r>
    </w:p>
    <w:p>
      <w:pPr>
        <w:spacing w:after="0" w:line="170" w:lineRule="exact"/>
        <w:rPr>
          <w:sz w:val="20"/>
          <w:szCs w:val="20"/>
          <w:color w:val="auto"/>
        </w:rPr>
      </w:pPr>
    </w:p>
    <w:p>
      <w:pPr>
        <w:ind w:left="700" w:right="260" w:hanging="341"/>
        <w:spacing w:after="0" w:line="308" w:lineRule="auto"/>
        <w:tabs>
          <w:tab w:leader="none" w:pos="7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either L Brands, Inc. is the continuing corporation or the successor corporation (if other than L Brands, Inc.) expressly assumes the obligations of the debt securities (in which case, except in the case of such a lease, we will be discharged from such obligations); and</w:t>
      </w:r>
    </w:p>
    <w:p>
      <w:pPr>
        <w:spacing w:after="0" w:line="173" w:lineRule="exact"/>
        <w:rPr>
          <w:rFonts w:ascii="Arial" w:cs="Arial" w:eastAsia="Arial" w:hAnsi="Arial"/>
          <w:sz w:val="17"/>
          <w:szCs w:val="17"/>
          <w:color w:val="auto"/>
        </w:rPr>
      </w:pPr>
    </w:p>
    <w:p>
      <w:pPr>
        <w:ind w:left="700" w:right="180" w:hanging="341"/>
        <w:spacing w:after="0" w:line="264"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immediately after the merger, consolidation, sale or lease, we or the successor corporation (if other than us) would not be in default in the performance of any covenant or condition of the applicable indenture. (Sections 505 and 1401 of the Senior Debt Indenture and Section 801 of the Subordinated Debt Indenture).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Subordinated Debt</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With respect to the subordinated debt securities, the payment of principal of, interest on and all other amounts owing in respect of the subordinated debt securities will be subordinated in right of payment to the prior payment in full in cash of principal of, interest on and all other amounts owing in respect of all of our senior indebtedness (as defined below). Upon any payment or distribution of our assets of any kind or character, whether in cash, property or securities, to creditors upon any total or partial liquidation, dissolution, winding up, reorganization, assignment for the benefit of creditors or marshaling of our assets or in a bankruptcy, reorganization, insolvency, receivership or other similar proceeding relating to us or our property, whether voluntary or involuntary, all principal of, interest on and all other amounts due or to become due will be paid, first, to all senior indebtedness in full in cash, or such payment duly provided for to the satisfaction of the holders of senior indebtedness, before any payment or distribution of any kind or character is made on account of any principal of, interest on or other amounts owing in respect of the subordinated debt securities (other than in permitted junior securities), or for the acquisition of any of the subordinated debt securities for cash, property or otherwise.</w:t>
      </w:r>
    </w:p>
    <w:p>
      <w:pPr>
        <w:spacing w:after="0" w:line="18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If any default occurs and is continuing in the payment when due, whether at maturity, upon any redemption, by declaration or otherwise, of any principal of, premium, interest on, unpaid drawings for letters of credit issued in respect of, or regularly accruing fees with respect to, any senior indebtedness, no payment of any kind or character will be made by or on behalf of us or any other person on our or their behalf with respect to any principal of, interest on or other amounts owing in respect of the subordinated debt securities (other than in permitted junior securities) or to acquire any of the subordinated debt securities for cash, property or otherwise.</w:t>
      </w:r>
    </w:p>
    <w:p>
      <w:pPr>
        <w:spacing w:after="0" w:line="18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If any other event of default occurs and is continuing with respect to any designated senior indebtedness, as such event of default is defined in the instrument creating or evidencing such designated senior indebtedness, permitting the holders of such designated senior indebtedness then outstanding to accelerate the maturity thereof and if the representative (as defined in the applicable indenture) for the respective issue of designated senior indebtedness gives written notice of the event of default to the trustee, then, unless and until all events of default have been cured or waived or have ceased to exist or the trustee receives notice from the representative for the respective issue of designated senior indebtedness terminating the blockage period (as defined below), during the</w:t>
      </w:r>
    </w:p>
    <w:p>
      <w:pPr>
        <w:spacing w:after="0" w:line="200" w:lineRule="exact"/>
        <w:rPr>
          <w:sz w:val="20"/>
          <w:szCs w:val="20"/>
          <w:color w:val="auto"/>
        </w:rPr>
      </w:pPr>
    </w:p>
    <w:p>
      <w:pPr>
        <w:spacing w:after="0" w:line="27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8" w:name="page19"/>
    <w:bookmarkEnd w:id="18"/>
    <w:p>
      <w:pPr>
        <w:ind w:right="140"/>
        <w:spacing w:after="0" w:line="277" w:lineRule="auto"/>
        <w:rPr>
          <w:sz w:val="20"/>
          <w:szCs w:val="20"/>
          <w:color w:val="auto"/>
        </w:rPr>
      </w:pPr>
      <w:r>
        <w:rPr>
          <w:rFonts w:ascii="Arial" w:cs="Arial" w:eastAsia="Arial" w:hAnsi="Arial"/>
          <w:sz w:val="18"/>
          <w:szCs w:val="18"/>
          <w:color w:val="auto"/>
        </w:rPr>
        <w:t>period commencing on the date of receipt of such default notice by the trustee and ending 179 days thereafter, neither we nor any other person on our behalf will:</w:t>
      </w:r>
    </w:p>
    <w:p>
      <w:pPr>
        <w:spacing w:after="0" w:line="170" w:lineRule="exact"/>
        <w:rPr>
          <w:sz w:val="20"/>
          <w:szCs w:val="20"/>
          <w:color w:val="auto"/>
        </w:rPr>
      </w:pPr>
    </w:p>
    <w:p>
      <w:pPr>
        <w:ind w:left="700" w:right="160" w:hanging="341"/>
        <w:spacing w:after="0" w:line="277"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any payment of any kind or character with respect to any principal of, interest on or other amounts owing in respect of the subordinated debt securities (other than in permitted junior securities); or</w:t>
      </w:r>
    </w:p>
    <w:p>
      <w:pPr>
        <w:spacing w:after="0" w:line="197" w:lineRule="exact"/>
        <w:rPr>
          <w:rFonts w:ascii="Arial" w:cs="Arial" w:eastAsia="Arial" w:hAnsi="Arial"/>
          <w:sz w:val="18"/>
          <w:szCs w:val="18"/>
          <w:color w:val="auto"/>
        </w:rPr>
      </w:pPr>
    </w:p>
    <w:p>
      <w:pPr>
        <w:ind w:left="700" w:hanging="341"/>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acquire any of the subordinated debt securities for cash, property or otherwise.</w:t>
      </w:r>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Notwithstanding anything herein to the contrary, in no event will a blockage period extend beyond 179 days from the date the payment on the subordinated debt securities was due and only one such blockage period may be commenced within any 360 consecutive days. No event of default which existed or was continuing on the date of the commencement of any blockage period with respect to the designated senior indebtedness will be, or be made, the basis for commencement of a second blockage period by the representative of such designated senior indebtedness whether or not within a period of 360 consecutive days unless such event of default will have been cured or waived for a period of not less than 90 consecutive days (it being acknowledged that any subsequent action or any breach of any financial covenants for a period commencing after the date of commencement of such blockage period that, in either case, would give rise to an event of default pursuant to any provisions under which an event of default previously existed or was continuing will constitute a new event of default for this purpose).</w:t>
      </w:r>
    </w:p>
    <w:p>
      <w:pPr>
        <w:spacing w:after="0" w:line="19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a result of the foregoing provisions, in the event of our insolvency, holders of the subordinated debt securities may recover ratably less than our general creditors.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“Senior indebtedness” means:</w:t>
      </w:r>
    </w:p>
    <w:p>
      <w:pPr>
        <w:spacing w:after="0" w:line="225" w:lineRule="exact"/>
        <w:rPr>
          <w:sz w:val="20"/>
          <w:szCs w:val="20"/>
          <w:color w:val="auto"/>
        </w:rPr>
      </w:pPr>
    </w:p>
    <w:p>
      <w:pPr>
        <w:ind w:left="700" w:right="120" w:hanging="341"/>
        <w:spacing w:after="0" w:line="312" w:lineRule="auto"/>
        <w:tabs>
          <w:tab w:leader="none" w:pos="7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principal, including redemption payments, premium, if any, interest and other payment obligations in respect of (a) our indebtedness for money borrowed, (b) our indebtedness evidenced by securities, debentures, bonds, notes or other similar instruments issued by us, including any such securities issued under any deed, indenture or other instrument to which we are a party and (c) guarantees of any of the foregoing;</w:t>
      </w:r>
    </w:p>
    <w:p>
      <w:pPr>
        <w:spacing w:after="0" w:line="173" w:lineRule="exact"/>
        <w:rPr>
          <w:rFonts w:ascii="Arial" w:cs="Arial" w:eastAsia="Arial" w:hAnsi="Arial"/>
          <w:sz w:val="16"/>
          <w:szCs w:val="16"/>
          <w:color w:val="auto"/>
        </w:rPr>
      </w:pPr>
    </w:p>
    <w:p>
      <w:pPr>
        <w:ind w:left="700" w:hanging="341"/>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of our capital lease obligations;</w:t>
      </w:r>
    </w:p>
    <w:p>
      <w:pPr>
        <w:spacing w:after="0" w:line="252" w:lineRule="exact"/>
        <w:rPr>
          <w:rFonts w:ascii="Arial" w:cs="Arial" w:eastAsia="Arial" w:hAnsi="Arial"/>
          <w:sz w:val="18"/>
          <w:szCs w:val="18"/>
          <w:color w:val="auto"/>
        </w:rPr>
      </w:pPr>
    </w:p>
    <w:p>
      <w:pPr>
        <w:ind w:left="700" w:right="100" w:hanging="341"/>
        <w:spacing w:after="0" w:line="264"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of our obligations issued or assumed as the deferred purchase price of property, all of our conditional sale obligations, all of our hedging agreements and agreements of a similar nature thereto and all agreements relating to any such agreements, and all of our obligations under any title retention agreement, but excluding trade accounts payable arising in the ordinary course of business;</w:t>
      </w:r>
    </w:p>
    <w:p>
      <w:pPr>
        <w:spacing w:after="0" w:line="208" w:lineRule="exact"/>
        <w:rPr>
          <w:rFonts w:ascii="Arial" w:cs="Arial" w:eastAsia="Arial" w:hAnsi="Arial"/>
          <w:sz w:val="18"/>
          <w:szCs w:val="18"/>
          <w:color w:val="auto"/>
        </w:rPr>
      </w:pPr>
    </w:p>
    <w:p>
      <w:pPr>
        <w:ind w:left="700" w:hanging="341"/>
        <w:spacing w:after="0"/>
        <w:tabs>
          <w:tab w:leader="none" w:pos="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all of our obligations for reimbursement on any letter of credit, banker’s acceptance, security purchase facility or similar credit transaction;</w:t>
      </w:r>
    </w:p>
    <w:p>
      <w:pPr>
        <w:spacing w:after="0" w:line="263" w:lineRule="exact"/>
        <w:rPr>
          <w:rFonts w:ascii="Arial" w:cs="Arial" w:eastAsia="Arial" w:hAnsi="Arial"/>
          <w:sz w:val="17"/>
          <w:szCs w:val="17"/>
          <w:color w:val="auto"/>
        </w:rPr>
      </w:pPr>
    </w:p>
    <w:p>
      <w:pPr>
        <w:ind w:left="700" w:right="440" w:hanging="341"/>
        <w:spacing w:after="0" w:line="277"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obligations of the type referred to in clauses (1) through (4) above of other persons for the payment of which we are responsible or liable as obligor, guarantor or otherwise;</w:t>
      </w:r>
    </w:p>
    <w:p>
      <w:pPr>
        <w:spacing w:after="0" w:line="197" w:lineRule="exact"/>
        <w:rPr>
          <w:rFonts w:ascii="Arial" w:cs="Arial" w:eastAsia="Arial" w:hAnsi="Arial"/>
          <w:sz w:val="18"/>
          <w:szCs w:val="18"/>
          <w:color w:val="auto"/>
        </w:rPr>
      </w:pPr>
    </w:p>
    <w:p>
      <w:pPr>
        <w:ind w:left="700" w:right="80" w:hanging="341"/>
        <w:spacing w:after="0" w:line="277"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obligations of the type referred to in clauses (1) through (5) above of other persons secured by any lien on any of our property or assets, whether or not such obligation is assumed by us; and</w:t>
      </w:r>
    </w:p>
    <w:p>
      <w:pPr>
        <w:spacing w:after="0" w:line="197" w:lineRule="exact"/>
        <w:rPr>
          <w:rFonts w:ascii="Arial" w:cs="Arial" w:eastAsia="Arial" w:hAnsi="Arial"/>
          <w:sz w:val="18"/>
          <w:szCs w:val="18"/>
          <w:color w:val="auto"/>
        </w:rPr>
      </w:pPr>
    </w:p>
    <w:p>
      <w:pPr>
        <w:ind w:left="700" w:right="60" w:hanging="341"/>
        <w:spacing w:after="0" w:line="342" w:lineRule="auto"/>
        <w:tabs>
          <w:tab w:leader="none" w:pos="7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deferrals, amendments, renewals, extensions, modifications and refundings of all obligations of the type referred to in clauses (1) through (6) above, in each case whether or not contingent and whether outstanding at the date of effectiveness of the applicable indenture or thereafter incurred,</w:t>
      </w:r>
    </w:p>
    <w:p>
      <w:pPr>
        <w:spacing w:after="0" w:line="124"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except, in each case, for the subordinated debt securities and (i) any such other securities to be issued by us in the future that contain express terms, or are issued under a deed, indenture or other instrument, which contains express terms, providing that such securities are subordinate to or rank equal with the subordinated debt securities, (ii) trade accounts payable or accrued liabilities arising in the ordinary course of business and</w:t>
      </w:r>
    </w:p>
    <w:p>
      <w:pPr>
        <w:spacing w:after="0" w:line="200" w:lineRule="exact"/>
        <w:rPr>
          <w:sz w:val="20"/>
          <w:szCs w:val="20"/>
          <w:color w:val="auto"/>
        </w:rPr>
      </w:pP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t>(iii) indebtedness owed by us to our subsidiaries, which also will rank equally in right of payment and upon liquidation to the subordinated debt securities.</w:t>
      </w:r>
    </w:p>
    <w:p>
      <w:pPr>
        <w:spacing w:after="0" w:line="248"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Such senior indebtedness will continue to be senior indebtedness and be entitled to the benefits of the subordination provisions of the applicable indenture irrespective of any amendment, modification or waiver of any term of such senior indebtedness and notwithstanding that no express written subordination agreement may have been entered into between the holders of such senior indebtedness and the trustee for any of the holders.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“Permitted junior securities” means:</w:t>
      </w:r>
    </w:p>
    <w:p>
      <w:pPr>
        <w:spacing w:after="0" w:line="225" w:lineRule="exact"/>
        <w:rPr>
          <w:sz w:val="20"/>
          <w:szCs w:val="20"/>
          <w:color w:val="auto"/>
        </w:rPr>
      </w:pPr>
    </w:p>
    <w:p>
      <w:pPr>
        <w:ind w:left="700" w:hanging="341"/>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capital stock; or</w:t>
      </w:r>
    </w:p>
    <w:p>
      <w:pPr>
        <w:spacing w:after="0" w:line="252" w:lineRule="exact"/>
        <w:rPr>
          <w:rFonts w:ascii="Arial" w:cs="Arial" w:eastAsia="Arial" w:hAnsi="Arial"/>
          <w:sz w:val="18"/>
          <w:szCs w:val="18"/>
          <w:color w:val="auto"/>
        </w:rPr>
      </w:pPr>
    </w:p>
    <w:p>
      <w:pPr>
        <w:ind w:left="700" w:right="280" w:hanging="341"/>
        <w:spacing w:after="0" w:line="286" w:lineRule="auto"/>
        <w:tabs>
          <w:tab w:leader="none" w:pos="7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debt securities issued pursuant to a confirmed plan of reorganization that are subordinated in right of payment to all senior indebtedness and any debt securities issued in exchange for senior indebtedness that are subordinated to substantially the same extent as, or to a greater extent than, the subordinated debt securities are subordinated to the senior indebtedness under the indenture.</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“Designated senior indebtedness” means any senior indebtedness the principal amount of which is at least $20.0 million or more at the time we designate such senior indebtedness as designated senior indebtedness in a writing delivered to the trustee.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Subsidiary Guarantees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Each prospectus supplement or term sheet will describe any guarantees of debt securities for the benefit of the series of debt securities to which it relates.</w:t>
      </w:r>
    </w:p>
    <w:p>
      <w:pPr>
        <w:spacing w:after="0" w:line="248"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If so provided in a prospectus supplement or term sheet, the debt securities issued under the Senior Debt Indenture will be guaranteed (each such guarantee being referred to as a “Senior Subsidiary Guarantee”), on a joint and several senior unsecured basis. If so provided in a prospectus supplement or term sheet, the debt securities issued under the Subordinated Debt Indenture will be guaranteed (each such guarantee being referred to as a “Subordinated Subsidiary Guarantee,” and together with the Senior Subsidiary Guarantee, the “Subsidiary Guarantee”), on a joint and several subordinated unsecured basis. As of the date of this prospectus, the guarantors consist of the following subsidiaries: Bath &amp; Body Works Brand Management, Inc.; Bath &amp; Body Works Direct, Inc.; Bath &amp; Body Works, LLC; beautyAvenues, LLC; Intimate Brands, Inc.; Intimate Brands Holding, LLC; L Brands Direct Fulfillment, Inc.; L Brands Service Company, LLC; L Brands Store Design &amp; Construction, Inc.; La Senza, Inc.; Mast Industries, Inc.; Victoria’s Secret Direct Brand Management, LLC; Victoria’s Secret Stores Brand Management, Inc. and Victoria’s Secret Stores, LLC. The obligations of a guarantor under its Subsidiary Guarantee will be limited to the extent necessary to prevent the obligations of such guarantor under its Subsidiary Guarantee from constituting a fraudulent conveyance or fraudulent transfer under federal or state law.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Indentures</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Each indenture contains provisions permitting us and the trustee, without the consent of the holders of debt securities, to establish, among other things, the form and terms of any series of debt securities issuable under each indenture by one or more supplemental indentures and, with the consent of the holders of not less than a majority in aggregate principal amount of the debt securities at the time outstanding of each series which are affected thereby, to modify each indenture or any supplemental indenture or the rights of the holders of the debt securities of such series to be affected, provided that no such modification will:</w:t>
      </w:r>
    </w:p>
    <w:p>
      <w:pPr>
        <w:spacing w:after="0" w:line="188" w:lineRule="exact"/>
        <w:rPr>
          <w:sz w:val="20"/>
          <w:szCs w:val="20"/>
          <w:color w:val="auto"/>
        </w:rPr>
      </w:pPr>
    </w:p>
    <w:p>
      <w:pPr>
        <w:ind w:left="700" w:right="100" w:hanging="341"/>
        <w:spacing w:after="0" w:line="286" w:lineRule="auto"/>
        <w:tabs>
          <w:tab w:leader="none" w:pos="7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extend the fixed maturity of any debt securities, reduce the rate or extend the time of payment of interest thereon (except for any deferral of interest permitted pursuant to Section 3.01), reduce the principal amount thereof or the premium, if any, thereon, reduce the amount of the principal of original issue discount securities payable on any date, change the coin or currency in which principal of or any</w:t>
      </w:r>
    </w:p>
    <w:p>
      <w:pPr>
        <w:spacing w:after="0" w:line="26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 w:name="page21"/>
    <w:bookmarkEnd w:id="20"/>
    <w:p>
      <w:pPr>
        <w:ind w:left="700" w:right="360"/>
        <w:spacing w:after="0" w:line="277" w:lineRule="auto"/>
        <w:rPr>
          <w:sz w:val="20"/>
          <w:szCs w:val="20"/>
          <w:color w:val="auto"/>
        </w:rPr>
      </w:pPr>
      <w:r>
        <w:rPr>
          <w:rFonts w:ascii="Arial" w:cs="Arial" w:eastAsia="Arial" w:hAnsi="Arial"/>
          <w:sz w:val="18"/>
          <w:szCs w:val="18"/>
          <w:color w:val="auto"/>
        </w:rPr>
        <w:t>premium or interest on any debt securities is payable or impair the right to institute suit for the enforcement of any such payment on or after the maturity thereof, without the consent of the holder of each debt security so affected;</w:t>
      </w:r>
    </w:p>
    <w:p>
      <w:pPr>
        <w:spacing w:after="0" w:line="197" w:lineRule="exact"/>
        <w:rPr>
          <w:sz w:val="20"/>
          <w:szCs w:val="20"/>
          <w:color w:val="auto"/>
        </w:rPr>
      </w:pPr>
    </w:p>
    <w:p>
      <w:pPr>
        <w:ind w:left="700" w:right="160" w:hanging="341"/>
        <w:spacing w:after="0" w:line="264"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the aforesaid percentage of debt securities of any series, the consent of the holders of which is required for any such modification or for the waiver of past default in the case of subordinated debt securities, without the consent of the holders of all debt securities of such series then outstanding;</w:t>
      </w:r>
    </w:p>
    <w:p>
      <w:pPr>
        <w:spacing w:after="0" w:line="208" w:lineRule="exact"/>
        <w:rPr>
          <w:rFonts w:ascii="Arial" w:cs="Arial" w:eastAsia="Arial" w:hAnsi="Arial"/>
          <w:sz w:val="18"/>
          <w:szCs w:val="18"/>
          <w:color w:val="auto"/>
        </w:rPr>
      </w:pPr>
    </w:p>
    <w:p>
      <w:pPr>
        <w:ind w:left="700" w:hanging="341"/>
        <w:spacing w:after="0"/>
        <w:tabs>
          <w:tab w:leader="none" w:pos="7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with respect to the subordinated debt securities, modify any provision of Section 606, 1302 or Section 506 of the Subordinated Debt Indenture; or</w:t>
      </w:r>
    </w:p>
    <w:p>
      <w:pPr>
        <w:spacing w:after="0" w:line="275" w:lineRule="exact"/>
        <w:rPr>
          <w:rFonts w:ascii="Arial" w:cs="Arial" w:eastAsia="Arial" w:hAnsi="Arial"/>
          <w:sz w:val="16"/>
          <w:szCs w:val="16"/>
          <w:color w:val="auto"/>
        </w:rPr>
      </w:pPr>
    </w:p>
    <w:p>
      <w:pPr>
        <w:ind w:left="700" w:hanging="341"/>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modify without the written consent of the trustee the rights, duties or immunities of the trustee. (Sections 1301 and 1302)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Senior Debt Indenture provides that events of default with respect to any series of debt securities will be:</w:t>
      </w:r>
    </w:p>
    <w:p>
      <w:pPr>
        <w:spacing w:after="0" w:line="225" w:lineRule="exact"/>
        <w:rPr>
          <w:sz w:val="20"/>
          <w:szCs w:val="20"/>
          <w:color w:val="auto"/>
        </w:rPr>
      </w:pPr>
    </w:p>
    <w:p>
      <w:pPr>
        <w:ind w:left="700" w:hanging="341"/>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default for 30 days in payment of interest upon any debt security of such series;</w:t>
      </w:r>
    </w:p>
    <w:p>
      <w:pPr>
        <w:spacing w:after="0" w:line="252" w:lineRule="exact"/>
        <w:rPr>
          <w:rFonts w:ascii="Arial" w:cs="Arial" w:eastAsia="Arial" w:hAnsi="Arial"/>
          <w:sz w:val="18"/>
          <w:szCs w:val="18"/>
          <w:color w:val="auto"/>
        </w:rPr>
      </w:pPr>
    </w:p>
    <w:p>
      <w:pPr>
        <w:ind w:left="700" w:hanging="341"/>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default in payment of principal (other than a sinking fund installment) or premium, if any, on any debt security of such series;</w:t>
      </w:r>
    </w:p>
    <w:p>
      <w:pPr>
        <w:spacing w:after="0" w:line="252" w:lineRule="exact"/>
        <w:rPr>
          <w:rFonts w:ascii="Arial" w:cs="Arial" w:eastAsia="Arial" w:hAnsi="Arial"/>
          <w:sz w:val="18"/>
          <w:szCs w:val="18"/>
          <w:color w:val="auto"/>
        </w:rPr>
      </w:pPr>
    </w:p>
    <w:p>
      <w:pPr>
        <w:ind w:left="700" w:hanging="341"/>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default for 30 days in payment of any sinking fund installment when due by the terms of the debt securities of such series;</w:t>
      </w:r>
    </w:p>
    <w:p>
      <w:pPr>
        <w:spacing w:after="0" w:line="252" w:lineRule="exact"/>
        <w:rPr>
          <w:rFonts w:ascii="Arial" w:cs="Arial" w:eastAsia="Arial" w:hAnsi="Arial"/>
          <w:sz w:val="18"/>
          <w:szCs w:val="18"/>
          <w:color w:val="auto"/>
        </w:rPr>
      </w:pPr>
    </w:p>
    <w:p>
      <w:pPr>
        <w:ind w:left="700" w:hanging="341"/>
        <w:spacing w:after="0" w:line="277"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default, for 90 days after notice, in the performance of any other covenant in the indenture (other than a covenant included in the indenture solely for the benefit of a series of debt securities other than such series); and</w:t>
      </w:r>
    </w:p>
    <w:p>
      <w:pPr>
        <w:spacing w:after="0" w:line="197" w:lineRule="exact"/>
        <w:rPr>
          <w:rFonts w:ascii="Arial" w:cs="Arial" w:eastAsia="Arial" w:hAnsi="Arial"/>
          <w:sz w:val="18"/>
          <w:szCs w:val="18"/>
          <w:color w:val="auto"/>
        </w:rPr>
      </w:pPr>
    </w:p>
    <w:p>
      <w:pPr>
        <w:ind w:left="700" w:hanging="341"/>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certain events of bankruptcy or insolvency. (Section 601)</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Subordinated Debt Indenture provides that the failure to pay deferred interest on any subordinated debt securities for a period of 30 days after the conclusion of any permitted deferral period constitutes an event of default. (Section 601)</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Additional events of default may be applicable to a series of debt securities if so provided in the supplemental indenture or board resolution applicable to such series. The prospectus supplement will describe any such additional events of default. If an event of default with respect to debt securities of any series should occur and be continuing, either the trustee or the holders of 25% in aggregate principal amount of the debt securities of such series then outstanding may declare each debt security of that series due and payable. (Section 602) We will be required to file annually with the trustee a statement of an officer as to the fulfillment of our obligations under the indenture during the preceding year. (Section 506 of the Senior Debt Indenture and Section 505 of the Subordinated Debt Indenture)</w:t>
      </w:r>
    </w:p>
    <w:p>
      <w:pPr>
        <w:spacing w:after="0" w:line="193"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No event of default with respect to a single series of debt securities issued under each indenture (and under or pursuant to any supplemental indenture or board resolution) necessarily constitutes an event of default with respect to any other series of debt securities. (Section 602)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of the Indentures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At our request, an indenture will be cancelled by the trustee and the guarantees will be discharged if all sums due to the trustee under such indenture have been paid in full and:</w:t>
      </w:r>
    </w:p>
    <w:p>
      <w:pPr>
        <w:spacing w:after="0" w:line="170" w:lineRule="exact"/>
        <w:rPr>
          <w:sz w:val="20"/>
          <w:szCs w:val="20"/>
          <w:color w:val="auto"/>
        </w:rPr>
      </w:pPr>
    </w:p>
    <w:p>
      <w:pPr>
        <w:ind w:left="700" w:hanging="341"/>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debt securities previously issued under such indenture have been cancelled or delivered to the trustee for cancellation;</w:t>
      </w: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1" w:name="page22"/>
    <w:bookmarkEnd w:id="21"/>
    <w:p>
      <w:pPr>
        <w:ind w:left="700" w:right="180" w:hanging="341"/>
        <w:spacing w:after="0" w:line="277"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principal of, and premium, if any, and the amounts due upon conversion or exchange of, if applicable, and interest on, all debt securities issued under such indenture then outstanding have been paid in full; or</w:t>
      </w:r>
    </w:p>
    <w:p>
      <w:pPr>
        <w:spacing w:after="0" w:line="197" w:lineRule="exact"/>
        <w:rPr>
          <w:rFonts w:ascii="Arial" w:cs="Arial" w:eastAsia="Arial" w:hAnsi="Arial"/>
          <w:sz w:val="18"/>
          <w:szCs w:val="18"/>
          <w:color w:val="auto"/>
        </w:rPr>
      </w:pPr>
    </w:p>
    <w:p>
      <w:pPr>
        <w:ind w:left="700" w:right="300" w:hanging="341"/>
        <w:spacing w:after="0" w:line="277"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funds have been deposited with the trustee at the maturity of the debt securities sufficient to pay in full the principal of, and premium, if any, and interest on all debt securities then outstanding. (Sections 1101 and 1102)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If so described in a prospectus supplement relating to debt securities of a specific series, we may discharge our indebtedness and obligations, together with the obligations of the guarantors, or terminate certain of our obligations under the relevant indenture with respect to the debt securities of such series by depositing funds or obligations issued or guaranteed by the United States with the trustee. (Sections 1103 and 1104)</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U.S. Bank National Association will be the trustee under each indenture. We have and may from time to time in the future have banking relationships with the trustee in the ordinary course of business. Each indenture will contain certain limitations on a right of the trustee, as our creditor, to obtain payment of claims in certain cases, or to realize on certain property received in respect of any such claim as security or otherwise. The trustee will be permitted to engage in other transactions; provided that if it acquires any conflicting interest, it must eliminate such conflict or resign.</w:t>
      </w:r>
    </w:p>
    <w:p>
      <w:pPr>
        <w:spacing w:after="0" w:line="17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Subject to the terms of each indenture, the holders of a majority in principal amount of the securities issued and outstanding under each indenture will have the right to direct the time, method and place of conducting any proceeding for exercising any remedy or power available to the trustee.</w:t>
      </w:r>
    </w:p>
    <w:p>
      <w:pPr>
        <w:spacing w:after="0" w:line="14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case an event of default occurs, and is continuing under either indenture and is actually known to a responsible officer of the trustee, the trustee will exercise such of the rights and powers vested in it by the applicable indenture and use the same degree of care and skill in its exercise as a prudent person would exercise or use under the circumstances in the conduct of his or her own affairs. Subject to such provisions, the trustee will not be under any obligation to exercise any of its rights or powers under either indenture at the request of any of the holders of securities issued under such indenture (including the subordinated debt securities) unless they will have offered to the trustee security and indemnity satisfactory to it.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i w:val="1"/>
          <w:iCs w:val="1"/>
          <w:color w:val="auto"/>
        </w:rPr>
        <w:t>The following description, together with the additional information that we include in any applicable prospectus supplements, summarizes the material terms and provisions of the warrants that we may offer under this prospectus. While the terms we have summarized below will apply generally to any warrants that we may offer under this prospectus, we will describe the particular terms of any warrants in more detail in the applicable prospectus supplement. The terms of any warrants offered under a prospectus supplement may differ from the terms described below.</w:t>
      </w:r>
    </w:p>
    <w:p>
      <w:pPr>
        <w:spacing w:after="0" w:line="17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200" w:lineRule="exact"/>
        <w:rPr>
          <w:sz w:val="20"/>
          <w:szCs w:val="20"/>
          <w:color w:val="auto"/>
        </w:rPr>
      </w:pPr>
    </w:p>
    <w:p>
      <w:pPr>
        <w:spacing w:after="0" w:line="29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The applicable prospectus supplement will describe the following terms of any warrants in respect to which this prospectus is being delivered:</w:t>
      </w:r>
    </w:p>
    <w:p>
      <w:pPr>
        <w:spacing w:after="0" w:line="225" w:lineRule="exact"/>
        <w:rPr>
          <w:sz w:val="20"/>
          <w:szCs w:val="20"/>
          <w:color w:val="auto"/>
        </w:rPr>
      </w:pPr>
    </w:p>
    <w:p>
      <w:pPr>
        <w:ind w:left="700" w:hanging="341"/>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title and aggregate number of such warrants;</w:t>
      </w:r>
    </w:p>
    <w:p>
      <w:pPr>
        <w:spacing w:after="0" w:line="252" w:lineRule="exact"/>
        <w:rPr>
          <w:rFonts w:ascii="Arial" w:cs="Arial" w:eastAsia="Arial" w:hAnsi="Arial"/>
          <w:sz w:val="18"/>
          <w:szCs w:val="18"/>
          <w:color w:val="auto"/>
        </w:rPr>
      </w:pPr>
    </w:p>
    <w:p>
      <w:pPr>
        <w:ind w:left="700" w:hanging="341"/>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252" w:lineRule="exact"/>
        <w:rPr>
          <w:rFonts w:ascii="Arial" w:cs="Arial" w:eastAsia="Arial" w:hAnsi="Arial"/>
          <w:sz w:val="18"/>
          <w:szCs w:val="18"/>
          <w:color w:val="auto"/>
        </w:rPr>
      </w:pPr>
    </w:p>
    <w:p>
      <w:pPr>
        <w:ind w:left="700" w:hanging="341"/>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currency or currencies in which the price of such warrants will be payable;</w:t>
      </w:r>
    </w:p>
    <w:p>
      <w:pPr>
        <w:spacing w:after="0" w:line="252" w:lineRule="exact"/>
        <w:rPr>
          <w:rFonts w:ascii="Arial" w:cs="Arial" w:eastAsia="Arial" w:hAnsi="Arial"/>
          <w:sz w:val="18"/>
          <w:szCs w:val="18"/>
          <w:color w:val="auto"/>
        </w:rPr>
      </w:pPr>
    </w:p>
    <w:p>
      <w:pPr>
        <w:ind w:left="700" w:right="400" w:hanging="341"/>
        <w:spacing w:after="0" w:line="342" w:lineRule="auto"/>
        <w:tabs>
          <w:tab w:leader="none" w:pos="7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securities or other rights, including rights to receive payment in cash or securities based on the value, rate or price of one or more specified commodities, currencies, securities or indices, or any combination of the foregoing, purchasable upon exercise of such warrants;</w:t>
      </w:r>
    </w:p>
    <w:p>
      <w:pPr>
        <w:spacing w:after="0" w:line="150" w:lineRule="exact"/>
        <w:rPr>
          <w:rFonts w:ascii="Arial" w:cs="Arial" w:eastAsia="Arial" w:hAnsi="Arial"/>
          <w:sz w:val="16"/>
          <w:szCs w:val="16"/>
          <w:color w:val="auto"/>
        </w:rPr>
      </w:pPr>
    </w:p>
    <w:p>
      <w:pPr>
        <w:ind w:left="700" w:right="600" w:hanging="341"/>
        <w:spacing w:after="0" w:line="277"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price at which, and the currency or currencies in which, the securities or other rights purchasable upon exercise of such warrants may be purchased;</w:t>
      </w:r>
    </w:p>
    <w:p>
      <w:pPr>
        <w:spacing w:after="0" w:line="197" w:lineRule="exact"/>
        <w:rPr>
          <w:rFonts w:ascii="Arial" w:cs="Arial" w:eastAsia="Arial" w:hAnsi="Arial"/>
          <w:sz w:val="18"/>
          <w:szCs w:val="18"/>
          <w:color w:val="auto"/>
        </w:rPr>
      </w:pPr>
    </w:p>
    <w:p>
      <w:pPr>
        <w:ind w:left="700" w:hanging="341"/>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applicable, the provisions for changes to or adjustments in the exercise price of such warrants;</w:t>
      </w:r>
    </w:p>
    <w:p>
      <w:pPr>
        <w:spacing w:after="0" w:line="252" w:lineRule="exact"/>
        <w:rPr>
          <w:rFonts w:ascii="Arial" w:cs="Arial" w:eastAsia="Arial" w:hAnsi="Arial"/>
          <w:sz w:val="18"/>
          <w:szCs w:val="18"/>
          <w:color w:val="auto"/>
        </w:rPr>
      </w:pPr>
    </w:p>
    <w:p>
      <w:pPr>
        <w:ind w:left="700" w:hanging="341"/>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shall expire;</w:t>
      </w:r>
    </w:p>
    <w:p>
      <w:pPr>
        <w:spacing w:after="0" w:line="252" w:lineRule="exact"/>
        <w:rPr>
          <w:rFonts w:ascii="Arial" w:cs="Arial" w:eastAsia="Arial" w:hAnsi="Arial"/>
          <w:sz w:val="18"/>
          <w:szCs w:val="18"/>
          <w:color w:val="auto"/>
        </w:rPr>
      </w:pPr>
    </w:p>
    <w:p>
      <w:pPr>
        <w:ind w:left="700" w:hanging="341"/>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252" w:lineRule="exact"/>
        <w:rPr>
          <w:rFonts w:ascii="Arial" w:cs="Arial" w:eastAsia="Arial" w:hAnsi="Arial"/>
          <w:sz w:val="18"/>
          <w:szCs w:val="18"/>
          <w:color w:val="auto"/>
        </w:rPr>
      </w:pPr>
    </w:p>
    <w:p>
      <w:pPr>
        <w:ind w:left="700" w:hanging="341"/>
        <w:spacing w:after="0" w:line="277"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such warrants are issued and the number of such warrants issued with each such security;</w:t>
      </w:r>
    </w:p>
    <w:p>
      <w:pPr>
        <w:spacing w:after="0" w:line="197" w:lineRule="exact"/>
        <w:rPr>
          <w:rFonts w:ascii="Arial" w:cs="Arial" w:eastAsia="Arial" w:hAnsi="Arial"/>
          <w:sz w:val="18"/>
          <w:szCs w:val="18"/>
          <w:color w:val="auto"/>
        </w:rPr>
      </w:pPr>
    </w:p>
    <w:p>
      <w:pPr>
        <w:ind w:left="700" w:hanging="341"/>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252" w:lineRule="exact"/>
        <w:rPr>
          <w:rFonts w:ascii="Arial" w:cs="Arial" w:eastAsia="Arial" w:hAnsi="Arial"/>
          <w:sz w:val="18"/>
          <w:szCs w:val="18"/>
          <w:color w:val="auto"/>
        </w:rPr>
      </w:pPr>
    </w:p>
    <w:p>
      <w:pPr>
        <w:ind w:left="700" w:hanging="341"/>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52" w:lineRule="exact"/>
        <w:rPr>
          <w:rFonts w:ascii="Arial" w:cs="Arial" w:eastAsia="Arial" w:hAnsi="Arial"/>
          <w:sz w:val="18"/>
          <w:szCs w:val="18"/>
          <w:color w:val="auto"/>
        </w:rPr>
      </w:pPr>
    </w:p>
    <w:p>
      <w:pPr>
        <w:ind w:left="700" w:hanging="341"/>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applicable, a discussion of any material U.S. Federal income tax considerations; and</w:t>
      </w:r>
    </w:p>
    <w:p>
      <w:pPr>
        <w:spacing w:after="0" w:line="252" w:lineRule="exact"/>
        <w:rPr>
          <w:rFonts w:ascii="Arial" w:cs="Arial" w:eastAsia="Arial" w:hAnsi="Arial"/>
          <w:sz w:val="18"/>
          <w:szCs w:val="18"/>
          <w:color w:val="auto"/>
        </w:rPr>
      </w:pPr>
    </w:p>
    <w:p>
      <w:pPr>
        <w:ind w:left="700" w:hanging="341"/>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terms of such warrants, including terms, procedures and limitations relating to the exchange and exercise of such warrants.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23" w:name="page24"/>
    <w:bookmarkEnd w:id="23"/>
    <w:p>
      <w:pPr>
        <w:jc w:val="center"/>
        <w:ind w:right="-59"/>
        <w:spacing w:after="0"/>
        <w:rPr>
          <w:sz w:val="20"/>
          <w:szCs w:val="20"/>
          <w:color w:val="auto"/>
        </w:rPr>
      </w:pPr>
      <w:r>
        <w:rPr>
          <w:rFonts w:ascii="Arial" w:cs="Arial" w:eastAsia="Arial" w:hAnsi="Arial"/>
          <w:sz w:val="18"/>
          <w:szCs w:val="18"/>
          <w:b w:val="1"/>
          <w:bCs w:val="1"/>
          <w:color w:val="auto"/>
        </w:rPr>
        <w:t>DESCRIPTION OF PURCHASE CONTRACTS</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i w:val="1"/>
          <w:iCs w:val="1"/>
          <w:color w:val="auto"/>
        </w:rPr>
        <w:t>The following description, together with the additional information that we include in any applicable prospectus supplements, summarizes the material terms and provisions of the purchase contracts that we may offer under this prospectus. While the terms we have summarized below will apply generally to any purchase contracts that we may offer under this prospectus, we will describe the particular terms of any purchase contracts in more detail in the applicable prospectus supplement. The terms of any purchase contracts offered under a prospectus supplement may differ from the terms described below.</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We may issue purchase contracts for the purchase or sale of:</w:t>
      </w:r>
    </w:p>
    <w:p>
      <w:pPr>
        <w:spacing w:after="0" w:line="225" w:lineRule="exact"/>
        <w:rPr>
          <w:sz w:val="20"/>
          <w:szCs w:val="20"/>
          <w:color w:val="auto"/>
        </w:rPr>
      </w:pPr>
    </w:p>
    <w:p>
      <w:pPr>
        <w:ind w:left="700" w:right="780" w:hanging="341"/>
        <w:spacing w:after="0" w:line="277"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debt or equity securities issued by us or securities of third parties, a basket of such securities, an index or indices of such securities or any combination of the above as specified in the applicable prospectus supplement;</w:t>
      </w:r>
    </w:p>
    <w:p>
      <w:pPr>
        <w:spacing w:after="0" w:line="197" w:lineRule="exact"/>
        <w:rPr>
          <w:rFonts w:ascii="Arial" w:cs="Arial" w:eastAsia="Arial" w:hAnsi="Arial"/>
          <w:sz w:val="18"/>
          <w:szCs w:val="18"/>
          <w:color w:val="auto"/>
        </w:rPr>
      </w:pPr>
    </w:p>
    <w:p>
      <w:pPr>
        <w:ind w:left="700" w:hanging="341"/>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currencies; or</w:t>
      </w:r>
    </w:p>
    <w:p>
      <w:pPr>
        <w:spacing w:after="0" w:line="252" w:lineRule="exact"/>
        <w:rPr>
          <w:rFonts w:ascii="Arial" w:cs="Arial" w:eastAsia="Arial" w:hAnsi="Arial"/>
          <w:sz w:val="18"/>
          <w:szCs w:val="18"/>
          <w:color w:val="auto"/>
        </w:rPr>
      </w:pPr>
    </w:p>
    <w:p>
      <w:pPr>
        <w:ind w:left="700" w:hanging="341"/>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commodities.</w:t>
      </w:r>
    </w:p>
    <w:p>
      <w:pPr>
        <w:spacing w:after="0" w:line="2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Each purchase contract will entitle the holder thereof to purchase or sell, and obligate us to sell or purchase, on specified dates, such securities, currencies or commodities at a specified purchase price, which may be based on a formula, all as set forth in the applicable prospectus supplement. We may, however, satisfy our obligations, if any, with respect to any purchase contract by delivering the cash value of such purchase contract or the cash value of the property otherwise deliverable or, in the case of purchase contracts on underlying currencies, by delivering the underlying currencies, as set forth in the applicable prospectus supplement. The applicable prospectus supplement will also specify the methods by which the holders may purchase or sell such securities, currencies or commodities and any acceleration, cancellation or termination provisions or other provisions relating to the settlement of a purchase contract.</w:t>
      </w:r>
    </w:p>
    <w:p>
      <w:pPr>
        <w:spacing w:after="0" w:line="16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purchase contracts may require us to make periodic payments to the holders thereof or vice versa, which payments may be deferred to the extent set forth in the applicable prospectus supplement, and those payments may be unsecured or prefunded on some basis. The purchase contracts may require the holders thereof to secure their obligations in a specified manner to be described in the applicable prospectus supplement. Alternatively, purchase contracts may require holders to satisfy their obligations thereunder when the purchase contracts are issued.</w:t>
      </w:r>
    </w:p>
    <w:p>
      <w:pPr>
        <w:spacing w:after="0" w:line="17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Our obligation to settle such pre-paid purchase contracts on the relevant settlement date may constitute indebtedness. Accordingly, pre-paid purchase contracts will be issued under either one or more of the indentures.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18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As specified in the applicable prospectus supplement, we may issue units consisting of one or more purchase contracts, warrants, debt securities, shares of preferred stock, shares of common stock or any combination of such securities. The applicable prospectus supplement will describe:</w:t>
      </w:r>
    </w:p>
    <w:p>
      <w:pPr>
        <w:spacing w:after="0" w:line="147" w:lineRule="exact"/>
        <w:rPr>
          <w:sz w:val="20"/>
          <w:szCs w:val="20"/>
          <w:color w:val="auto"/>
        </w:rPr>
      </w:pPr>
    </w:p>
    <w:p>
      <w:pPr>
        <w:ind w:left="700" w:right="80" w:hanging="341"/>
        <w:spacing w:after="0" w:line="308" w:lineRule="auto"/>
        <w:tabs>
          <w:tab w:leader="none" w:pos="7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terms of the units and of the purchase contracts, warrants, debt securities, shares of preferred stock and shares of common stock comprising the units, including whether and under what circumstances the securities comprising the units may be traded separately;</w:t>
      </w:r>
    </w:p>
    <w:p>
      <w:pPr>
        <w:spacing w:after="0" w:line="173" w:lineRule="exact"/>
        <w:rPr>
          <w:rFonts w:ascii="Arial" w:cs="Arial" w:eastAsia="Arial" w:hAnsi="Arial"/>
          <w:sz w:val="17"/>
          <w:szCs w:val="17"/>
          <w:color w:val="auto"/>
        </w:rPr>
      </w:pPr>
    </w:p>
    <w:p>
      <w:pPr>
        <w:ind w:left="700" w:hanging="341"/>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 and</w:t>
      </w:r>
    </w:p>
    <w:p>
      <w:pPr>
        <w:spacing w:after="0" w:line="252" w:lineRule="exact"/>
        <w:rPr>
          <w:rFonts w:ascii="Arial" w:cs="Arial" w:eastAsia="Arial" w:hAnsi="Arial"/>
          <w:sz w:val="18"/>
          <w:szCs w:val="18"/>
          <w:color w:val="auto"/>
        </w:rPr>
      </w:pPr>
    </w:p>
    <w:p>
      <w:pPr>
        <w:ind w:left="700" w:hanging="341"/>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24" w:name="page25"/>
    <w:bookmarkEnd w:id="24"/>
    <w:p>
      <w:pPr>
        <w:ind w:left="4640"/>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may sell the securities, separately or together in units, in several ways, including:</w:t>
      </w:r>
    </w:p>
    <w:p>
      <w:pPr>
        <w:spacing w:after="0" w:line="225" w:lineRule="exact"/>
        <w:rPr>
          <w:sz w:val="20"/>
          <w:szCs w:val="20"/>
          <w:color w:val="auto"/>
        </w:rPr>
      </w:pPr>
    </w:p>
    <w:p>
      <w:pPr>
        <w:ind w:left="700" w:hanging="341"/>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through underwriters or dealers;</w:t>
      </w:r>
    </w:p>
    <w:p>
      <w:pPr>
        <w:spacing w:after="0" w:line="252" w:lineRule="exact"/>
        <w:rPr>
          <w:rFonts w:ascii="Arial" w:cs="Arial" w:eastAsia="Arial" w:hAnsi="Arial"/>
          <w:sz w:val="18"/>
          <w:szCs w:val="18"/>
          <w:color w:val="auto"/>
        </w:rPr>
      </w:pPr>
    </w:p>
    <w:p>
      <w:pPr>
        <w:ind w:left="700" w:hanging="341"/>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through agents; or</w:t>
      </w:r>
    </w:p>
    <w:p>
      <w:pPr>
        <w:spacing w:after="0" w:line="252" w:lineRule="exact"/>
        <w:rPr>
          <w:rFonts w:ascii="Arial" w:cs="Arial" w:eastAsia="Arial" w:hAnsi="Arial"/>
          <w:sz w:val="18"/>
          <w:szCs w:val="18"/>
          <w:color w:val="auto"/>
        </w:rPr>
      </w:pPr>
    </w:p>
    <w:p>
      <w:pPr>
        <w:ind w:left="700" w:hanging="341"/>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directly to a limited number of purchasers or to a single purchaser.</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prospectus supplement with respect to a particular offering of securities will set forth the terms of the offering of such securities, including the name or names of any underwriters or agents, the purchase price of such securities, the proceeds to L Brands, Inc. from such sale, any underwriting discounts and other items constituting underwriters’ compensation, any initial public offering price, any discounts or concessions allowed or reallowed or paid to dealers and any securities exchanges on which such securities may be listed.</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If underwriters are used in the sale, the securities will be acquired by the underwriters for their own account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by underwriters without a syndicate. Any initial public offering price and any discounts or concessions allowed or reallowed or paid to dealers may be changed from time to time.</w:t>
      </w:r>
    </w:p>
    <w:p>
      <w:pPr>
        <w:spacing w:after="0" w:line="17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Any underwriters, broker-dealers and agents that participate in the distribution of such securities may be deemed to be “underwriters” as defined in the Securities Act of 1933, as amended (the “Act”). Any commissions paid or any discounts or concessions allowed to any such persons, and any profits they receive on resale of the securities, may be deemed to be underwriting discounts and commissions under the Act. We anticipate that any underwriting agreement pertaining to any such securities will:</w:t>
      </w:r>
    </w:p>
    <w:p>
      <w:pPr>
        <w:spacing w:after="0" w:line="187" w:lineRule="exact"/>
        <w:rPr>
          <w:sz w:val="20"/>
          <w:szCs w:val="20"/>
          <w:color w:val="auto"/>
        </w:rPr>
      </w:pPr>
    </w:p>
    <w:p>
      <w:pPr>
        <w:ind w:left="700" w:right="60" w:hanging="341"/>
        <w:spacing w:after="0" w:line="277"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entitle the underwriters to indemnification by us against certain civil liabilities under the Act or to contribution with respect to payments which the underwriters may be required to make in respect of such liabilities;</w:t>
      </w:r>
    </w:p>
    <w:p>
      <w:pPr>
        <w:spacing w:after="0" w:line="197" w:lineRule="exact"/>
        <w:rPr>
          <w:rFonts w:ascii="Arial" w:cs="Arial" w:eastAsia="Arial" w:hAnsi="Arial"/>
          <w:sz w:val="18"/>
          <w:szCs w:val="18"/>
          <w:color w:val="auto"/>
        </w:rPr>
      </w:pPr>
    </w:p>
    <w:p>
      <w:pPr>
        <w:ind w:left="700" w:hanging="341"/>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that the obligations of the underwriters will be subject to certain conditions precedent; and</w:t>
      </w:r>
    </w:p>
    <w:p>
      <w:pPr>
        <w:spacing w:after="0" w:line="252" w:lineRule="exact"/>
        <w:rPr>
          <w:rFonts w:ascii="Arial" w:cs="Arial" w:eastAsia="Arial" w:hAnsi="Arial"/>
          <w:sz w:val="18"/>
          <w:szCs w:val="18"/>
          <w:color w:val="auto"/>
        </w:rPr>
      </w:pPr>
    </w:p>
    <w:p>
      <w:pPr>
        <w:ind w:left="700" w:hanging="341"/>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that the underwriters generally will be obligated to purchase all such securities if any are purchased.</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Securities also may be offered directly by us or through agents designated by us from time to time. Any such agent will be named, and the terms of any such agency (including any commissions payable by us to any such agent) will be set forth, in the prospectus supplement relating to such securities. Unless otherwise indicated in such prospectus supplement, any such agent will act on a best efforts basis for the period of its appointment. Agents named in a prospectus supplement may be deemed to be underwriters (within the meaning of the Act) of the securities described in such prospectus supplement and, under agreements which may be entered into with us, may be entitled to indemnification by us against certain civil liabilities under the Act or to contribution with respect to payments which the agents may be required to make in respect of such liabilities.</w:t>
      </w:r>
    </w:p>
    <w:p>
      <w:pPr>
        <w:spacing w:after="0" w:line="17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may enter into derivative or other hedging transactions with financial institutions. These financial institutions may in turn engage in sales of common stock to hedge their position, deliver this prospectus in connection with some or all of those sales and use the shares covered by this prospectus to close out any short position created in connection with those sales. We may also sell shares of common stock short using this prospectus and deliver common stock covered by this prospectus to close out such short positions, or loan or pledge common stock to financial institutions that in turn may sell the shares of common stock using this prospectus. We may pledge or grant a security interest in some or all of the common stock covered by this prospectus to support a derivative or hedging position or other obligations and, if we default in the performance of our obligations, the pledgees or secured parties may offer and sell the common stock from time to time pursuant to this prospectus.</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580"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t>Underwriters and agents may be customers of, engage in transactions with, or perform services for, us and our subsidiaries in the ordinary course of business.</w:t>
      </w:r>
    </w:p>
    <w:p>
      <w:pPr>
        <w:spacing w:after="0" w:line="248"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If so indicated in a prospectus supplement, we will authorize underwriters, dealers or other agents of ours to solicit offers by certain specified entities to purchase securities from us pursuant to contracts providing for payment and delivery at a future date. The obligations of any purchaser under any such contract will not be subject to any conditions except those described in such prospectus supplement. Such prospectus supplement will set forth the commissions payable for solicitations of such contracts.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New York Stock Exchange under the symbol “LB.”</w:t>
      </w:r>
    </w:p>
    <w:p>
      <w:pPr>
        <w:spacing w:after="0" w:line="22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Underwriters and agents may from time to time purchase and sell securities in the secondary market, but are not obligated to do so, and there can be no assurance that there will be a secondary market for the securities or liquidity in the secondary market if one develops. From time to time, underwriters and agents may make a market in or engage in stabilization activities for the securities.</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One or more firms, referred to as “remarketing firms,” may also offer or sell the securities, if the prospectus supplement so indicates, in connection with a remarketing arrangement upon their purchase. Remarketing firms will act as principals for their own accounts or as agents for us. These remarketing firms will offer or sell the securities in accordance with a redemption or repayment pursuant to the terms of the securities. The prospectus supplement will identify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Act, as amended, and may be customers of, engage in transactions with or perform services for us in the ordinary course of business.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OPINIONS</w:t>
      </w:r>
    </w:p>
    <w:p>
      <w:pPr>
        <w:spacing w:after="0" w:line="22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Certain legal matters in connection with the securities to be offered by this prospectus will be passed upon for us by Davis Polk &amp;Wardwell LLP, New York, New York. Any underwriters, dealers or agents will be advised by their own legal counsel concerning issues relating to any offering.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consolidated financial statements of L Brands, Inc. appearing in L Brands, Inc.’s Annual Report (Form 10-K) for the year ended February 3, 2018, and the effectiveness of L Brands, Inc.’s internal control over financial reporting as of February 3, 2018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5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With respect to the unaudited condensed consolidated interim financial information of L Brands, Inc. and subsidiaries for the thirteen week periods ended May 5, 2018 and April 29, 2017, the thirteen and twenty-six week periods ended August 4, 2018 and July 29, 2017, and the thirteen and thirty-nine week periods ended November 3, 2018 and October 28, 2017, all of which are incorporated by reference in this prospectus, Ernst &amp; Young LLP reported that they have applied limited procedures in accordance with professional standards for a review of such information. However, their separate reports dated June 7, 2018, September 7, 2018 and December 4, 2018, respectively, included in the L Brands, Inc. Quarterly Reports on Form 10-Q for the periods then ended, and incorporated by reference herein, state that they did not audit and they do not express an opinion on that interim financial information. Accordingly, the degree of reliance on their reports on such information should be restricted in light of the limited nature of the review procedures applied. Ernst &amp; Young LLP is not subject to the liability provisions of Section 11 of the Securities Act of 1933 (the "Act") for their report on the unaudited interim financial information because that report is not a "report" or a "part" of the Registration Statement prepared or certified by Ernst &amp; Young LLP within the meaning of Sections 7 and 11 of the Act.</w:t>
      </w:r>
    </w:p>
    <w:p>
      <w:pPr>
        <w:spacing w:after="0" w:line="200" w:lineRule="exact"/>
        <w:rPr>
          <w:sz w:val="20"/>
          <w:szCs w:val="20"/>
          <w:color w:val="auto"/>
        </w:rPr>
      </w:pP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estimated costs and expenses payable by the Registrants in connection with the sale of the securities being registered hereby.</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3"/>
              </w:rPr>
              <w:t>Amount to</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60" w:type="dxa"/>
            <w:vAlign w:val="bottom"/>
            <w:vMerge w:val="restart"/>
          </w:tcPr>
          <w:p>
            <w:pPr>
              <w:spacing w:after="0"/>
              <w:rPr>
                <w:sz w:val="20"/>
                <w:szCs w:val="20"/>
                <w:color w:val="auto"/>
              </w:rPr>
            </w:pPr>
            <w:r>
              <w:rPr>
                <w:rFonts w:ascii="Arial" w:cs="Arial" w:eastAsia="Arial" w:hAnsi="Arial"/>
                <w:sz w:val="18"/>
                <w:szCs w:val="18"/>
                <w:color w:val="auto"/>
              </w:rPr>
              <w:t>SEC registration fee</w:t>
            </w:r>
          </w:p>
        </w:tc>
        <w:tc>
          <w:tcPr>
            <w:tcW w:w="20" w:type="dxa"/>
            <w:vAlign w:val="bottom"/>
          </w:tcPr>
          <w:p>
            <w:pPr>
              <w:spacing w:after="0"/>
              <w:rPr>
                <w:sz w:val="20"/>
                <w:szCs w:val="20"/>
                <w:color w:val="auto"/>
              </w:rPr>
            </w:pPr>
          </w:p>
        </w:tc>
        <w:tc>
          <w:tcPr>
            <w:tcW w:w="9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b w:val="1"/>
                <w:bCs w:val="1"/>
                <w:color w:val="auto"/>
              </w:rPr>
              <w:t>be Paid</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81"/>
              </w:rPr>
              <w:t>(1)</w:t>
            </w:r>
          </w:p>
        </w:tc>
        <w:tc>
          <w:tcPr>
            <w:tcW w:w="0" w:type="dxa"/>
            <w:vAlign w:val="bottom"/>
          </w:tcPr>
          <w:p>
            <w:pPr>
              <w:spacing w:after="0"/>
              <w:rPr>
                <w:sz w:val="1"/>
                <w:szCs w:val="1"/>
                <w:color w:val="auto"/>
              </w:rPr>
            </w:pPr>
          </w:p>
        </w:tc>
      </w:tr>
      <w:tr>
        <w:trPr>
          <w:trHeight w:val="195"/>
        </w:trPr>
        <w:tc>
          <w:tcPr>
            <w:tcW w:w="100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jc w:val="right"/>
              <w:ind w:right="735"/>
              <w:spacing w:after="0"/>
              <w:rPr>
                <w:sz w:val="20"/>
                <w:szCs w:val="20"/>
                <w:color w:val="auto"/>
              </w:rPr>
            </w:pPr>
            <w:r>
              <w:rPr>
                <w:rFonts w:ascii="Arial" w:cs="Arial" w:eastAsia="Arial" w:hAnsi="Arial"/>
                <w:sz w:val="15"/>
                <w:szCs w:val="15"/>
                <w:color w:val="auto"/>
                <w:w w:val="71"/>
              </w:rPr>
              <w:t>$</w:t>
            </w:r>
          </w:p>
        </w:tc>
        <w:tc>
          <w:tcPr>
            <w:tcW w:w="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FINRA filing fees</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1"/>
              </w:rPr>
              <w:t>(2)</w:t>
            </w:r>
          </w:p>
        </w:tc>
        <w:tc>
          <w:tcPr>
            <w:tcW w:w="0" w:type="dxa"/>
            <w:vAlign w:val="bottom"/>
          </w:tcPr>
          <w:p>
            <w:pPr>
              <w:spacing w:after="0"/>
              <w:rPr>
                <w:sz w:val="1"/>
                <w:szCs w:val="1"/>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Printing</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1"/>
              </w:rPr>
              <w:t>(2)</w:t>
            </w:r>
          </w:p>
        </w:tc>
        <w:tc>
          <w:tcPr>
            <w:tcW w:w="0" w:type="dxa"/>
            <w:vAlign w:val="bottom"/>
          </w:tcPr>
          <w:p>
            <w:pPr>
              <w:spacing w:after="0"/>
              <w:rPr>
                <w:sz w:val="1"/>
                <w:szCs w:val="1"/>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Legal fees and expenses (including Blue Sky fees)</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1"/>
              </w:rPr>
              <w:t>(2)</w:t>
            </w:r>
          </w:p>
        </w:tc>
        <w:tc>
          <w:tcPr>
            <w:tcW w:w="0" w:type="dxa"/>
            <w:vAlign w:val="bottom"/>
          </w:tcPr>
          <w:p>
            <w:pPr>
              <w:spacing w:after="0"/>
              <w:rPr>
                <w:sz w:val="1"/>
                <w:szCs w:val="1"/>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Trustee fees</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1"/>
              </w:rPr>
              <w:t>(2)</w:t>
            </w:r>
          </w:p>
        </w:tc>
        <w:tc>
          <w:tcPr>
            <w:tcW w:w="0" w:type="dxa"/>
            <w:vAlign w:val="bottom"/>
          </w:tcPr>
          <w:p>
            <w:pPr>
              <w:spacing w:after="0"/>
              <w:rPr>
                <w:sz w:val="1"/>
                <w:szCs w:val="1"/>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Rating agency fees</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1"/>
              </w:rPr>
              <w:t>(2)</w:t>
            </w:r>
          </w:p>
        </w:tc>
        <w:tc>
          <w:tcPr>
            <w:tcW w:w="0" w:type="dxa"/>
            <w:vAlign w:val="bottom"/>
          </w:tcPr>
          <w:p>
            <w:pPr>
              <w:spacing w:after="0"/>
              <w:rPr>
                <w:sz w:val="1"/>
                <w:szCs w:val="1"/>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Transfer agent and registrar fees</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1"/>
              </w:rPr>
              <w:t>(2)</w:t>
            </w:r>
          </w:p>
        </w:tc>
        <w:tc>
          <w:tcPr>
            <w:tcW w:w="0" w:type="dxa"/>
            <w:vAlign w:val="bottom"/>
          </w:tcPr>
          <w:p>
            <w:pPr>
              <w:spacing w:after="0"/>
              <w:rPr>
                <w:sz w:val="1"/>
                <w:szCs w:val="1"/>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1"/>
              </w:rPr>
              <w:t>(2)</w:t>
            </w:r>
          </w:p>
        </w:tc>
        <w:tc>
          <w:tcPr>
            <w:tcW w:w="0" w:type="dxa"/>
            <w:vAlign w:val="bottom"/>
          </w:tcPr>
          <w:p>
            <w:pPr>
              <w:spacing w:after="0"/>
              <w:rPr>
                <w:sz w:val="1"/>
                <w:szCs w:val="1"/>
                <w:color w:val="auto"/>
              </w:rPr>
            </w:pPr>
          </w:p>
        </w:tc>
      </w:tr>
      <w:tr>
        <w:trPr>
          <w:trHeight w:val="230"/>
        </w:trPr>
        <w:tc>
          <w:tcPr>
            <w:tcW w:w="10060" w:type="dxa"/>
            <w:vAlign w:val="bottom"/>
          </w:tcPr>
          <w:p>
            <w:pPr>
              <w:spacing w:after="0"/>
              <w:rPr>
                <w:sz w:val="20"/>
                <w:szCs w:val="20"/>
                <w:color w:val="auto"/>
              </w:rPr>
            </w:pPr>
            <w:r>
              <w:rPr>
                <w:rFonts w:ascii="Arial" w:cs="Arial" w:eastAsia="Arial" w:hAnsi="Arial"/>
                <w:sz w:val="18"/>
                <w:szCs w:val="18"/>
                <w:color w:val="auto"/>
              </w:rPr>
              <w:t>Miscellaneous</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1"/>
              </w:rPr>
              <w:t>(2)</w:t>
            </w:r>
          </w:p>
        </w:tc>
        <w:tc>
          <w:tcPr>
            <w:tcW w:w="0" w:type="dxa"/>
            <w:vAlign w:val="bottom"/>
          </w:tcPr>
          <w:p>
            <w:pPr>
              <w:spacing w:after="0"/>
              <w:rPr>
                <w:sz w:val="1"/>
                <w:szCs w:val="1"/>
                <w:color w:val="auto"/>
              </w:rPr>
            </w:pPr>
          </w:p>
        </w:tc>
      </w:tr>
      <w:tr>
        <w:trPr>
          <w:trHeight w:val="162"/>
        </w:trPr>
        <w:tc>
          <w:tcPr>
            <w:tcW w:w="10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0060" w:type="dxa"/>
            <w:vAlign w:val="bottom"/>
          </w:tcPr>
          <w:p>
            <w:pPr>
              <w:spacing w:after="0"/>
              <w:rPr>
                <w:sz w:val="20"/>
                <w:szCs w:val="20"/>
                <w:color w:val="auto"/>
              </w:rPr>
            </w:pPr>
            <w:r>
              <w:rPr>
                <w:rFonts w:ascii="Arial" w:cs="Arial" w:eastAsia="Arial" w:hAnsi="Arial"/>
                <w:sz w:val="18"/>
                <w:szCs w:val="18"/>
                <w:color w:val="auto"/>
              </w:rPr>
              <w:t>TOTAL</w:t>
            </w:r>
          </w:p>
        </w:tc>
        <w:tc>
          <w:tcPr>
            <w:tcW w:w="920" w:type="dxa"/>
            <w:vAlign w:val="bottom"/>
            <w:gridSpan w:val="2"/>
          </w:tcPr>
          <w:p>
            <w:pPr>
              <w:jc w:val="right"/>
              <w:ind w:right="735"/>
              <w:spacing w:after="0"/>
              <w:rPr>
                <w:sz w:val="20"/>
                <w:szCs w:val="20"/>
                <w:color w:val="auto"/>
              </w:rPr>
            </w:pPr>
            <w:r>
              <w:rPr>
                <w:rFonts w:ascii="Arial" w:cs="Arial" w:eastAsia="Arial" w:hAnsi="Arial"/>
                <w:sz w:val="18"/>
                <w:szCs w:val="18"/>
                <w:color w:val="auto"/>
                <w:w w:val="79"/>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1"/>
              </w:rPr>
              <w:t>(2)</w:t>
            </w:r>
          </w:p>
        </w:tc>
        <w:tc>
          <w:tcPr>
            <w:tcW w:w="0" w:type="dxa"/>
            <w:vAlign w:val="bottom"/>
          </w:tcPr>
          <w:p>
            <w:pPr>
              <w:spacing w:after="0"/>
              <w:rPr>
                <w:sz w:val="1"/>
                <w:szCs w:val="1"/>
                <w:color w:val="auto"/>
              </w:rPr>
            </w:pPr>
          </w:p>
        </w:tc>
      </w:tr>
      <w:tr>
        <w:trPr>
          <w:trHeight w:val="162"/>
        </w:trPr>
        <w:tc>
          <w:tcPr>
            <w:tcW w:w="100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7" w:lineRule="exact"/>
        <w:rPr>
          <w:sz w:val="20"/>
          <w:szCs w:val="20"/>
          <w:color w:val="auto"/>
        </w:rPr>
      </w:pPr>
    </w:p>
    <w:p>
      <w:pPr>
        <w:ind w:left="280" w:hanging="272"/>
        <w:spacing w:after="0"/>
        <w:tabs>
          <w:tab w:leader="none" w:pos="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Deferred in reliance upon Rule 456(b) and Rule 457(r).</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These fees are calculated based on the securities offered and the number of issuances and accordingly cannot be estimated at this time.</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229"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We are a Delaware corporation. Section 102(b)(7) of the DGCL enables a corporation to eliminate or limit the personal liability of a director to the corporation or its stockholders for monetary damages for breach of the director’s fiduciary duty, except:</w:t>
      </w:r>
    </w:p>
    <w:p>
      <w:pPr>
        <w:spacing w:after="0" w:line="170" w:lineRule="exact"/>
        <w:rPr>
          <w:sz w:val="20"/>
          <w:szCs w:val="20"/>
          <w:color w:val="auto"/>
        </w:rPr>
      </w:pPr>
    </w:p>
    <w:p>
      <w:pPr>
        <w:ind w:left="700" w:hanging="341"/>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the corporation or its stockholders;</w:t>
      </w:r>
    </w:p>
    <w:p>
      <w:pPr>
        <w:spacing w:after="0" w:line="252" w:lineRule="exact"/>
        <w:rPr>
          <w:rFonts w:ascii="Arial" w:cs="Arial" w:eastAsia="Arial" w:hAnsi="Arial"/>
          <w:sz w:val="18"/>
          <w:szCs w:val="18"/>
          <w:color w:val="auto"/>
        </w:rPr>
      </w:pPr>
    </w:p>
    <w:p>
      <w:pPr>
        <w:ind w:left="700" w:hanging="341"/>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w:t>
      </w:r>
    </w:p>
    <w:p>
      <w:pPr>
        <w:spacing w:after="0" w:line="252" w:lineRule="exact"/>
        <w:rPr>
          <w:rFonts w:ascii="Arial" w:cs="Arial" w:eastAsia="Arial" w:hAnsi="Arial"/>
          <w:sz w:val="18"/>
          <w:szCs w:val="18"/>
          <w:color w:val="auto"/>
        </w:rPr>
      </w:pPr>
    </w:p>
    <w:p>
      <w:pPr>
        <w:ind w:left="700" w:right="700" w:hanging="341"/>
        <w:spacing w:after="0" w:line="277"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pursuant to Section 174 of the DGCL (providing for liability of directors for unlawful payment of dividends or unlawful stock purchases or redemptions); or</w:t>
      </w:r>
    </w:p>
    <w:p>
      <w:pPr>
        <w:spacing w:after="0" w:line="197" w:lineRule="exact"/>
        <w:rPr>
          <w:rFonts w:ascii="Arial" w:cs="Arial" w:eastAsia="Arial" w:hAnsi="Arial"/>
          <w:sz w:val="18"/>
          <w:szCs w:val="18"/>
          <w:color w:val="auto"/>
        </w:rPr>
      </w:pPr>
    </w:p>
    <w:p>
      <w:pPr>
        <w:ind w:left="700" w:hanging="341"/>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2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In accordance with Section 102(b)(7) of the DGCL, the Restated Certificate of Incorporation of L Brands includes a provision eliminating, to the fullest extent permitted by the DGCL, the liability of L Brands’ directors to L Brands or its stockholders for monetary damages for breach of fiduciary as director.</w:t>
      </w:r>
    </w:p>
    <w:p>
      <w:pPr>
        <w:spacing w:after="0" w:line="124"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Section 145(a) of the DGCL empowers a corporation to indemnify any present or former director, officer, employee or agent of the corporation, or any individual serving at the corporation’s request as a director, officer, employee or agent of another organization, who was or is a party or is threatened to be made a party to any threatened, pending or completed action, suit or proceeding, whether civil, criminal, administrative or investigative (other than an action by or in the right of the corporation), against expenses (including attorneys’ fees), judgments, fines and amounts paid in settlement actually and reasonably incurred by the person in connection with such action, suit or proceeding provided that such director, officer, employee or agent acted in good faith and in a manner he or she reasonably believed to be in, or not opposed to, the best interests of the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7" w:name="page28"/>
    <w:bookmarkEnd w:id="27"/>
    <w:p>
      <w:pPr>
        <w:ind w:right="100"/>
        <w:spacing w:after="0" w:line="277" w:lineRule="auto"/>
        <w:rPr>
          <w:sz w:val="20"/>
          <w:szCs w:val="20"/>
          <w:color w:val="auto"/>
        </w:rPr>
      </w:pPr>
      <w:r>
        <w:rPr>
          <w:rFonts w:ascii="Arial" w:cs="Arial" w:eastAsia="Arial" w:hAnsi="Arial"/>
          <w:sz w:val="18"/>
          <w:szCs w:val="18"/>
          <w:color w:val="auto"/>
        </w:rPr>
        <w:t>corporation, and, with respect to any criminal action or proceeding, provided further that such director, officer, employee or agent had no reasonable cause to believe his or her conduct was unlawful.</w:t>
      </w:r>
    </w:p>
    <w:p>
      <w:pPr>
        <w:spacing w:after="0" w:line="170"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The DGCL provides that the indemnification described above shall not be deemed exclusive of any other indemnification that may be granted by a corporation pursuant to its bylaws, disinterested directors’ vote, stockholders’ vote, agreement or otherwise.</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DGCL also provides corporations with the power to purchase and maintain insurance on behalf of any person who is or was a director, officer, employee or agent of the corporation, or is or was serving at the request of the corporation in a similar capacity for another corporation, partnership, joint venture, trust or other enterprise, against any liability asserted against him or her in any such capacity, or arising out of his or her status as such, whether or not the corporation would have the power to indemnify him or her against such liability as described above.</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accordance with Section 145(a) of the DGCL, L Brands’ Amended and Restated Bylaws provide that every person who was or is a party or is threatened to be made a party to any threatened, pending or completed action, suit, or proceeding, whether civil, criminal, administrative or investigative, by reason of the fact that such person, or such person’s testator or intestate, is or was serving as a director or officer of L Brands or is or was serving at the request of L Brands as a director, officer, employee or agent of another corporation, partnership, joint venture, trust, or other enterprise, or as a member of any committee or similar body, shall be indemnified and held harmless to the fullest extent legally permissible under the DGCL against all expenses (including attorney’s fees), judgments, penalties, fines and amounts paid in settlement reasonably incurred by such person in connection with such action, suit or proceeding (including appeals) or the defense or settlement thereof or any claim, issue, or matter therein. Expenses incurred by a director or officer in defending such an action, suit or proceeding shall be paid by L Brands in advance of the final disposition of such action, suit or proceeding upon receipt of an undertaking by or on behalf of such person to repay any amount if it is ultimately determined that such director or officer is not entitled to indemnification by L Brands as authorized by the relevant sections of the DGCL.</w:t>
      </w:r>
    </w:p>
    <w:p>
      <w:pPr>
        <w:spacing w:after="0" w:line="17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proposed form of Terms Agreement filed as Exhibit 1.1 to this registration statement provides for indemnification of directors and officers of the Registrants by the underwriters against certain liabilities.</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Each undersigned Registrant hereby undertakes:</w:t>
      </w:r>
    </w:p>
    <w:p>
      <w:pPr>
        <w:spacing w:after="0" w:line="225" w:lineRule="exact"/>
        <w:rPr>
          <w:sz w:val="20"/>
          <w:szCs w:val="20"/>
          <w:color w:val="auto"/>
        </w:rPr>
      </w:pPr>
    </w:p>
    <w:p>
      <w:pPr>
        <w:ind w:left="700" w:right="380" w:hanging="341"/>
        <w:spacing w:after="0" w:line="277"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of securities registered hereby, a post-effective amendment to this registration statement:</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left="1300" w:right="140" w:hanging="320"/>
        <w:spacing w:after="0" w:line="297" w:lineRule="auto"/>
        <w:tabs>
          <w:tab w:leader="none" w:pos="13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8" w:name="page29"/>
    <w:bookmarkEnd w:id="28"/>
    <w:p>
      <w:pPr>
        <w:ind w:left="1300" w:right="700"/>
        <w:spacing w:after="0" w:line="277" w:lineRule="auto"/>
        <w:rPr>
          <w:sz w:val="20"/>
          <w:szCs w:val="20"/>
          <w:color w:val="auto"/>
        </w:rPr>
      </w:pPr>
      <w:r>
        <w:rPr>
          <w:rFonts w:ascii="Arial" w:cs="Arial" w:eastAsia="Arial" w:hAnsi="Arial"/>
          <w:sz w:val="18"/>
          <w:szCs w:val="18"/>
          <w:color w:val="auto"/>
        </w:rPr>
        <w:t>in volume and price represent no more than a 20% change in the maximum aggregate offering price set forth in the “Calculation of Registration Fee” table in the effective registration statement;</w:t>
      </w:r>
    </w:p>
    <w:p>
      <w:pPr>
        <w:spacing w:after="0" w:line="170" w:lineRule="exact"/>
        <w:rPr>
          <w:sz w:val="20"/>
          <w:szCs w:val="20"/>
          <w:color w:val="auto"/>
        </w:rPr>
      </w:pPr>
    </w:p>
    <w:p>
      <w:pPr>
        <w:ind w:left="1300" w:right="420" w:hanging="320"/>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9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provided, however, that paragraphs (i), (ii) and (iii) above do not apply if the information required to be included in a post-effective amendment by those paragraphs is contained in periodic reports filed with or furnished to the SEC by the Registrant pursuant to Section 13 or Section 15(d) of the Securities Exchange Act of 1934 that are incorporated by reference into this registration statement, or is contained in a form of prospectus filed pursuant to Rule 424(b) that is part of this registration statement.</w:t>
      </w:r>
    </w:p>
    <w:p>
      <w:pPr>
        <w:spacing w:after="0" w:line="187" w:lineRule="exact"/>
        <w:rPr>
          <w:sz w:val="20"/>
          <w:szCs w:val="20"/>
          <w:color w:val="auto"/>
        </w:rPr>
      </w:pPr>
    </w:p>
    <w:p>
      <w:pPr>
        <w:ind w:left="700" w:right="20" w:hanging="341"/>
        <w:spacing w:after="0" w:line="264"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hereof.</w:t>
      </w:r>
    </w:p>
    <w:p>
      <w:pPr>
        <w:spacing w:after="0" w:line="208" w:lineRule="exact"/>
        <w:rPr>
          <w:rFonts w:ascii="Arial" w:cs="Arial" w:eastAsia="Arial" w:hAnsi="Arial"/>
          <w:sz w:val="18"/>
          <w:szCs w:val="18"/>
          <w:color w:val="auto"/>
        </w:rPr>
      </w:pPr>
    </w:p>
    <w:p>
      <w:pPr>
        <w:ind w:left="700" w:right="160" w:hanging="341"/>
        <w:spacing w:after="0" w:line="277"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97" w:lineRule="exact"/>
        <w:rPr>
          <w:rFonts w:ascii="Arial" w:cs="Arial" w:eastAsia="Arial" w:hAnsi="Arial"/>
          <w:sz w:val="18"/>
          <w:szCs w:val="18"/>
          <w:color w:val="auto"/>
        </w:rPr>
      </w:pPr>
    </w:p>
    <w:p>
      <w:pPr>
        <w:ind w:left="700" w:hanging="341"/>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52" w:lineRule="exact"/>
        <w:rPr>
          <w:rFonts w:ascii="Arial" w:cs="Arial" w:eastAsia="Arial" w:hAnsi="Arial"/>
          <w:sz w:val="18"/>
          <w:szCs w:val="18"/>
          <w:color w:val="auto"/>
        </w:rPr>
      </w:pPr>
    </w:p>
    <w:p>
      <w:pPr>
        <w:ind w:left="1300" w:right="100" w:hanging="320"/>
        <w:spacing w:after="0" w:line="277"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left="1300" w:hanging="320"/>
        <w:spacing w:after="0" w:line="287" w:lineRule="auto"/>
        <w:tabs>
          <w:tab w:leader="none" w:pos="13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this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9" w:lineRule="exact"/>
        <w:rPr>
          <w:rFonts w:ascii="Arial" w:cs="Arial" w:eastAsia="Arial" w:hAnsi="Arial"/>
          <w:sz w:val="16"/>
          <w:szCs w:val="16"/>
          <w:color w:val="auto"/>
        </w:rPr>
      </w:pPr>
    </w:p>
    <w:p>
      <w:pPr>
        <w:ind w:left="700" w:right="80" w:hanging="341"/>
        <w:spacing w:after="0" w:line="257"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Registrants undertake that in a primary offering of securities of the undersigned Registrants pursuant to this registration statement, regardless of the underwriting method used to sell the securities to the purchaser, if the securities are offered or sold to such purchaser by means of any of the following communications, the undersigned Registrants will be a seller to the purchaser and will be considered to offer or sell such securities to such purchaser:</w:t>
      </w:r>
    </w:p>
    <w:p>
      <w:pPr>
        <w:spacing w:after="0" w:line="215" w:lineRule="exact"/>
        <w:rPr>
          <w:rFonts w:ascii="Arial" w:cs="Arial" w:eastAsia="Arial" w:hAnsi="Arial"/>
          <w:sz w:val="18"/>
          <w:szCs w:val="18"/>
          <w:color w:val="auto"/>
        </w:rPr>
      </w:pPr>
    </w:p>
    <w:p>
      <w:pPr>
        <w:ind w:left="1300" w:hanging="320"/>
        <w:spacing w:after="0"/>
        <w:tabs>
          <w:tab w:leader="none" w:pos="13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Registrants relating to the offering required to be filed pursuant to Rule 424;</w:t>
      </w:r>
    </w:p>
    <w:p>
      <w:pPr>
        <w:spacing w:after="0" w:line="275" w:lineRule="exact"/>
        <w:rPr>
          <w:rFonts w:ascii="Arial" w:cs="Arial" w:eastAsia="Arial" w:hAnsi="Arial"/>
          <w:sz w:val="16"/>
          <w:szCs w:val="16"/>
          <w:color w:val="auto"/>
        </w:rPr>
      </w:pPr>
    </w:p>
    <w:p>
      <w:pPr>
        <w:ind w:left="1300" w:right="380" w:hanging="320"/>
        <w:spacing w:after="0" w:line="277"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Registrants or used or referred to by the undersigned Registrants;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 w:name="page30"/>
    <w:bookmarkEnd w:id="29"/>
    <w:p>
      <w:pPr>
        <w:ind w:left="941" w:hanging="320"/>
        <w:spacing w:after="0" w:line="277" w:lineRule="auto"/>
        <w:tabs>
          <w:tab w:leader="none" w:pos="941"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Registrants or its securities provided by or on behalf of the undersigned Registrants; and</w:t>
      </w:r>
    </w:p>
    <w:p>
      <w:pPr>
        <w:spacing w:after="0" w:line="197" w:lineRule="exact"/>
        <w:rPr>
          <w:rFonts w:ascii="Arial" w:cs="Arial" w:eastAsia="Arial" w:hAnsi="Arial"/>
          <w:sz w:val="18"/>
          <w:szCs w:val="18"/>
          <w:color w:val="auto"/>
        </w:rPr>
      </w:pPr>
    </w:p>
    <w:p>
      <w:pPr>
        <w:ind w:left="941" w:hanging="320"/>
        <w:spacing w:after="0"/>
        <w:tabs>
          <w:tab w:leader="none" w:pos="941"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Registrants to the purchaser.</w:t>
      </w:r>
    </w:p>
    <w:p>
      <w:pPr>
        <w:spacing w:after="0" w:line="252" w:lineRule="exact"/>
        <w:rPr>
          <w:rFonts w:ascii="Arial" w:cs="Arial" w:eastAsia="Arial" w:hAnsi="Arial"/>
          <w:sz w:val="18"/>
          <w:szCs w:val="18"/>
          <w:color w:val="auto"/>
        </w:rPr>
      </w:pPr>
    </w:p>
    <w:p>
      <w:pPr>
        <w:ind w:left="341" w:right="60" w:hanging="341"/>
        <w:spacing w:after="0" w:line="257" w:lineRule="auto"/>
        <w:tabs>
          <w:tab w:leader="none" w:pos="341"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undersigned Registrants hereby undertake that, for purposes of determining any liability under the Securities Act of 1933, each filing of the L Brands’ annual report pursuant to Section 13(a) or Section 15(d) of the Securities Exchange Act of 1934 (and, where applicable, each filing of an employee benefit plan’s annual report pursuant to Section 15(d) of the Securities Exchange Act of 1934) that is incorporated by reference into the registration statement shall be deemed to be a new registration statement relating to the securities offered therein, and the offering of such securities at that time shall be deemed to be the initial bona fide offering thereof.</w:t>
      </w:r>
    </w:p>
    <w:p>
      <w:pPr>
        <w:spacing w:after="0" w:line="215" w:lineRule="exact"/>
        <w:rPr>
          <w:rFonts w:ascii="Arial" w:cs="Arial" w:eastAsia="Arial" w:hAnsi="Arial"/>
          <w:sz w:val="18"/>
          <w:szCs w:val="18"/>
          <w:color w:val="auto"/>
        </w:rPr>
      </w:pPr>
    </w:p>
    <w:p>
      <w:pPr>
        <w:ind w:left="341" w:right="60" w:hanging="341"/>
        <w:spacing w:after="0" w:line="290" w:lineRule="auto"/>
        <w:tabs>
          <w:tab w:leader="none" w:pos="341"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67"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7620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1"/>
          </w:cols>
          <w:pgMar w:left="599" w:top="584" w:right="2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60" w:type="dxa"/>
            <w:vAlign w:val="bottom"/>
            <w:gridSpan w:val="19"/>
          </w:tcPr>
          <w:p>
            <w:pPr>
              <w:ind w:left="260"/>
              <w:spacing w:after="0"/>
              <w:rPr>
                <w:sz w:val="20"/>
                <w:szCs w:val="20"/>
                <w:color w:val="auto"/>
              </w:rPr>
            </w:pPr>
            <w:r>
              <w:rPr>
                <w:rFonts w:ascii="Arial" w:cs="Arial" w:eastAsia="Arial" w:hAnsi="Arial"/>
                <w:sz w:val="18"/>
                <w:szCs w:val="18"/>
                <w:b w:val="1"/>
                <w:bCs w:val="1"/>
                <w:color w:val="auto"/>
              </w:rPr>
              <w:t>EXHIBIT INDEX</w:t>
            </w:r>
          </w:p>
        </w:tc>
      </w:tr>
      <w:tr>
        <w:trPr>
          <w:trHeight w:val="648"/>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3"/>
              </w:rPr>
              <w:t>Exhibit No.</w:t>
            </w:r>
          </w:p>
        </w:tc>
        <w:tc>
          <w:tcPr>
            <w:tcW w:w="9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gridSpan w:val="17"/>
          </w:tcPr>
          <w:p>
            <w:pPr>
              <w:ind w:left="220"/>
              <w:spacing w:after="0"/>
              <w:rPr>
                <w:sz w:val="20"/>
                <w:szCs w:val="20"/>
                <w:color w:val="auto"/>
              </w:rPr>
            </w:pPr>
            <w:r>
              <w:rPr>
                <w:rFonts w:ascii="Arial" w:cs="Arial" w:eastAsia="Arial" w:hAnsi="Arial"/>
                <w:sz w:val="18"/>
                <w:szCs w:val="18"/>
                <w:b w:val="1"/>
                <w:bCs w:val="1"/>
                <w:color w:val="auto"/>
              </w:rPr>
              <w:t>Document</w:t>
            </w: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1.1</w:t>
            </w:r>
          </w:p>
        </w:tc>
        <w:tc>
          <w:tcPr>
            <w:tcW w:w="920" w:type="dxa"/>
            <w:vAlign w:val="bottom"/>
          </w:tcPr>
          <w:p>
            <w:pPr>
              <w:spacing w:after="0"/>
              <w:rPr>
                <w:sz w:val="24"/>
                <w:szCs w:val="24"/>
                <w:color w:val="auto"/>
              </w:rPr>
            </w:pPr>
          </w:p>
        </w:tc>
        <w:tc>
          <w:tcPr>
            <w:tcW w:w="9540" w:type="dxa"/>
            <w:vAlign w:val="bottom"/>
            <w:tcBorders>
              <w:bottom w:val="single" w:sz="8" w:color="0000EE"/>
            </w:tcBorders>
            <w:gridSpan w:val="23"/>
          </w:tcPr>
          <w:p>
            <w:pPr>
              <w:spacing w:after="0"/>
              <w:rPr>
                <w:rFonts w:ascii="Arial" w:cs="Arial" w:eastAsia="Arial" w:hAnsi="Arial"/>
                <w:sz w:val="18"/>
                <w:szCs w:val="18"/>
                <w:color w:val="0000EE"/>
                <w:w w:val="92"/>
              </w:rPr>
            </w:pPr>
            <w:hyperlink r:id="rId57">
              <w:r>
                <w:rPr>
                  <w:rFonts w:ascii="Arial" w:cs="Arial" w:eastAsia="Arial" w:hAnsi="Arial"/>
                  <w:sz w:val="18"/>
                  <w:szCs w:val="18"/>
                  <w:color w:val="0000EE"/>
                  <w:w w:val="92"/>
                </w:rPr>
                <w:t>Proposed form of Terms Agreement (including Annex A thereto) which constitutes the Underwriting Agreement for Debt Securities</w:t>
              </w:r>
            </w:hyperlink>
          </w:p>
        </w:tc>
        <w:tc>
          <w:tcPr>
            <w:tcW w:w="4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1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57">
              <w:r>
                <w:rPr>
                  <w:rFonts w:ascii="Arial" w:cs="Arial" w:eastAsia="Arial" w:hAnsi="Arial"/>
                  <w:sz w:val="18"/>
                  <w:szCs w:val="18"/>
                  <w:color w:val="0000EE"/>
                  <w:w w:val="90"/>
                </w:rPr>
                <w:t>and Warrants to purchase Debt Securities, incorporated by reference to Exhibit 1.1 to the Company’s Registration Statement on</w:t>
              </w:r>
            </w:hyperlink>
          </w:p>
        </w:tc>
        <w:tc>
          <w:tcPr>
            <w:tcW w:w="400" w:type="dxa"/>
            <w:vAlign w:val="bottom"/>
            <w:gridSpan w:val="7"/>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18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57">
              <w:r>
                <w:rPr>
                  <w:rFonts w:ascii="Arial" w:cs="Arial" w:eastAsia="Arial" w:hAnsi="Arial"/>
                  <w:sz w:val="18"/>
                  <w:szCs w:val="18"/>
                  <w:color w:val="0000EE"/>
                  <w:w w:val="91"/>
                </w:rPr>
                <w:t>Form S-3 (Reg. No. 333-170406) filed November 5, 2010</w:t>
              </w:r>
            </w:hyperlink>
          </w:p>
        </w:tc>
        <w:tc>
          <w:tcPr>
            <w:tcW w:w="5400" w:type="dxa"/>
            <w:vAlign w:val="bottom"/>
            <w:gridSpan w:val="17"/>
          </w:tcPr>
          <w:p>
            <w:pPr>
              <w:spacing w:after="0"/>
              <w:rPr>
                <w:sz w:val="17"/>
                <w:szCs w:val="17"/>
                <w:color w:val="auto"/>
              </w:rPr>
            </w:pPr>
          </w:p>
        </w:tc>
      </w:tr>
      <w:tr>
        <w:trPr>
          <w:trHeight w:val="453"/>
        </w:trPr>
        <w:tc>
          <w:tcPr>
            <w:tcW w:w="920" w:type="dxa"/>
            <w:vAlign w:val="bottom"/>
          </w:tcPr>
          <w:p>
            <w:pPr>
              <w:spacing w:after="0"/>
              <w:rPr>
                <w:sz w:val="20"/>
                <w:szCs w:val="20"/>
                <w:color w:val="auto"/>
              </w:rPr>
            </w:pPr>
            <w:r>
              <w:rPr>
                <w:rFonts w:ascii="Arial" w:cs="Arial" w:eastAsia="Arial" w:hAnsi="Arial"/>
                <w:sz w:val="18"/>
                <w:szCs w:val="18"/>
                <w:color w:val="auto"/>
              </w:rPr>
              <w:t>1.2**</w:t>
            </w:r>
          </w:p>
        </w:tc>
        <w:tc>
          <w:tcPr>
            <w:tcW w:w="920" w:type="dxa"/>
            <w:vAlign w:val="bottom"/>
          </w:tcPr>
          <w:p>
            <w:pPr>
              <w:spacing w:after="0"/>
              <w:rPr>
                <w:sz w:val="24"/>
                <w:szCs w:val="24"/>
                <w:color w:val="auto"/>
              </w:rPr>
            </w:pPr>
          </w:p>
        </w:tc>
        <w:tc>
          <w:tcPr>
            <w:tcW w:w="9580" w:type="dxa"/>
            <w:vAlign w:val="bottom"/>
            <w:gridSpan w:val="24"/>
          </w:tcPr>
          <w:p>
            <w:pPr>
              <w:spacing w:after="0"/>
              <w:rPr>
                <w:sz w:val="20"/>
                <w:szCs w:val="20"/>
                <w:color w:val="auto"/>
              </w:rPr>
            </w:pPr>
            <w:r>
              <w:rPr>
                <w:rFonts w:ascii="Arial" w:cs="Arial" w:eastAsia="Arial" w:hAnsi="Arial"/>
                <w:sz w:val="18"/>
                <w:szCs w:val="18"/>
                <w:color w:val="auto"/>
                <w:w w:val="95"/>
              </w:rPr>
              <w:t>Proposed form of Underwriting Agreement for Securities other than Debt Securities and Warrants to purchase Debt Securities</w:t>
            </w:r>
          </w:p>
        </w:tc>
      </w:tr>
      <w:tr>
        <w:trPr>
          <w:trHeight w:val="392"/>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920" w:type="dxa"/>
            <w:vAlign w:val="bottom"/>
          </w:tcPr>
          <w:p>
            <w:pPr>
              <w:spacing w:after="0"/>
              <w:rPr>
                <w:sz w:val="24"/>
                <w:szCs w:val="24"/>
                <w:color w:val="auto"/>
              </w:rPr>
            </w:pPr>
          </w:p>
        </w:tc>
        <w:tc>
          <w:tcPr>
            <w:tcW w:w="9420" w:type="dxa"/>
            <w:vAlign w:val="bottom"/>
            <w:tcBorders>
              <w:bottom w:val="single" w:sz="8" w:color="0000EE"/>
            </w:tcBorders>
            <w:gridSpan w:val="18"/>
          </w:tcPr>
          <w:p>
            <w:pPr>
              <w:spacing w:after="0"/>
              <w:rPr>
                <w:rFonts w:ascii="Arial" w:cs="Arial" w:eastAsia="Arial" w:hAnsi="Arial"/>
                <w:sz w:val="18"/>
                <w:szCs w:val="18"/>
                <w:color w:val="0000EE"/>
                <w:w w:val="91"/>
              </w:rPr>
            </w:pPr>
            <w:hyperlink r:id="rId58">
              <w:r>
                <w:rPr>
                  <w:rFonts w:ascii="Arial" w:cs="Arial" w:eastAsia="Arial" w:hAnsi="Arial"/>
                  <w:sz w:val="18"/>
                  <w:szCs w:val="18"/>
                  <w:color w:val="0000EE"/>
                  <w:w w:val="91"/>
                </w:rPr>
                <w:t>Restated Certificate of Incorporation of the Company, incorporated by reference to Exhibit 3.1 to the Company’s Form 10-K dated</w:t>
              </w:r>
            </w:hyperlink>
          </w:p>
        </w:tc>
        <w:tc>
          <w:tcPr>
            <w:tcW w:w="160" w:type="dxa"/>
            <w:vAlign w:val="bottom"/>
            <w:gridSpan w:val="6"/>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58">
              <w:r>
                <w:rPr>
                  <w:rFonts w:ascii="Arial" w:cs="Arial" w:eastAsia="Arial" w:hAnsi="Arial"/>
                  <w:sz w:val="18"/>
                  <w:szCs w:val="18"/>
                  <w:color w:val="0000EE"/>
                  <w:w w:val="88"/>
                </w:rPr>
                <w:t>February 1, 2014</w:t>
              </w:r>
            </w:hyperlink>
          </w:p>
        </w:tc>
        <w:tc>
          <w:tcPr>
            <w:tcW w:w="8340" w:type="dxa"/>
            <w:vAlign w:val="bottom"/>
            <w:gridSpan w:val="22"/>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4.2</w:t>
            </w:r>
          </w:p>
        </w:tc>
        <w:tc>
          <w:tcPr>
            <w:tcW w:w="920" w:type="dxa"/>
            <w:vAlign w:val="bottom"/>
          </w:tcPr>
          <w:p>
            <w:pPr>
              <w:spacing w:after="0"/>
              <w:rPr>
                <w:sz w:val="24"/>
                <w:szCs w:val="24"/>
                <w:color w:val="auto"/>
              </w:rPr>
            </w:pPr>
          </w:p>
        </w:tc>
        <w:tc>
          <w:tcPr>
            <w:tcW w:w="9580" w:type="dxa"/>
            <w:vAlign w:val="bottom"/>
            <w:gridSpan w:val="24"/>
          </w:tcPr>
          <w:p>
            <w:pPr>
              <w:spacing w:after="0"/>
              <w:rPr>
                <w:rFonts w:ascii="Arial" w:cs="Arial" w:eastAsia="Arial" w:hAnsi="Arial"/>
                <w:sz w:val="18"/>
                <w:szCs w:val="18"/>
                <w:color w:val="0000EE"/>
                <w:w w:val="92"/>
              </w:rPr>
            </w:pPr>
            <w:hyperlink r:id="rId59">
              <w:r>
                <w:rPr>
                  <w:rFonts w:ascii="Arial" w:cs="Arial" w:eastAsia="Arial" w:hAnsi="Arial"/>
                  <w:sz w:val="18"/>
                  <w:szCs w:val="18"/>
                  <w:color w:val="0000EE"/>
                  <w:w w:val="92"/>
                </w:rPr>
                <w:t>Amended and Restated Bylaws of the Company, incorporated by reference to Exhibit 3.2 to the Company’s Form 8-K dated March</w:t>
              </w:r>
            </w:hyperlink>
          </w:p>
        </w:tc>
      </w:tr>
      <w:tr>
        <w:trPr>
          <w:trHeight w:val="196"/>
        </w:trPr>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59">
              <w:r>
                <w:rPr>
                  <w:rFonts w:ascii="Arial" w:cs="Arial" w:eastAsia="Arial" w:hAnsi="Arial"/>
                  <w:sz w:val="18"/>
                  <w:szCs w:val="18"/>
                  <w:color w:val="0000EE"/>
                  <w:w w:val="88"/>
                </w:rPr>
                <w:t>22, 2013</w:t>
              </w:r>
            </w:hyperlink>
          </w:p>
        </w:tc>
        <w:tc>
          <w:tcPr>
            <w:tcW w:w="60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2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53"/>
        </w:trPr>
        <w:tc>
          <w:tcPr>
            <w:tcW w:w="920" w:type="dxa"/>
            <w:vAlign w:val="bottom"/>
          </w:tcPr>
          <w:p>
            <w:pPr>
              <w:spacing w:after="0"/>
              <w:rPr>
                <w:sz w:val="20"/>
                <w:szCs w:val="20"/>
                <w:color w:val="auto"/>
              </w:rPr>
            </w:pPr>
            <w:r>
              <w:rPr>
                <w:rFonts w:ascii="Arial" w:cs="Arial" w:eastAsia="Arial" w:hAnsi="Arial"/>
                <w:sz w:val="18"/>
                <w:szCs w:val="18"/>
                <w:color w:val="auto"/>
              </w:rPr>
              <w:t>4.3**</w:t>
            </w:r>
          </w:p>
        </w:tc>
        <w:tc>
          <w:tcPr>
            <w:tcW w:w="920" w:type="dxa"/>
            <w:vAlign w:val="bottom"/>
          </w:tcPr>
          <w:p>
            <w:pPr>
              <w:spacing w:after="0"/>
              <w:rPr>
                <w:sz w:val="24"/>
                <w:szCs w:val="24"/>
                <w:color w:val="auto"/>
              </w:rPr>
            </w:pPr>
          </w:p>
        </w:tc>
        <w:tc>
          <w:tcPr>
            <w:tcW w:w="9580" w:type="dxa"/>
            <w:vAlign w:val="bottom"/>
            <w:gridSpan w:val="24"/>
          </w:tcPr>
          <w:p>
            <w:pPr>
              <w:spacing w:after="0"/>
              <w:rPr>
                <w:sz w:val="20"/>
                <w:szCs w:val="20"/>
                <w:color w:val="auto"/>
              </w:rPr>
            </w:pPr>
            <w:r>
              <w:rPr>
                <w:rFonts w:ascii="Arial" w:cs="Arial" w:eastAsia="Arial" w:hAnsi="Arial"/>
                <w:sz w:val="18"/>
                <w:szCs w:val="18"/>
                <w:color w:val="auto"/>
              </w:rPr>
              <w:t>Form of Deposit Agreement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4.4**</w:t>
            </w:r>
          </w:p>
        </w:tc>
        <w:tc>
          <w:tcPr>
            <w:tcW w:w="920" w:type="dxa"/>
            <w:vAlign w:val="bottom"/>
          </w:tcPr>
          <w:p>
            <w:pPr>
              <w:spacing w:after="0"/>
              <w:rPr>
                <w:sz w:val="24"/>
                <w:szCs w:val="24"/>
                <w:color w:val="auto"/>
              </w:rPr>
            </w:pPr>
          </w:p>
        </w:tc>
        <w:tc>
          <w:tcPr>
            <w:tcW w:w="9580" w:type="dxa"/>
            <w:vAlign w:val="bottom"/>
            <w:gridSpan w:val="24"/>
          </w:tcPr>
          <w:p>
            <w:pPr>
              <w:spacing w:after="0"/>
              <w:rPr>
                <w:sz w:val="20"/>
                <w:szCs w:val="20"/>
                <w:color w:val="auto"/>
              </w:rPr>
            </w:pPr>
            <w:r>
              <w:rPr>
                <w:rFonts w:ascii="Arial" w:cs="Arial" w:eastAsia="Arial" w:hAnsi="Arial"/>
                <w:sz w:val="18"/>
                <w:szCs w:val="18"/>
                <w:color w:val="auto"/>
              </w:rPr>
              <w:t>Form of Deposit Receipt</w:t>
            </w:r>
          </w:p>
        </w:tc>
      </w:tr>
      <w:tr>
        <w:trPr>
          <w:trHeight w:val="392"/>
        </w:trPr>
        <w:tc>
          <w:tcPr>
            <w:tcW w:w="920" w:type="dxa"/>
            <w:vAlign w:val="bottom"/>
          </w:tcPr>
          <w:p>
            <w:pPr>
              <w:spacing w:after="0"/>
              <w:rPr>
                <w:sz w:val="20"/>
                <w:szCs w:val="20"/>
                <w:color w:val="auto"/>
              </w:rPr>
            </w:pPr>
            <w:r>
              <w:rPr>
                <w:rFonts w:ascii="Arial" w:cs="Arial" w:eastAsia="Arial" w:hAnsi="Arial"/>
                <w:sz w:val="18"/>
                <w:szCs w:val="18"/>
                <w:color w:val="auto"/>
              </w:rPr>
              <w:t>4.5</w:t>
            </w:r>
          </w:p>
        </w:tc>
        <w:tc>
          <w:tcPr>
            <w:tcW w:w="920" w:type="dxa"/>
            <w:vAlign w:val="bottom"/>
          </w:tcPr>
          <w:p>
            <w:pPr>
              <w:spacing w:after="0"/>
              <w:rPr>
                <w:sz w:val="24"/>
                <w:szCs w:val="24"/>
                <w:color w:val="auto"/>
              </w:rPr>
            </w:pPr>
          </w:p>
        </w:tc>
        <w:tc>
          <w:tcPr>
            <w:tcW w:w="8920" w:type="dxa"/>
            <w:vAlign w:val="bottom"/>
            <w:tcBorders>
              <w:bottom w:val="single" w:sz="8" w:color="0000EE"/>
            </w:tcBorders>
            <w:gridSpan w:val="15"/>
          </w:tcPr>
          <w:p>
            <w:pPr>
              <w:spacing w:after="0"/>
              <w:rPr>
                <w:rFonts w:ascii="Arial" w:cs="Arial" w:eastAsia="Arial" w:hAnsi="Arial"/>
                <w:sz w:val="18"/>
                <w:szCs w:val="18"/>
                <w:color w:val="0000EE"/>
                <w:w w:val="90"/>
              </w:rPr>
            </w:pPr>
            <w:hyperlink r:id="rId60">
              <w:r>
                <w:rPr>
                  <w:rFonts w:ascii="Arial" w:cs="Arial" w:eastAsia="Arial" w:hAnsi="Arial"/>
                  <w:sz w:val="18"/>
                  <w:szCs w:val="18"/>
                  <w:color w:val="0000EE"/>
                  <w:w w:val="90"/>
                </w:rPr>
                <w:t>Indenture, dated as of June 16, 2016, among L Brands, Inc. and U.S. Bank National Association, as trustee, incorporated by</w:t>
              </w:r>
            </w:hyperlink>
          </w:p>
        </w:tc>
        <w:tc>
          <w:tcPr>
            <w:tcW w:w="660" w:type="dxa"/>
            <w:vAlign w:val="bottom"/>
            <w:gridSpan w:val="9"/>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80" w:type="dxa"/>
            <w:vAlign w:val="bottom"/>
            <w:gridSpan w:val="24"/>
          </w:tcPr>
          <w:p>
            <w:pPr>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reference to Exhibit 4.1 to the Company’s Form 8-K dated June 16, 2016.</w:t>
              </w:r>
            </w:hyperlink>
          </w:p>
        </w:tc>
      </w:tr>
      <w:tr>
        <w:trPr>
          <w:trHeight w:val="20"/>
        </w:trPr>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4.6</w:t>
            </w:r>
          </w:p>
        </w:tc>
        <w:tc>
          <w:tcPr>
            <w:tcW w:w="920" w:type="dxa"/>
            <w:vAlign w:val="bottom"/>
          </w:tcPr>
          <w:p>
            <w:pPr>
              <w:spacing w:after="0"/>
              <w:rPr>
                <w:sz w:val="24"/>
                <w:szCs w:val="24"/>
                <w:color w:val="auto"/>
              </w:rPr>
            </w:pPr>
          </w:p>
        </w:tc>
        <w:tc>
          <w:tcPr>
            <w:tcW w:w="9580" w:type="dxa"/>
            <w:vAlign w:val="bottom"/>
            <w:gridSpan w:val="24"/>
          </w:tcPr>
          <w:p>
            <w:pPr>
              <w:spacing w:after="0"/>
              <w:rPr>
                <w:rFonts w:ascii="Arial" w:cs="Arial" w:eastAsia="Arial" w:hAnsi="Arial"/>
                <w:sz w:val="18"/>
                <w:szCs w:val="18"/>
                <w:color w:val="0000EE"/>
                <w:w w:val="90"/>
              </w:rPr>
            </w:pPr>
            <w:hyperlink r:id="rId61">
              <w:r>
                <w:rPr>
                  <w:rFonts w:ascii="Arial" w:cs="Arial" w:eastAsia="Arial" w:hAnsi="Arial"/>
                  <w:sz w:val="18"/>
                  <w:szCs w:val="18"/>
                  <w:color w:val="0000EE"/>
                  <w:w w:val="90"/>
                </w:rPr>
                <w:t>First Supplemental Indenture, dated as of June 16, 2016, by and among L Brands, Inc., the guarantors named therein and U.S. Bank</w:t>
              </w:r>
            </w:hyperlink>
          </w:p>
        </w:tc>
      </w:tr>
      <w:tr>
        <w:trPr>
          <w:trHeight w:val="196"/>
        </w:trPr>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r:id="rId61">
              <w:r>
                <w:rPr>
                  <w:rFonts w:ascii="Arial" w:cs="Arial" w:eastAsia="Arial" w:hAnsi="Arial"/>
                  <w:sz w:val="18"/>
                  <w:szCs w:val="18"/>
                  <w:color w:val="0000EE"/>
                  <w:w w:val="90"/>
                </w:rPr>
                <w:t>National Association, as trustee, incorporated by reference to Exhibit 4.2 to the Company’s Form 8-K dated June 16, 2016.</w:t>
              </w:r>
            </w:hyperlink>
          </w:p>
        </w:tc>
        <w:tc>
          <w:tcPr>
            <w:tcW w:w="620" w:type="dxa"/>
            <w:vAlign w:val="bottom"/>
            <w:tcBorders>
              <w:top w:val="single" w:sz="8" w:color="0000EE"/>
            </w:tcBorders>
            <w:gridSpan w:val="6"/>
          </w:tcPr>
          <w:p>
            <w:pPr>
              <w:spacing w:after="0"/>
              <w:rPr>
                <w:sz w:val="17"/>
                <w:szCs w:val="17"/>
                <w:color w:val="auto"/>
              </w:rPr>
            </w:pPr>
          </w:p>
        </w:tc>
        <w:tc>
          <w:tcPr>
            <w:tcW w:w="100" w:type="dxa"/>
            <w:vAlign w:val="bottom"/>
            <w:gridSpan w:val="4"/>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4.7</w:t>
            </w:r>
          </w:p>
        </w:tc>
        <w:tc>
          <w:tcPr>
            <w:tcW w:w="920" w:type="dxa"/>
            <w:vAlign w:val="bottom"/>
          </w:tcPr>
          <w:p>
            <w:pPr>
              <w:spacing w:after="0"/>
              <w:rPr>
                <w:sz w:val="24"/>
                <w:szCs w:val="24"/>
                <w:color w:val="auto"/>
              </w:rPr>
            </w:pPr>
          </w:p>
        </w:tc>
        <w:tc>
          <w:tcPr>
            <w:tcW w:w="9500" w:type="dxa"/>
            <w:vAlign w:val="bottom"/>
            <w:tcBorders>
              <w:bottom w:val="single" w:sz="8" w:color="0000EE"/>
            </w:tcBorders>
            <w:gridSpan w:val="21"/>
          </w:tcPr>
          <w:p>
            <w:pPr>
              <w:spacing w:after="0"/>
              <w:rPr>
                <w:rFonts w:ascii="Arial" w:cs="Arial" w:eastAsia="Arial" w:hAnsi="Arial"/>
                <w:sz w:val="18"/>
                <w:szCs w:val="18"/>
                <w:color w:val="0000EE"/>
                <w:w w:val="89"/>
              </w:rPr>
            </w:pPr>
            <w:hyperlink r:id="rId62">
              <w:r>
                <w:rPr>
                  <w:rFonts w:ascii="Arial" w:cs="Arial" w:eastAsia="Arial" w:hAnsi="Arial"/>
                  <w:sz w:val="18"/>
                  <w:szCs w:val="18"/>
                  <w:color w:val="0000EE"/>
                  <w:w w:val="89"/>
                </w:rPr>
                <w:t>Second Supplemental Indenture, dated as of January 23, 2018, by and among L Brands, Inc., the guarantors named therein and U.S.</w:t>
              </w:r>
            </w:hyperlink>
          </w:p>
        </w:tc>
        <w:tc>
          <w:tcPr>
            <w:tcW w:w="80" w:type="dxa"/>
            <w:vAlign w:val="bottom"/>
            <w:gridSpan w:val="3"/>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2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62">
              <w:r>
                <w:rPr>
                  <w:rFonts w:ascii="Arial" w:cs="Arial" w:eastAsia="Arial" w:hAnsi="Arial"/>
                  <w:sz w:val="18"/>
                  <w:szCs w:val="18"/>
                  <w:color w:val="0000EE"/>
                  <w:w w:val="90"/>
                </w:rPr>
                <w:t>Bank National Association, as trustee, incorporated by reference to Exhibit 4.2 to the Company’s Form 8-K dated January 23, 2018.</w:t>
              </w:r>
            </w:hyperlink>
          </w:p>
        </w:tc>
        <w:tc>
          <w:tcPr>
            <w:tcW w:w="60" w:type="dxa"/>
            <w:vAlign w:val="bottom"/>
            <w:gridSpan w:val="2"/>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4.8</w:t>
            </w:r>
          </w:p>
        </w:tc>
        <w:tc>
          <w:tcPr>
            <w:tcW w:w="920" w:type="dxa"/>
            <w:vAlign w:val="bottom"/>
          </w:tcPr>
          <w:p>
            <w:pPr>
              <w:spacing w:after="0"/>
              <w:rPr>
                <w:sz w:val="24"/>
                <w:szCs w:val="24"/>
                <w:color w:val="auto"/>
              </w:rPr>
            </w:pPr>
          </w:p>
        </w:tc>
        <w:tc>
          <w:tcPr>
            <w:tcW w:w="7040" w:type="dxa"/>
            <w:vAlign w:val="bottom"/>
            <w:tcBorders>
              <w:bottom w:val="single" w:sz="8" w:color="0000EE"/>
            </w:tcBorders>
            <w:gridSpan w:val="11"/>
          </w:tcPr>
          <w:p>
            <w:pPr>
              <w:spacing w:after="0"/>
              <w:rPr>
                <w:rFonts w:ascii="Arial" w:cs="Arial" w:eastAsia="Arial" w:hAnsi="Arial"/>
                <w:sz w:val="18"/>
                <w:szCs w:val="18"/>
                <w:color w:val="0000EE"/>
                <w:w w:val="90"/>
              </w:rPr>
            </w:pPr>
            <w:hyperlink r:id="rId63">
              <w:r>
                <w:rPr>
                  <w:rFonts w:ascii="Arial" w:cs="Arial" w:eastAsia="Arial" w:hAnsi="Arial"/>
                  <w:sz w:val="18"/>
                  <w:szCs w:val="18"/>
                  <w:color w:val="0000EE"/>
                  <w:w w:val="90"/>
                </w:rPr>
                <w:t>Form of Subordinated Debt Indenture between the Company and U.S. Bank National Association</w:t>
              </w:r>
            </w:hyperlink>
          </w:p>
        </w:tc>
        <w:tc>
          <w:tcPr>
            <w:tcW w:w="2540" w:type="dxa"/>
            <w:vAlign w:val="bottom"/>
            <w:gridSpan w:val="13"/>
          </w:tcPr>
          <w:p>
            <w:pPr>
              <w:spacing w:after="0"/>
              <w:rPr>
                <w:sz w:val="24"/>
                <w:szCs w:val="24"/>
                <w:color w:val="auto"/>
              </w:rPr>
            </w:pPr>
          </w:p>
        </w:tc>
      </w:tr>
      <w:tr>
        <w:trPr>
          <w:trHeight w:val="453"/>
        </w:trPr>
        <w:tc>
          <w:tcPr>
            <w:tcW w:w="920" w:type="dxa"/>
            <w:vAlign w:val="bottom"/>
          </w:tcPr>
          <w:p>
            <w:pPr>
              <w:spacing w:after="0"/>
              <w:rPr>
                <w:sz w:val="20"/>
                <w:szCs w:val="20"/>
                <w:color w:val="auto"/>
              </w:rPr>
            </w:pPr>
            <w:r>
              <w:rPr>
                <w:rFonts w:ascii="Arial" w:cs="Arial" w:eastAsia="Arial" w:hAnsi="Arial"/>
                <w:sz w:val="18"/>
                <w:szCs w:val="18"/>
                <w:color w:val="auto"/>
              </w:rPr>
              <w:t>4.9**</w:t>
            </w:r>
          </w:p>
        </w:tc>
        <w:tc>
          <w:tcPr>
            <w:tcW w:w="920" w:type="dxa"/>
            <w:vAlign w:val="bottom"/>
          </w:tcPr>
          <w:p>
            <w:pPr>
              <w:spacing w:after="0"/>
              <w:rPr>
                <w:sz w:val="24"/>
                <w:szCs w:val="24"/>
                <w:color w:val="auto"/>
              </w:rPr>
            </w:pPr>
          </w:p>
        </w:tc>
        <w:tc>
          <w:tcPr>
            <w:tcW w:w="9580" w:type="dxa"/>
            <w:vAlign w:val="bottom"/>
            <w:gridSpan w:val="24"/>
          </w:tcPr>
          <w:p>
            <w:pPr>
              <w:spacing w:after="0"/>
              <w:rPr>
                <w:sz w:val="20"/>
                <w:szCs w:val="20"/>
                <w:color w:val="auto"/>
              </w:rPr>
            </w:pPr>
            <w:r>
              <w:rPr>
                <w:rFonts w:ascii="Arial" w:cs="Arial" w:eastAsia="Arial" w:hAnsi="Arial"/>
                <w:sz w:val="18"/>
                <w:szCs w:val="18"/>
                <w:color w:val="auto"/>
              </w:rPr>
              <w:t>Form of Subordinated Note</w:t>
            </w:r>
          </w:p>
        </w:tc>
      </w:tr>
      <w:tr>
        <w:trPr>
          <w:trHeight w:val="392"/>
        </w:trPr>
        <w:tc>
          <w:tcPr>
            <w:tcW w:w="920" w:type="dxa"/>
            <w:vAlign w:val="bottom"/>
          </w:tcPr>
          <w:p>
            <w:pPr>
              <w:spacing w:after="0"/>
              <w:rPr>
                <w:sz w:val="20"/>
                <w:szCs w:val="20"/>
                <w:color w:val="auto"/>
              </w:rPr>
            </w:pPr>
            <w:r>
              <w:rPr>
                <w:rFonts w:ascii="Arial" w:cs="Arial" w:eastAsia="Arial" w:hAnsi="Arial"/>
                <w:sz w:val="18"/>
                <w:szCs w:val="18"/>
                <w:color w:val="auto"/>
              </w:rPr>
              <w:t>4.10</w:t>
            </w:r>
          </w:p>
        </w:tc>
        <w:tc>
          <w:tcPr>
            <w:tcW w:w="920" w:type="dxa"/>
            <w:vAlign w:val="bottom"/>
          </w:tcPr>
          <w:p>
            <w:pPr>
              <w:spacing w:after="0"/>
              <w:rPr>
                <w:sz w:val="24"/>
                <w:szCs w:val="24"/>
                <w:color w:val="auto"/>
              </w:rPr>
            </w:pPr>
          </w:p>
        </w:tc>
        <w:tc>
          <w:tcPr>
            <w:tcW w:w="9580" w:type="dxa"/>
            <w:vAlign w:val="bottom"/>
            <w:gridSpan w:val="24"/>
          </w:tcPr>
          <w:p>
            <w:pPr>
              <w:spacing w:after="0"/>
              <w:rPr>
                <w:rFonts w:ascii="Arial" w:cs="Arial" w:eastAsia="Arial" w:hAnsi="Arial"/>
                <w:sz w:val="18"/>
                <w:szCs w:val="18"/>
                <w:color w:val="0000EE"/>
                <w:w w:val="98"/>
              </w:rPr>
            </w:pPr>
            <w:hyperlink r:id="rId64">
              <w:r>
                <w:rPr>
                  <w:rFonts w:ascii="Arial" w:cs="Arial" w:eastAsia="Arial" w:hAnsi="Arial"/>
                  <w:sz w:val="18"/>
                  <w:szCs w:val="18"/>
                  <w:color w:val="0000EE"/>
                  <w:w w:val="98"/>
                </w:rPr>
                <w:t>Indenture, dated as of June 18, 2018, by and among L Brands, Inc., the guarantors named therein and U.S. Bank National</w:t>
              </w:r>
            </w:hyperlink>
          </w:p>
        </w:tc>
      </w:tr>
      <w:tr>
        <w:trPr>
          <w:trHeight w:val="196"/>
        </w:trPr>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740" w:type="dxa"/>
            <w:vAlign w:val="bottom"/>
            <w:tcBorders>
              <w:top w:val="single" w:sz="8" w:color="0000EE"/>
            </w:tcBorders>
            <w:gridSpan w:val="13"/>
          </w:tcPr>
          <w:p>
            <w:pPr>
              <w:spacing w:after="0" w:line="196" w:lineRule="exact"/>
              <w:rPr>
                <w:rFonts w:ascii="Arial" w:cs="Arial" w:eastAsia="Arial" w:hAnsi="Arial"/>
                <w:sz w:val="18"/>
                <w:szCs w:val="18"/>
                <w:color w:val="0000EE"/>
                <w:w w:val="95"/>
              </w:rPr>
            </w:pPr>
            <w:hyperlink r:id="rId64">
              <w:r>
                <w:rPr>
                  <w:rFonts w:ascii="Arial" w:cs="Arial" w:eastAsia="Arial" w:hAnsi="Arial"/>
                  <w:sz w:val="18"/>
                  <w:szCs w:val="18"/>
                  <w:color w:val="0000EE"/>
                  <w:w w:val="95"/>
                </w:rPr>
                <w:t>Association, as trustee, incorporated by reference to Exhibit 4.25 to the Company’s S-4 dated September 11, 2018</w:t>
              </w:r>
            </w:hyperlink>
          </w:p>
        </w:tc>
        <w:tc>
          <w:tcPr>
            <w:tcW w:w="840" w:type="dxa"/>
            <w:vAlign w:val="bottom"/>
            <w:gridSpan w:val="11"/>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r>
      <w:tr>
        <w:trPr>
          <w:trHeight w:val="438"/>
        </w:trPr>
        <w:tc>
          <w:tcPr>
            <w:tcW w:w="920" w:type="dxa"/>
            <w:vAlign w:val="bottom"/>
          </w:tcPr>
          <w:p>
            <w:pPr>
              <w:spacing w:after="0"/>
              <w:rPr>
                <w:sz w:val="20"/>
                <w:szCs w:val="20"/>
                <w:color w:val="auto"/>
              </w:rPr>
            </w:pPr>
            <w:r>
              <w:rPr>
                <w:rFonts w:ascii="Arial" w:cs="Arial" w:eastAsia="Arial" w:hAnsi="Arial"/>
                <w:sz w:val="18"/>
                <w:szCs w:val="18"/>
                <w:color w:val="auto"/>
              </w:rPr>
              <w:t>4.11</w:t>
            </w:r>
          </w:p>
        </w:tc>
        <w:tc>
          <w:tcPr>
            <w:tcW w:w="920" w:type="dxa"/>
            <w:vAlign w:val="bottom"/>
          </w:tcPr>
          <w:p>
            <w:pPr>
              <w:spacing w:after="0"/>
              <w:rPr>
                <w:sz w:val="24"/>
                <w:szCs w:val="24"/>
                <w:color w:val="auto"/>
              </w:rPr>
            </w:pPr>
          </w:p>
        </w:tc>
        <w:tc>
          <w:tcPr>
            <w:tcW w:w="9580" w:type="dxa"/>
            <w:vAlign w:val="bottom"/>
            <w:gridSpan w:val="24"/>
          </w:tcPr>
          <w:p>
            <w:pPr>
              <w:spacing w:after="0"/>
              <w:rPr>
                <w:sz w:val="20"/>
                <w:szCs w:val="20"/>
                <w:color w:val="auto"/>
              </w:rPr>
            </w:pPr>
            <w:r>
              <w:rPr>
                <w:rFonts w:ascii="Arial" w:cs="Arial" w:eastAsia="Arial" w:hAnsi="Arial"/>
                <w:sz w:val="18"/>
                <w:szCs w:val="18"/>
                <w:color w:val="auto"/>
                <w:w w:val="94"/>
              </w:rPr>
              <w:t>Form of Warrant Agreement for warrants sold attached to Debt Securities, with form of Warrant Certificate attached as Exhibit A</w:t>
            </w:r>
          </w:p>
        </w:tc>
      </w:tr>
      <w:tr>
        <w:trPr>
          <w:trHeight w:val="216"/>
        </w:trPr>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580" w:type="dxa"/>
            <w:vAlign w:val="bottom"/>
            <w:gridSpan w:val="24"/>
          </w:tcPr>
          <w:p>
            <w:pPr>
              <w:spacing w:after="0"/>
              <w:rPr>
                <w:sz w:val="20"/>
                <w:szCs w:val="20"/>
                <w:color w:val="auto"/>
              </w:rPr>
            </w:pPr>
            <w:r>
              <w:rPr>
                <w:rFonts w:ascii="Arial" w:cs="Arial" w:eastAsia="Arial" w:hAnsi="Arial"/>
                <w:sz w:val="18"/>
                <w:szCs w:val="18"/>
                <w:color w:val="auto"/>
                <w:w w:val="93"/>
              </w:rPr>
              <w:t>thereto, incorporated by reference to Exhibit 4.2 to the Company’s Registration Statement on Form S-3 (Reg. No. 33-53366) filed</w:t>
            </w:r>
          </w:p>
        </w:tc>
      </w:tr>
      <w:tr>
        <w:trPr>
          <w:trHeight w:val="230"/>
        </w:trPr>
        <w:tc>
          <w:tcPr>
            <w:tcW w:w="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580" w:type="dxa"/>
            <w:vAlign w:val="bottom"/>
            <w:gridSpan w:val="24"/>
          </w:tcPr>
          <w:p>
            <w:pPr>
              <w:spacing w:after="0"/>
              <w:rPr>
                <w:sz w:val="20"/>
                <w:szCs w:val="20"/>
                <w:color w:val="auto"/>
              </w:rPr>
            </w:pPr>
            <w:r>
              <w:rPr>
                <w:rFonts w:ascii="Arial" w:cs="Arial" w:eastAsia="Arial" w:hAnsi="Arial"/>
                <w:sz w:val="18"/>
                <w:szCs w:val="18"/>
                <w:color w:val="auto"/>
              </w:rPr>
              <w:t>October 16, 1992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4.12</w:t>
            </w:r>
          </w:p>
        </w:tc>
        <w:tc>
          <w:tcPr>
            <w:tcW w:w="920" w:type="dxa"/>
            <w:vAlign w:val="bottom"/>
          </w:tcPr>
          <w:p>
            <w:pPr>
              <w:spacing w:after="0"/>
              <w:rPr>
                <w:sz w:val="24"/>
                <w:szCs w:val="24"/>
                <w:color w:val="auto"/>
              </w:rPr>
            </w:pPr>
          </w:p>
        </w:tc>
        <w:tc>
          <w:tcPr>
            <w:tcW w:w="9580" w:type="dxa"/>
            <w:vAlign w:val="bottom"/>
            <w:gridSpan w:val="24"/>
          </w:tcPr>
          <w:p>
            <w:pPr>
              <w:spacing w:after="0"/>
              <w:rPr>
                <w:sz w:val="20"/>
                <w:szCs w:val="20"/>
                <w:color w:val="auto"/>
              </w:rPr>
            </w:pPr>
            <w:r>
              <w:rPr>
                <w:rFonts w:ascii="Arial" w:cs="Arial" w:eastAsia="Arial" w:hAnsi="Arial"/>
                <w:sz w:val="18"/>
                <w:szCs w:val="18"/>
                <w:color w:val="auto"/>
                <w:w w:val="92"/>
              </w:rPr>
              <w:t>Form of Warrant Agreement for warrants sold alone, with form of Warrant Certificate attached as Exhibit A thereto, incorporated by</w:t>
            </w:r>
          </w:p>
        </w:tc>
      </w:tr>
      <w:tr>
        <w:trPr>
          <w:trHeight w:val="230"/>
        </w:trPr>
        <w:tc>
          <w:tcPr>
            <w:tcW w:w="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580" w:type="dxa"/>
            <w:vAlign w:val="bottom"/>
            <w:gridSpan w:val="24"/>
          </w:tcPr>
          <w:p>
            <w:pPr>
              <w:spacing w:after="0"/>
              <w:rPr>
                <w:sz w:val="20"/>
                <w:szCs w:val="20"/>
                <w:color w:val="auto"/>
              </w:rPr>
            </w:pPr>
            <w:r>
              <w:rPr>
                <w:rFonts w:ascii="Arial" w:cs="Arial" w:eastAsia="Arial" w:hAnsi="Arial"/>
                <w:sz w:val="18"/>
                <w:szCs w:val="18"/>
                <w:color w:val="auto"/>
                <w:w w:val="98"/>
              </w:rPr>
              <w:t>reference to Exhibit 4.3 to the Company’s Registration Statement on Form S-3 (Reg. No. 33-53366) filed October 16, 1992</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4.13**</w:t>
            </w:r>
          </w:p>
        </w:tc>
        <w:tc>
          <w:tcPr>
            <w:tcW w:w="920" w:type="dxa"/>
            <w:vAlign w:val="bottom"/>
          </w:tcPr>
          <w:p>
            <w:pPr>
              <w:spacing w:after="0"/>
              <w:rPr>
                <w:sz w:val="24"/>
                <w:szCs w:val="24"/>
                <w:color w:val="auto"/>
              </w:rPr>
            </w:pPr>
          </w:p>
        </w:tc>
        <w:tc>
          <w:tcPr>
            <w:tcW w:w="9580" w:type="dxa"/>
            <w:vAlign w:val="bottom"/>
            <w:gridSpan w:val="24"/>
          </w:tcPr>
          <w:p>
            <w:pPr>
              <w:spacing w:after="0"/>
              <w:rPr>
                <w:sz w:val="20"/>
                <w:szCs w:val="20"/>
                <w:color w:val="auto"/>
              </w:rPr>
            </w:pPr>
            <w:r>
              <w:rPr>
                <w:rFonts w:ascii="Arial" w:cs="Arial" w:eastAsia="Arial" w:hAnsi="Arial"/>
                <w:sz w:val="18"/>
                <w:szCs w:val="18"/>
                <w:color w:val="auto"/>
              </w:rPr>
              <w:t>Form of Purchase Contract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4.14**</w:t>
            </w:r>
          </w:p>
        </w:tc>
        <w:tc>
          <w:tcPr>
            <w:tcW w:w="920" w:type="dxa"/>
            <w:vAlign w:val="bottom"/>
          </w:tcPr>
          <w:p>
            <w:pPr>
              <w:spacing w:after="0"/>
              <w:rPr>
                <w:sz w:val="24"/>
                <w:szCs w:val="24"/>
                <w:color w:val="auto"/>
              </w:rPr>
            </w:pPr>
          </w:p>
        </w:tc>
        <w:tc>
          <w:tcPr>
            <w:tcW w:w="9580" w:type="dxa"/>
            <w:vAlign w:val="bottom"/>
            <w:gridSpan w:val="24"/>
          </w:tcPr>
          <w:p>
            <w:pPr>
              <w:spacing w:after="0"/>
              <w:rPr>
                <w:sz w:val="20"/>
                <w:szCs w:val="20"/>
                <w:color w:val="auto"/>
              </w:rPr>
            </w:pPr>
            <w:r>
              <w:rPr>
                <w:rFonts w:ascii="Arial" w:cs="Arial" w:eastAsia="Arial" w:hAnsi="Arial"/>
                <w:sz w:val="18"/>
                <w:szCs w:val="18"/>
                <w:color w:val="auto"/>
              </w:rPr>
              <w:t>Form of Unit Agreement</w:t>
            </w:r>
          </w:p>
        </w:tc>
      </w:tr>
      <w:tr>
        <w:trPr>
          <w:trHeight w:val="392"/>
        </w:trPr>
        <w:tc>
          <w:tcPr>
            <w:tcW w:w="920" w:type="dxa"/>
            <w:vAlign w:val="bottom"/>
          </w:tcPr>
          <w:p>
            <w:pPr>
              <w:spacing w:after="0"/>
              <w:rPr>
                <w:sz w:val="20"/>
                <w:szCs w:val="20"/>
                <w:color w:val="auto"/>
              </w:rPr>
            </w:pPr>
            <w:r>
              <w:rPr>
                <w:rFonts w:ascii="Arial" w:cs="Arial" w:eastAsia="Arial" w:hAnsi="Arial"/>
                <w:sz w:val="18"/>
                <w:szCs w:val="18"/>
                <w:color w:val="auto"/>
              </w:rPr>
              <w:t>5.1*</w:t>
            </w:r>
          </w:p>
        </w:tc>
        <w:tc>
          <w:tcPr>
            <w:tcW w:w="920" w:type="dxa"/>
            <w:vAlign w:val="bottom"/>
          </w:tcPr>
          <w:p>
            <w:pPr>
              <w:spacing w:after="0"/>
              <w:rPr>
                <w:sz w:val="24"/>
                <w:szCs w:val="24"/>
                <w:color w:val="auto"/>
              </w:rPr>
            </w:pPr>
          </w:p>
        </w:tc>
        <w:tc>
          <w:tcPr>
            <w:tcW w:w="292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5"/>
              </w:rPr>
              <w:t>Opinion of Davis Polk &amp; Wardwell LLP</w:t>
            </w:r>
          </w:p>
        </w:tc>
        <w:tc>
          <w:tcPr>
            <w:tcW w:w="6660" w:type="dxa"/>
            <w:vAlign w:val="bottom"/>
            <w:gridSpan w:val="19"/>
          </w:tcPr>
          <w:p>
            <w:pPr>
              <w:spacing w:after="0"/>
              <w:rPr>
                <w:sz w:val="24"/>
                <w:szCs w:val="24"/>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15.1*</w:t>
            </w:r>
          </w:p>
        </w:tc>
        <w:tc>
          <w:tcPr>
            <w:tcW w:w="920" w:type="dxa"/>
            <w:vAlign w:val="bottom"/>
          </w:tcPr>
          <w:p>
            <w:pPr>
              <w:spacing w:after="0"/>
              <w:rPr>
                <w:sz w:val="24"/>
                <w:szCs w:val="24"/>
                <w:color w:val="auto"/>
              </w:rPr>
            </w:pPr>
          </w:p>
        </w:tc>
        <w:tc>
          <w:tcPr>
            <w:tcW w:w="334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2"/>
              </w:rPr>
              <w:t>Letter of Awareness from Ernst &amp; Young LLP</w:t>
            </w:r>
          </w:p>
        </w:tc>
        <w:tc>
          <w:tcPr>
            <w:tcW w:w="6240" w:type="dxa"/>
            <w:vAlign w:val="bottom"/>
            <w:gridSpan w:val="18"/>
          </w:tcPr>
          <w:p>
            <w:pPr>
              <w:spacing w:after="0"/>
              <w:rPr>
                <w:sz w:val="24"/>
                <w:szCs w:val="24"/>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920" w:type="dxa"/>
            <w:vAlign w:val="bottom"/>
          </w:tcPr>
          <w:p>
            <w:pPr>
              <w:spacing w:after="0"/>
              <w:rPr>
                <w:sz w:val="24"/>
                <w:szCs w:val="24"/>
                <w:color w:val="auto"/>
              </w:rPr>
            </w:pPr>
          </w:p>
        </w:tc>
        <w:tc>
          <w:tcPr>
            <w:tcW w:w="9580" w:type="dxa"/>
            <w:vAlign w:val="bottom"/>
            <w:gridSpan w:val="24"/>
          </w:tcPr>
          <w:p>
            <w:pPr>
              <w:spacing w:after="0"/>
              <w:rPr>
                <w:sz w:val="20"/>
                <w:szCs w:val="20"/>
                <w:color w:val="auto"/>
              </w:rPr>
            </w:pPr>
            <w:r>
              <w:rPr>
                <w:rFonts w:ascii="Arial" w:cs="Arial" w:eastAsia="Arial" w:hAnsi="Arial"/>
                <w:sz w:val="18"/>
                <w:szCs w:val="18"/>
                <w:color w:val="0000EE"/>
              </w:rPr>
              <w:t>Consent of Ernst &amp; Young LLP</w:t>
            </w:r>
          </w:p>
        </w:tc>
      </w:tr>
      <w:tr>
        <w:trPr>
          <w:trHeight w:val="20"/>
        </w:trPr>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23.2*</w:t>
            </w:r>
          </w:p>
        </w:tc>
        <w:tc>
          <w:tcPr>
            <w:tcW w:w="920" w:type="dxa"/>
            <w:vAlign w:val="bottom"/>
          </w:tcPr>
          <w:p>
            <w:pPr>
              <w:spacing w:after="0"/>
              <w:rPr>
                <w:sz w:val="24"/>
                <w:szCs w:val="24"/>
                <w:color w:val="auto"/>
              </w:rPr>
            </w:pPr>
          </w:p>
        </w:tc>
        <w:tc>
          <w:tcPr>
            <w:tcW w:w="658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3"/>
              </w:rPr>
              <w:t>Consent of Davis Polk &amp; Wardwell LLP (included in opinion filed herewith as Exhibit 5.1)</w:t>
            </w:r>
          </w:p>
        </w:tc>
        <w:tc>
          <w:tcPr>
            <w:tcW w:w="3000" w:type="dxa"/>
            <w:vAlign w:val="bottom"/>
            <w:gridSpan w:val="14"/>
          </w:tcPr>
          <w:p>
            <w:pPr>
              <w:spacing w:after="0"/>
              <w:rPr>
                <w:sz w:val="24"/>
                <w:szCs w:val="24"/>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24.1*</w:t>
            </w:r>
          </w:p>
        </w:tc>
        <w:tc>
          <w:tcPr>
            <w:tcW w:w="920" w:type="dxa"/>
            <w:vAlign w:val="bottom"/>
          </w:tcPr>
          <w:p>
            <w:pPr>
              <w:spacing w:after="0"/>
              <w:rPr>
                <w:sz w:val="24"/>
                <w:szCs w:val="24"/>
                <w:color w:val="auto"/>
              </w:rPr>
            </w:pPr>
          </w:p>
        </w:tc>
        <w:tc>
          <w:tcPr>
            <w:tcW w:w="262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1"/>
              </w:rPr>
              <w:t>Powers of Attorney of the Company</w:t>
            </w:r>
          </w:p>
        </w:tc>
        <w:tc>
          <w:tcPr>
            <w:tcW w:w="6960" w:type="dxa"/>
            <w:vAlign w:val="bottom"/>
            <w:gridSpan w:val="20"/>
          </w:tcPr>
          <w:p>
            <w:pPr>
              <w:spacing w:after="0"/>
              <w:rPr>
                <w:sz w:val="24"/>
                <w:szCs w:val="24"/>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24.2*</w:t>
            </w:r>
          </w:p>
        </w:tc>
        <w:tc>
          <w:tcPr>
            <w:tcW w:w="920" w:type="dxa"/>
            <w:vAlign w:val="bottom"/>
          </w:tcPr>
          <w:p>
            <w:pPr>
              <w:spacing w:after="0"/>
              <w:rPr>
                <w:sz w:val="24"/>
                <w:szCs w:val="24"/>
                <w:color w:val="auto"/>
              </w:rPr>
            </w:pPr>
          </w:p>
        </w:tc>
        <w:tc>
          <w:tcPr>
            <w:tcW w:w="9580" w:type="dxa"/>
            <w:vAlign w:val="bottom"/>
            <w:gridSpan w:val="2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Powers of Attorney of the Guarantors (included on signature pages)</w:t>
              </w:r>
            </w:hyperlink>
          </w:p>
        </w:tc>
      </w:tr>
      <w:tr>
        <w:trPr>
          <w:trHeight w:val="20"/>
        </w:trPr>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2600" w:type="dxa"/>
            <w:vAlign w:val="bottom"/>
            <w:gridSpan w:val="5"/>
            <w:shd w:val="clear" w:color="auto" w:fill="0000EE"/>
          </w:tcPr>
          <w:p>
            <w:pPr>
              <w:spacing w:after="0" w:line="20" w:lineRule="exact"/>
              <w:rPr>
                <w:sz w:val="1"/>
                <w:szCs w:val="1"/>
                <w:color w:val="auto"/>
              </w:rPr>
            </w:pPr>
          </w:p>
        </w:tc>
        <w:tc>
          <w:tcPr>
            <w:tcW w:w="4240" w:type="dxa"/>
            <w:vAlign w:val="bottom"/>
            <w:gridSpan w:val="8"/>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25.1*</w:t>
            </w:r>
          </w:p>
        </w:tc>
        <w:tc>
          <w:tcPr>
            <w:tcW w:w="920" w:type="dxa"/>
            <w:vAlign w:val="bottom"/>
          </w:tcPr>
          <w:p>
            <w:pPr>
              <w:spacing w:after="0"/>
              <w:rPr>
                <w:sz w:val="24"/>
                <w:szCs w:val="24"/>
                <w:color w:val="auto"/>
              </w:rPr>
            </w:pPr>
          </w:p>
        </w:tc>
        <w:tc>
          <w:tcPr>
            <w:tcW w:w="912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1"/>
              </w:rPr>
              <w:t>Form T-1 Statement of Eligibility of Trustee for the Indenture, dated as of June 16, 2016, among L Brands, Inc. and U.S. Bank</w:t>
            </w:r>
          </w:p>
        </w:tc>
        <w:tc>
          <w:tcPr>
            <w:tcW w:w="460" w:type="dxa"/>
            <w:vAlign w:val="bottom"/>
            <w:gridSpan w:val="8"/>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80" w:type="dxa"/>
            <w:vAlign w:val="bottom"/>
            <w:gridSpan w:val="24"/>
          </w:tcPr>
          <w:p>
            <w:pPr>
              <w:spacing w:after="0" w:line="196" w:lineRule="exact"/>
              <w:rPr>
                <w:sz w:val="20"/>
                <w:szCs w:val="20"/>
                <w:color w:val="auto"/>
              </w:rPr>
            </w:pPr>
            <w:r>
              <w:rPr>
                <w:rFonts w:ascii="Arial" w:cs="Arial" w:eastAsia="Arial" w:hAnsi="Arial"/>
                <w:sz w:val="18"/>
                <w:szCs w:val="18"/>
                <w:color w:val="0000EE"/>
              </w:rPr>
              <w:t>National Association, as trustee</w:t>
            </w:r>
          </w:p>
        </w:tc>
      </w:tr>
      <w:tr>
        <w:trPr>
          <w:trHeight w:val="831"/>
        </w:trPr>
        <w:tc>
          <w:tcPr>
            <w:tcW w:w="9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1040" w:type="dxa"/>
            <w:vAlign w:val="bottom"/>
            <w:tcBorders>
              <w:top w:val="single" w:sz="8" w:color="0000EE"/>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tcPr>
          <w:p>
            <w:pPr>
              <w:jc w:val="right"/>
              <w:ind w:right="1330"/>
              <w:spacing w:after="0"/>
              <w:rPr>
                <w:sz w:val="20"/>
                <w:szCs w:val="20"/>
                <w:color w:val="auto"/>
              </w:rPr>
            </w:pPr>
            <w:r>
              <w:rPr>
                <w:rFonts w:ascii="Arial" w:cs="Arial" w:eastAsia="Arial" w:hAnsi="Arial"/>
                <w:sz w:val="18"/>
                <w:szCs w:val="18"/>
                <w:color w:val="auto"/>
                <w:w w:val="95"/>
              </w:rPr>
              <w:t>25.2*</w:t>
            </w:r>
          </w:p>
        </w:tc>
        <w:tc>
          <w:tcPr>
            <w:tcW w:w="70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1"/>
              </w:rPr>
              <w:t>Form T-1</w:t>
            </w:r>
          </w:p>
        </w:tc>
        <w:tc>
          <w:tcPr>
            <w:tcW w:w="5740" w:type="dxa"/>
            <w:vAlign w:val="bottom"/>
            <w:tcBorders>
              <w:bottom w:val="single" w:sz="8" w:color="0000EE"/>
            </w:tcBorders>
            <w:gridSpan w:val="2"/>
          </w:tcPr>
          <w:p>
            <w:pPr>
              <w:ind w:left="20"/>
              <w:spacing w:after="0"/>
              <w:rPr>
                <w:sz w:val="20"/>
                <w:szCs w:val="20"/>
                <w:color w:val="auto"/>
              </w:rPr>
            </w:pPr>
            <w:r>
              <w:rPr>
                <w:rFonts w:ascii="Arial" w:cs="Arial" w:eastAsia="Arial" w:hAnsi="Arial"/>
                <w:sz w:val="18"/>
                <w:szCs w:val="18"/>
                <w:color w:val="0000EE"/>
                <w:w w:val="92"/>
              </w:rPr>
              <w:t>Statement of Eligibility of Trustee for the form of Subordinated Debt Indenture</w:t>
            </w:r>
          </w:p>
        </w:tc>
        <w:tc>
          <w:tcPr>
            <w:tcW w:w="2640" w:type="dxa"/>
            <w:vAlign w:val="bottom"/>
            <w:gridSpan w:val="2"/>
          </w:tcPr>
          <w:p>
            <w:pPr>
              <w:spacing w:after="0"/>
              <w:rPr>
                <w:sz w:val="17"/>
                <w:szCs w:val="17"/>
                <w:color w:val="auto"/>
              </w:rPr>
            </w:pPr>
          </w:p>
        </w:tc>
      </w:tr>
      <w:tr>
        <w:trPr>
          <w:trHeight w:val="412"/>
        </w:trPr>
        <w:tc>
          <w:tcPr>
            <w:tcW w:w="1840" w:type="dxa"/>
            <w:vAlign w:val="bottom"/>
          </w:tcPr>
          <w:p>
            <w:pPr>
              <w:jc w:val="right"/>
              <w:ind w:right="1330"/>
              <w:spacing w:after="0"/>
              <w:rPr>
                <w:sz w:val="20"/>
                <w:szCs w:val="20"/>
                <w:color w:val="auto"/>
              </w:rPr>
            </w:pPr>
            <w:r>
              <w:rPr>
                <w:rFonts w:ascii="Arial" w:cs="Arial" w:eastAsia="Arial" w:hAnsi="Arial"/>
                <w:sz w:val="18"/>
                <w:szCs w:val="18"/>
                <w:color w:val="auto"/>
                <w:w w:val="95"/>
              </w:rPr>
              <w:t>25.3*</w:t>
            </w:r>
          </w:p>
        </w:tc>
        <w:tc>
          <w:tcPr>
            <w:tcW w:w="700" w:type="dxa"/>
            <w:vAlign w:val="bottom"/>
          </w:tcPr>
          <w:p>
            <w:pPr>
              <w:spacing w:after="0"/>
              <w:rPr>
                <w:sz w:val="20"/>
                <w:szCs w:val="20"/>
                <w:color w:val="auto"/>
              </w:rPr>
            </w:pPr>
            <w:r>
              <w:rPr>
                <w:rFonts w:ascii="Arial" w:cs="Arial" w:eastAsia="Arial" w:hAnsi="Arial"/>
                <w:sz w:val="18"/>
                <w:szCs w:val="18"/>
                <w:color w:val="0000EE"/>
                <w:w w:val="91"/>
              </w:rPr>
              <w:t>Form T-1</w:t>
            </w:r>
          </w:p>
        </w:tc>
        <w:tc>
          <w:tcPr>
            <w:tcW w:w="8380" w:type="dxa"/>
            <w:vAlign w:val="bottom"/>
            <w:gridSpan w:val="4"/>
          </w:tcPr>
          <w:p>
            <w:pPr>
              <w:ind w:left="20"/>
              <w:spacing w:after="0"/>
              <w:rPr>
                <w:sz w:val="20"/>
                <w:szCs w:val="20"/>
                <w:color w:val="auto"/>
              </w:rPr>
            </w:pPr>
            <w:r>
              <w:rPr>
                <w:rFonts w:ascii="Arial" w:cs="Arial" w:eastAsia="Arial" w:hAnsi="Arial"/>
                <w:sz w:val="18"/>
                <w:szCs w:val="18"/>
                <w:color w:val="0000EE"/>
                <w:w w:val="91"/>
              </w:rPr>
              <w:t>Statement of Eligibility of Trustee for the Indenture dated as of June 18, 2018, among L Brands, Inc. and U.S. Bank</w:t>
            </w:r>
          </w:p>
        </w:tc>
      </w:tr>
      <w:tr>
        <w:trPr>
          <w:trHeight w:val="196"/>
        </w:trPr>
        <w:tc>
          <w:tcPr>
            <w:tcW w:w="1840" w:type="dxa"/>
            <w:vAlign w:val="bottom"/>
          </w:tcPr>
          <w:p>
            <w:pPr>
              <w:spacing w:after="0"/>
              <w:rPr>
                <w:sz w:val="17"/>
                <w:szCs w:val="17"/>
                <w:color w:val="auto"/>
              </w:rPr>
            </w:pPr>
          </w:p>
        </w:tc>
        <w:tc>
          <w:tcPr>
            <w:tcW w:w="224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National Association as trustee</w:t>
            </w:r>
          </w:p>
        </w:tc>
        <w:tc>
          <w:tcPr>
            <w:tcW w:w="682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To be filed, if necessary, by amendment or as an exhibit to a Current Report on Form 8-K which will be incorporated by referenced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240" w:top="810" w:right="7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Columbus, State of Ohio, on January 29, 2019.</w:t>
      </w:r>
    </w:p>
    <w:p>
      <w:pPr>
        <w:spacing w:after="0" w:line="397"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1520" w:type="dxa"/>
            <w:vAlign w:val="bottom"/>
            <w:gridSpan w:val="2"/>
          </w:tcPr>
          <w:p>
            <w:pPr>
              <w:spacing w:after="0"/>
              <w:rPr>
                <w:sz w:val="20"/>
                <w:szCs w:val="20"/>
                <w:color w:val="auto"/>
              </w:rPr>
            </w:pPr>
            <w:r>
              <w:rPr>
                <w:rFonts w:ascii="Arial" w:cs="Arial" w:eastAsia="Arial" w:hAnsi="Arial"/>
                <w:sz w:val="18"/>
                <w:szCs w:val="18"/>
                <w:color w:val="auto"/>
              </w:rPr>
              <w:t>L BRANDS, INC.</w:t>
            </w:r>
          </w:p>
        </w:tc>
        <w:tc>
          <w:tcPr>
            <w:tcW w:w="4080" w:type="dxa"/>
            <w:vAlign w:val="bottom"/>
          </w:tcPr>
          <w:p>
            <w:pPr>
              <w:spacing w:after="0"/>
              <w:rPr>
                <w:sz w:val="20"/>
                <w:szCs w:val="20"/>
                <w:color w:val="auto"/>
              </w:rPr>
            </w:pP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Stuart B. Burgdoerfer</w:t>
            </w:r>
          </w:p>
        </w:tc>
      </w:tr>
      <w:tr>
        <w:trPr>
          <w:trHeight w:val="195"/>
        </w:trPr>
        <w:tc>
          <w:tcPr>
            <w:tcW w:w="760" w:type="dxa"/>
            <w:vAlign w:val="bottom"/>
          </w:tcPr>
          <w:p>
            <w:pPr>
              <w:spacing w:after="0"/>
              <w:rPr>
                <w:sz w:val="16"/>
                <w:szCs w:val="16"/>
                <w:color w:val="auto"/>
              </w:rPr>
            </w:pPr>
          </w:p>
        </w:tc>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080" w:type="dxa"/>
            <w:vAlign w:val="bottom"/>
          </w:tcPr>
          <w:p>
            <w:pPr>
              <w:ind w:left="180"/>
              <w:spacing w:after="0" w:line="195" w:lineRule="exact"/>
              <w:rPr>
                <w:sz w:val="20"/>
                <w:szCs w:val="20"/>
                <w:color w:val="auto"/>
              </w:rPr>
            </w:pPr>
            <w:r>
              <w:rPr>
                <w:rFonts w:ascii="Arial" w:cs="Arial" w:eastAsia="Arial" w:hAnsi="Arial"/>
                <w:sz w:val="18"/>
                <w:szCs w:val="18"/>
                <w:color w:val="auto"/>
              </w:rPr>
              <w:t>Stuart B. Burgdoerfer</w:t>
            </w:r>
          </w:p>
        </w:tc>
      </w:tr>
      <w:tr>
        <w:trPr>
          <w:trHeight w:val="216"/>
        </w:trPr>
        <w:tc>
          <w:tcPr>
            <w:tcW w:w="76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080" w:type="dxa"/>
            <w:vAlign w:val="bottom"/>
          </w:tcPr>
          <w:p>
            <w:pPr>
              <w:ind w:left="180"/>
              <w:spacing w:after="0"/>
              <w:rPr>
                <w:sz w:val="20"/>
                <w:szCs w:val="20"/>
                <w:color w:val="auto"/>
              </w:rPr>
            </w:pPr>
            <w:r>
              <w:rPr>
                <w:rFonts w:ascii="Arial" w:cs="Arial" w:eastAsia="Arial" w:hAnsi="Arial"/>
                <w:sz w:val="18"/>
                <w:szCs w:val="18"/>
                <w:color w:val="auto"/>
                <w:w w:val="93"/>
              </w:rPr>
              <w:t>Executive Vice President and Chief Financial Officer</w:t>
            </w:r>
          </w:p>
        </w:tc>
      </w:tr>
      <w:tr>
        <w:trPr>
          <w:trHeight w:val="216"/>
        </w:trPr>
        <w:tc>
          <w:tcPr>
            <w:tcW w:w="76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w w:val="93"/>
              </w:rPr>
              <w:t>(Mr. Burgdoerfer is the principal financial officer and the principal</w:t>
            </w:r>
          </w:p>
        </w:tc>
      </w:tr>
      <w:tr>
        <w:trPr>
          <w:trHeight w:val="216"/>
        </w:trPr>
        <w:tc>
          <w:tcPr>
            <w:tcW w:w="76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w w:val="92"/>
              </w:rPr>
              <w:t>accounting officer and has been duly authorized to sign on behalf</w:t>
            </w:r>
          </w:p>
        </w:tc>
      </w:tr>
      <w:tr>
        <w:trPr>
          <w:trHeight w:val="230"/>
        </w:trPr>
        <w:tc>
          <w:tcPr>
            <w:tcW w:w="76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of the Registrant)</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as of the dates indicated.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120" w:type="dxa"/>
            <w:vAlign w:val="bottom"/>
          </w:tcPr>
          <w:p>
            <w:pPr>
              <w:spacing w:after="0"/>
              <w:rPr>
                <w:sz w:val="20"/>
                <w:szCs w:val="20"/>
                <w:color w:val="auto"/>
              </w:rPr>
            </w:pP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0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411"/>
        </w:trPr>
        <w:tc>
          <w:tcPr>
            <w:tcW w:w="5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92"/>
              </w:rPr>
              <w:t>Chairman of the Board and Chief Executive Officer</w:t>
            </w: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1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tcPr>
          <w:p>
            <w:pPr>
              <w:jc w:val="center"/>
              <w:ind w:left="90"/>
              <w:spacing w:after="0"/>
              <w:rPr>
                <w:sz w:val="20"/>
                <w:szCs w:val="20"/>
                <w:color w:val="auto"/>
              </w:rPr>
            </w:pPr>
            <w:r>
              <w:rPr>
                <w:rFonts w:ascii="Arial" w:cs="Arial" w:eastAsia="Arial" w:hAnsi="Arial"/>
                <w:sz w:val="18"/>
                <w:szCs w:val="18"/>
                <w:color w:val="auto"/>
                <w:w w:val="94"/>
              </w:rPr>
              <w:t>(Principal Executive Officer)</w:t>
            </w:r>
          </w:p>
        </w:tc>
        <w:tc>
          <w:tcPr>
            <w:tcW w:w="2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January 29, 2019</w:t>
            </w:r>
          </w:p>
        </w:tc>
        <w:tc>
          <w:tcPr>
            <w:tcW w:w="0" w:type="dxa"/>
            <w:vAlign w:val="bottom"/>
          </w:tcPr>
          <w:p>
            <w:pPr>
              <w:spacing w:after="0"/>
              <w:rPr>
                <w:sz w:val="1"/>
                <w:szCs w:val="1"/>
                <w:color w:val="auto"/>
              </w:rPr>
            </w:pPr>
          </w:p>
        </w:tc>
      </w:tr>
      <w:tr>
        <w:trPr>
          <w:trHeight w:val="224"/>
        </w:trPr>
        <w:tc>
          <w:tcPr>
            <w:tcW w:w="5160" w:type="dxa"/>
            <w:vAlign w:val="bottom"/>
          </w:tcPr>
          <w:p>
            <w:pPr>
              <w:jc w:val="center"/>
              <w:spacing w:after="0"/>
              <w:rPr>
                <w:sz w:val="20"/>
                <w:szCs w:val="20"/>
                <w:color w:val="auto"/>
              </w:rPr>
            </w:pPr>
            <w:r>
              <w:rPr>
                <w:rFonts w:ascii="Arial" w:cs="Arial" w:eastAsia="Arial" w:hAnsi="Arial"/>
                <w:sz w:val="18"/>
                <w:szCs w:val="18"/>
                <w:color w:val="auto"/>
                <w:w w:val="91"/>
              </w:rPr>
              <w:t>Leslie H. Wexner</w:t>
            </w:r>
          </w:p>
        </w:tc>
        <w:tc>
          <w:tcPr>
            <w:tcW w:w="1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92"/>
              </w:rPr>
              <w:t>Executive Vice President and Chief Financial Officer</w:t>
            </w: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60" w:type="dxa"/>
            <w:vAlign w:val="bottom"/>
            <w:vMerge w:val="restart"/>
          </w:tcPr>
          <w:p>
            <w:pPr>
              <w:jc w:val="center"/>
              <w:spacing w:after="0"/>
              <w:rPr>
                <w:sz w:val="20"/>
                <w:szCs w:val="20"/>
                <w:color w:val="auto"/>
              </w:rPr>
            </w:pPr>
            <w:r>
              <w:rPr>
                <w:rFonts w:ascii="Arial" w:cs="Arial" w:eastAsia="Arial" w:hAnsi="Arial"/>
                <w:sz w:val="18"/>
                <w:szCs w:val="18"/>
                <w:color w:val="auto"/>
                <w:w w:val="90"/>
              </w:rPr>
              <w:t>/s/ Stuart B. Burgdoerfer</w:t>
            </w:r>
          </w:p>
        </w:tc>
        <w:tc>
          <w:tcPr>
            <w:tcW w:w="120" w:type="dxa"/>
            <w:vAlign w:val="bottom"/>
          </w:tcPr>
          <w:p>
            <w:pPr>
              <w:spacing w:after="0"/>
              <w:rPr>
                <w:sz w:val="18"/>
                <w:szCs w:val="18"/>
                <w:color w:val="auto"/>
              </w:rPr>
            </w:pPr>
          </w:p>
        </w:tc>
        <w:tc>
          <w:tcPr>
            <w:tcW w:w="3880" w:type="dxa"/>
            <w:vAlign w:val="bottom"/>
          </w:tcPr>
          <w:p>
            <w:pPr>
              <w:jc w:val="center"/>
              <w:ind w:left="90"/>
              <w:spacing w:after="0"/>
              <w:rPr>
                <w:sz w:val="20"/>
                <w:szCs w:val="20"/>
                <w:color w:val="auto"/>
              </w:rPr>
            </w:pPr>
            <w:r>
              <w:rPr>
                <w:rFonts w:ascii="Arial" w:cs="Arial" w:eastAsia="Arial" w:hAnsi="Arial"/>
                <w:sz w:val="18"/>
                <w:szCs w:val="18"/>
                <w:color w:val="auto"/>
                <w:w w:val="93"/>
              </w:rPr>
              <w:t>(Principal Financial Officer and Principal</w:t>
            </w:r>
          </w:p>
        </w:tc>
        <w:tc>
          <w:tcPr>
            <w:tcW w:w="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tcPr>
          <w:p>
            <w:pPr>
              <w:jc w:val="center"/>
              <w:ind w:left="90"/>
              <w:spacing w:after="0"/>
              <w:rPr>
                <w:sz w:val="20"/>
                <w:szCs w:val="20"/>
                <w:color w:val="auto"/>
              </w:rPr>
            </w:pPr>
            <w:r>
              <w:rPr>
                <w:rFonts w:ascii="Arial" w:cs="Arial" w:eastAsia="Arial" w:hAnsi="Arial"/>
                <w:sz w:val="18"/>
                <w:szCs w:val="18"/>
                <w:color w:val="auto"/>
                <w:w w:val="95"/>
              </w:rPr>
              <w:t>Accounting Officer)</w:t>
            </w:r>
          </w:p>
        </w:tc>
        <w:tc>
          <w:tcPr>
            <w:tcW w:w="2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January 29, 2019</w:t>
            </w:r>
          </w:p>
        </w:tc>
        <w:tc>
          <w:tcPr>
            <w:tcW w:w="0" w:type="dxa"/>
            <w:vAlign w:val="bottom"/>
          </w:tcPr>
          <w:p>
            <w:pPr>
              <w:spacing w:after="0"/>
              <w:rPr>
                <w:sz w:val="1"/>
                <w:szCs w:val="1"/>
                <w:color w:val="auto"/>
              </w:rPr>
            </w:pPr>
          </w:p>
        </w:tc>
      </w:tr>
      <w:tr>
        <w:trPr>
          <w:trHeight w:val="224"/>
        </w:trPr>
        <w:tc>
          <w:tcPr>
            <w:tcW w:w="5160" w:type="dxa"/>
            <w:vAlign w:val="bottom"/>
          </w:tcPr>
          <w:p>
            <w:pPr>
              <w:jc w:val="center"/>
              <w:spacing w:after="0"/>
              <w:rPr>
                <w:sz w:val="20"/>
                <w:szCs w:val="20"/>
                <w:color w:val="auto"/>
              </w:rPr>
            </w:pPr>
            <w:r>
              <w:rPr>
                <w:rFonts w:ascii="Arial" w:cs="Arial" w:eastAsia="Arial" w:hAnsi="Arial"/>
                <w:sz w:val="18"/>
                <w:szCs w:val="18"/>
                <w:color w:val="auto"/>
                <w:w w:val="91"/>
              </w:rPr>
              <w:t>Stuart B. Burgdoerfer</w:t>
            </w:r>
          </w:p>
        </w:tc>
        <w:tc>
          <w:tcPr>
            <w:tcW w:w="1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January 29, 2019</w:t>
            </w:r>
          </w:p>
        </w:tc>
        <w:tc>
          <w:tcPr>
            <w:tcW w:w="0" w:type="dxa"/>
            <w:vAlign w:val="bottom"/>
          </w:tcPr>
          <w:p>
            <w:pPr>
              <w:spacing w:after="0"/>
              <w:rPr>
                <w:sz w:val="1"/>
                <w:szCs w:val="1"/>
                <w:color w:val="auto"/>
              </w:rPr>
            </w:pPr>
          </w:p>
        </w:tc>
      </w:tr>
      <w:tr>
        <w:trPr>
          <w:trHeight w:val="224"/>
        </w:trPr>
        <w:tc>
          <w:tcPr>
            <w:tcW w:w="5160" w:type="dxa"/>
            <w:vAlign w:val="bottom"/>
          </w:tcPr>
          <w:p>
            <w:pPr>
              <w:jc w:val="center"/>
              <w:spacing w:after="0"/>
              <w:rPr>
                <w:sz w:val="20"/>
                <w:szCs w:val="20"/>
                <w:color w:val="auto"/>
              </w:rPr>
            </w:pPr>
            <w:r>
              <w:rPr>
                <w:rFonts w:ascii="Arial" w:cs="Arial" w:eastAsia="Arial" w:hAnsi="Arial"/>
                <w:sz w:val="18"/>
                <w:szCs w:val="18"/>
                <w:color w:val="auto"/>
                <w:w w:val="89"/>
              </w:rPr>
              <w:t>E. Gordon Gee</w:t>
            </w:r>
          </w:p>
        </w:tc>
        <w:tc>
          <w:tcPr>
            <w:tcW w:w="1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January 29, 2019</w:t>
            </w:r>
          </w:p>
        </w:tc>
        <w:tc>
          <w:tcPr>
            <w:tcW w:w="0" w:type="dxa"/>
            <w:vAlign w:val="bottom"/>
          </w:tcPr>
          <w:p>
            <w:pPr>
              <w:spacing w:after="0"/>
              <w:rPr>
                <w:sz w:val="1"/>
                <w:szCs w:val="1"/>
                <w:color w:val="auto"/>
              </w:rPr>
            </w:pPr>
          </w:p>
        </w:tc>
      </w:tr>
      <w:tr>
        <w:trPr>
          <w:trHeight w:val="224"/>
        </w:trPr>
        <w:tc>
          <w:tcPr>
            <w:tcW w:w="5160" w:type="dxa"/>
            <w:vAlign w:val="bottom"/>
          </w:tcPr>
          <w:p>
            <w:pPr>
              <w:jc w:val="center"/>
              <w:spacing w:after="0"/>
              <w:rPr>
                <w:sz w:val="20"/>
                <w:szCs w:val="20"/>
                <w:color w:val="auto"/>
              </w:rPr>
            </w:pPr>
            <w:r>
              <w:rPr>
                <w:rFonts w:ascii="Arial" w:cs="Arial" w:eastAsia="Arial" w:hAnsi="Arial"/>
                <w:sz w:val="18"/>
                <w:szCs w:val="18"/>
                <w:color w:val="auto"/>
                <w:w w:val="88"/>
              </w:rPr>
              <w:t>Dennis S. Hersch</w:t>
            </w:r>
          </w:p>
        </w:tc>
        <w:tc>
          <w:tcPr>
            <w:tcW w:w="1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January 29, 2019</w:t>
            </w:r>
          </w:p>
        </w:tc>
        <w:tc>
          <w:tcPr>
            <w:tcW w:w="0" w:type="dxa"/>
            <w:vAlign w:val="bottom"/>
          </w:tcPr>
          <w:p>
            <w:pPr>
              <w:spacing w:after="0"/>
              <w:rPr>
                <w:sz w:val="1"/>
                <w:szCs w:val="1"/>
                <w:color w:val="auto"/>
              </w:rPr>
            </w:pPr>
          </w:p>
        </w:tc>
      </w:tr>
      <w:tr>
        <w:trPr>
          <w:trHeight w:val="224"/>
        </w:trPr>
        <w:tc>
          <w:tcPr>
            <w:tcW w:w="5160" w:type="dxa"/>
            <w:vAlign w:val="bottom"/>
          </w:tcPr>
          <w:p>
            <w:pPr>
              <w:jc w:val="center"/>
              <w:spacing w:after="0"/>
              <w:rPr>
                <w:sz w:val="20"/>
                <w:szCs w:val="20"/>
                <w:color w:val="auto"/>
              </w:rPr>
            </w:pPr>
            <w:r>
              <w:rPr>
                <w:rFonts w:ascii="Arial" w:cs="Arial" w:eastAsia="Arial" w:hAnsi="Arial"/>
                <w:sz w:val="18"/>
                <w:szCs w:val="18"/>
                <w:color w:val="auto"/>
                <w:w w:val="90"/>
              </w:rPr>
              <w:t>Donna A. James</w:t>
            </w:r>
          </w:p>
        </w:tc>
        <w:tc>
          <w:tcPr>
            <w:tcW w:w="1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January 29, 2019</w:t>
            </w:r>
          </w:p>
        </w:tc>
        <w:tc>
          <w:tcPr>
            <w:tcW w:w="0" w:type="dxa"/>
            <w:vAlign w:val="bottom"/>
          </w:tcPr>
          <w:p>
            <w:pPr>
              <w:spacing w:after="0"/>
              <w:rPr>
                <w:sz w:val="1"/>
                <w:szCs w:val="1"/>
                <w:color w:val="auto"/>
              </w:rPr>
            </w:pPr>
          </w:p>
        </w:tc>
      </w:tr>
      <w:tr>
        <w:trPr>
          <w:trHeight w:val="224"/>
        </w:trPr>
        <w:tc>
          <w:tcPr>
            <w:tcW w:w="5160" w:type="dxa"/>
            <w:vAlign w:val="bottom"/>
          </w:tcPr>
          <w:p>
            <w:pPr>
              <w:jc w:val="center"/>
              <w:spacing w:after="0"/>
              <w:rPr>
                <w:sz w:val="20"/>
                <w:szCs w:val="20"/>
                <w:color w:val="auto"/>
              </w:rPr>
            </w:pPr>
            <w:r>
              <w:rPr>
                <w:rFonts w:ascii="Arial" w:cs="Arial" w:eastAsia="Arial" w:hAnsi="Arial"/>
                <w:sz w:val="18"/>
                <w:szCs w:val="18"/>
                <w:color w:val="auto"/>
                <w:w w:val="95"/>
              </w:rPr>
              <w:t>David T. Kollat</w:t>
            </w:r>
          </w:p>
        </w:tc>
        <w:tc>
          <w:tcPr>
            <w:tcW w:w="1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January 29, 2019</w:t>
            </w:r>
          </w:p>
        </w:tc>
        <w:tc>
          <w:tcPr>
            <w:tcW w:w="0" w:type="dxa"/>
            <w:vAlign w:val="bottom"/>
          </w:tcPr>
          <w:p>
            <w:pPr>
              <w:spacing w:after="0"/>
              <w:rPr>
                <w:sz w:val="1"/>
                <w:szCs w:val="1"/>
                <w:color w:val="auto"/>
              </w:rPr>
            </w:pPr>
          </w:p>
        </w:tc>
      </w:tr>
      <w:tr>
        <w:trPr>
          <w:trHeight w:val="224"/>
        </w:trPr>
        <w:tc>
          <w:tcPr>
            <w:tcW w:w="5160" w:type="dxa"/>
            <w:vAlign w:val="bottom"/>
          </w:tcPr>
          <w:p>
            <w:pPr>
              <w:jc w:val="center"/>
              <w:spacing w:after="0"/>
              <w:rPr>
                <w:sz w:val="20"/>
                <w:szCs w:val="20"/>
                <w:color w:val="auto"/>
              </w:rPr>
            </w:pPr>
            <w:r>
              <w:rPr>
                <w:rFonts w:ascii="Arial" w:cs="Arial" w:eastAsia="Arial" w:hAnsi="Arial"/>
                <w:sz w:val="18"/>
                <w:szCs w:val="18"/>
                <w:color w:val="auto"/>
                <w:w w:val="91"/>
              </w:rPr>
              <w:t>Patricia S. Bellinger</w:t>
            </w:r>
          </w:p>
        </w:tc>
        <w:tc>
          <w:tcPr>
            <w:tcW w:w="1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January 29, 2019</w:t>
            </w:r>
          </w:p>
        </w:tc>
        <w:tc>
          <w:tcPr>
            <w:tcW w:w="0" w:type="dxa"/>
            <w:vAlign w:val="bottom"/>
          </w:tcPr>
          <w:p>
            <w:pPr>
              <w:spacing w:after="0"/>
              <w:rPr>
                <w:sz w:val="1"/>
                <w:szCs w:val="1"/>
                <w:color w:val="auto"/>
              </w:rPr>
            </w:pPr>
          </w:p>
        </w:tc>
      </w:tr>
      <w:tr>
        <w:trPr>
          <w:trHeight w:val="224"/>
        </w:trPr>
        <w:tc>
          <w:tcPr>
            <w:tcW w:w="5160" w:type="dxa"/>
            <w:vAlign w:val="bottom"/>
          </w:tcPr>
          <w:p>
            <w:pPr>
              <w:jc w:val="center"/>
              <w:spacing w:after="0"/>
              <w:rPr>
                <w:sz w:val="20"/>
                <w:szCs w:val="20"/>
                <w:color w:val="auto"/>
              </w:rPr>
            </w:pPr>
            <w:r>
              <w:rPr>
                <w:rFonts w:ascii="Arial" w:cs="Arial" w:eastAsia="Arial" w:hAnsi="Arial"/>
                <w:sz w:val="18"/>
                <w:szCs w:val="18"/>
                <w:color w:val="auto"/>
                <w:w w:val="89"/>
              </w:rPr>
              <w:t>Robert H. Schottenstein</w:t>
            </w:r>
          </w:p>
        </w:tc>
        <w:tc>
          <w:tcPr>
            <w:tcW w:w="1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January 29, 2019</w:t>
            </w:r>
          </w:p>
        </w:tc>
        <w:tc>
          <w:tcPr>
            <w:tcW w:w="0" w:type="dxa"/>
            <w:vAlign w:val="bottom"/>
          </w:tcPr>
          <w:p>
            <w:pPr>
              <w:spacing w:after="0"/>
              <w:rPr>
                <w:sz w:val="1"/>
                <w:szCs w:val="1"/>
                <w:color w:val="auto"/>
              </w:rPr>
            </w:pPr>
          </w:p>
        </w:tc>
      </w:tr>
      <w:tr>
        <w:trPr>
          <w:trHeight w:val="224"/>
        </w:trPr>
        <w:tc>
          <w:tcPr>
            <w:tcW w:w="5160" w:type="dxa"/>
            <w:vAlign w:val="bottom"/>
          </w:tcPr>
          <w:p>
            <w:pPr>
              <w:jc w:val="center"/>
              <w:spacing w:after="0"/>
              <w:rPr>
                <w:sz w:val="20"/>
                <w:szCs w:val="20"/>
                <w:color w:val="auto"/>
              </w:rPr>
            </w:pPr>
            <w:r>
              <w:rPr>
                <w:rFonts w:ascii="Arial" w:cs="Arial" w:eastAsia="Arial" w:hAnsi="Arial"/>
                <w:sz w:val="18"/>
                <w:szCs w:val="18"/>
                <w:color w:val="auto"/>
                <w:w w:val="96"/>
              </w:rPr>
              <w:t>Michael G. Morris</w:t>
            </w:r>
          </w:p>
        </w:tc>
        <w:tc>
          <w:tcPr>
            <w:tcW w:w="1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5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3" w:right="23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120" w:type="dxa"/>
            <w:vAlign w:val="bottom"/>
          </w:tcPr>
          <w:p>
            <w:pPr>
              <w:spacing w:after="0"/>
              <w:rPr>
                <w:sz w:val="20"/>
                <w:szCs w:val="20"/>
                <w:color w:val="auto"/>
              </w:rPr>
            </w:pP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0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26"/>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January 29, 2019</w:t>
            </w:r>
          </w:p>
        </w:tc>
      </w:tr>
      <w:tr>
        <w:trPr>
          <w:trHeight w:val="224"/>
        </w:trPr>
        <w:tc>
          <w:tcPr>
            <w:tcW w:w="5160" w:type="dxa"/>
            <w:vAlign w:val="bottom"/>
          </w:tcPr>
          <w:p>
            <w:pPr>
              <w:jc w:val="center"/>
              <w:spacing w:after="0"/>
              <w:rPr>
                <w:sz w:val="20"/>
                <w:szCs w:val="20"/>
                <w:color w:val="auto"/>
              </w:rPr>
            </w:pPr>
            <w:r>
              <w:rPr>
                <w:rFonts w:ascii="Arial" w:cs="Arial" w:eastAsia="Arial" w:hAnsi="Arial"/>
                <w:sz w:val="18"/>
                <w:szCs w:val="18"/>
                <w:color w:val="auto"/>
                <w:w w:val="88"/>
              </w:rPr>
              <w:t>Stephen D. Steinour</w:t>
            </w:r>
          </w:p>
        </w:tc>
        <w:tc>
          <w:tcPr>
            <w:tcW w:w="1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8"/>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January 29, 2019</w:t>
            </w:r>
          </w:p>
        </w:tc>
      </w:tr>
      <w:tr>
        <w:trPr>
          <w:trHeight w:val="224"/>
        </w:trPr>
        <w:tc>
          <w:tcPr>
            <w:tcW w:w="5160" w:type="dxa"/>
            <w:vAlign w:val="bottom"/>
          </w:tcPr>
          <w:p>
            <w:pPr>
              <w:jc w:val="center"/>
              <w:spacing w:after="0"/>
              <w:rPr>
                <w:sz w:val="20"/>
                <w:szCs w:val="20"/>
                <w:color w:val="auto"/>
              </w:rPr>
            </w:pPr>
            <w:r>
              <w:rPr>
                <w:rFonts w:ascii="Arial" w:cs="Arial" w:eastAsia="Arial" w:hAnsi="Arial"/>
                <w:sz w:val="18"/>
                <w:szCs w:val="18"/>
                <w:color w:val="auto"/>
                <w:w w:val="91"/>
              </w:rPr>
              <w:t>Allan R. Tessler</w:t>
            </w:r>
          </w:p>
        </w:tc>
        <w:tc>
          <w:tcPr>
            <w:tcW w:w="1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8"/>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January 29, 2019</w:t>
            </w:r>
          </w:p>
        </w:tc>
      </w:tr>
      <w:tr>
        <w:trPr>
          <w:trHeight w:val="224"/>
        </w:trPr>
        <w:tc>
          <w:tcPr>
            <w:tcW w:w="5160" w:type="dxa"/>
            <w:vAlign w:val="bottom"/>
          </w:tcPr>
          <w:p>
            <w:pPr>
              <w:jc w:val="center"/>
              <w:spacing w:after="0"/>
              <w:rPr>
                <w:sz w:val="20"/>
                <w:szCs w:val="20"/>
                <w:color w:val="auto"/>
              </w:rPr>
            </w:pPr>
            <w:r>
              <w:rPr>
                <w:rFonts w:ascii="Arial" w:cs="Arial" w:eastAsia="Arial" w:hAnsi="Arial"/>
                <w:sz w:val="18"/>
                <w:szCs w:val="18"/>
                <w:color w:val="auto"/>
                <w:w w:val="92"/>
              </w:rPr>
              <w:t>Abigail S. Wexner</w:t>
            </w:r>
          </w:p>
        </w:tc>
        <w:tc>
          <w:tcPr>
            <w:tcW w:w="1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8"/>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January 29, 2019</w:t>
            </w:r>
          </w:p>
        </w:tc>
      </w:tr>
      <w:tr>
        <w:trPr>
          <w:trHeight w:val="224"/>
        </w:trPr>
        <w:tc>
          <w:tcPr>
            <w:tcW w:w="5160" w:type="dxa"/>
            <w:vAlign w:val="bottom"/>
          </w:tcPr>
          <w:p>
            <w:pPr>
              <w:jc w:val="center"/>
              <w:spacing w:after="0"/>
              <w:rPr>
                <w:sz w:val="20"/>
                <w:szCs w:val="20"/>
                <w:color w:val="auto"/>
              </w:rPr>
            </w:pPr>
            <w:r>
              <w:rPr>
                <w:rFonts w:ascii="Arial" w:cs="Arial" w:eastAsia="Arial" w:hAnsi="Arial"/>
                <w:sz w:val="18"/>
                <w:szCs w:val="18"/>
                <w:color w:val="auto"/>
                <w:w w:val="92"/>
              </w:rPr>
              <w:t>Raymond Zimmerman</w:t>
            </w:r>
          </w:p>
        </w:tc>
        <w:tc>
          <w:tcPr>
            <w:tcW w:w="1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bl>
    <w:p>
      <w:pPr>
        <w:spacing w:after="0" w:line="187" w:lineRule="exact"/>
        <w:rPr>
          <w:sz w:val="20"/>
          <w:szCs w:val="20"/>
          <w:color w:val="auto"/>
        </w:rPr>
      </w:pPr>
    </w:p>
    <w:p>
      <w:pPr>
        <w:ind w:left="1980" w:right="7920" w:hanging="316"/>
        <w:spacing w:after="0" w:line="360" w:lineRule="auto"/>
        <w:tabs>
          <w:tab w:leader="none" w:pos="1803" w:val="left"/>
        </w:tabs>
        <w:numPr>
          <w:ilvl w:val="0"/>
          <w:numId w:val="37"/>
        </w:numPr>
        <w:rPr>
          <w:rFonts w:ascii="Arial" w:cs="Arial" w:eastAsia="Arial" w:hAnsi="Arial"/>
          <w:sz w:val="16"/>
          <w:szCs w:val="16"/>
          <w:color w:val="auto"/>
        </w:rPr>
      </w:pPr>
      <w:r>
        <w:rPr>
          <w:rFonts w:ascii="Arial" w:cs="Arial" w:eastAsia="Arial" w:hAnsi="Arial"/>
          <w:sz w:val="16"/>
          <w:szCs w:val="16"/>
          <w:color w:val="auto"/>
        </w:rPr>
        <w:t>By /s/ Timothy J. Faber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32670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32670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164465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GUARANTOR SIGNATURES</w:t>
      </w:r>
    </w:p>
    <w:p>
      <w:pPr>
        <w:spacing w:after="0" w:line="229"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Registrants certify that they have reasonable grounds to believe that they meet all of the requirements for filing on Form S-3 and have duly caused this registration statement to be signed on their behalf by the undersigned, thereunto duly authorized, in the City of Columbus, State of Ohio, on January 29, 2019.</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BATH &amp; BODY WORKS BRAND MANAGEMENT, INC.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BATH &amp; BODY WORKS DIRECT, INC.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INTIMATE BRANDS, INC.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 BRANDS DIRECT FULFILLMENT, INC.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 BRANDS STORE DESIGN &amp; CONSTRUCTION, INC.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LA SENZA, INC.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MAST INDUSTRIES, INC.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VICTORIA’S SECRET STORES</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BRAND MANAGEMENT, INC.</w:t>
      </w:r>
    </w:p>
    <w:p>
      <w:pPr>
        <w:spacing w:after="0" w:line="200" w:lineRule="exact"/>
        <w:rPr>
          <w:sz w:val="20"/>
          <w:szCs w:val="20"/>
          <w:color w:val="auto"/>
        </w:rPr>
      </w:pPr>
    </w:p>
    <w:p>
      <w:pPr>
        <w:spacing w:after="0" w:line="227"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Stuart B. Burgdoerfer</w:t>
            </w:r>
          </w:p>
        </w:tc>
      </w:tr>
      <w:tr>
        <w:trPr>
          <w:trHeight w:val="195"/>
        </w:trPr>
        <w:tc>
          <w:tcPr>
            <w:tcW w:w="760" w:type="dxa"/>
            <w:vAlign w:val="bottom"/>
          </w:tcPr>
          <w:p>
            <w:pPr>
              <w:spacing w:after="0"/>
              <w:rPr>
                <w:sz w:val="16"/>
                <w:szCs w:val="16"/>
                <w:color w:val="auto"/>
              </w:rPr>
            </w:pPr>
          </w:p>
        </w:tc>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20" w:type="dxa"/>
            <w:vAlign w:val="bottom"/>
          </w:tcPr>
          <w:p>
            <w:pPr>
              <w:ind w:left="240"/>
              <w:spacing w:after="0" w:line="195" w:lineRule="exact"/>
              <w:rPr>
                <w:sz w:val="20"/>
                <w:szCs w:val="20"/>
                <w:color w:val="auto"/>
              </w:rPr>
            </w:pPr>
            <w:r>
              <w:rPr>
                <w:rFonts w:ascii="Arial" w:cs="Arial" w:eastAsia="Arial" w:hAnsi="Arial"/>
                <w:sz w:val="18"/>
                <w:szCs w:val="18"/>
                <w:color w:val="auto"/>
              </w:rPr>
              <w:t>Stuart B. Burgdoerfer</w:t>
            </w:r>
          </w:p>
        </w:tc>
      </w:tr>
      <w:tr>
        <w:trPr>
          <w:trHeight w:val="216"/>
        </w:trPr>
        <w:tc>
          <w:tcPr>
            <w:tcW w:w="76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220" w:type="dxa"/>
            <w:vAlign w:val="bottom"/>
          </w:tcPr>
          <w:p>
            <w:pPr>
              <w:ind w:left="240"/>
              <w:spacing w:after="0"/>
              <w:rPr>
                <w:sz w:val="20"/>
                <w:szCs w:val="20"/>
                <w:color w:val="auto"/>
              </w:rPr>
            </w:pPr>
            <w:r>
              <w:rPr>
                <w:rFonts w:ascii="Arial" w:cs="Arial" w:eastAsia="Arial" w:hAnsi="Arial"/>
                <w:sz w:val="18"/>
                <w:szCs w:val="18"/>
                <w:color w:val="auto"/>
              </w:rPr>
              <w:t>Principal Financial Officer, Principal Accounting</w:t>
            </w:r>
          </w:p>
        </w:tc>
      </w:tr>
      <w:tr>
        <w:trPr>
          <w:trHeight w:val="230"/>
        </w:trPr>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Officer and Director</w:t>
            </w:r>
          </w:p>
        </w:tc>
      </w:tr>
    </w:tbl>
    <w:p>
      <w:pPr>
        <w:spacing w:after="0" w:line="200" w:lineRule="exact"/>
        <w:rPr>
          <w:sz w:val="20"/>
          <w:szCs w:val="20"/>
          <w:color w:val="auto"/>
        </w:rPr>
      </w:pPr>
    </w:p>
    <w:p>
      <w:pPr>
        <w:spacing w:after="0" w:line="24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KNOW ALL MEN BY THESE PRESENTS, that each person whose signature appears below constitutes and appoints Leslie H. Wexner, Stuart B. Burgdoerfer and Timothy J. Faber, and each of them, his or her true and lawful attorneys-in-fact and agents, with full power to act separately and full power of substitution and resubstitution, for him or her and in his or her name, place and stead, in any and all capacities, to sign any and all amendments (including post-effective amendments) to this registration statement and to file the same, with all exhibits thereto, and all other documents in connection therewith, with the Securities and Exchange Commission, granting unto each said attorney-in-fact and agent full power and authority to do and perform each and every act in person, hereby ratifying and confirming all that said attorneys-in-fact and agents or either of them or his or her or their substitute or substitutes may lawfully do or cause to be done by virtue hereof.</w:t>
      </w:r>
    </w:p>
    <w:p>
      <w:pPr>
        <w:spacing w:after="0" w:line="18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120" w:type="dxa"/>
            <w:vAlign w:val="bottom"/>
          </w:tcPr>
          <w:p>
            <w:pPr>
              <w:spacing w:after="0"/>
              <w:rPr>
                <w:sz w:val="20"/>
                <w:szCs w:val="20"/>
                <w:color w:val="auto"/>
              </w:rPr>
            </w:pP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0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426"/>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Leslie H. Wexner</w:t>
            </w:r>
          </w:p>
        </w:tc>
        <w:tc>
          <w:tcPr>
            <w:tcW w:w="120" w:type="dxa"/>
            <w:vAlign w:val="bottom"/>
          </w:tcPr>
          <w:p>
            <w:pPr>
              <w:spacing w:after="0"/>
              <w:rPr>
                <w:sz w:val="24"/>
                <w:szCs w:val="24"/>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January 29, 2019</w:t>
            </w:r>
          </w:p>
        </w:tc>
        <w:tc>
          <w:tcPr>
            <w:tcW w:w="0" w:type="dxa"/>
            <w:vAlign w:val="bottom"/>
          </w:tcPr>
          <w:p>
            <w:pPr>
              <w:spacing w:after="0"/>
              <w:rPr>
                <w:sz w:val="1"/>
                <w:szCs w:val="1"/>
                <w:color w:val="auto"/>
              </w:rPr>
            </w:pPr>
          </w:p>
        </w:tc>
      </w:tr>
      <w:tr>
        <w:trPr>
          <w:trHeight w:val="224"/>
        </w:trPr>
        <w:tc>
          <w:tcPr>
            <w:tcW w:w="5160" w:type="dxa"/>
            <w:vAlign w:val="bottom"/>
          </w:tcPr>
          <w:p>
            <w:pPr>
              <w:jc w:val="center"/>
              <w:spacing w:after="0"/>
              <w:rPr>
                <w:sz w:val="20"/>
                <w:szCs w:val="20"/>
                <w:color w:val="auto"/>
              </w:rPr>
            </w:pPr>
            <w:r>
              <w:rPr>
                <w:rFonts w:ascii="Arial" w:cs="Arial" w:eastAsia="Arial" w:hAnsi="Arial"/>
                <w:sz w:val="18"/>
                <w:szCs w:val="18"/>
                <w:color w:val="auto"/>
                <w:w w:val="91"/>
              </w:rPr>
              <w:t>Leslie H. Wexner</w:t>
            </w:r>
          </w:p>
        </w:tc>
        <w:tc>
          <w:tcPr>
            <w:tcW w:w="1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5160" w:type="dxa"/>
            <w:vAlign w:val="bottom"/>
            <w:vMerge w:val="restart"/>
          </w:tcPr>
          <w:p>
            <w:pPr>
              <w:jc w:val="center"/>
              <w:spacing w:after="0"/>
              <w:rPr>
                <w:sz w:val="20"/>
                <w:szCs w:val="20"/>
                <w:color w:val="auto"/>
              </w:rPr>
            </w:pPr>
            <w:r>
              <w:rPr>
                <w:rFonts w:ascii="Arial" w:cs="Arial" w:eastAsia="Arial" w:hAnsi="Arial"/>
                <w:sz w:val="18"/>
                <w:szCs w:val="18"/>
                <w:color w:val="auto"/>
                <w:w w:val="90"/>
              </w:rPr>
              <w:t>/s/ Stuart B. Burgdoerfer</w:t>
            </w:r>
          </w:p>
        </w:tc>
        <w:tc>
          <w:tcPr>
            <w:tcW w:w="120" w:type="dxa"/>
            <w:vAlign w:val="bottom"/>
          </w:tcPr>
          <w:p>
            <w:pPr>
              <w:spacing w:after="0"/>
              <w:rPr>
                <w:sz w:val="24"/>
                <w:szCs w:val="24"/>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93"/>
              </w:rPr>
              <w:t>Principal Financial Officer, Principal Accounting</w:t>
            </w: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1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tcPr>
          <w:p>
            <w:pPr>
              <w:ind w:left="1300"/>
              <w:spacing w:after="0"/>
              <w:rPr>
                <w:sz w:val="20"/>
                <w:szCs w:val="20"/>
                <w:color w:val="auto"/>
              </w:rPr>
            </w:pPr>
            <w:r>
              <w:rPr>
                <w:rFonts w:ascii="Arial" w:cs="Arial" w:eastAsia="Arial" w:hAnsi="Arial"/>
                <w:sz w:val="18"/>
                <w:szCs w:val="18"/>
                <w:color w:val="auto"/>
              </w:rPr>
              <w:t>Officer and Director</w:t>
            </w:r>
          </w:p>
        </w:tc>
        <w:tc>
          <w:tcPr>
            <w:tcW w:w="2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January 29, 2019</w:t>
            </w:r>
          </w:p>
        </w:tc>
        <w:tc>
          <w:tcPr>
            <w:tcW w:w="0" w:type="dxa"/>
            <w:vAlign w:val="bottom"/>
          </w:tcPr>
          <w:p>
            <w:pPr>
              <w:spacing w:after="0"/>
              <w:rPr>
                <w:sz w:val="1"/>
                <w:szCs w:val="1"/>
                <w:color w:val="auto"/>
              </w:rPr>
            </w:pPr>
          </w:p>
        </w:tc>
      </w:tr>
      <w:tr>
        <w:trPr>
          <w:trHeight w:val="224"/>
        </w:trPr>
        <w:tc>
          <w:tcPr>
            <w:tcW w:w="5160" w:type="dxa"/>
            <w:vAlign w:val="bottom"/>
          </w:tcPr>
          <w:p>
            <w:pPr>
              <w:jc w:val="center"/>
              <w:spacing w:after="0"/>
              <w:rPr>
                <w:sz w:val="20"/>
                <w:szCs w:val="20"/>
                <w:color w:val="auto"/>
              </w:rPr>
            </w:pPr>
            <w:r>
              <w:rPr>
                <w:rFonts w:ascii="Arial" w:cs="Arial" w:eastAsia="Arial" w:hAnsi="Arial"/>
                <w:sz w:val="18"/>
                <w:szCs w:val="18"/>
                <w:color w:val="auto"/>
                <w:w w:val="91"/>
              </w:rPr>
              <w:t>Stuart B. Burgdoerfer</w:t>
            </w:r>
          </w:p>
        </w:tc>
        <w:tc>
          <w:tcPr>
            <w:tcW w:w="1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Lowell (Chip) Howard</w:t>
            </w:r>
          </w:p>
        </w:tc>
        <w:tc>
          <w:tcPr>
            <w:tcW w:w="120" w:type="dxa"/>
            <w:vAlign w:val="bottom"/>
          </w:tcPr>
          <w:p>
            <w:pPr>
              <w:spacing w:after="0"/>
              <w:rPr>
                <w:sz w:val="24"/>
                <w:szCs w:val="24"/>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January 29, 2019</w:t>
            </w:r>
          </w:p>
        </w:tc>
        <w:tc>
          <w:tcPr>
            <w:tcW w:w="0" w:type="dxa"/>
            <w:vAlign w:val="bottom"/>
          </w:tcPr>
          <w:p>
            <w:pPr>
              <w:spacing w:after="0"/>
              <w:rPr>
                <w:sz w:val="1"/>
                <w:szCs w:val="1"/>
                <w:color w:val="auto"/>
              </w:rPr>
            </w:pPr>
          </w:p>
        </w:tc>
      </w:tr>
      <w:tr>
        <w:trPr>
          <w:trHeight w:val="224"/>
        </w:trPr>
        <w:tc>
          <w:tcPr>
            <w:tcW w:w="5160" w:type="dxa"/>
            <w:vAlign w:val="bottom"/>
          </w:tcPr>
          <w:p>
            <w:pPr>
              <w:jc w:val="center"/>
              <w:spacing w:after="0"/>
              <w:rPr>
                <w:sz w:val="20"/>
                <w:szCs w:val="20"/>
                <w:color w:val="auto"/>
              </w:rPr>
            </w:pPr>
            <w:r>
              <w:rPr>
                <w:rFonts w:ascii="Arial" w:cs="Arial" w:eastAsia="Arial" w:hAnsi="Arial"/>
                <w:sz w:val="18"/>
                <w:szCs w:val="18"/>
                <w:color w:val="auto"/>
                <w:w w:val="95"/>
              </w:rPr>
              <w:t>Lowell (Chip) Howard</w:t>
            </w:r>
          </w:p>
        </w:tc>
        <w:tc>
          <w:tcPr>
            <w:tcW w:w="1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5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GUARANTOR SIGNATURES</w:t>
      </w:r>
    </w:p>
    <w:p>
      <w:pPr>
        <w:spacing w:after="0" w:line="229"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Registrants certify that they have reasonable grounds to believe that they meet all of the requirements for filing on Form S-3 and have duly caused this registration statement to be signed on their behalf by the undersigned, thereunto duly authorized, in the City of Columbus, State of Ohio, on January 29, 2019.</w:t>
      </w:r>
    </w:p>
    <w:p>
      <w:pPr>
        <w:spacing w:after="0" w:line="39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BATH &amp; BODY WORKS, LLC</w:t>
      </w:r>
    </w:p>
    <w:p>
      <w:pPr>
        <w:spacing w:after="0" w:line="22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VICTORIA’S SECRET STORES, LLC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gridSpan w:val="3"/>
          </w:tcPr>
          <w:p>
            <w:pPr>
              <w:ind w:left="240"/>
              <w:spacing w:after="0"/>
              <w:rPr>
                <w:sz w:val="20"/>
                <w:szCs w:val="20"/>
                <w:color w:val="auto"/>
              </w:rPr>
            </w:pPr>
            <w:r>
              <w:rPr>
                <w:rFonts w:ascii="Arial" w:cs="Arial" w:eastAsia="Arial" w:hAnsi="Arial"/>
                <w:sz w:val="18"/>
                <w:szCs w:val="18"/>
                <w:color w:val="auto"/>
              </w:rPr>
              <w:t>RETAIL STORE OPERATIONS, INC., its sole member</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4"/>
                <w:szCs w:val="24"/>
                <w:color w:val="auto"/>
              </w:rPr>
            </w:pPr>
          </w:p>
        </w:tc>
        <w:tc>
          <w:tcPr>
            <w:tcW w:w="4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Stuart B. Burgdoerfer</w:t>
            </w:r>
          </w:p>
        </w:tc>
      </w:tr>
      <w:tr>
        <w:trPr>
          <w:trHeight w:val="195"/>
        </w:trPr>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20" w:type="dxa"/>
            <w:vAlign w:val="bottom"/>
          </w:tcPr>
          <w:p>
            <w:pPr>
              <w:ind w:left="240"/>
              <w:spacing w:after="0" w:line="195" w:lineRule="exact"/>
              <w:rPr>
                <w:sz w:val="20"/>
                <w:szCs w:val="20"/>
                <w:color w:val="auto"/>
              </w:rPr>
            </w:pPr>
            <w:r>
              <w:rPr>
                <w:rFonts w:ascii="Arial" w:cs="Arial" w:eastAsia="Arial" w:hAnsi="Arial"/>
                <w:sz w:val="18"/>
                <w:szCs w:val="18"/>
                <w:color w:val="auto"/>
              </w:rPr>
              <w:t>Stuart B. Burgdoerfer</w:t>
            </w:r>
          </w:p>
        </w:tc>
      </w:tr>
      <w:tr>
        <w:trPr>
          <w:trHeight w:val="216"/>
        </w:trPr>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220" w:type="dxa"/>
            <w:vAlign w:val="bottom"/>
          </w:tcPr>
          <w:p>
            <w:pPr>
              <w:ind w:left="240"/>
              <w:spacing w:after="0"/>
              <w:rPr>
                <w:sz w:val="20"/>
                <w:szCs w:val="20"/>
                <w:color w:val="auto"/>
              </w:rPr>
            </w:pPr>
            <w:r>
              <w:rPr>
                <w:rFonts w:ascii="Arial" w:cs="Arial" w:eastAsia="Arial" w:hAnsi="Arial"/>
                <w:sz w:val="18"/>
                <w:szCs w:val="18"/>
                <w:color w:val="auto"/>
              </w:rPr>
              <w:t>Principal Financial Officer, Principal</w:t>
            </w:r>
          </w:p>
        </w:tc>
      </w:tr>
      <w:tr>
        <w:trPr>
          <w:trHeight w:val="230"/>
        </w:trPr>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Accounting Officer and Director</w:t>
            </w:r>
          </w:p>
        </w:tc>
      </w:tr>
    </w:tbl>
    <w:p>
      <w:pPr>
        <w:spacing w:after="0" w:line="20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KNOW ALL MEN BY THESE PRESENTS, that each person whose signature appears below constitutes and appoints Leslie H. Wexner, Stuart B. Burgdoerfer and Timothy J. Faber, and each of them, his or her true and lawful attorneys-in-fact and agents, with full power to act separately and full power of substitution and resubstitution, for him or her and in his or her name, place and stead, in any and all capacities, to sign any and all amendments (including post-effective amendments) to this registration statement and to file the same, with all exhibits thereto, and all other documents in connection therewith, with the Securities and Exchange Commission, granting unto each said attorney-in-fact and agent full power and authority to do and perform each and every act in person, hereby ratifying and confirming all that said attorneys-in-fact and agents or either of them or his or her or their substitute or substitutes may lawfully do or cause to be done by virtue hereof.</w:t>
      </w:r>
    </w:p>
    <w:p>
      <w:pPr>
        <w:spacing w:after="0" w:line="18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120" w:type="dxa"/>
            <w:vAlign w:val="bottom"/>
          </w:tcPr>
          <w:p>
            <w:pPr>
              <w:spacing w:after="0"/>
              <w:rPr>
                <w:sz w:val="20"/>
                <w:szCs w:val="20"/>
                <w:color w:val="auto"/>
              </w:rPr>
            </w:pP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0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426"/>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Leslie H. Wexner</w:t>
            </w:r>
          </w:p>
        </w:tc>
        <w:tc>
          <w:tcPr>
            <w:tcW w:w="120" w:type="dxa"/>
            <w:vAlign w:val="bottom"/>
          </w:tcPr>
          <w:p>
            <w:pPr>
              <w:spacing w:after="0"/>
              <w:rPr>
                <w:sz w:val="24"/>
                <w:szCs w:val="24"/>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January 29, 2019</w:t>
            </w:r>
          </w:p>
        </w:tc>
        <w:tc>
          <w:tcPr>
            <w:tcW w:w="0" w:type="dxa"/>
            <w:vAlign w:val="bottom"/>
          </w:tcPr>
          <w:p>
            <w:pPr>
              <w:spacing w:after="0"/>
              <w:rPr>
                <w:sz w:val="1"/>
                <w:szCs w:val="1"/>
                <w:color w:val="auto"/>
              </w:rPr>
            </w:pPr>
          </w:p>
        </w:tc>
      </w:tr>
      <w:tr>
        <w:trPr>
          <w:trHeight w:val="224"/>
        </w:trPr>
        <w:tc>
          <w:tcPr>
            <w:tcW w:w="5160" w:type="dxa"/>
            <w:vAlign w:val="bottom"/>
          </w:tcPr>
          <w:p>
            <w:pPr>
              <w:jc w:val="center"/>
              <w:spacing w:after="0"/>
              <w:rPr>
                <w:sz w:val="20"/>
                <w:szCs w:val="20"/>
                <w:color w:val="auto"/>
              </w:rPr>
            </w:pPr>
            <w:r>
              <w:rPr>
                <w:rFonts w:ascii="Arial" w:cs="Arial" w:eastAsia="Arial" w:hAnsi="Arial"/>
                <w:sz w:val="18"/>
                <w:szCs w:val="18"/>
                <w:color w:val="auto"/>
                <w:w w:val="91"/>
              </w:rPr>
              <w:t>Leslie H. Wexner</w:t>
            </w:r>
          </w:p>
        </w:tc>
        <w:tc>
          <w:tcPr>
            <w:tcW w:w="1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5160" w:type="dxa"/>
            <w:vAlign w:val="bottom"/>
            <w:vMerge w:val="restart"/>
          </w:tcPr>
          <w:p>
            <w:pPr>
              <w:jc w:val="center"/>
              <w:spacing w:after="0"/>
              <w:rPr>
                <w:sz w:val="20"/>
                <w:szCs w:val="20"/>
                <w:color w:val="auto"/>
              </w:rPr>
            </w:pPr>
            <w:r>
              <w:rPr>
                <w:rFonts w:ascii="Arial" w:cs="Arial" w:eastAsia="Arial" w:hAnsi="Arial"/>
                <w:sz w:val="18"/>
                <w:szCs w:val="18"/>
                <w:color w:val="auto"/>
                <w:w w:val="90"/>
              </w:rPr>
              <w:t>/s/ Stuart B. Burgdoerfer</w:t>
            </w:r>
          </w:p>
        </w:tc>
        <w:tc>
          <w:tcPr>
            <w:tcW w:w="120" w:type="dxa"/>
            <w:vAlign w:val="bottom"/>
          </w:tcPr>
          <w:p>
            <w:pPr>
              <w:spacing w:after="0"/>
              <w:rPr>
                <w:sz w:val="24"/>
                <w:szCs w:val="24"/>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93"/>
              </w:rPr>
              <w:t>Principal Financial Officer, Principal Accounting</w:t>
            </w: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1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tcPr>
          <w:p>
            <w:pPr>
              <w:ind w:left="1300"/>
              <w:spacing w:after="0"/>
              <w:rPr>
                <w:sz w:val="20"/>
                <w:szCs w:val="20"/>
                <w:color w:val="auto"/>
              </w:rPr>
            </w:pPr>
            <w:r>
              <w:rPr>
                <w:rFonts w:ascii="Arial" w:cs="Arial" w:eastAsia="Arial" w:hAnsi="Arial"/>
                <w:sz w:val="18"/>
                <w:szCs w:val="18"/>
                <w:color w:val="auto"/>
              </w:rPr>
              <w:t>Officer and Director</w:t>
            </w:r>
          </w:p>
        </w:tc>
        <w:tc>
          <w:tcPr>
            <w:tcW w:w="2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January 29, 2019</w:t>
            </w:r>
          </w:p>
        </w:tc>
        <w:tc>
          <w:tcPr>
            <w:tcW w:w="0" w:type="dxa"/>
            <w:vAlign w:val="bottom"/>
          </w:tcPr>
          <w:p>
            <w:pPr>
              <w:spacing w:after="0"/>
              <w:rPr>
                <w:sz w:val="1"/>
                <w:szCs w:val="1"/>
                <w:color w:val="auto"/>
              </w:rPr>
            </w:pPr>
          </w:p>
        </w:tc>
      </w:tr>
      <w:tr>
        <w:trPr>
          <w:trHeight w:val="224"/>
        </w:trPr>
        <w:tc>
          <w:tcPr>
            <w:tcW w:w="5160" w:type="dxa"/>
            <w:vAlign w:val="bottom"/>
          </w:tcPr>
          <w:p>
            <w:pPr>
              <w:jc w:val="center"/>
              <w:spacing w:after="0"/>
              <w:rPr>
                <w:sz w:val="20"/>
                <w:szCs w:val="20"/>
                <w:color w:val="auto"/>
              </w:rPr>
            </w:pPr>
            <w:r>
              <w:rPr>
                <w:rFonts w:ascii="Arial" w:cs="Arial" w:eastAsia="Arial" w:hAnsi="Arial"/>
                <w:sz w:val="18"/>
                <w:szCs w:val="18"/>
                <w:color w:val="auto"/>
                <w:w w:val="91"/>
              </w:rPr>
              <w:t>Stuart B. Burgdoerfer</w:t>
            </w:r>
          </w:p>
        </w:tc>
        <w:tc>
          <w:tcPr>
            <w:tcW w:w="1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Lowell (Chip) Howard</w:t>
            </w:r>
          </w:p>
        </w:tc>
        <w:tc>
          <w:tcPr>
            <w:tcW w:w="120" w:type="dxa"/>
            <w:vAlign w:val="bottom"/>
          </w:tcPr>
          <w:p>
            <w:pPr>
              <w:spacing w:after="0"/>
              <w:rPr>
                <w:sz w:val="24"/>
                <w:szCs w:val="24"/>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January 29, 2019</w:t>
            </w:r>
          </w:p>
        </w:tc>
        <w:tc>
          <w:tcPr>
            <w:tcW w:w="0" w:type="dxa"/>
            <w:vAlign w:val="bottom"/>
          </w:tcPr>
          <w:p>
            <w:pPr>
              <w:spacing w:after="0"/>
              <w:rPr>
                <w:sz w:val="1"/>
                <w:szCs w:val="1"/>
                <w:color w:val="auto"/>
              </w:rPr>
            </w:pPr>
          </w:p>
        </w:tc>
      </w:tr>
      <w:tr>
        <w:trPr>
          <w:trHeight w:val="224"/>
        </w:trPr>
        <w:tc>
          <w:tcPr>
            <w:tcW w:w="5160" w:type="dxa"/>
            <w:vAlign w:val="bottom"/>
          </w:tcPr>
          <w:p>
            <w:pPr>
              <w:jc w:val="center"/>
              <w:spacing w:after="0"/>
              <w:rPr>
                <w:sz w:val="20"/>
                <w:szCs w:val="20"/>
                <w:color w:val="auto"/>
              </w:rPr>
            </w:pPr>
            <w:r>
              <w:rPr>
                <w:rFonts w:ascii="Arial" w:cs="Arial" w:eastAsia="Arial" w:hAnsi="Arial"/>
                <w:sz w:val="18"/>
                <w:szCs w:val="18"/>
                <w:color w:val="auto"/>
                <w:w w:val="95"/>
              </w:rPr>
              <w:t>Lowell (Chip) Howard</w:t>
            </w:r>
          </w:p>
        </w:tc>
        <w:tc>
          <w:tcPr>
            <w:tcW w:w="1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5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GUARANTOR SIGNATURES</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Columbus, State of Ohio, on January 29, 2019.</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VICTORIA’S SECRET DIRECT BRAND MANAGEMENT, LLC</w:t>
      </w:r>
    </w:p>
    <w:p>
      <w:pPr>
        <w:spacing w:after="0" w:line="200" w:lineRule="exact"/>
        <w:rPr>
          <w:sz w:val="20"/>
          <w:szCs w:val="20"/>
          <w:color w:val="auto"/>
        </w:rPr>
      </w:pPr>
    </w:p>
    <w:p>
      <w:pPr>
        <w:spacing w:after="0" w:line="282" w:lineRule="exact"/>
        <w:rPr>
          <w:sz w:val="20"/>
          <w:szCs w:val="20"/>
          <w:color w:val="auto"/>
        </w:rPr>
      </w:pPr>
    </w:p>
    <w:tbl>
      <w:tblPr>
        <w:tblLayout w:type="fixed"/>
        <w:tblInd w:w="5720" w:type="dxa"/>
        <w:tblCellMar>
          <w:top w:w="0" w:type="dxa"/>
          <w:left w:w="0" w:type="dxa"/>
          <w:bottom w:w="0" w:type="dxa"/>
          <w:right w:w="0" w:type="dxa"/>
        </w:tblCellMar>
      </w:tblP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gridSpan w:val="3"/>
          </w:tcPr>
          <w:p>
            <w:pPr>
              <w:ind w:left="240"/>
              <w:spacing w:after="0"/>
              <w:rPr>
                <w:sz w:val="20"/>
                <w:szCs w:val="20"/>
                <w:color w:val="auto"/>
              </w:rPr>
            </w:pPr>
            <w:r>
              <w:rPr>
                <w:rFonts w:ascii="Arial" w:cs="Arial" w:eastAsia="Arial" w:hAnsi="Arial"/>
                <w:sz w:val="18"/>
                <w:szCs w:val="18"/>
                <w:color w:val="auto"/>
                <w:w w:val="96"/>
              </w:rPr>
              <w:t>VICTORIA’S SECRET STORES BRAND MANAGEMENT, INC.,</w:t>
            </w:r>
          </w:p>
        </w:tc>
      </w:tr>
      <w:tr>
        <w:trPr>
          <w:trHeight w:val="230"/>
        </w:trPr>
        <w:tc>
          <w:tcPr>
            <w:tcW w:w="500" w:type="dxa"/>
            <w:vAlign w:val="bottom"/>
          </w:tcPr>
          <w:p>
            <w:pPr>
              <w:spacing w:after="0"/>
              <w:rPr>
                <w:sz w:val="20"/>
                <w:szCs w:val="20"/>
                <w:color w:val="auto"/>
              </w:rPr>
            </w:pPr>
          </w:p>
        </w:tc>
        <w:tc>
          <w:tcPr>
            <w:tcW w:w="5200" w:type="dxa"/>
            <w:vAlign w:val="bottom"/>
            <w:gridSpan w:val="3"/>
          </w:tcPr>
          <w:p>
            <w:pPr>
              <w:ind w:left="240"/>
              <w:spacing w:after="0"/>
              <w:rPr>
                <w:sz w:val="20"/>
                <w:szCs w:val="20"/>
                <w:color w:val="auto"/>
              </w:rPr>
            </w:pPr>
            <w:r>
              <w:rPr>
                <w:rFonts w:ascii="Arial" w:cs="Arial" w:eastAsia="Arial" w:hAnsi="Arial"/>
                <w:sz w:val="18"/>
                <w:szCs w:val="18"/>
                <w:color w:val="auto"/>
              </w:rPr>
              <w:t>its sole member</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4"/>
                <w:szCs w:val="24"/>
                <w:color w:val="auto"/>
              </w:rPr>
            </w:pPr>
          </w:p>
        </w:tc>
        <w:tc>
          <w:tcPr>
            <w:tcW w:w="4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Stuart B. Burgdoerfer</w:t>
            </w:r>
          </w:p>
        </w:tc>
      </w:tr>
      <w:tr>
        <w:trPr>
          <w:trHeight w:val="195"/>
        </w:trPr>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20" w:type="dxa"/>
            <w:vAlign w:val="bottom"/>
          </w:tcPr>
          <w:p>
            <w:pPr>
              <w:ind w:left="240"/>
              <w:spacing w:after="0" w:line="195" w:lineRule="exact"/>
              <w:rPr>
                <w:sz w:val="20"/>
                <w:szCs w:val="20"/>
                <w:color w:val="auto"/>
              </w:rPr>
            </w:pPr>
            <w:r>
              <w:rPr>
                <w:rFonts w:ascii="Arial" w:cs="Arial" w:eastAsia="Arial" w:hAnsi="Arial"/>
                <w:sz w:val="18"/>
                <w:szCs w:val="18"/>
                <w:color w:val="auto"/>
              </w:rPr>
              <w:t>Stuart B. Burgdoerfer</w:t>
            </w:r>
          </w:p>
        </w:tc>
      </w:tr>
      <w:tr>
        <w:trPr>
          <w:trHeight w:val="216"/>
        </w:trPr>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220" w:type="dxa"/>
            <w:vAlign w:val="bottom"/>
          </w:tcPr>
          <w:p>
            <w:pPr>
              <w:ind w:left="240"/>
              <w:spacing w:after="0"/>
              <w:rPr>
                <w:sz w:val="20"/>
                <w:szCs w:val="20"/>
                <w:color w:val="auto"/>
              </w:rPr>
            </w:pPr>
            <w:r>
              <w:rPr>
                <w:rFonts w:ascii="Arial" w:cs="Arial" w:eastAsia="Arial" w:hAnsi="Arial"/>
                <w:sz w:val="18"/>
                <w:szCs w:val="18"/>
                <w:color w:val="auto"/>
              </w:rPr>
              <w:t>Principal Financial Officer, Principal Accounting</w:t>
            </w:r>
          </w:p>
        </w:tc>
      </w:tr>
      <w:tr>
        <w:trPr>
          <w:trHeight w:val="230"/>
        </w:trPr>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Officer and Director</w:t>
            </w:r>
          </w:p>
        </w:tc>
      </w:tr>
    </w:tbl>
    <w:p>
      <w:pPr>
        <w:spacing w:after="0" w:line="200" w:lineRule="exact"/>
        <w:rPr>
          <w:sz w:val="20"/>
          <w:szCs w:val="20"/>
          <w:color w:val="auto"/>
        </w:rPr>
      </w:pPr>
    </w:p>
    <w:p>
      <w:pPr>
        <w:spacing w:after="0" w:line="24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KNOW ALL MEN BY THESE PRESENTS, that each person whose signature appears below constitutes and appoints Leslie H. Wexner, Stuart B. Burgdoerfer and Timothy J. Faber, and each of them, his or her true and lawful attorneys-in-fact and agents, with full power to act separately and full power of substitution and resubstitution, for him or her and in his or her name, place and stead, in any and all capacities, to sign any and all amendments (including post-effective amendments) to this registration statement and to file the same, with all exhibits thereto, and all other documents in connection therewith, with the Securities and Exchange Commission, granting unto each said attorney-in-fact and agent full power and authority to do and perform each and every act in person, hereby ratifying and confirming all that said attorneys-in-fact and agents or either of them or his or her or their substitute or substitutes may lawfully do or cause to be done by virtue hereof.</w:t>
      </w:r>
    </w:p>
    <w:p>
      <w:pPr>
        <w:spacing w:after="0" w:line="18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120" w:type="dxa"/>
            <w:vAlign w:val="bottom"/>
          </w:tcPr>
          <w:p>
            <w:pPr>
              <w:spacing w:after="0"/>
              <w:rPr>
                <w:sz w:val="20"/>
                <w:szCs w:val="20"/>
                <w:color w:val="auto"/>
              </w:rPr>
            </w:pP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0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426"/>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Leslie H. Wexner</w:t>
            </w:r>
          </w:p>
        </w:tc>
        <w:tc>
          <w:tcPr>
            <w:tcW w:w="120" w:type="dxa"/>
            <w:vAlign w:val="bottom"/>
          </w:tcPr>
          <w:p>
            <w:pPr>
              <w:spacing w:after="0"/>
              <w:rPr>
                <w:sz w:val="24"/>
                <w:szCs w:val="24"/>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January 29, 2019</w:t>
            </w:r>
          </w:p>
        </w:tc>
        <w:tc>
          <w:tcPr>
            <w:tcW w:w="0" w:type="dxa"/>
            <w:vAlign w:val="bottom"/>
          </w:tcPr>
          <w:p>
            <w:pPr>
              <w:spacing w:after="0"/>
              <w:rPr>
                <w:sz w:val="1"/>
                <w:szCs w:val="1"/>
                <w:color w:val="auto"/>
              </w:rPr>
            </w:pPr>
          </w:p>
        </w:tc>
      </w:tr>
      <w:tr>
        <w:trPr>
          <w:trHeight w:val="224"/>
        </w:trPr>
        <w:tc>
          <w:tcPr>
            <w:tcW w:w="5160" w:type="dxa"/>
            <w:vAlign w:val="bottom"/>
          </w:tcPr>
          <w:p>
            <w:pPr>
              <w:jc w:val="center"/>
              <w:spacing w:after="0"/>
              <w:rPr>
                <w:sz w:val="20"/>
                <w:szCs w:val="20"/>
                <w:color w:val="auto"/>
              </w:rPr>
            </w:pPr>
            <w:r>
              <w:rPr>
                <w:rFonts w:ascii="Arial" w:cs="Arial" w:eastAsia="Arial" w:hAnsi="Arial"/>
                <w:sz w:val="18"/>
                <w:szCs w:val="18"/>
                <w:color w:val="auto"/>
                <w:w w:val="91"/>
              </w:rPr>
              <w:t>Leslie H. Wexner</w:t>
            </w:r>
          </w:p>
        </w:tc>
        <w:tc>
          <w:tcPr>
            <w:tcW w:w="1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5160" w:type="dxa"/>
            <w:vAlign w:val="bottom"/>
            <w:vMerge w:val="restart"/>
          </w:tcPr>
          <w:p>
            <w:pPr>
              <w:jc w:val="center"/>
              <w:spacing w:after="0"/>
              <w:rPr>
                <w:sz w:val="20"/>
                <w:szCs w:val="20"/>
                <w:color w:val="auto"/>
              </w:rPr>
            </w:pPr>
            <w:r>
              <w:rPr>
                <w:rFonts w:ascii="Arial" w:cs="Arial" w:eastAsia="Arial" w:hAnsi="Arial"/>
                <w:sz w:val="18"/>
                <w:szCs w:val="18"/>
                <w:color w:val="auto"/>
                <w:w w:val="90"/>
              </w:rPr>
              <w:t>/s/ Stuart B. Burgdoerfer</w:t>
            </w:r>
          </w:p>
        </w:tc>
        <w:tc>
          <w:tcPr>
            <w:tcW w:w="120" w:type="dxa"/>
            <w:vAlign w:val="bottom"/>
          </w:tcPr>
          <w:p>
            <w:pPr>
              <w:spacing w:after="0"/>
              <w:rPr>
                <w:sz w:val="24"/>
                <w:szCs w:val="24"/>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93"/>
              </w:rPr>
              <w:t>Principal Financial Officer, Principal Accounting</w:t>
            </w: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1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tcPr>
          <w:p>
            <w:pPr>
              <w:ind w:left="1300"/>
              <w:spacing w:after="0"/>
              <w:rPr>
                <w:sz w:val="20"/>
                <w:szCs w:val="20"/>
                <w:color w:val="auto"/>
              </w:rPr>
            </w:pPr>
            <w:r>
              <w:rPr>
                <w:rFonts w:ascii="Arial" w:cs="Arial" w:eastAsia="Arial" w:hAnsi="Arial"/>
                <w:sz w:val="18"/>
                <w:szCs w:val="18"/>
                <w:color w:val="auto"/>
              </w:rPr>
              <w:t>Officer and Director</w:t>
            </w:r>
          </w:p>
        </w:tc>
        <w:tc>
          <w:tcPr>
            <w:tcW w:w="2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January 29, 2019</w:t>
            </w:r>
          </w:p>
        </w:tc>
        <w:tc>
          <w:tcPr>
            <w:tcW w:w="0" w:type="dxa"/>
            <w:vAlign w:val="bottom"/>
          </w:tcPr>
          <w:p>
            <w:pPr>
              <w:spacing w:after="0"/>
              <w:rPr>
                <w:sz w:val="1"/>
                <w:szCs w:val="1"/>
                <w:color w:val="auto"/>
              </w:rPr>
            </w:pPr>
          </w:p>
        </w:tc>
      </w:tr>
      <w:tr>
        <w:trPr>
          <w:trHeight w:val="224"/>
        </w:trPr>
        <w:tc>
          <w:tcPr>
            <w:tcW w:w="5160" w:type="dxa"/>
            <w:vAlign w:val="bottom"/>
          </w:tcPr>
          <w:p>
            <w:pPr>
              <w:jc w:val="center"/>
              <w:spacing w:after="0"/>
              <w:rPr>
                <w:sz w:val="20"/>
                <w:szCs w:val="20"/>
                <w:color w:val="auto"/>
              </w:rPr>
            </w:pPr>
            <w:r>
              <w:rPr>
                <w:rFonts w:ascii="Arial" w:cs="Arial" w:eastAsia="Arial" w:hAnsi="Arial"/>
                <w:sz w:val="18"/>
                <w:szCs w:val="18"/>
                <w:color w:val="auto"/>
                <w:w w:val="91"/>
              </w:rPr>
              <w:t>Stuart B. Burgdoerfer</w:t>
            </w:r>
          </w:p>
        </w:tc>
        <w:tc>
          <w:tcPr>
            <w:tcW w:w="1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Lowell (Chip) Howard</w:t>
            </w:r>
          </w:p>
        </w:tc>
        <w:tc>
          <w:tcPr>
            <w:tcW w:w="120" w:type="dxa"/>
            <w:vAlign w:val="bottom"/>
          </w:tcPr>
          <w:p>
            <w:pPr>
              <w:spacing w:after="0"/>
              <w:rPr>
                <w:sz w:val="24"/>
                <w:szCs w:val="24"/>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January 29, 2019</w:t>
            </w:r>
          </w:p>
        </w:tc>
        <w:tc>
          <w:tcPr>
            <w:tcW w:w="0" w:type="dxa"/>
            <w:vAlign w:val="bottom"/>
          </w:tcPr>
          <w:p>
            <w:pPr>
              <w:spacing w:after="0"/>
              <w:rPr>
                <w:sz w:val="1"/>
                <w:szCs w:val="1"/>
                <w:color w:val="auto"/>
              </w:rPr>
            </w:pPr>
          </w:p>
        </w:tc>
      </w:tr>
      <w:tr>
        <w:trPr>
          <w:trHeight w:val="224"/>
        </w:trPr>
        <w:tc>
          <w:tcPr>
            <w:tcW w:w="5160" w:type="dxa"/>
            <w:vAlign w:val="bottom"/>
          </w:tcPr>
          <w:p>
            <w:pPr>
              <w:jc w:val="center"/>
              <w:spacing w:after="0"/>
              <w:rPr>
                <w:sz w:val="20"/>
                <w:szCs w:val="20"/>
                <w:color w:val="auto"/>
              </w:rPr>
            </w:pPr>
            <w:r>
              <w:rPr>
                <w:rFonts w:ascii="Arial" w:cs="Arial" w:eastAsia="Arial" w:hAnsi="Arial"/>
                <w:sz w:val="18"/>
                <w:szCs w:val="18"/>
                <w:color w:val="auto"/>
                <w:w w:val="95"/>
              </w:rPr>
              <w:t>Lowell (Chip) Howard</w:t>
            </w:r>
          </w:p>
        </w:tc>
        <w:tc>
          <w:tcPr>
            <w:tcW w:w="1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5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GUARANTOR SIGNATURES</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Columbus, State of Ohio, on January 29, 2019.</w:t>
      </w:r>
    </w:p>
    <w:p>
      <w:pPr>
        <w:spacing w:after="0" w:line="18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BEAUTYAVENUES, LLC</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gridSpan w:val="3"/>
          </w:tcPr>
          <w:p>
            <w:pPr>
              <w:ind w:left="240"/>
              <w:spacing w:after="0"/>
              <w:rPr>
                <w:sz w:val="20"/>
                <w:szCs w:val="20"/>
                <w:color w:val="auto"/>
              </w:rPr>
            </w:pPr>
            <w:r>
              <w:rPr>
                <w:rFonts w:ascii="Arial" w:cs="Arial" w:eastAsia="Arial" w:hAnsi="Arial"/>
                <w:sz w:val="18"/>
                <w:szCs w:val="18"/>
                <w:color w:val="auto"/>
              </w:rPr>
              <w:t>MAST INDUSTRIES, INC., its sole member</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4"/>
                <w:szCs w:val="24"/>
                <w:color w:val="auto"/>
              </w:rPr>
            </w:pPr>
          </w:p>
        </w:tc>
        <w:tc>
          <w:tcPr>
            <w:tcW w:w="4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Stuart B. Burgdoerfer</w:t>
            </w:r>
          </w:p>
        </w:tc>
      </w:tr>
      <w:tr>
        <w:trPr>
          <w:trHeight w:val="195"/>
        </w:trPr>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20" w:type="dxa"/>
            <w:vAlign w:val="bottom"/>
          </w:tcPr>
          <w:p>
            <w:pPr>
              <w:ind w:left="240"/>
              <w:spacing w:after="0" w:line="195" w:lineRule="exact"/>
              <w:rPr>
                <w:sz w:val="20"/>
                <w:szCs w:val="20"/>
                <w:color w:val="auto"/>
              </w:rPr>
            </w:pPr>
            <w:r>
              <w:rPr>
                <w:rFonts w:ascii="Arial" w:cs="Arial" w:eastAsia="Arial" w:hAnsi="Arial"/>
                <w:sz w:val="18"/>
                <w:szCs w:val="18"/>
                <w:color w:val="auto"/>
              </w:rPr>
              <w:t>Stuart B. Burgdoerfer</w:t>
            </w:r>
          </w:p>
        </w:tc>
      </w:tr>
      <w:tr>
        <w:trPr>
          <w:trHeight w:val="216"/>
        </w:trPr>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220" w:type="dxa"/>
            <w:vAlign w:val="bottom"/>
          </w:tcPr>
          <w:p>
            <w:pPr>
              <w:ind w:left="240"/>
              <w:spacing w:after="0"/>
              <w:rPr>
                <w:sz w:val="20"/>
                <w:szCs w:val="20"/>
                <w:color w:val="auto"/>
              </w:rPr>
            </w:pPr>
            <w:r>
              <w:rPr>
                <w:rFonts w:ascii="Arial" w:cs="Arial" w:eastAsia="Arial" w:hAnsi="Arial"/>
                <w:sz w:val="18"/>
                <w:szCs w:val="18"/>
                <w:color w:val="auto"/>
              </w:rPr>
              <w:t>Principal Financial Officer, Principal Accounting</w:t>
            </w:r>
          </w:p>
        </w:tc>
      </w:tr>
      <w:tr>
        <w:trPr>
          <w:trHeight w:val="230"/>
        </w:trPr>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Officer and Director</w:t>
            </w:r>
          </w:p>
        </w:tc>
      </w:tr>
    </w:tbl>
    <w:p>
      <w:pPr>
        <w:spacing w:after="0" w:line="200" w:lineRule="exact"/>
        <w:rPr>
          <w:sz w:val="20"/>
          <w:szCs w:val="20"/>
          <w:color w:val="auto"/>
        </w:rPr>
      </w:pPr>
    </w:p>
    <w:p>
      <w:pPr>
        <w:spacing w:after="0" w:line="24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KNOW ALL MEN BY THESE PRESENTS, that each person whose signature appears below constitutes and appoints Leslie H. Wexner, Stuart B. Burgdoerfer and Timothy J. Faber, and each of them, his or her true and lawful attorneys-in-fact and agents, with full power to act separately and full power of substitution and resubstitution, for him or her and in his or her name, place and stead, in any and all capacities, to sign any and all amendments (including post-effective amendments) to this registration statement and to file the same, with all exhibits thereto, and all other documents in connection therewith, with the Securities and Exchange Commission, granting unto each said attorney-in-fact and agent full power and authority to do and perform each and every act in person, hereby ratifying and confirming all that said attorneys-in-fact and agents or either of them or his or her or their substitute or substitutes may lawfully do or cause to be done by virtue hereof.</w:t>
      </w:r>
    </w:p>
    <w:p>
      <w:pPr>
        <w:spacing w:after="0" w:line="18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120" w:type="dxa"/>
            <w:vAlign w:val="bottom"/>
          </w:tcPr>
          <w:p>
            <w:pPr>
              <w:spacing w:after="0"/>
              <w:rPr>
                <w:sz w:val="20"/>
                <w:szCs w:val="20"/>
                <w:color w:val="auto"/>
              </w:rPr>
            </w:pP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0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426"/>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Leslie H. Wexner</w:t>
            </w:r>
          </w:p>
        </w:tc>
        <w:tc>
          <w:tcPr>
            <w:tcW w:w="120" w:type="dxa"/>
            <w:vAlign w:val="bottom"/>
          </w:tcPr>
          <w:p>
            <w:pPr>
              <w:spacing w:after="0"/>
              <w:rPr>
                <w:sz w:val="24"/>
                <w:szCs w:val="24"/>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January 29, 2019</w:t>
            </w:r>
          </w:p>
        </w:tc>
        <w:tc>
          <w:tcPr>
            <w:tcW w:w="0" w:type="dxa"/>
            <w:vAlign w:val="bottom"/>
          </w:tcPr>
          <w:p>
            <w:pPr>
              <w:spacing w:after="0"/>
              <w:rPr>
                <w:sz w:val="1"/>
                <w:szCs w:val="1"/>
                <w:color w:val="auto"/>
              </w:rPr>
            </w:pPr>
          </w:p>
        </w:tc>
      </w:tr>
      <w:tr>
        <w:trPr>
          <w:trHeight w:val="224"/>
        </w:trPr>
        <w:tc>
          <w:tcPr>
            <w:tcW w:w="5160" w:type="dxa"/>
            <w:vAlign w:val="bottom"/>
          </w:tcPr>
          <w:p>
            <w:pPr>
              <w:jc w:val="center"/>
              <w:spacing w:after="0"/>
              <w:rPr>
                <w:sz w:val="20"/>
                <w:szCs w:val="20"/>
                <w:color w:val="auto"/>
              </w:rPr>
            </w:pPr>
            <w:r>
              <w:rPr>
                <w:rFonts w:ascii="Arial" w:cs="Arial" w:eastAsia="Arial" w:hAnsi="Arial"/>
                <w:sz w:val="18"/>
                <w:szCs w:val="18"/>
                <w:color w:val="auto"/>
                <w:w w:val="91"/>
              </w:rPr>
              <w:t>Leslie H. Wexner</w:t>
            </w:r>
          </w:p>
        </w:tc>
        <w:tc>
          <w:tcPr>
            <w:tcW w:w="1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5160" w:type="dxa"/>
            <w:vAlign w:val="bottom"/>
            <w:vMerge w:val="restart"/>
          </w:tcPr>
          <w:p>
            <w:pPr>
              <w:jc w:val="center"/>
              <w:spacing w:after="0"/>
              <w:rPr>
                <w:sz w:val="20"/>
                <w:szCs w:val="20"/>
                <w:color w:val="auto"/>
              </w:rPr>
            </w:pPr>
            <w:r>
              <w:rPr>
                <w:rFonts w:ascii="Arial" w:cs="Arial" w:eastAsia="Arial" w:hAnsi="Arial"/>
                <w:sz w:val="18"/>
                <w:szCs w:val="18"/>
                <w:color w:val="auto"/>
                <w:w w:val="90"/>
              </w:rPr>
              <w:t>/s/ Stuart B. Burgdoerfer</w:t>
            </w:r>
          </w:p>
        </w:tc>
        <w:tc>
          <w:tcPr>
            <w:tcW w:w="120" w:type="dxa"/>
            <w:vAlign w:val="bottom"/>
          </w:tcPr>
          <w:p>
            <w:pPr>
              <w:spacing w:after="0"/>
              <w:rPr>
                <w:sz w:val="24"/>
                <w:szCs w:val="24"/>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93"/>
              </w:rPr>
              <w:t>Principal Financial Officer, Principal Accounting</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January 29, 2019</w:t>
            </w:r>
          </w:p>
        </w:tc>
        <w:tc>
          <w:tcPr>
            <w:tcW w:w="0" w:type="dxa"/>
            <w:vAlign w:val="bottom"/>
          </w:tcPr>
          <w:p>
            <w:pPr>
              <w:spacing w:after="0"/>
              <w:rPr>
                <w:sz w:val="1"/>
                <w:szCs w:val="1"/>
                <w:color w:val="auto"/>
              </w:rPr>
            </w:pPr>
          </w:p>
        </w:tc>
      </w:tr>
      <w:tr>
        <w:trPr>
          <w:trHeight w:val="222"/>
        </w:trPr>
        <w:tc>
          <w:tcPr>
            <w:tcW w:w="51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tcPr>
          <w:p>
            <w:pPr>
              <w:ind w:left="1300"/>
              <w:spacing w:after="0"/>
              <w:rPr>
                <w:sz w:val="20"/>
                <w:szCs w:val="20"/>
                <w:color w:val="auto"/>
              </w:rPr>
            </w:pPr>
            <w:r>
              <w:rPr>
                <w:rFonts w:ascii="Arial" w:cs="Arial" w:eastAsia="Arial" w:hAnsi="Arial"/>
                <w:sz w:val="18"/>
                <w:szCs w:val="18"/>
                <w:color w:val="auto"/>
              </w:rPr>
              <w:t>Officer and Director</w:t>
            </w:r>
          </w:p>
        </w:tc>
        <w:tc>
          <w:tcPr>
            <w:tcW w:w="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60" w:type="dxa"/>
            <w:vAlign w:val="bottom"/>
          </w:tcPr>
          <w:p>
            <w:pPr>
              <w:jc w:val="center"/>
              <w:spacing w:after="0"/>
              <w:rPr>
                <w:sz w:val="20"/>
                <w:szCs w:val="20"/>
                <w:color w:val="auto"/>
              </w:rPr>
            </w:pPr>
            <w:r>
              <w:rPr>
                <w:rFonts w:ascii="Arial" w:cs="Arial" w:eastAsia="Arial" w:hAnsi="Arial"/>
                <w:sz w:val="18"/>
                <w:szCs w:val="18"/>
                <w:color w:val="auto"/>
                <w:w w:val="91"/>
              </w:rPr>
              <w:t>Stuart B. Burgdoerfer</w:t>
            </w:r>
          </w:p>
        </w:tc>
        <w:tc>
          <w:tcPr>
            <w:tcW w:w="1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Lowell (Chip) Howard</w:t>
            </w:r>
          </w:p>
        </w:tc>
        <w:tc>
          <w:tcPr>
            <w:tcW w:w="120" w:type="dxa"/>
            <w:vAlign w:val="bottom"/>
          </w:tcPr>
          <w:p>
            <w:pPr>
              <w:spacing w:after="0"/>
              <w:rPr>
                <w:sz w:val="24"/>
                <w:szCs w:val="24"/>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January 29, 2019</w:t>
            </w:r>
          </w:p>
        </w:tc>
        <w:tc>
          <w:tcPr>
            <w:tcW w:w="0" w:type="dxa"/>
            <w:vAlign w:val="bottom"/>
          </w:tcPr>
          <w:p>
            <w:pPr>
              <w:spacing w:after="0"/>
              <w:rPr>
                <w:sz w:val="1"/>
                <w:szCs w:val="1"/>
                <w:color w:val="auto"/>
              </w:rPr>
            </w:pPr>
          </w:p>
        </w:tc>
      </w:tr>
      <w:tr>
        <w:trPr>
          <w:trHeight w:val="224"/>
        </w:trPr>
        <w:tc>
          <w:tcPr>
            <w:tcW w:w="5160" w:type="dxa"/>
            <w:vAlign w:val="bottom"/>
          </w:tcPr>
          <w:p>
            <w:pPr>
              <w:jc w:val="center"/>
              <w:spacing w:after="0"/>
              <w:rPr>
                <w:sz w:val="20"/>
                <w:szCs w:val="20"/>
                <w:color w:val="auto"/>
              </w:rPr>
            </w:pPr>
            <w:r>
              <w:rPr>
                <w:rFonts w:ascii="Arial" w:cs="Arial" w:eastAsia="Arial" w:hAnsi="Arial"/>
                <w:sz w:val="18"/>
                <w:szCs w:val="18"/>
                <w:color w:val="auto"/>
                <w:w w:val="95"/>
              </w:rPr>
              <w:t>Lowell (Chip) Howard</w:t>
            </w:r>
          </w:p>
        </w:tc>
        <w:tc>
          <w:tcPr>
            <w:tcW w:w="1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5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GUARANTOR SIGNATURES</w:t>
      </w:r>
    </w:p>
    <w:p>
      <w:pPr>
        <w:spacing w:after="0" w:line="229"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Registrants certify that they have reasonable grounds to believe that they meet all of the requirements for filing on Form S-3 and have duly caused this registration statement to be signed on their behalf by the undersigned, thereunto duly authorized, in the City of Columbus, State of Ohio, on January 29, 2019.</w:t>
      </w:r>
    </w:p>
    <w:p>
      <w:pPr>
        <w:spacing w:after="0" w:line="181"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L BRANDS SERVICE COMPANY, LLC INTIMATE BRANDS</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HOLDING, LLC</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880" w:type="dxa"/>
            <w:vAlign w:val="bottom"/>
            <w:gridSpan w:val="2"/>
          </w:tcPr>
          <w:p>
            <w:pPr>
              <w:ind w:left="240"/>
              <w:spacing w:after="0"/>
              <w:rPr>
                <w:sz w:val="20"/>
                <w:szCs w:val="20"/>
                <w:color w:val="auto"/>
              </w:rPr>
            </w:pPr>
            <w:r>
              <w:rPr>
                <w:rFonts w:ascii="Arial" w:cs="Arial" w:eastAsia="Arial" w:hAnsi="Arial"/>
                <w:sz w:val="18"/>
                <w:szCs w:val="18"/>
                <w:color w:val="auto"/>
              </w:rPr>
              <w:t>By:</w:t>
            </w:r>
          </w:p>
        </w:tc>
        <w:tc>
          <w:tcPr>
            <w:tcW w:w="4320" w:type="dxa"/>
            <w:vAlign w:val="bottom"/>
          </w:tcPr>
          <w:p>
            <w:pPr>
              <w:ind w:left="160"/>
              <w:spacing w:after="0"/>
              <w:rPr>
                <w:sz w:val="20"/>
                <w:szCs w:val="20"/>
                <w:color w:val="auto"/>
              </w:rPr>
            </w:pPr>
            <w:r>
              <w:rPr>
                <w:rFonts w:ascii="Arial" w:cs="Arial" w:eastAsia="Arial" w:hAnsi="Arial"/>
                <w:sz w:val="18"/>
                <w:szCs w:val="18"/>
                <w:color w:val="auto"/>
              </w:rPr>
              <w:t>INTIMATE BRANDS, INC., manager</w:t>
            </w:r>
          </w:p>
        </w:tc>
      </w:tr>
      <w:tr>
        <w:trPr>
          <w:trHeight w:val="459"/>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4"/>
                <w:szCs w:val="24"/>
                <w:color w:val="auto"/>
              </w:rPr>
            </w:pPr>
          </w:p>
        </w:tc>
        <w:tc>
          <w:tcPr>
            <w:tcW w:w="4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Stuart B. Burgdoerfer</w:t>
            </w:r>
          </w:p>
        </w:tc>
      </w:tr>
      <w:tr>
        <w:trPr>
          <w:trHeight w:val="195"/>
        </w:trPr>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20" w:type="dxa"/>
            <w:vAlign w:val="bottom"/>
          </w:tcPr>
          <w:p>
            <w:pPr>
              <w:ind w:left="340"/>
              <w:spacing w:after="0" w:line="195" w:lineRule="exact"/>
              <w:rPr>
                <w:sz w:val="20"/>
                <w:szCs w:val="20"/>
                <w:color w:val="auto"/>
              </w:rPr>
            </w:pPr>
            <w:r>
              <w:rPr>
                <w:rFonts w:ascii="Arial" w:cs="Arial" w:eastAsia="Arial" w:hAnsi="Arial"/>
                <w:sz w:val="18"/>
                <w:szCs w:val="18"/>
                <w:color w:val="auto"/>
              </w:rPr>
              <w:t>Stuart B. Burgdoerfer</w:t>
            </w:r>
          </w:p>
        </w:tc>
      </w:tr>
      <w:tr>
        <w:trPr>
          <w:trHeight w:val="216"/>
        </w:trPr>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320" w:type="dxa"/>
            <w:vAlign w:val="bottom"/>
          </w:tcPr>
          <w:p>
            <w:pPr>
              <w:ind w:left="340"/>
              <w:spacing w:after="0"/>
              <w:rPr>
                <w:sz w:val="20"/>
                <w:szCs w:val="20"/>
                <w:color w:val="auto"/>
              </w:rPr>
            </w:pPr>
            <w:r>
              <w:rPr>
                <w:rFonts w:ascii="Arial" w:cs="Arial" w:eastAsia="Arial" w:hAnsi="Arial"/>
                <w:sz w:val="18"/>
                <w:szCs w:val="18"/>
                <w:color w:val="auto"/>
              </w:rPr>
              <w:t>Principal Financial Officer, Principal Accounting</w:t>
            </w:r>
          </w:p>
        </w:tc>
      </w:tr>
      <w:tr>
        <w:trPr>
          <w:trHeight w:val="230"/>
        </w:trPr>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Officer and Director</w:t>
            </w:r>
          </w:p>
        </w:tc>
      </w:tr>
    </w:tbl>
    <w:p>
      <w:pPr>
        <w:spacing w:after="0" w:line="200" w:lineRule="exact"/>
        <w:rPr>
          <w:sz w:val="20"/>
          <w:szCs w:val="20"/>
          <w:color w:val="auto"/>
        </w:rPr>
      </w:pPr>
    </w:p>
    <w:p>
      <w:pPr>
        <w:spacing w:after="0" w:line="24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KNOW ALL MEN BY THESE PRESENTS, that each person whose signature appears below constitutes and appoints Leslie H. Wexner, Stuart B. Burgdoerfer and Timothy J. Faber, and each of them, his or her true and lawful attorneys-in-fact and agents, with full power to act separately and full power of substitution and resubstitution, for him or her and in his or her name, place and stead, in any and all capacities, to sign any and all amendments (including post-effective amendments) to this registration statement and to file the same, with all exhibits thereto, and all other documents in connection therewith, with the Securities and Exchange Commission, granting unto each said attorney-in-fact and agent full power and authority to do and perform each and every act in person, hereby ratifying and confirming all that said attorneys-in-fact and agents or either of them or his or her or their substitute or substitutes may lawfully do or cause to be done by virtue hereof.</w:t>
      </w:r>
    </w:p>
    <w:p>
      <w:pPr>
        <w:spacing w:after="0" w:line="18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120" w:type="dxa"/>
            <w:vAlign w:val="bottom"/>
          </w:tcPr>
          <w:p>
            <w:pPr>
              <w:spacing w:after="0"/>
              <w:rPr>
                <w:sz w:val="20"/>
                <w:szCs w:val="20"/>
                <w:color w:val="auto"/>
              </w:rPr>
            </w:pP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0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426"/>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Leslie H. Wexner</w:t>
            </w:r>
          </w:p>
        </w:tc>
        <w:tc>
          <w:tcPr>
            <w:tcW w:w="120" w:type="dxa"/>
            <w:vAlign w:val="bottom"/>
          </w:tcPr>
          <w:p>
            <w:pPr>
              <w:spacing w:after="0"/>
              <w:rPr>
                <w:sz w:val="24"/>
                <w:szCs w:val="24"/>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January 29, 2019</w:t>
            </w:r>
          </w:p>
        </w:tc>
        <w:tc>
          <w:tcPr>
            <w:tcW w:w="0" w:type="dxa"/>
            <w:vAlign w:val="bottom"/>
          </w:tcPr>
          <w:p>
            <w:pPr>
              <w:spacing w:after="0"/>
              <w:rPr>
                <w:sz w:val="1"/>
                <w:szCs w:val="1"/>
                <w:color w:val="auto"/>
              </w:rPr>
            </w:pPr>
          </w:p>
        </w:tc>
      </w:tr>
      <w:tr>
        <w:trPr>
          <w:trHeight w:val="224"/>
        </w:trPr>
        <w:tc>
          <w:tcPr>
            <w:tcW w:w="5160" w:type="dxa"/>
            <w:vAlign w:val="bottom"/>
          </w:tcPr>
          <w:p>
            <w:pPr>
              <w:jc w:val="center"/>
              <w:spacing w:after="0"/>
              <w:rPr>
                <w:sz w:val="20"/>
                <w:szCs w:val="20"/>
                <w:color w:val="auto"/>
              </w:rPr>
            </w:pPr>
            <w:r>
              <w:rPr>
                <w:rFonts w:ascii="Arial" w:cs="Arial" w:eastAsia="Arial" w:hAnsi="Arial"/>
                <w:sz w:val="18"/>
                <w:szCs w:val="18"/>
                <w:color w:val="auto"/>
                <w:w w:val="91"/>
              </w:rPr>
              <w:t>Leslie H. Wexner</w:t>
            </w:r>
          </w:p>
        </w:tc>
        <w:tc>
          <w:tcPr>
            <w:tcW w:w="1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5160" w:type="dxa"/>
            <w:vAlign w:val="bottom"/>
            <w:vMerge w:val="restart"/>
          </w:tcPr>
          <w:p>
            <w:pPr>
              <w:jc w:val="center"/>
              <w:spacing w:after="0"/>
              <w:rPr>
                <w:sz w:val="20"/>
                <w:szCs w:val="20"/>
                <w:color w:val="auto"/>
              </w:rPr>
            </w:pPr>
            <w:r>
              <w:rPr>
                <w:rFonts w:ascii="Arial" w:cs="Arial" w:eastAsia="Arial" w:hAnsi="Arial"/>
                <w:sz w:val="18"/>
                <w:szCs w:val="18"/>
                <w:color w:val="auto"/>
                <w:w w:val="90"/>
              </w:rPr>
              <w:t>/s/ Stuart B. Burgdoerfer</w:t>
            </w:r>
          </w:p>
        </w:tc>
        <w:tc>
          <w:tcPr>
            <w:tcW w:w="120" w:type="dxa"/>
            <w:vAlign w:val="bottom"/>
          </w:tcPr>
          <w:p>
            <w:pPr>
              <w:spacing w:after="0"/>
              <w:rPr>
                <w:sz w:val="24"/>
                <w:szCs w:val="24"/>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93"/>
              </w:rPr>
              <w:t>Principal Financial Officer, Principal Accounting</w:t>
            </w: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1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93"/>
              </w:rPr>
              <w:t>Officer and Director</w:t>
            </w:r>
          </w:p>
        </w:tc>
        <w:tc>
          <w:tcPr>
            <w:tcW w:w="2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January 29, 2019</w:t>
            </w:r>
          </w:p>
        </w:tc>
        <w:tc>
          <w:tcPr>
            <w:tcW w:w="0" w:type="dxa"/>
            <w:vAlign w:val="bottom"/>
          </w:tcPr>
          <w:p>
            <w:pPr>
              <w:spacing w:after="0"/>
              <w:rPr>
                <w:sz w:val="1"/>
                <w:szCs w:val="1"/>
                <w:color w:val="auto"/>
              </w:rPr>
            </w:pPr>
          </w:p>
        </w:tc>
      </w:tr>
      <w:tr>
        <w:trPr>
          <w:trHeight w:val="224"/>
        </w:trPr>
        <w:tc>
          <w:tcPr>
            <w:tcW w:w="5160" w:type="dxa"/>
            <w:vAlign w:val="bottom"/>
          </w:tcPr>
          <w:p>
            <w:pPr>
              <w:jc w:val="center"/>
              <w:spacing w:after="0"/>
              <w:rPr>
                <w:sz w:val="20"/>
                <w:szCs w:val="20"/>
                <w:color w:val="auto"/>
              </w:rPr>
            </w:pPr>
            <w:r>
              <w:rPr>
                <w:rFonts w:ascii="Arial" w:cs="Arial" w:eastAsia="Arial" w:hAnsi="Arial"/>
                <w:sz w:val="18"/>
                <w:szCs w:val="18"/>
                <w:color w:val="auto"/>
                <w:w w:val="91"/>
              </w:rPr>
              <w:t>Stuart B. Burgdoerfer</w:t>
            </w:r>
          </w:p>
        </w:tc>
        <w:tc>
          <w:tcPr>
            <w:tcW w:w="1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Lowell (Chip) Howard</w:t>
            </w:r>
          </w:p>
        </w:tc>
        <w:tc>
          <w:tcPr>
            <w:tcW w:w="120" w:type="dxa"/>
            <w:vAlign w:val="bottom"/>
          </w:tcPr>
          <w:p>
            <w:pPr>
              <w:spacing w:after="0"/>
              <w:rPr>
                <w:sz w:val="24"/>
                <w:szCs w:val="24"/>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January 29, 2019</w:t>
            </w:r>
          </w:p>
        </w:tc>
        <w:tc>
          <w:tcPr>
            <w:tcW w:w="0" w:type="dxa"/>
            <w:vAlign w:val="bottom"/>
          </w:tcPr>
          <w:p>
            <w:pPr>
              <w:spacing w:after="0"/>
              <w:rPr>
                <w:sz w:val="1"/>
                <w:szCs w:val="1"/>
                <w:color w:val="auto"/>
              </w:rPr>
            </w:pPr>
          </w:p>
        </w:tc>
      </w:tr>
      <w:tr>
        <w:trPr>
          <w:trHeight w:val="224"/>
        </w:trPr>
        <w:tc>
          <w:tcPr>
            <w:tcW w:w="5160" w:type="dxa"/>
            <w:vAlign w:val="bottom"/>
          </w:tcPr>
          <w:p>
            <w:pPr>
              <w:jc w:val="center"/>
              <w:spacing w:after="0"/>
              <w:rPr>
                <w:sz w:val="20"/>
                <w:szCs w:val="20"/>
                <w:color w:val="auto"/>
              </w:rPr>
            </w:pPr>
            <w:r>
              <w:rPr>
                <w:rFonts w:ascii="Arial" w:cs="Arial" w:eastAsia="Arial" w:hAnsi="Arial"/>
                <w:sz w:val="18"/>
                <w:szCs w:val="18"/>
                <w:color w:val="auto"/>
                <w:w w:val="95"/>
              </w:rPr>
              <w:t>Lowell (Chip) Howard</w:t>
            </w:r>
          </w:p>
        </w:tc>
        <w:tc>
          <w:tcPr>
            <w:tcW w:w="1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3"/>
        </w:trPr>
        <w:tc>
          <w:tcPr>
            <w:tcW w:w="5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9" w:name="page40"/>
    <w:bookmarkEnd w:id="39"/>
    <w:p>
      <w:pPr>
        <w:ind w:left="10420"/>
        <w:spacing w:after="0"/>
        <w:rPr>
          <w:sz w:val="20"/>
          <w:szCs w:val="20"/>
          <w:color w:val="auto"/>
        </w:rPr>
      </w:pPr>
      <w:r>
        <w:rPr>
          <w:rFonts w:ascii="Arial" w:cs="Arial" w:eastAsia="Arial" w:hAnsi="Arial"/>
          <w:sz w:val="19"/>
          <w:szCs w:val="19"/>
          <w:b w:val="1"/>
          <w:bCs w:val="1"/>
          <w:color w:val="auto"/>
        </w:rPr>
        <w:t>Exhibit 5.1</w:t>
      </w:r>
    </w:p>
    <w:p>
      <w:pPr>
        <w:sectPr>
          <w:pgSz w:w="11900" w:h="16838" w:orient="portrait"/>
          <w:cols w:equalWidth="0" w:num="1">
            <w:col w:w="11420"/>
          </w:cols>
          <w:pgMar w:left="240" w:top="112" w:right="239" w:bottom="1440" w:gutter="0" w:footer="0" w:header="0"/>
        </w:sectPr>
      </w:pPr>
    </w:p>
    <w:p>
      <w:pPr>
        <w:spacing w:after="0" w:line="282" w:lineRule="exact"/>
        <w:rPr>
          <w:sz w:val="20"/>
          <w:szCs w:val="20"/>
          <w:color w:val="auto"/>
        </w:rPr>
      </w:pPr>
    </w:p>
    <w:p>
      <w:pPr>
        <w:ind w:left="8240"/>
        <w:spacing w:after="0"/>
        <w:rPr>
          <w:sz w:val="20"/>
          <w:szCs w:val="20"/>
          <w:color w:val="auto"/>
        </w:rPr>
      </w:pPr>
      <w:r>
        <w:rPr>
          <w:rFonts w:ascii="Arial" w:cs="Arial" w:eastAsia="Arial" w:hAnsi="Arial"/>
          <w:sz w:val="14"/>
          <w:szCs w:val="14"/>
          <w:b w:val="1"/>
          <w:bCs w:val="1"/>
          <w:color w:val="auto"/>
        </w:rPr>
        <w:t>New York</w:t>
      </w:r>
    </w:p>
    <w:p>
      <w:pPr>
        <w:spacing w:after="0" w:line="19" w:lineRule="exact"/>
        <w:rPr>
          <w:sz w:val="20"/>
          <w:szCs w:val="20"/>
          <w:color w:val="auto"/>
        </w:rPr>
      </w:pPr>
    </w:p>
    <w:p>
      <w:pPr>
        <w:ind w:left="8240"/>
        <w:spacing w:after="0"/>
        <w:rPr>
          <w:sz w:val="20"/>
          <w:szCs w:val="20"/>
          <w:color w:val="auto"/>
        </w:rPr>
      </w:pPr>
      <w:r>
        <w:rPr>
          <w:rFonts w:ascii="Arial" w:cs="Arial" w:eastAsia="Arial" w:hAnsi="Arial"/>
          <w:sz w:val="14"/>
          <w:szCs w:val="14"/>
          <w:b w:val="1"/>
          <w:bCs w:val="1"/>
          <w:color w:val="auto"/>
        </w:rPr>
        <w:t>Menlo Park</w:t>
      </w:r>
    </w:p>
    <w:p>
      <w:pPr>
        <w:spacing w:after="0" w:line="1" w:lineRule="exact"/>
        <w:rPr>
          <w:sz w:val="20"/>
          <w:szCs w:val="20"/>
          <w:color w:val="auto"/>
        </w:rPr>
      </w:pPr>
    </w:p>
    <w:p>
      <w:pPr>
        <w:ind w:left="8240"/>
        <w:spacing w:after="0"/>
        <w:rPr>
          <w:sz w:val="20"/>
          <w:szCs w:val="20"/>
          <w:color w:val="auto"/>
        </w:rPr>
      </w:pPr>
      <w:r>
        <w:rPr>
          <w:rFonts w:ascii="Arial" w:cs="Arial" w:eastAsia="Arial" w:hAnsi="Arial"/>
          <w:sz w:val="14"/>
          <w:szCs w:val="14"/>
          <w:b w:val="1"/>
          <w:bCs w:val="1"/>
          <w:color w:val="auto"/>
        </w:rPr>
        <w:t>Washington DC</w:t>
      </w:r>
    </w:p>
    <w:p>
      <w:pPr>
        <w:spacing w:after="0" w:line="1" w:lineRule="exact"/>
        <w:rPr>
          <w:sz w:val="20"/>
          <w:szCs w:val="20"/>
          <w:color w:val="auto"/>
        </w:rPr>
      </w:pPr>
    </w:p>
    <w:p>
      <w:pPr>
        <w:ind w:left="8240"/>
        <w:spacing w:after="0"/>
        <w:rPr>
          <w:sz w:val="20"/>
          <w:szCs w:val="20"/>
          <w:color w:val="auto"/>
        </w:rPr>
      </w:pPr>
      <w:r>
        <w:rPr>
          <w:rFonts w:ascii="Arial" w:cs="Arial" w:eastAsia="Arial" w:hAnsi="Arial"/>
          <w:sz w:val="14"/>
          <w:szCs w:val="14"/>
          <w:b w:val="1"/>
          <w:bCs w:val="1"/>
          <w:color w:val="auto"/>
        </w:rPr>
        <w:t>São Paulo</w:t>
      </w:r>
    </w:p>
    <w:p>
      <w:pPr>
        <w:spacing w:after="0" w:line="1" w:lineRule="exact"/>
        <w:rPr>
          <w:sz w:val="20"/>
          <w:szCs w:val="20"/>
          <w:color w:val="auto"/>
        </w:rPr>
      </w:pPr>
    </w:p>
    <w:p>
      <w:pPr>
        <w:ind w:left="8240"/>
        <w:spacing w:after="0"/>
        <w:rPr>
          <w:sz w:val="20"/>
          <w:szCs w:val="20"/>
          <w:color w:val="auto"/>
        </w:rPr>
      </w:pPr>
      <w:r>
        <w:rPr>
          <w:rFonts w:ascii="Arial" w:cs="Arial" w:eastAsia="Arial" w:hAnsi="Arial"/>
          <w:sz w:val="14"/>
          <w:szCs w:val="14"/>
          <w:b w:val="1"/>
          <w:bCs w:val="1"/>
          <w:color w:val="auto"/>
        </w:rPr>
        <w:t>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329055" cy="2571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1329055"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Paris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Madrid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Tokyo</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Beijing</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Hong Kong</w:t>
      </w:r>
    </w:p>
    <w:p>
      <w:pPr>
        <w:spacing w:after="0" w:line="200" w:lineRule="exact"/>
        <w:rPr>
          <w:sz w:val="20"/>
          <w:szCs w:val="20"/>
          <w:color w:val="auto"/>
        </w:rPr>
      </w:pPr>
    </w:p>
    <w:p>
      <w:pPr>
        <w:sectPr>
          <w:pgSz w:w="11900" w:h="16838" w:orient="portrait"/>
          <w:cols w:equalWidth="0" w:num="2">
            <w:col w:w="9460" w:space="720"/>
            <w:col w:w="1240"/>
          </w:cols>
          <w:pgMar w:left="240" w:top="112" w:right="239" w:bottom="1440" w:gutter="0" w:footer="0" w:header="0"/>
          <w:type w:val="continuous"/>
        </w:sect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00" w:type="dxa"/>
            <w:vAlign w:val="bottom"/>
          </w:tcPr>
          <w:p>
            <w:pPr>
              <w:spacing w:after="0"/>
              <w:rPr>
                <w:sz w:val="20"/>
                <w:szCs w:val="20"/>
                <w:color w:val="auto"/>
              </w:rPr>
            </w:pPr>
            <w:r>
              <w:rPr>
                <w:rFonts w:ascii="Arial" w:cs="Arial" w:eastAsia="Arial" w:hAnsi="Arial"/>
                <w:sz w:val="18"/>
                <w:szCs w:val="18"/>
                <w:color w:val="auto"/>
              </w:rPr>
              <w:t xml:space="preserve">Davis Polk &amp; Wardwell </w:t>
            </w:r>
            <w:r>
              <w:rPr>
                <w:rFonts w:ascii="Arial" w:cs="Arial" w:eastAsia="Arial" w:hAnsi="Arial"/>
                <w:sz w:val="14"/>
                <w:szCs w:val="14"/>
                <w:color w:val="auto"/>
              </w:rPr>
              <w:t>LLP</w:t>
            </w:r>
          </w:p>
        </w:tc>
        <w:tc>
          <w:tcPr>
            <w:tcW w:w="1760" w:type="dxa"/>
            <w:vAlign w:val="bottom"/>
          </w:tcPr>
          <w:p>
            <w:pPr>
              <w:ind w:left="380"/>
              <w:spacing w:after="0"/>
              <w:rPr>
                <w:sz w:val="20"/>
                <w:szCs w:val="20"/>
                <w:color w:val="auto"/>
              </w:rPr>
            </w:pPr>
            <w:r>
              <w:rPr>
                <w:rFonts w:ascii="Arial" w:cs="Arial" w:eastAsia="Arial" w:hAnsi="Arial"/>
                <w:sz w:val="18"/>
                <w:szCs w:val="18"/>
                <w:color w:val="auto"/>
              </w:rPr>
              <w:t>212 450 4000 tel</w:t>
            </w:r>
          </w:p>
        </w:tc>
      </w:tr>
      <w:tr>
        <w:trPr>
          <w:trHeight w:val="203"/>
        </w:trPr>
        <w:tc>
          <w:tcPr>
            <w:tcW w:w="2500" w:type="dxa"/>
            <w:vAlign w:val="bottom"/>
          </w:tcPr>
          <w:p>
            <w:pPr>
              <w:spacing w:after="0" w:line="202" w:lineRule="exact"/>
              <w:rPr>
                <w:sz w:val="20"/>
                <w:szCs w:val="20"/>
                <w:color w:val="auto"/>
              </w:rPr>
            </w:pPr>
            <w:r>
              <w:rPr>
                <w:rFonts w:ascii="Arial" w:cs="Arial" w:eastAsia="Arial" w:hAnsi="Arial"/>
                <w:sz w:val="18"/>
                <w:szCs w:val="18"/>
                <w:color w:val="auto"/>
              </w:rPr>
              <w:t>450 Lexington Avenue</w:t>
            </w:r>
          </w:p>
        </w:tc>
        <w:tc>
          <w:tcPr>
            <w:tcW w:w="1760" w:type="dxa"/>
            <w:vAlign w:val="bottom"/>
          </w:tcPr>
          <w:p>
            <w:pPr>
              <w:ind w:left="380"/>
              <w:spacing w:after="0" w:line="202" w:lineRule="exact"/>
              <w:rPr>
                <w:sz w:val="20"/>
                <w:szCs w:val="20"/>
                <w:color w:val="auto"/>
              </w:rPr>
            </w:pPr>
            <w:r>
              <w:rPr>
                <w:rFonts w:ascii="Arial" w:cs="Arial" w:eastAsia="Arial" w:hAnsi="Arial"/>
                <w:sz w:val="18"/>
                <w:szCs w:val="18"/>
                <w:color w:val="auto"/>
                <w:w w:val="97"/>
              </w:rPr>
              <w:t>212 701 5800 fax</w:t>
            </w:r>
          </w:p>
        </w:tc>
      </w:tr>
      <w:tr>
        <w:trPr>
          <w:trHeight w:val="217"/>
        </w:trPr>
        <w:tc>
          <w:tcPr>
            <w:tcW w:w="2500" w:type="dxa"/>
            <w:vAlign w:val="bottom"/>
          </w:tcPr>
          <w:p>
            <w:pPr>
              <w:spacing w:after="0"/>
              <w:rPr>
                <w:sz w:val="20"/>
                <w:szCs w:val="20"/>
                <w:color w:val="auto"/>
              </w:rPr>
            </w:pPr>
            <w:r>
              <w:rPr>
                <w:rFonts w:ascii="Arial" w:cs="Arial" w:eastAsia="Arial" w:hAnsi="Arial"/>
                <w:sz w:val="18"/>
                <w:szCs w:val="18"/>
                <w:color w:val="auto"/>
              </w:rPr>
              <w:t>New York, NY 10017</w:t>
            </w:r>
          </w:p>
        </w:tc>
        <w:tc>
          <w:tcPr>
            <w:tcW w:w="176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January 29, 2019</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L Brands, Inc.</w:t>
      </w:r>
    </w:p>
    <w:p>
      <w:pPr>
        <w:spacing w:after="0" w:line="234" w:lineRule="auto"/>
        <w:rPr>
          <w:sz w:val="20"/>
          <w:szCs w:val="20"/>
          <w:color w:val="auto"/>
        </w:rPr>
      </w:pPr>
      <w:r>
        <w:rPr>
          <w:rFonts w:ascii="Arial" w:cs="Arial" w:eastAsia="Arial" w:hAnsi="Arial"/>
          <w:sz w:val="18"/>
          <w:szCs w:val="18"/>
          <w:color w:val="auto"/>
        </w:rPr>
        <w:t>Three Limited Parkway,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Columbus, Ohio 43216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6" w:lineRule="exact"/>
        <w:rPr>
          <w:sz w:val="20"/>
          <w:szCs w:val="20"/>
          <w:color w:val="auto"/>
        </w:rPr>
      </w:pPr>
    </w:p>
    <w:p>
      <w:pPr>
        <w:jc w:val="both"/>
        <w:ind w:right="200"/>
        <w:spacing w:after="0" w:line="247" w:lineRule="auto"/>
        <w:rPr>
          <w:sz w:val="20"/>
          <w:szCs w:val="20"/>
          <w:color w:val="auto"/>
        </w:rPr>
      </w:pPr>
      <w:r>
        <w:rPr>
          <w:rFonts w:ascii="Arial" w:cs="Arial" w:eastAsia="Arial" w:hAnsi="Arial"/>
          <w:sz w:val="18"/>
          <w:szCs w:val="18"/>
          <w:color w:val="auto"/>
        </w:rPr>
        <w:t>L Brands,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is filing with the Securities and Exchange Commission a Registration Statement on Form S-3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for the purpose of registering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w:t>
      </w:r>
    </w:p>
    <w:p>
      <w:pPr>
        <w:spacing w:after="0" w:line="1" w:lineRule="exact"/>
        <w:rPr>
          <w:sz w:val="20"/>
          <w:szCs w:val="20"/>
          <w:color w:val="auto"/>
        </w:rPr>
      </w:pPr>
    </w:p>
    <w:p>
      <w:pPr>
        <w:ind w:right="20" w:firstLine="8"/>
        <w:spacing w:after="0" w:line="235" w:lineRule="auto"/>
        <w:tabs>
          <w:tab w:leader="none" w:pos="27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shares of common stock, par value $0.50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of the Company; (b) shares of preferred stock, par value $1.00 per share (the “</w:t>
      </w:r>
      <w:r>
        <w:rPr>
          <w:rFonts w:ascii="Arial" w:cs="Arial" w:eastAsia="Arial" w:hAnsi="Arial"/>
          <w:sz w:val="18"/>
          <w:szCs w:val="18"/>
          <w:b w:val="1"/>
          <w:bCs w:val="1"/>
          <w:color w:val="auto"/>
        </w:rPr>
        <w:t>Preferred Stock</w:t>
      </w:r>
      <w:r>
        <w:rPr>
          <w:rFonts w:ascii="Arial" w:cs="Arial" w:eastAsia="Arial" w:hAnsi="Arial"/>
          <w:sz w:val="18"/>
          <w:szCs w:val="18"/>
          <w:color w:val="auto"/>
        </w:rPr>
        <w:t>”), of the Company; (c)(i) the Company’s senior debt securities (the “</w:t>
      </w:r>
      <w:r>
        <w:rPr>
          <w:rFonts w:ascii="Arial" w:cs="Arial" w:eastAsia="Arial" w:hAnsi="Arial"/>
          <w:sz w:val="18"/>
          <w:szCs w:val="18"/>
          <w:b w:val="1"/>
          <w:bCs w:val="1"/>
          <w:color w:val="auto"/>
        </w:rPr>
        <w:t>Senior Debt Securities</w:t>
      </w:r>
      <w:r>
        <w:rPr>
          <w:rFonts w:ascii="Arial" w:cs="Arial" w:eastAsia="Arial" w:hAnsi="Arial"/>
          <w:sz w:val="18"/>
          <w:szCs w:val="18"/>
          <w:color w:val="auto"/>
        </w:rPr>
        <w:t>”), which may be issued pursuant to an indenture (the “</w:t>
      </w:r>
      <w:r>
        <w:rPr>
          <w:rFonts w:ascii="Arial" w:cs="Arial" w:eastAsia="Arial" w:hAnsi="Arial"/>
          <w:sz w:val="18"/>
          <w:szCs w:val="18"/>
          <w:b w:val="1"/>
          <w:bCs w:val="1"/>
          <w:color w:val="auto"/>
        </w:rPr>
        <w:t>Senior Debt Indenture</w:t>
      </w:r>
      <w:r>
        <w:rPr>
          <w:rFonts w:ascii="Arial" w:cs="Arial" w:eastAsia="Arial" w:hAnsi="Arial"/>
          <w:sz w:val="18"/>
          <w:szCs w:val="18"/>
          <w:color w:val="auto"/>
        </w:rPr>
        <w:t>”), between the Company and U.S. Bank National Association, as trustee (the “</w:t>
      </w:r>
      <w:r>
        <w:rPr>
          <w:rFonts w:ascii="Arial" w:cs="Arial" w:eastAsia="Arial" w:hAnsi="Arial"/>
          <w:sz w:val="18"/>
          <w:szCs w:val="18"/>
          <w:b w:val="1"/>
          <w:bCs w:val="1"/>
          <w:color w:val="auto"/>
        </w:rPr>
        <w:t>Senior Debt Trustee</w:t>
      </w:r>
      <w:r>
        <w:rPr>
          <w:rFonts w:ascii="Arial" w:cs="Arial" w:eastAsia="Arial" w:hAnsi="Arial"/>
          <w:sz w:val="18"/>
          <w:szCs w:val="18"/>
          <w:color w:val="auto"/>
        </w:rPr>
        <w:t>”); (ii) subordinated debt securities (the “</w:t>
      </w:r>
      <w:r>
        <w:rPr>
          <w:rFonts w:ascii="Arial" w:cs="Arial" w:eastAsia="Arial" w:hAnsi="Arial"/>
          <w:sz w:val="18"/>
          <w:szCs w:val="18"/>
          <w:b w:val="1"/>
          <w:bCs w:val="1"/>
          <w:color w:val="auto"/>
        </w:rPr>
        <w:t>Subordinated Debt Securities”</w:t>
      </w:r>
      <w:r>
        <w:rPr>
          <w:rFonts w:ascii="Arial" w:cs="Arial" w:eastAsia="Arial" w:hAnsi="Arial"/>
          <w:sz w:val="18"/>
          <w:szCs w:val="18"/>
          <w:color w:val="auto"/>
        </w:rPr>
        <w:t xml:space="preserve"> and together with the Senior Debt Securities, the “</w:t>
      </w:r>
      <w:r>
        <w:rPr>
          <w:rFonts w:ascii="Arial" w:cs="Arial" w:eastAsia="Arial" w:hAnsi="Arial"/>
          <w:sz w:val="18"/>
          <w:szCs w:val="18"/>
          <w:b w:val="1"/>
          <w:bCs w:val="1"/>
          <w:color w:val="auto"/>
        </w:rPr>
        <w:t>Debt Securities</w:t>
      </w:r>
      <w:r>
        <w:rPr>
          <w:rFonts w:ascii="Arial" w:cs="Arial" w:eastAsia="Arial" w:hAnsi="Arial"/>
          <w:sz w:val="18"/>
          <w:szCs w:val="18"/>
          <w:color w:val="auto"/>
        </w:rPr>
        <w:t>”) which may be issued pursuant to an indenture (the “</w:t>
      </w:r>
      <w:r>
        <w:rPr>
          <w:rFonts w:ascii="Arial" w:cs="Arial" w:eastAsia="Arial" w:hAnsi="Arial"/>
          <w:sz w:val="18"/>
          <w:szCs w:val="18"/>
          <w:b w:val="1"/>
          <w:bCs w:val="1"/>
          <w:color w:val="auto"/>
        </w:rPr>
        <w:t>Subordinated Debt Indenture</w:t>
      </w:r>
      <w:r>
        <w:rPr>
          <w:rFonts w:ascii="Arial" w:cs="Arial" w:eastAsia="Arial" w:hAnsi="Arial"/>
          <w:sz w:val="18"/>
          <w:szCs w:val="18"/>
          <w:color w:val="auto"/>
        </w:rPr>
        <w:t>” and together with the Senior Debt Indenture, the “</w:t>
      </w:r>
      <w:r>
        <w:rPr>
          <w:rFonts w:ascii="Arial" w:cs="Arial" w:eastAsia="Arial" w:hAnsi="Arial"/>
          <w:sz w:val="18"/>
          <w:szCs w:val="18"/>
          <w:b w:val="1"/>
          <w:bCs w:val="1"/>
          <w:color w:val="auto"/>
        </w:rPr>
        <w:t>Indentures</w:t>
      </w:r>
      <w:r>
        <w:rPr>
          <w:rFonts w:ascii="Arial" w:cs="Arial" w:eastAsia="Arial" w:hAnsi="Arial"/>
          <w:sz w:val="18"/>
          <w:szCs w:val="18"/>
          <w:color w:val="auto"/>
        </w:rPr>
        <w:t>”) between the Company and U.S. Bank National Association, as trustee (the “</w:t>
      </w:r>
      <w:r>
        <w:rPr>
          <w:rFonts w:ascii="Arial" w:cs="Arial" w:eastAsia="Arial" w:hAnsi="Arial"/>
          <w:sz w:val="18"/>
          <w:szCs w:val="18"/>
          <w:b w:val="1"/>
          <w:bCs w:val="1"/>
          <w:color w:val="auto"/>
        </w:rPr>
        <w:t>Subordinated Debt Trustee</w:t>
      </w:r>
      <w:r>
        <w:rPr>
          <w:rFonts w:ascii="Arial" w:cs="Arial" w:eastAsia="Arial" w:hAnsi="Arial"/>
          <w:sz w:val="18"/>
          <w:szCs w:val="18"/>
          <w:color w:val="auto"/>
        </w:rPr>
        <w:t>” and together with the Senior Debt Trustee, the “</w:t>
      </w:r>
      <w:r>
        <w:rPr>
          <w:rFonts w:ascii="Arial" w:cs="Arial" w:eastAsia="Arial" w:hAnsi="Arial"/>
          <w:sz w:val="18"/>
          <w:szCs w:val="18"/>
          <w:b w:val="1"/>
          <w:bCs w:val="1"/>
          <w:color w:val="auto"/>
        </w:rPr>
        <w:t>Trustee</w:t>
      </w:r>
      <w:r>
        <w:rPr>
          <w:rFonts w:ascii="Arial" w:cs="Arial" w:eastAsia="Arial" w:hAnsi="Arial"/>
          <w:sz w:val="18"/>
          <w:szCs w:val="18"/>
          <w:color w:val="auto"/>
        </w:rPr>
        <w:t>”); (iii) guarantees of the Senior Debt Securities which may be issued under the Senior Debt Indenture on a joint and several senior unsecured basis by each of the Company’s subsidiary guarantors (the “</w:t>
      </w:r>
      <w:r>
        <w:rPr>
          <w:rFonts w:ascii="Arial" w:cs="Arial" w:eastAsia="Arial" w:hAnsi="Arial"/>
          <w:sz w:val="18"/>
          <w:szCs w:val="18"/>
          <w:b w:val="1"/>
          <w:bCs w:val="1"/>
          <w:color w:val="auto"/>
        </w:rPr>
        <w:t>Guarantors</w:t>
      </w:r>
      <w:r>
        <w:rPr>
          <w:rFonts w:ascii="Arial" w:cs="Arial" w:eastAsia="Arial" w:hAnsi="Arial"/>
          <w:sz w:val="18"/>
          <w:szCs w:val="18"/>
          <w:color w:val="auto"/>
        </w:rPr>
        <w:t>”) registered under the Registration Statement (the “</w:t>
      </w:r>
      <w:r>
        <w:rPr>
          <w:rFonts w:ascii="Arial" w:cs="Arial" w:eastAsia="Arial" w:hAnsi="Arial"/>
          <w:sz w:val="18"/>
          <w:szCs w:val="18"/>
          <w:b w:val="1"/>
          <w:bCs w:val="1"/>
          <w:color w:val="auto"/>
        </w:rPr>
        <w:t>Senior Guarantees</w:t>
      </w:r>
      <w:r>
        <w:rPr>
          <w:rFonts w:ascii="Arial" w:cs="Arial" w:eastAsia="Arial" w:hAnsi="Arial"/>
          <w:sz w:val="18"/>
          <w:szCs w:val="18"/>
          <w:color w:val="auto"/>
        </w:rPr>
        <w:t>”) and (iv) guarantees of the Subordinated Debt Securities which may be issued under the Subordinated Debt Indenture on a joint and several subordinated unsecured basis by the Guarantors registered under the Registration Statement (the “</w:t>
      </w:r>
      <w:r>
        <w:rPr>
          <w:rFonts w:ascii="Arial" w:cs="Arial" w:eastAsia="Arial" w:hAnsi="Arial"/>
          <w:sz w:val="18"/>
          <w:szCs w:val="18"/>
          <w:b w:val="1"/>
          <w:bCs w:val="1"/>
          <w:color w:val="auto"/>
        </w:rPr>
        <w:t>Subordinated Guarantees</w:t>
      </w:r>
      <w:r>
        <w:rPr>
          <w:rFonts w:ascii="Arial" w:cs="Arial" w:eastAsia="Arial" w:hAnsi="Arial"/>
          <w:sz w:val="18"/>
          <w:szCs w:val="18"/>
          <w:color w:val="auto"/>
        </w:rPr>
        <w:t>” and together with the Senior Guarantees, the “</w:t>
      </w:r>
      <w:r>
        <w:rPr>
          <w:rFonts w:ascii="Arial" w:cs="Arial" w:eastAsia="Arial" w:hAnsi="Arial"/>
          <w:sz w:val="18"/>
          <w:szCs w:val="18"/>
          <w:b w:val="1"/>
          <w:bCs w:val="1"/>
          <w:color w:val="auto"/>
        </w:rPr>
        <w:t>Guarantees</w:t>
      </w:r>
      <w:r>
        <w:rPr>
          <w:rFonts w:ascii="Arial" w:cs="Arial" w:eastAsia="Arial" w:hAnsi="Arial"/>
          <w:sz w:val="18"/>
          <w:szCs w:val="18"/>
          <w:color w:val="auto"/>
        </w:rPr>
        <w:t>”); (d) depositary shares (the “</w:t>
      </w:r>
      <w:r>
        <w:rPr>
          <w:rFonts w:ascii="Arial" w:cs="Arial" w:eastAsia="Arial" w:hAnsi="Arial"/>
          <w:sz w:val="18"/>
          <w:szCs w:val="18"/>
          <w:b w:val="1"/>
          <w:bCs w:val="1"/>
          <w:color w:val="auto"/>
        </w:rPr>
        <w:t>Depositary Shares</w:t>
      </w:r>
      <w:r>
        <w:rPr>
          <w:rFonts w:ascii="Arial" w:cs="Arial" w:eastAsia="Arial" w:hAnsi="Arial"/>
          <w:sz w:val="18"/>
          <w:szCs w:val="18"/>
          <w:color w:val="auto"/>
        </w:rPr>
        <w:t>”) representing interests in preferred stock of the Company, to be evidenced by depositary receipts issued pursuant to a deposit agreement; (e) warrants of the Company (the “</w:t>
      </w:r>
      <w:r>
        <w:rPr>
          <w:rFonts w:ascii="Arial" w:cs="Arial" w:eastAsia="Arial" w:hAnsi="Arial"/>
          <w:sz w:val="18"/>
          <w:szCs w:val="18"/>
          <w:b w:val="1"/>
          <w:bCs w:val="1"/>
          <w:color w:val="auto"/>
        </w:rPr>
        <w:t>Warrants</w:t>
      </w:r>
      <w:r>
        <w:rPr>
          <w:rFonts w:ascii="Arial" w:cs="Arial" w:eastAsia="Arial" w:hAnsi="Arial"/>
          <w:sz w:val="18"/>
          <w:szCs w:val="18"/>
          <w:color w:val="auto"/>
        </w:rPr>
        <w:t>”), which may be issued pursuant to a warrant agreement (the “</w:t>
      </w:r>
      <w:r>
        <w:rPr>
          <w:rFonts w:ascii="Arial" w:cs="Arial" w:eastAsia="Arial" w:hAnsi="Arial"/>
          <w:sz w:val="18"/>
          <w:szCs w:val="18"/>
          <w:b w:val="1"/>
          <w:bCs w:val="1"/>
          <w:color w:val="auto"/>
        </w:rPr>
        <w:t>Warrant</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between the Company and the warrant agent to be named therein (the “</w:t>
      </w:r>
      <w:r>
        <w:rPr>
          <w:rFonts w:ascii="Arial" w:cs="Arial" w:eastAsia="Arial" w:hAnsi="Arial"/>
          <w:sz w:val="18"/>
          <w:szCs w:val="18"/>
          <w:b w:val="1"/>
          <w:bCs w:val="1"/>
          <w:color w:val="auto"/>
        </w:rPr>
        <w:t>Warrant Agent</w:t>
      </w:r>
      <w:r>
        <w:rPr>
          <w:rFonts w:ascii="Arial" w:cs="Arial" w:eastAsia="Arial" w:hAnsi="Arial"/>
          <w:sz w:val="18"/>
          <w:szCs w:val="18"/>
          <w:color w:val="auto"/>
        </w:rPr>
        <w:t>”); (f) purchase contracts (the “</w:t>
      </w:r>
      <w:r>
        <w:rPr>
          <w:rFonts w:ascii="Arial" w:cs="Arial" w:eastAsia="Arial" w:hAnsi="Arial"/>
          <w:sz w:val="18"/>
          <w:szCs w:val="18"/>
          <w:b w:val="1"/>
          <w:bCs w:val="1"/>
          <w:color w:val="auto"/>
        </w:rPr>
        <w:t>Purchase Contracts</w:t>
      </w:r>
      <w:r>
        <w:rPr>
          <w:rFonts w:ascii="Arial" w:cs="Arial" w:eastAsia="Arial" w:hAnsi="Arial"/>
          <w:sz w:val="18"/>
          <w:szCs w:val="18"/>
          <w:color w:val="auto"/>
        </w:rPr>
        <w:t>”) for the purchase or sale of (A) the Company’s securities or securities of third parties, a basket of such securities, an index or</w:t>
      </w:r>
      <w:r>
        <w:rPr>
          <w:rFonts w:ascii="Arial" w:cs="Arial" w:eastAsia="Arial" w:hAnsi="Arial"/>
          <w:sz w:val="18"/>
          <w:szCs w:val="18"/>
          <w:b w:val="1"/>
          <w:bCs w:val="1"/>
          <w:color w:val="auto"/>
        </w:rPr>
        <w:t xml:space="preserve"> </w:t>
      </w:r>
      <w:r>
        <w:rPr>
          <w:rFonts w:ascii="Arial" w:cs="Arial" w:eastAsia="Arial" w:hAnsi="Arial"/>
          <w:sz w:val="18"/>
          <w:szCs w:val="18"/>
          <w:color w:val="auto"/>
        </w:rPr>
        <w:t>indices of such securities or any combination of the above, (B) currencies and (C) commodities, which may be issued under one or more purchase contract agreements (each, a “</w:t>
      </w:r>
      <w:r>
        <w:rPr>
          <w:rFonts w:ascii="Arial" w:cs="Arial" w:eastAsia="Arial" w:hAnsi="Arial"/>
          <w:sz w:val="18"/>
          <w:szCs w:val="18"/>
          <w:b w:val="1"/>
          <w:bCs w:val="1"/>
          <w:color w:val="auto"/>
        </w:rPr>
        <w:t>Purchase Contract Agreement</w:t>
      </w:r>
      <w:r>
        <w:rPr>
          <w:rFonts w:ascii="Arial" w:cs="Arial" w:eastAsia="Arial" w:hAnsi="Arial"/>
          <w:sz w:val="18"/>
          <w:szCs w:val="18"/>
          <w:color w:val="auto"/>
        </w:rPr>
        <w:t>”) to be entered into between the Company and the purchase contract agent to be named therein (the “</w:t>
      </w:r>
      <w:r>
        <w:rPr>
          <w:rFonts w:ascii="Arial" w:cs="Arial" w:eastAsia="Arial" w:hAnsi="Arial"/>
          <w:sz w:val="18"/>
          <w:szCs w:val="18"/>
          <w:b w:val="1"/>
          <w:bCs w:val="1"/>
          <w:color w:val="auto"/>
        </w:rPr>
        <w:t>Purchase Contract Agent</w:t>
      </w:r>
      <w:r>
        <w:rPr>
          <w:rFonts w:ascii="Arial" w:cs="Arial" w:eastAsia="Arial" w:hAnsi="Arial"/>
          <w:sz w:val="18"/>
          <w:szCs w:val="18"/>
          <w:color w:val="auto"/>
        </w:rPr>
        <w:t>”); and (g) units (the “</w:t>
      </w:r>
      <w:r>
        <w:rPr>
          <w:rFonts w:ascii="Arial" w:cs="Arial" w:eastAsia="Arial" w:hAnsi="Arial"/>
          <w:sz w:val="18"/>
          <w:szCs w:val="18"/>
          <w:b w:val="1"/>
          <w:bCs w:val="1"/>
          <w:color w:val="auto"/>
        </w:rPr>
        <w:t>Units</w:t>
      </w:r>
      <w:r>
        <w:rPr>
          <w:rFonts w:ascii="Arial" w:cs="Arial" w:eastAsia="Arial" w:hAnsi="Arial"/>
          <w:sz w:val="18"/>
          <w:szCs w:val="18"/>
          <w:color w:val="auto"/>
        </w:rPr>
        <w:t>”) to be issued under one or more unit agreements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40" w:name="page41"/>
    <w:bookmarkEnd w:id="40"/>
    <w:p>
      <w:pPr>
        <w:jc w:val="both"/>
        <w:ind w:left="5740"/>
        <w:spacing w:after="0"/>
        <w:tabs>
          <w:tab w:leader="none" w:pos="100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January 29, 2019</w:t>
      </w:r>
    </w:p>
    <w:p>
      <w:pPr>
        <w:spacing w:after="0" w:line="82"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be entered into among the Company, a bank or trust company, as unit agent (the “</w:t>
      </w:r>
      <w:r>
        <w:rPr>
          <w:rFonts w:ascii="Arial" w:cs="Arial" w:eastAsia="Arial" w:hAnsi="Arial"/>
          <w:sz w:val="18"/>
          <w:szCs w:val="18"/>
          <w:b w:val="1"/>
          <w:bCs w:val="1"/>
          <w:color w:val="auto"/>
        </w:rPr>
        <w:t>Unit Agent”</w:t>
      </w:r>
      <w:r>
        <w:rPr>
          <w:rFonts w:ascii="Arial" w:cs="Arial" w:eastAsia="Arial" w:hAnsi="Arial"/>
          <w:sz w:val="18"/>
          <w:szCs w:val="18"/>
          <w:color w:val="auto"/>
        </w:rPr>
        <w:t>), and the holders from time to time of the Units (each such unit agreement, a “</w:t>
      </w:r>
      <w:r>
        <w:rPr>
          <w:rFonts w:ascii="Arial" w:cs="Arial" w:eastAsia="Arial" w:hAnsi="Arial"/>
          <w:sz w:val="18"/>
          <w:szCs w:val="18"/>
          <w:b w:val="1"/>
          <w:bCs w:val="1"/>
          <w:color w:val="auto"/>
        </w:rPr>
        <w:t>Unit Agreement</w:t>
      </w:r>
      <w:r>
        <w:rPr>
          <w:rFonts w:ascii="Arial" w:cs="Arial" w:eastAsia="Arial" w:hAnsi="Arial"/>
          <w:sz w:val="18"/>
          <w:szCs w:val="18"/>
          <w:color w:val="auto"/>
        </w:rPr>
        <w:t>”).</w:t>
      </w:r>
    </w:p>
    <w:p>
      <w:pPr>
        <w:spacing w:after="0" w:line="162" w:lineRule="exact"/>
        <w:rPr>
          <w:sz w:val="20"/>
          <w:szCs w:val="20"/>
          <w:color w:val="auto"/>
        </w:rPr>
      </w:pPr>
    </w:p>
    <w:p>
      <w:pPr>
        <w:ind w:right="760"/>
        <w:spacing w:after="0" w:line="246"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8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rendering the opinions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 (v) all natural persons executing documents had and have the legal capacity to do so, (vi) all statements in certificates of public officials and officers of the Company and the Guarantors that we reviewed were and are accurate and (vii) all representations made by the Company and the Guarantors as to matters of fact in the documents that we reviewed were and are accurate.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foregoing, and subject to the additional assumptions and qualifications set forth below, we advise you that, in our opinion:</w:t>
      </w:r>
    </w:p>
    <w:p>
      <w:pPr>
        <w:spacing w:after="0" w:line="198" w:lineRule="exact"/>
        <w:rPr>
          <w:sz w:val="20"/>
          <w:szCs w:val="20"/>
          <w:color w:val="auto"/>
        </w:rPr>
      </w:pPr>
    </w:p>
    <w:p>
      <w:pPr>
        <w:ind w:left="980" w:right="40" w:hanging="648"/>
        <w:spacing w:after="0" w:line="236"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When the necessary corporate action on the part of the Company has been taken to authorize the issuance and sale of such shares of Common Stock proposed to be sold by the Company, and when such shares of Common Stock are issued and delivered in accordance with the applicable underwriting or other agreement against payment therefor (in excess of par value thereof) or upon conversion or exercise of any security offered under the Registration Statement (the “</w:t>
      </w:r>
      <w:r>
        <w:rPr>
          <w:rFonts w:ascii="Arial" w:cs="Arial" w:eastAsia="Arial" w:hAnsi="Arial"/>
          <w:sz w:val="18"/>
          <w:szCs w:val="18"/>
          <w:b w:val="1"/>
          <w:bCs w:val="1"/>
          <w:color w:val="auto"/>
        </w:rPr>
        <w:t>Offered Security</w:t>
      </w:r>
      <w:r>
        <w:rPr>
          <w:rFonts w:ascii="Arial" w:cs="Arial" w:eastAsia="Arial" w:hAnsi="Arial"/>
          <w:sz w:val="18"/>
          <w:szCs w:val="18"/>
          <w:color w:val="auto"/>
        </w:rPr>
        <w:t>”), in accordance with the terms of such Offered Security or the instrument governing such Offered Security providing for such conversion or exercise as approved by the Board of Directors of the Company, for the consideration approved by such Board of Directors (which consideration is not less than the par value of the Common Stock), such shares of Common Stock will be validly issued, fully-paid and non-assessable.</w:t>
      </w:r>
    </w:p>
    <w:p>
      <w:pPr>
        <w:spacing w:after="0" w:line="194" w:lineRule="exact"/>
        <w:rPr>
          <w:rFonts w:ascii="Arial" w:cs="Arial" w:eastAsia="Arial" w:hAnsi="Arial"/>
          <w:sz w:val="18"/>
          <w:szCs w:val="18"/>
          <w:color w:val="auto"/>
        </w:rPr>
      </w:pPr>
    </w:p>
    <w:p>
      <w:pPr>
        <w:ind w:left="980" w:hanging="648"/>
        <w:spacing w:after="0" w:line="23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Upon designation of the relative rights, preferences and limitations of any series of Preferred Stock by the Board of Directors of the Company and the proper filing with the Secretary of State of the State of Delaware of a Certificate of Designation relating to such series of Preferred Stock, all necessary corporate action on the part of the Company will have been taken to authorize the issuance and sale of such series of Preferred Stock proposed to be sold by the Company, and when such shares of Preferred Stock are issued and delivered in accordance with the applicable underwriting or other agreement against payment therefor (in excess of par value thereof), such shares of Preferred Stock will be validly issued, fully paid and non-assessable.</w:t>
      </w:r>
    </w:p>
    <w:p>
      <w:pPr>
        <w:spacing w:after="0" w:line="191" w:lineRule="exact"/>
        <w:rPr>
          <w:rFonts w:ascii="Arial" w:cs="Arial" w:eastAsia="Arial" w:hAnsi="Arial"/>
          <w:sz w:val="18"/>
          <w:szCs w:val="18"/>
          <w:color w:val="auto"/>
        </w:rPr>
      </w:pPr>
    </w:p>
    <w:p>
      <w:pPr>
        <w:ind w:left="980" w:right="140" w:hanging="648"/>
        <w:spacing w:after="0" w:line="239"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When the Indentures and any supplemental indenture to be entered into in connection with the issuance of any Debt Securities have been duly authorized, executed and delivered by the Trustee and the Company; the specific terms of a particular series of Debt Securities have been duly authorized and established in accordance with the applicable Indenture; and such Debt Securities have been duly authorized, executed, authenticated, issued and delivered in accordance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41" w:name="page42"/>
    <w:bookmarkEnd w:id="41"/>
    <w:p>
      <w:pPr>
        <w:jc w:val="both"/>
        <w:ind w:left="5408"/>
        <w:spacing w:after="0"/>
        <w:tabs>
          <w:tab w:leader="none" w:pos="9667"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January 29, 2019</w:t>
      </w:r>
    </w:p>
    <w:p>
      <w:pPr>
        <w:spacing w:after="0" w:line="104" w:lineRule="exact"/>
        <w:rPr>
          <w:sz w:val="20"/>
          <w:szCs w:val="20"/>
          <w:color w:val="auto"/>
        </w:rPr>
      </w:pPr>
    </w:p>
    <w:p>
      <w:pPr>
        <w:ind w:left="648"/>
        <w:spacing w:after="0" w:line="236" w:lineRule="auto"/>
        <w:rPr>
          <w:sz w:val="20"/>
          <w:szCs w:val="20"/>
          <w:color w:val="auto"/>
        </w:rPr>
      </w:pPr>
      <w:r>
        <w:rPr>
          <w:rFonts w:ascii="Arial" w:cs="Arial" w:eastAsia="Arial" w:hAnsi="Arial"/>
          <w:sz w:val="18"/>
          <w:szCs w:val="18"/>
          <w:color w:val="auto"/>
        </w:rPr>
        <w:t>applicable Indenture and any supplemental indenture and the applicable underwriting or other agreement against payment therefor, such Debt Securities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provided that we express no opinion as to (x) the enforceability of any waiver of rights under any usury or stay law, (y) the effect of fraudulent conveyance, fraudulent transfer or similar provision of applicable law on the conclusions expressed above, or (z) the validity, legally binding effect or enforceability of any provision that permits holders to collect any portion of stated principal amount upon acceleration of the Debt Securities to the extent determined to constitute unearned interest.</w:t>
      </w:r>
    </w:p>
    <w:p>
      <w:pPr>
        <w:spacing w:after="0" w:line="195" w:lineRule="exact"/>
        <w:rPr>
          <w:sz w:val="20"/>
          <w:szCs w:val="20"/>
          <w:color w:val="auto"/>
        </w:rPr>
      </w:pPr>
    </w:p>
    <w:p>
      <w:pPr>
        <w:ind w:left="648" w:right="220" w:hanging="648"/>
        <w:spacing w:after="0"/>
        <w:tabs>
          <w:tab w:leader="none" w:pos="648"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When the applicable deposit agreement has been duly authorized, executed and delivered by the parties thereto, and Preferred Stock has been deposited thereunder, any Depositary Shares when issued in accordance with the terms thereof will be valid and binding instruments in accordance with their terms and the terms of the applicable deposit agreement.</w:t>
      </w:r>
    </w:p>
    <w:p>
      <w:pPr>
        <w:spacing w:after="0" w:line="189" w:lineRule="exact"/>
        <w:rPr>
          <w:rFonts w:ascii="Arial" w:cs="Arial" w:eastAsia="Arial" w:hAnsi="Arial"/>
          <w:sz w:val="18"/>
          <w:szCs w:val="18"/>
          <w:color w:val="auto"/>
        </w:rPr>
      </w:pPr>
    </w:p>
    <w:p>
      <w:pPr>
        <w:ind w:left="648" w:right="40" w:hanging="648"/>
        <w:spacing w:after="0" w:line="237" w:lineRule="auto"/>
        <w:tabs>
          <w:tab w:leader="none" w:pos="648"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When the Guarantees have been duly executed and delivered by the parties thereto as contemplated by the applicable Indenture and any supplemental indenture and the applicable underwriting or other agreement, the Guarantees will constitute valid and binding obligations of the applicable Guarantor, enforceable in accordance with their respective terms, subject to applicable bankruptcy, insolvency and similar laws affecting creditors’ rights generally, concepts of reasonableness and equitable principles of general applicability, provided that we express no opinion as to (x) the enforceability of any waiver of rights under any usury or stay law and (y) the effect of fraudulent conveyance, fraudulent transfer or similar provision of applicable law on the conclusions expressed above.</w:t>
      </w:r>
    </w:p>
    <w:p>
      <w:pPr>
        <w:spacing w:after="0" w:line="189" w:lineRule="exact"/>
        <w:rPr>
          <w:rFonts w:ascii="Arial" w:cs="Arial" w:eastAsia="Arial" w:hAnsi="Arial"/>
          <w:sz w:val="18"/>
          <w:szCs w:val="18"/>
          <w:color w:val="auto"/>
        </w:rPr>
      </w:pPr>
    </w:p>
    <w:p>
      <w:pPr>
        <w:ind w:left="648" w:right="60" w:hanging="648"/>
        <w:spacing w:after="0" w:line="237" w:lineRule="auto"/>
        <w:tabs>
          <w:tab w:leader="none" w:pos="648"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When the Warrant Agreement to be entered into in connection with the issuance of any Warrants has been duly authorized, executed and delivered by the Warrant Agent and the Company; the specific terms of the Warrants have been duly authorized and established in accordance with the Warrant Agreement; and such Warrants have been duly authorized, executed, issued and delivered in accordance with the Warrant Agreement and the applicable underwriting or other agreement against payment therefor, such Warrants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p>
      <w:pPr>
        <w:spacing w:after="0" w:line="189" w:lineRule="exact"/>
        <w:rPr>
          <w:rFonts w:ascii="Arial" w:cs="Arial" w:eastAsia="Arial" w:hAnsi="Arial"/>
          <w:sz w:val="18"/>
          <w:szCs w:val="18"/>
          <w:color w:val="auto"/>
        </w:rPr>
      </w:pPr>
    </w:p>
    <w:p>
      <w:pPr>
        <w:ind w:left="648" w:right="60" w:hanging="648"/>
        <w:spacing w:after="0" w:line="237" w:lineRule="auto"/>
        <w:tabs>
          <w:tab w:leader="none" w:pos="648"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When the Purchase Contract Agreement to be entered into in connection with the issuance of any Purchase Contracts has been duly authorized, executed and delivered by the Purchase Contract Agent and the Company; the specific terms of the Purchase Contracts have been duly authorized and established in accordance with the Purchase Contract Agreement; and such Purchase Contracts have been duly authorized, executed, issued and delivered in accordance with the Purchase Contract Agreement and the applicable underwriting or other agreement against payment therefor, such Purchase Contracts will constitute valid and binding obligations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345440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247" w:right="239" w:bottom="1440" w:gutter="0" w:footer="0" w:header="0"/>
        </w:sectPr>
      </w:pPr>
    </w:p>
    <w:bookmarkStart w:id="42" w:name="page43"/>
    <w:bookmarkEnd w:id="42"/>
    <w:p>
      <w:pPr>
        <w:jc w:val="both"/>
        <w:ind w:left="5740"/>
        <w:spacing w:after="0"/>
        <w:tabs>
          <w:tab w:leader="none" w:pos="1000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color w:val="auto"/>
        </w:rPr>
        <w:t>January 29, 2019</w:t>
      </w:r>
    </w:p>
    <w:p>
      <w:pPr>
        <w:spacing w:after="0" w:line="104" w:lineRule="exact"/>
        <w:rPr>
          <w:sz w:val="20"/>
          <w:szCs w:val="20"/>
          <w:color w:val="auto"/>
        </w:rPr>
      </w:pPr>
    </w:p>
    <w:p>
      <w:pPr>
        <w:ind w:left="980" w:right="560"/>
        <w:spacing w:after="0" w:line="246" w:lineRule="auto"/>
        <w:rPr>
          <w:sz w:val="20"/>
          <w:szCs w:val="20"/>
          <w:color w:val="auto"/>
        </w:rPr>
      </w:pPr>
      <w:r>
        <w:rPr>
          <w:rFonts w:ascii="Arial" w:cs="Arial" w:eastAsia="Arial" w:hAnsi="Arial"/>
          <w:sz w:val="18"/>
          <w:szCs w:val="18"/>
          <w:color w:val="auto"/>
        </w:rPr>
        <w:t>Company, enforceable in accordance with their terms, subject to applicable bankruptcy, insolvency and similar laws affecting creditors’ rights generally, concepts of reasonableness and equitable principles of general applicability.</w:t>
      </w:r>
    </w:p>
    <w:p>
      <w:pPr>
        <w:spacing w:after="0" w:line="183" w:lineRule="exact"/>
        <w:rPr>
          <w:sz w:val="20"/>
          <w:szCs w:val="20"/>
          <w:color w:val="auto"/>
        </w:rPr>
      </w:pPr>
    </w:p>
    <w:p>
      <w:pPr>
        <w:ind w:left="980" w:right="140" w:hanging="648"/>
        <w:spacing w:after="0" w:line="23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When the Unit Agreement to be entered into in connection with the issuance of any Units has been duly authorized, executed and delivered by the Unit Agent and the Company; the specific terms of the Units have been duly authorized and established in accordance with the Unit Agreement; and such Units have been duly authorized, executed, issued and delivered in accordance with the Unit Agreement and the applicable underwriting or other agreement against payment therefor, such Units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p>
      <w:pPr>
        <w:spacing w:after="0" w:line="19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connection with the opinions expressed above, we have assumed that, at or prior to the time of the delivery of any such security, (i) the Board of Directors of the Company and the Board of Directors of the Guarantors, as the case may be shall have duly established the terms of such security and duly authorized the issuance and sale of such security and such authorization shall not have been modified or rescinded; (ii) each of the Company and the Guarantors is, and shall remain, validly existing as a corporation in good standing under the laws of the State of Delaware; (iii) the Registration Statement shall have become effective and such effectiveness shall not have been terminated or rescinded; (iv) the Indentures, the Debt Securities, the Warrant Agreement, the Purchase Contract Agreement, the Unit Agreement, the Guarantees and the Depository Agreement are each valid, binding and enforceable agreements of each party thereto, (other than as expressly covered above in respect of the Company and each Guarantor); and (v) there shall not have occurred any change in law affecting the validity or enforceability of such security. We have also assumed that the (i) execution, delivery and performance by the Company or any Guarantor of any security whose terms are established subsequent to the date hereof (a) require no action by or in respect of, or filing with, any governmental body, agency or official and (b) do not contravene, or constitute a default under, any provision of applicable law or regulation or any judgment, injunction, order or decree or any agreement or other instrument binding upon the Company or any Guarantor, and (ii) any Warrant Agreement, Purchase Contract Agreement and Unit Agreement will be governed by the laws of the State of New York.</w:t>
      </w:r>
    </w:p>
    <w:p>
      <w:pPr>
        <w:spacing w:after="0" w:line="190"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We are members of the Bar of the State of New York and the foregoing opinion is limited to the laws of the State of New York and the General Corporation Law of the State of Delaware.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We hereby consent to the filing of this opinion as an exhibit to the Registration Statement referred to above and further consent to the reference to our name under the caption “</w:t>
      </w:r>
      <w:r>
        <w:rPr>
          <w:rFonts w:ascii="Arial" w:cs="Arial" w:eastAsia="Arial" w:hAnsi="Arial"/>
          <w:sz w:val="18"/>
          <w:szCs w:val="18"/>
          <w:b w:val="1"/>
          <w:bCs w:val="1"/>
          <w:color w:val="auto"/>
        </w:rPr>
        <w:t>Legal Opinions</w:t>
      </w:r>
      <w:r>
        <w:rPr>
          <w:rFonts w:ascii="Arial" w:cs="Arial" w:eastAsia="Arial" w:hAnsi="Arial"/>
          <w:sz w:val="18"/>
          <w:szCs w:val="18"/>
          <w:color w:val="auto"/>
        </w:rPr>
        <w:t>” in the prospectus, which is a part of the Registration Statement. In giving this consent, we do not admit that we are in the category of persons whose consent is required under Section 7 of the Securities Act.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 BRANDS,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Each of the undersigned individuals, being members of the board of directors of L Brands,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hereby constitutes and appoints each of Samuel Fried, Timothy J. Faber and Stuart Burgdoerfer, acting individually, his or her true and lawful attorney-in-fact and agent, with full power to act separately and full power of substitution and resubstitution, for him or her and in his or her name, place and stead in any and all capacities, to sign one or more registration statements on:</w:t>
      </w:r>
    </w:p>
    <w:p>
      <w:pPr>
        <w:spacing w:after="0" w:line="180" w:lineRule="exact"/>
        <w:rPr>
          <w:sz w:val="20"/>
          <w:szCs w:val="20"/>
          <w:color w:val="auto"/>
        </w:rPr>
      </w:pPr>
    </w:p>
    <w:p>
      <w:pPr>
        <w:jc w:val="both"/>
        <w:ind w:right="680" w:firstLine="8"/>
        <w:spacing w:after="0" w:line="314" w:lineRule="auto"/>
        <w:tabs>
          <w:tab w:leader="none" w:pos="215" w:val="left"/>
        </w:tabs>
        <w:numPr>
          <w:ilvl w:val="0"/>
          <w:numId w:val="42"/>
        </w:numPr>
        <w:rPr>
          <w:rFonts w:ascii="Arial" w:cs="Arial" w:eastAsia="Arial" w:hAnsi="Arial"/>
          <w:sz w:val="16"/>
          <w:szCs w:val="16"/>
          <w:color w:val="auto"/>
        </w:rPr>
      </w:pPr>
      <w:r>
        <w:rPr>
          <w:rFonts w:ascii="Arial" w:cs="Arial" w:eastAsia="Arial" w:hAnsi="Arial"/>
          <w:sz w:val="16"/>
          <w:szCs w:val="16"/>
          <w:color w:val="auto"/>
        </w:rPr>
        <w:t>Form S-3 (the “</w:t>
      </w:r>
      <w:r>
        <w:rPr>
          <w:rFonts w:ascii="Arial" w:cs="Arial" w:eastAsia="Arial" w:hAnsi="Arial"/>
          <w:sz w:val="16"/>
          <w:szCs w:val="16"/>
          <w:b w:val="1"/>
          <w:bCs w:val="1"/>
          <w:color w:val="auto"/>
        </w:rPr>
        <w:t>Shelf Registration Statement</w:t>
      </w:r>
      <w:r>
        <w:rPr>
          <w:rFonts w:ascii="Arial" w:cs="Arial" w:eastAsia="Arial" w:hAnsi="Arial"/>
          <w:sz w:val="16"/>
          <w:szCs w:val="16"/>
          <w:color w:val="auto"/>
        </w:rPr>
        <w:t>”) covering the sale and issuance of the Company’s common stock, preferred stock, debt securities, guarantees of debt securities and any other securities in a registered offering or offerings, and any additional securities that may be registered under a registration statement filed pursuant to 462(b) of the Securities Act of 1933, as amended that is related to the Shelf Registration Statement;</w:t>
      </w:r>
    </w:p>
    <w:p>
      <w:pPr>
        <w:spacing w:after="0" w:line="146"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each under the Securities Exchange Act of 1933, as amended, or such other form as any such attorney-in-fact may deem necessary or desirable, any amendments thereto, and all additional amendments thereto, each in such form as they or any one of them may approve, and to file the same with all exhibits thereto and other documents in connection therewith with the Securities and Exchange Commission so that such registration statements shall comply with the Securities Exchange Act of 1933, as amended, and the applicable Rules and Regulations adopted or issued pursuant thereto, hereby ratifying and confirming all that said attorneys-in-fact and agents, or any of them or their substitute or resubstitute, may lawfully do or cause to be done by virtue hereof.</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each of the undersigned has duly executed and delivered this power of attorney as of the 29th day of January, 2019.</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to Follow</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4" w:name="page45"/>
    <w:bookmarkEnd w:id="44"/>
    <w:p>
      <w:pPr>
        <w:ind w:left="4620"/>
        <w:spacing w:after="0"/>
        <w:rPr>
          <w:sz w:val="20"/>
          <w:szCs w:val="20"/>
          <w:color w:val="auto"/>
        </w:rPr>
      </w:pPr>
      <w:r>
        <w:rPr>
          <w:rFonts w:ascii="Arial" w:cs="Arial" w:eastAsia="Arial" w:hAnsi="Arial"/>
          <w:sz w:val="18"/>
          <w:szCs w:val="18"/>
          <w:color w:val="auto"/>
        </w:rPr>
        <w:t>/s/ Leslie H. Wexner</w:t>
      </w:r>
    </w:p>
    <w:p>
      <w:pPr>
        <w:spacing w:after="0" w:line="23" w:lineRule="exact"/>
        <w:rPr>
          <w:sz w:val="20"/>
          <w:szCs w:val="20"/>
          <w:color w:val="auto"/>
        </w:rPr>
      </w:pPr>
    </w:p>
    <w:tbl>
      <w:tblPr>
        <w:tblLayout w:type="fixed"/>
        <w:tblInd w:w="4620" w:type="dxa"/>
        <w:tblCellMar>
          <w:top w:w="0" w:type="dxa"/>
          <w:left w:w="0" w:type="dxa"/>
          <w:bottom w:w="0" w:type="dxa"/>
          <w:right w:w="0" w:type="dxa"/>
        </w:tblCellMar>
      </w:tblPr>
      <w:tr>
        <w:trPr>
          <w:trHeight w:val="195"/>
        </w:trPr>
        <w:tc>
          <w:tcPr>
            <w:tcW w:w="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880" w:type="dxa"/>
            <w:vAlign w:val="bottom"/>
            <w:tcBorders>
              <w:top w:val="single" w:sz="8" w:color="auto"/>
            </w:tcBorders>
          </w:tcPr>
          <w:p>
            <w:pPr>
              <w:ind w:left="240"/>
              <w:spacing w:after="0" w:line="195" w:lineRule="exact"/>
              <w:rPr>
                <w:sz w:val="20"/>
                <w:szCs w:val="20"/>
                <w:color w:val="auto"/>
              </w:rPr>
            </w:pPr>
            <w:r>
              <w:rPr>
                <w:rFonts w:ascii="Arial" w:cs="Arial" w:eastAsia="Arial" w:hAnsi="Arial"/>
                <w:sz w:val="18"/>
                <w:szCs w:val="18"/>
                <w:color w:val="auto"/>
              </w:rPr>
              <w:t>Leslie H. Wexner</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ind w:left="240"/>
              <w:spacing w:after="0"/>
              <w:rPr>
                <w:sz w:val="20"/>
                <w:szCs w:val="20"/>
                <w:color w:val="auto"/>
              </w:rPr>
            </w:pPr>
            <w:r>
              <w:rPr>
                <w:rFonts w:ascii="Arial" w:cs="Arial" w:eastAsia="Arial" w:hAnsi="Arial"/>
                <w:sz w:val="18"/>
                <w:szCs w:val="18"/>
                <w:color w:val="auto"/>
              </w:rPr>
              <w:t>Chairman and Chief Executive Officer</w:t>
            </w:r>
          </w:p>
        </w:tc>
      </w:tr>
    </w:tbl>
    <w:p>
      <w:pPr>
        <w:spacing w:after="0" w:line="202"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Dr. E. Gordon Gee</w:t>
      </w:r>
    </w:p>
    <w:p>
      <w:pPr>
        <w:spacing w:after="0" w:line="23" w:lineRule="exact"/>
        <w:rPr>
          <w:sz w:val="20"/>
          <w:szCs w:val="20"/>
          <w:color w:val="auto"/>
        </w:rPr>
      </w:pPr>
    </w:p>
    <w:p>
      <w:pPr>
        <w:ind w:left="4620"/>
        <w:spacing w:after="0"/>
        <w:tabs>
          <w:tab w:leader="none" w:pos="55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Dr. E. Gordon 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-130810</wp:posOffset>
            </wp:positionV>
            <wp:extent cx="35502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4620"/>
        <w:spacing w:after="0"/>
        <w:tabs>
          <w:tab w:leader="none" w:pos="5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1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Dennis S. Hersch</w:t>
      </w:r>
    </w:p>
    <w:p>
      <w:pPr>
        <w:spacing w:after="0" w:line="23" w:lineRule="exact"/>
        <w:rPr>
          <w:sz w:val="20"/>
          <w:szCs w:val="20"/>
          <w:color w:val="auto"/>
        </w:rPr>
      </w:pPr>
    </w:p>
    <w:p>
      <w:pPr>
        <w:ind w:left="4620"/>
        <w:spacing w:after="0"/>
        <w:tabs>
          <w:tab w:leader="none" w:pos="55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Dennis S. Hersch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-130810</wp:posOffset>
            </wp:positionV>
            <wp:extent cx="35502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4620"/>
        <w:spacing w:after="0"/>
        <w:tabs>
          <w:tab w:leader="none" w:pos="5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1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Donna A. James</w:t>
      </w:r>
    </w:p>
    <w:p>
      <w:pPr>
        <w:spacing w:after="0" w:line="23" w:lineRule="exact"/>
        <w:rPr>
          <w:sz w:val="20"/>
          <w:szCs w:val="20"/>
          <w:color w:val="auto"/>
        </w:rPr>
      </w:pPr>
    </w:p>
    <w:p>
      <w:pPr>
        <w:ind w:left="4620"/>
        <w:spacing w:after="0"/>
        <w:tabs>
          <w:tab w:leader="none" w:pos="55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Donna A.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-130810</wp:posOffset>
            </wp:positionV>
            <wp:extent cx="355028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4620"/>
        <w:spacing w:after="0"/>
        <w:tabs>
          <w:tab w:leader="none" w:pos="5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1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David T. Kollat</w:t>
      </w:r>
    </w:p>
    <w:p>
      <w:pPr>
        <w:spacing w:after="0" w:line="23" w:lineRule="exact"/>
        <w:rPr>
          <w:sz w:val="20"/>
          <w:szCs w:val="20"/>
          <w:color w:val="auto"/>
        </w:rPr>
      </w:pPr>
    </w:p>
    <w:p>
      <w:pPr>
        <w:ind w:left="4620"/>
        <w:spacing w:after="0"/>
        <w:tabs>
          <w:tab w:leader="none" w:pos="55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David T. Kollat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-130810</wp:posOffset>
            </wp:positionV>
            <wp:extent cx="355028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4620"/>
        <w:spacing w:after="0"/>
        <w:tabs>
          <w:tab w:leader="none" w:pos="5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1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Patricia S. Bellinger</w:t>
      </w:r>
    </w:p>
    <w:p>
      <w:pPr>
        <w:spacing w:after="0" w:line="23" w:lineRule="exact"/>
        <w:rPr>
          <w:sz w:val="20"/>
          <w:szCs w:val="20"/>
          <w:color w:val="auto"/>
        </w:rPr>
      </w:pPr>
    </w:p>
    <w:p>
      <w:pPr>
        <w:ind w:left="4620"/>
        <w:spacing w:after="0"/>
        <w:tabs>
          <w:tab w:leader="none" w:pos="55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Patricia S. Bellinger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-130810</wp:posOffset>
            </wp:positionV>
            <wp:extent cx="35502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4620"/>
        <w:spacing w:after="0"/>
        <w:tabs>
          <w:tab w:leader="none" w:pos="5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1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Robert H. Schottenstein</w:t>
      </w:r>
    </w:p>
    <w:p>
      <w:pPr>
        <w:spacing w:after="0" w:line="23" w:lineRule="exact"/>
        <w:rPr>
          <w:sz w:val="20"/>
          <w:szCs w:val="20"/>
          <w:color w:val="auto"/>
        </w:rPr>
      </w:pPr>
    </w:p>
    <w:p>
      <w:pPr>
        <w:ind w:left="4620"/>
        <w:spacing w:after="0"/>
        <w:tabs>
          <w:tab w:leader="none" w:pos="55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Robert H. Schottenstein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-130810</wp:posOffset>
            </wp:positionV>
            <wp:extent cx="35502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4620"/>
        <w:spacing w:after="0"/>
        <w:tabs>
          <w:tab w:leader="none" w:pos="5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1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Michael G. Morris</w:t>
      </w:r>
    </w:p>
    <w:p>
      <w:pPr>
        <w:spacing w:after="0" w:line="23" w:lineRule="exact"/>
        <w:rPr>
          <w:sz w:val="20"/>
          <w:szCs w:val="20"/>
          <w:color w:val="auto"/>
        </w:rPr>
      </w:pPr>
    </w:p>
    <w:p>
      <w:pPr>
        <w:ind w:left="4620"/>
        <w:spacing w:after="0"/>
        <w:tabs>
          <w:tab w:leader="none" w:pos="55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Michael G.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-130810</wp:posOffset>
            </wp:positionV>
            <wp:extent cx="355028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4620"/>
        <w:spacing w:after="0"/>
        <w:tabs>
          <w:tab w:leader="none" w:pos="5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1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Allan R. Tessler</w:t>
      </w:r>
    </w:p>
    <w:p>
      <w:pPr>
        <w:spacing w:after="0" w:line="23" w:lineRule="exact"/>
        <w:rPr>
          <w:sz w:val="20"/>
          <w:szCs w:val="20"/>
          <w:color w:val="auto"/>
        </w:rPr>
      </w:pPr>
    </w:p>
    <w:p>
      <w:pPr>
        <w:ind w:left="4620"/>
        <w:spacing w:after="0"/>
        <w:tabs>
          <w:tab w:leader="none" w:pos="55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Allan R. Tessler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-130810</wp:posOffset>
            </wp:positionV>
            <wp:extent cx="355028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4620"/>
        <w:spacing w:after="0"/>
        <w:tabs>
          <w:tab w:leader="none" w:pos="5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1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Stephen D. Steinour</w:t>
      </w:r>
    </w:p>
    <w:p>
      <w:pPr>
        <w:spacing w:after="0" w:line="23" w:lineRule="exact"/>
        <w:rPr>
          <w:sz w:val="20"/>
          <w:szCs w:val="20"/>
          <w:color w:val="auto"/>
        </w:rPr>
      </w:pPr>
    </w:p>
    <w:p>
      <w:pPr>
        <w:ind w:left="4620"/>
        <w:spacing w:after="0"/>
        <w:tabs>
          <w:tab w:leader="none" w:pos="55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Stephen D. Steinour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-130810</wp:posOffset>
            </wp:positionV>
            <wp:extent cx="355028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4620"/>
        <w:spacing w:after="0"/>
        <w:tabs>
          <w:tab w:leader="none" w:pos="5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1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Abigail S. Wexner</w:t>
      </w:r>
    </w:p>
    <w:p>
      <w:pPr>
        <w:spacing w:after="0" w:line="23" w:lineRule="exact"/>
        <w:rPr>
          <w:sz w:val="20"/>
          <w:szCs w:val="20"/>
          <w:color w:val="auto"/>
        </w:rPr>
      </w:pPr>
    </w:p>
    <w:p>
      <w:pPr>
        <w:ind w:left="4620"/>
        <w:spacing w:after="0"/>
        <w:tabs>
          <w:tab w:leader="none" w:pos="55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Abigail S. Wexner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-130810</wp:posOffset>
            </wp:positionV>
            <wp:extent cx="355028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4620"/>
        <w:spacing w:after="0"/>
        <w:tabs>
          <w:tab w:leader="none" w:pos="5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365760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00" w:right="239" w:bottom="1440" w:gutter="0" w:footer="0" w:header="0"/>
        </w:sectPr>
      </w:pPr>
    </w:p>
    <w:bookmarkStart w:id="45" w:name="page46"/>
    <w:bookmarkEnd w:id="45"/>
    <w:p>
      <w:pPr>
        <w:ind w:left="4620"/>
        <w:spacing w:after="0"/>
        <w:rPr>
          <w:sz w:val="20"/>
          <w:szCs w:val="20"/>
          <w:color w:val="auto"/>
        </w:rPr>
      </w:pPr>
      <w:r>
        <w:rPr>
          <w:rFonts w:ascii="Arial" w:cs="Arial" w:eastAsia="Arial" w:hAnsi="Arial"/>
          <w:sz w:val="18"/>
          <w:szCs w:val="18"/>
          <w:color w:val="auto"/>
        </w:rPr>
        <w:t>/s/ Raymond Zimmerman</w:t>
      </w:r>
    </w:p>
    <w:p>
      <w:pPr>
        <w:spacing w:after="0" w:line="23" w:lineRule="exact"/>
        <w:rPr>
          <w:sz w:val="20"/>
          <w:szCs w:val="20"/>
          <w:color w:val="auto"/>
        </w:rPr>
      </w:pPr>
    </w:p>
    <w:p>
      <w:pPr>
        <w:ind w:left="4620"/>
        <w:spacing w:after="0"/>
        <w:tabs>
          <w:tab w:leader="none" w:pos="556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6"/>
          <w:szCs w:val="16"/>
          <w:color w:val="auto"/>
        </w:rPr>
        <w:t>Raymond Zimmerman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-116205</wp:posOffset>
            </wp:positionV>
            <wp:extent cx="355028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6" w:lineRule="exact"/>
        <w:rPr>
          <w:sz w:val="20"/>
          <w:szCs w:val="20"/>
          <w:color w:val="auto"/>
        </w:rPr>
      </w:pPr>
    </w:p>
    <w:p>
      <w:pPr>
        <w:ind w:left="4620"/>
        <w:spacing w:after="0"/>
        <w:tabs>
          <w:tab w:leader="none" w:pos="5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3993515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800" w:right="1440"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15.1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January 29, 2019</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L Brands, Inc.:</w:t>
      </w:r>
    </w:p>
    <w:p>
      <w:pPr>
        <w:spacing w:after="0" w:line="200" w:lineRule="exact"/>
        <w:rPr>
          <w:sz w:val="20"/>
          <w:szCs w:val="20"/>
          <w:color w:val="auto"/>
        </w:rPr>
      </w:pPr>
    </w:p>
    <w:p>
      <w:pPr>
        <w:spacing w:after="0" w:line="201"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We are aware of the incorporation by reference in this Registration Statement (Form S-3) and related Prospectus of L Brands, Inc. for the registration of common stock, preferred stock, depositary shares, debt securities, warrants, purchase contracts and units of our reports dated June 7, 2018, September 7, 2018 and December 4, 2018 relating to the unaudited condensed consolidated interim financial statements of L Brands, Inc. that are included in its Forms 10-Q for the quarters ended May 5, 2018, August 4, 2018 and November 3, 2018.</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333333"/>
        </w:rPr>
        <w:t>/s/ Ernst &amp; Young LLP</w:t>
      </w:r>
    </w:p>
    <w:p>
      <w:pPr>
        <w:spacing w:after="0"/>
        <w:rPr>
          <w:sz w:val="20"/>
          <w:szCs w:val="20"/>
          <w:color w:val="auto"/>
        </w:rPr>
      </w:pPr>
      <w:r>
        <w:rPr>
          <w:rFonts w:ascii="Arial" w:cs="Arial" w:eastAsia="Arial" w:hAnsi="Arial"/>
          <w:sz w:val="18"/>
          <w:szCs w:val="18"/>
          <w:color w:val="auto"/>
        </w:rPr>
        <w:t>Grandview Heights, Ohio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333333"/>
        </w:rPr>
        <w:t>Exhibit 23.1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333333"/>
        </w:rPr>
        <w:t>Consent of Independent Registered Public Accounting Firm</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333333"/>
        </w:rPr>
        <w:t>We consent to the reference to our firm under the caption “Experts” in this Registration Statement (Form S-3) and related Prospectus of L Brands, Inc. for the registration of common stock, preferred stock, depositary shares, debt securities, warrants, purchase contracts and units and to the incorporation by reference therein of our reports dated March 23, 2018, with respect to the consolidated financial statements of L Brands, Inc., and the effectiveness of internal control over financial reporting of L Brands, Inc., included in its Annual Report (Form 10-K) for the year ended February 3, 2018, filed with the Securities and Exchange Commission.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333333"/>
        </w:rPr>
        <w:t>Grandview Heights, Ohio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333333"/>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333333"/>
        </w:rPr>
        <w:t>January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22"/>
          <w:szCs w:val="22"/>
          <w:b w:val="1"/>
          <w:bCs w:val="1"/>
          <w:color w:val="auto"/>
        </w:rPr>
        <w:t>Exhibit 25.1</w:t>
      </w:r>
    </w:p>
    <w:p>
      <w:pPr>
        <w:spacing w:after="0" w:line="20" w:lineRule="exact"/>
        <w:rPr>
          <w:sz w:val="20"/>
          <w:szCs w:val="20"/>
          <w:color w:val="auto"/>
        </w:rPr>
      </w:pPr>
    </w:p>
    <w:p>
      <w:pPr>
        <w:ind w:left="2240"/>
        <w:spacing w:after="0"/>
        <w:rPr>
          <w:sz w:val="20"/>
          <w:szCs w:val="20"/>
          <w:color w:val="auto"/>
        </w:rPr>
      </w:pPr>
      <w:r>
        <w:rPr>
          <w:rFonts w:ascii="Arial" w:cs="Arial" w:eastAsia="Arial" w:hAnsi="Arial"/>
          <w:sz w:val="18"/>
          <w:szCs w:val="18"/>
          <w:u w:val="single" w:color="auto"/>
          <w:color w:val="auto"/>
        </w:rPr>
        <w:t>_____________________________________________________________________________</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FORM T-1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ELIGIBILITY UNDER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TRUST INDENTURE ACT OF 1939 OF 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CORPORATION DESIGNATED TO ACT AS TRUSTEE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Check if an Application to Determine Eligibility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a Trustee Pursuant to Section 305(b)(2) </w:t>
      </w:r>
      <w:r>
        <w:rPr>
          <w:sz w:val="1"/>
          <w:szCs w:val="1"/>
          <w:color w:val="auto"/>
        </w:rPr>
        <w:drawing>
          <wp:inline distT="0" distB="0" distL="0" distR="0">
            <wp:extent cx="180340" cy="12001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180340" cy="120015"/>
                    </a:xfrm>
                    <a:prstGeom prst="rect">
                      <a:avLst/>
                    </a:prstGeom>
                    <a:noFill/>
                    <a:ln>
                      <a:noFill/>
                    </a:ln>
                  </pic:spPr>
                </pic:pic>
              </a:graphicData>
            </a:graphic>
          </wp:inline>
        </w:drawing>
      </w:r>
    </w:p>
    <w:p>
      <w:pPr>
        <w:spacing w:after="0" w:line="1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U.S. BANK NATIONAL ASSOCIATION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Trustee as specified in its charter)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31-0841368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I.R.S. Employer Identification No.</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57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800 Nicollet Mall</w:t>
            </w:r>
          </w:p>
        </w:tc>
        <w:tc>
          <w:tcPr>
            <w:tcW w:w="1440" w:type="dxa"/>
            <w:vAlign w:val="bottom"/>
            <w:tcBorders>
              <w:top w:val="single" w:sz="8" w:color="auto"/>
            </w:tcBorders>
          </w:tcPr>
          <w:p>
            <w:pPr>
              <w:spacing w:after="0"/>
              <w:rPr>
                <w:sz w:val="21"/>
                <w:szCs w:val="21"/>
                <w:color w:val="auto"/>
              </w:rPr>
            </w:pPr>
          </w:p>
        </w:tc>
        <w:tc>
          <w:tcPr>
            <w:tcW w:w="4260" w:type="dxa"/>
            <w:vAlign w:val="bottom"/>
            <w:tcBorders>
              <w:top w:val="single" w:sz="8" w:color="auto"/>
              <w:right w:val="single" w:sz="8" w:color="auto"/>
            </w:tcBorders>
          </w:tcPr>
          <w:p>
            <w:pPr>
              <w:jc w:val="center"/>
              <w:ind w:right="1370"/>
              <w:spacing w:after="0"/>
              <w:rPr>
                <w:sz w:val="20"/>
                <w:szCs w:val="20"/>
                <w:color w:val="auto"/>
              </w:rPr>
            </w:pPr>
            <w:r>
              <w:rPr>
                <w:rFonts w:ascii="Arial" w:cs="Arial" w:eastAsia="Arial" w:hAnsi="Arial"/>
                <w:sz w:val="18"/>
                <w:szCs w:val="18"/>
                <w:color w:val="auto"/>
                <w:w w:val="87"/>
              </w:rPr>
              <w:t>55402</w:t>
            </w:r>
          </w:p>
        </w:tc>
      </w:tr>
      <w:tr>
        <w:trPr>
          <w:trHeight w:val="230"/>
        </w:trPr>
        <w:tc>
          <w:tcPr>
            <w:tcW w:w="5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Minneapolis, Minnesota</w:t>
            </w:r>
          </w:p>
        </w:tc>
        <w:tc>
          <w:tcPr>
            <w:tcW w:w="1440" w:type="dxa"/>
            <w:vAlign w:val="bottom"/>
          </w:tcPr>
          <w:p>
            <w:pPr>
              <w:spacing w:after="0"/>
              <w:rPr>
                <w:sz w:val="20"/>
                <w:szCs w:val="20"/>
                <w:color w:val="auto"/>
              </w:rPr>
            </w:pPr>
          </w:p>
        </w:tc>
        <w:tc>
          <w:tcPr>
            <w:tcW w:w="4260" w:type="dxa"/>
            <w:vAlign w:val="bottom"/>
            <w:tcBorders>
              <w:right w:val="single" w:sz="8" w:color="auto"/>
            </w:tcBorders>
          </w:tcPr>
          <w:p>
            <w:pPr>
              <w:spacing w:after="0"/>
              <w:rPr>
                <w:sz w:val="20"/>
                <w:szCs w:val="20"/>
                <w:color w:val="auto"/>
              </w:rPr>
            </w:pPr>
          </w:p>
        </w:tc>
      </w:tr>
      <w:tr>
        <w:trPr>
          <w:trHeight w:val="27"/>
        </w:trPr>
        <w:tc>
          <w:tcPr>
            <w:tcW w:w="5720" w:type="dxa"/>
            <w:vAlign w:val="bottom"/>
            <w:tcBorders>
              <w:left w:val="single" w:sz="8" w:color="auto"/>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r>
      <w:tr>
        <w:trPr>
          <w:trHeight w:val="237"/>
        </w:trPr>
        <w:tc>
          <w:tcPr>
            <w:tcW w:w="5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440" w:type="dxa"/>
            <w:vAlign w:val="bottom"/>
          </w:tcPr>
          <w:p>
            <w:pPr>
              <w:spacing w:after="0"/>
              <w:rPr>
                <w:sz w:val="20"/>
                <w:szCs w:val="20"/>
                <w:color w:val="auto"/>
              </w:rPr>
            </w:pPr>
          </w:p>
        </w:tc>
        <w:tc>
          <w:tcPr>
            <w:tcW w:w="4260" w:type="dxa"/>
            <w:vAlign w:val="bottom"/>
            <w:tcBorders>
              <w:right w:val="single" w:sz="8" w:color="auto"/>
            </w:tcBorders>
          </w:tcPr>
          <w:p>
            <w:pPr>
              <w:jc w:val="center"/>
              <w:ind w:right="1370"/>
              <w:spacing w:after="0"/>
              <w:rPr>
                <w:sz w:val="20"/>
                <w:szCs w:val="20"/>
                <w:color w:val="auto"/>
              </w:rPr>
            </w:pPr>
            <w:r>
              <w:rPr>
                <w:rFonts w:ascii="Arial" w:cs="Arial" w:eastAsia="Arial" w:hAnsi="Arial"/>
                <w:sz w:val="18"/>
                <w:szCs w:val="18"/>
                <w:color w:val="auto"/>
                <w:w w:val="94"/>
              </w:rPr>
              <w:t>(Zip Code)</w:t>
            </w:r>
          </w:p>
        </w:tc>
      </w:tr>
      <w:tr>
        <w:trPr>
          <w:trHeight w:val="27"/>
        </w:trPr>
        <w:tc>
          <w:tcPr>
            <w:tcW w:w="5720" w:type="dxa"/>
            <w:vAlign w:val="bottom"/>
            <w:tcBorders>
              <w:left w:val="single" w:sz="8" w:color="auto"/>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r>
      <w:tr>
        <w:trPr>
          <w:trHeight w:val="411"/>
        </w:trPr>
        <w:tc>
          <w:tcPr>
            <w:tcW w:w="7160" w:type="dxa"/>
            <w:vAlign w:val="bottom"/>
            <w:gridSpan w:val="2"/>
          </w:tcPr>
          <w:p>
            <w:pPr>
              <w:jc w:val="center"/>
              <w:ind w:left="4168"/>
              <w:spacing w:after="0"/>
              <w:rPr>
                <w:sz w:val="20"/>
                <w:szCs w:val="20"/>
                <w:color w:val="auto"/>
              </w:rPr>
            </w:pPr>
            <w:r>
              <w:rPr>
                <w:rFonts w:ascii="Arial" w:cs="Arial" w:eastAsia="Arial" w:hAnsi="Arial"/>
                <w:sz w:val="18"/>
                <w:szCs w:val="18"/>
                <w:color w:val="auto"/>
                <w:w w:val="96"/>
              </w:rPr>
              <w:t>Scott Miller</w:t>
            </w:r>
          </w:p>
        </w:tc>
        <w:tc>
          <w:tcPr>
            <w:tcW w:w="4260" w:type="dxa"/>
            <w:vAlign w:val="bottom"/>
          </w:tcPr>
          <w:p>
            <w:pPr>
              <w:spacing w:after="0"/>
              <w:rPr>
                <w:sz w:val="24"/>
                <w:szCs w:val="24"/>
                <w:color w:val="auto"/>
              </w:rPr>
            </w:pPr>
          </w:p>
        </w:tc>
      </w:tr>
      <w:tr>
        <w:trPr>
          <w:trHeight w:val="216"/>
        </w:trPr>
        <w:tc>
          <w:tcPr>
            <w:tcW w:w="7160" w:type="dxa"/>
            <w:vAlign w:val="bottom"/>
            <w:gridSpan w:val="2"/>
          </w:tcPr>
          <w:p>
            <w:pPr>
              <w:jc w:val="center"/>
              <w:ind w:left="4168"/>
              <w:spacing w:after="0"/>
              <w:rPr>
                <w:sz w:val="20"/>
                <w:szCs w:val="20"/>
                <w:color w:val="auto"/>
              </w:rPr>
            </w:pPr>
            <w:r>
              <w:rPr>
                <w:rFonts w:ascii="Arial" w:cs="Arial" w:eastAsia="Arial" w:hAnsi="Arial"/>
                <w:sz w:val="18"/>
                <w:szCs w:val="18"/>
                <w:color w:val="auto"/>
                <w:w w:val="92"/>
              </w:rPr>
              <w:t>U.S. Bank National Association</w:t>
            </w:r>
          </w:p>
        </w:tc>
        <w:tc>
          <w:tcPr>
            <w:tcW w:w="4260" w:type="dxa"/>
            <w:vAlign w:val="bottom"/>
          </w:tcPr>
          <w:p>
            <w:pPr>
              <w:spacing w:after="0"/>
              <w:rPr>
                <w:sz w:val="18"/>
                <w:szCs w:val="18"/>
                <w:color w:val="auto"/>
              </w:rPr>
            </w:pPr>
          </w:p>
        </w:tc>
      </w:tr>
      <w:tr>
        <w:trPr>
          <w:trHeight w:val="216"/>
        </w:trPr>
        <w:tc>
          <w:tcPr>
            <w:tcW w:w="7160" w:type="dxa"/>
            <w:vAlign w:val="bottom"/>
            <w:gridSpan w:val="2"/>
          </w:tcPr>
          <w:p>
            <w:pPr>
              <w:jc w:val="center"/>
              <w:ind w:left="4168"/>
              <w:spacing w:after="0"/>
              <w:rPr>
                <w:sz w:val="20"/>
                <w:szCs w:val="20"/>
                <w:color w:val="auto"/>
              </w:rPr>
            </w:pPr>
            <w:r>
              <w:rPr>
                <w:rFonts w:ascii="Arial" w:cs="Arial" w:eastAsia="Arial" w:hAnsi="Arial"/>
                <w:sz w:val="18"/>
                <w:szCs w:val="18"/>
                <w:color w:val="auto"/>
                <w:w w:val="89"/>
              </w:rPr>
              <w:t>10 West Broad Street</w:t>
            </w:r>
          </w:p>
        </w:tc>
        <w:tc>
          <w:tcPr>
            <w:tcW w:w="4260" w:type="dxa"/>
            <w:vAlign w:val="bottom"/>
          </w:tcPr>
          <w:p>
            <w:pPr>
              <w:spacing w:after="0"/>
              <w:rPr>
                <w:sz w:val="18"/>
                <w:szCs w:val="18"/>
                <w:color w:val="auto"/>
              </w:rPr>
            </w:pPr>
          </w:p>
        </w:tc>
      </w:tr>
      <w:tr>
        <w:trPr>
          <w:trHeight w:val="216"/>
        </w:trPr>
        <w:tc>
          <w:tcPr>
            <w:tcW w:w="7160" w:type="dxa"/>
            <w:vAlign w:val="bottom"/>
            <w:gridSpan w:val="2"/>
          </w:tcPr>
          <w:p>
            <w:pPr>
              <w:jc w:val="center"/>
              <w:ind w:left="4168"/>
              <w:spacing w:after="0"/>
              <w:rPr>
                <w:sz w:val="20"/>
                <w:szCs w:val="20"/>
                <w:color w:val="auto"/>
              </w:rPr>
            </w:pPr>
            <w:r>
              <w:rPr>
                <w:rFonts w:ascii="Arial" w:cs="Arial" w:eastAsia="Arial" w:hAnsi="Arial"/>
                <w:sz w:val="18"/>
                <w:szCs w:val="18"/>
                <w:color w:val="auto"/>
                <w:w w:val="91"/>
              </w:rPr>
              <w:t>Columbus, OH 43215</w:t>
            </w:r>
          </w:p>
        </w:tc>
        <w:tc>
          <w:tcPr>
            <w:tcW w:w="4260" w:type="dxa"/>
            <w:vAlign w:val="bottom"/>
          </w:tcPr>
          <w:p>
            <w:pPr>
              <w:spacing w:after="0"/>
              <w:rPr>
                <w:sz w:val="18"/>
                <w:szCs w:val="18"/>
                <w:color w:val="auto"/>
              </w:rPr>
            </w:pPr>
          </w:p>
        </w:tc>
      </w:tr>
      <w:tr>
        <w:trPr>
          <w:trHeight w:val="216"/>
        </w:trPr>
        <w:tc>
          <w:tcPr>
            <w:tcW w:w="7160" w:type="dxa"/>
            <w:vAlign w:val="bottom"/>
            <w:gridSpan w:val="2"/>
          </w:tcPr>
          <w:p>
            <w:pPr>
              <w:jc w:val="center"/>
              <w:ind w:left="4188"/>
              <w:spacing w:after="0"/>
              <w:rPr>
                <w:sz w:val="20"/>
                <w:szCs w:val="20"/>
                <w:color w:val="auto"/>
              </w:rPr>
            </w:pPr>
            <w:r>
              <w:rPr>
                <w:rFonts w:ascii="Arial" w:cs="Arial" w:eastAsia="Arial" w:hAnsi="Arial"/>
                <w:sz w:val="18"/>
                <w:szCs w:val="18"/>
                <w:color w:val="auto"/>
                <w:w w:val="90"/>
              </w:rPr>
              <w:t>(614) 849-3402</w:t>
            </w:r>
          </w:p>
        </w:tc>
        <w:tc>
          <w:tcPr>
            <w:tcW w:w="4260" w:type="dxa"/>
            <w:vAlign w:val="bottom"/>
          </w:tcPr>
          <w:p>
            <w:pPr>
              <w:spacing w:after="0"/>
              <w:rPr>
                <w:sz w:val="18"/>
                <w:szCs w:val="18"/>
                <w:color w:val="auto"/>
              </w:rPr>
            </w:pPr>
          </w:p>
        </w:tc>
      </w:tr>
      <w:tr>
        <w:trPr>
          <w:trHeight w:val="230"/>
        </w:trPr>
        <w:tc>
          <w:tcPr>
            <w:tcW w:w="11420" w:type="dxa"/>
            <w:vAlign w:val="bottom"/>
            <w:gridSpan w:val="3"/>
          </w:tcPr>
          <w:p>
            <w:pPr>
              <w:jc w:val="center"/>
              <w:spacing w:after="0"/>
              <w:rPr>
                <w:sz w:val="20"/>
                <w:szCs w:val="20"/>
                <w:color w:val="auto"/>
              </w:rPr>
            </w:pPr>
            <w:r>
              <w:rPr>
                <w:rFonts w:ascii="Arial" w:cs="Arial" w:eastAsia="Arial" w:hAnsi="Arial"/>
                <w:sz w:val="18"/>
                <w:szCs w:val="18"/>
                <w:color w:val="auto"/>
                <w:w w:val="89"/>
              </w:rPr>
              <w:t>(Name, address and telephone number of agent for service)</w:t>
            </w:r>
          </w:p>
        </w:tc>
      </w:tr>
      <w:tr>
        <w:trPr>
          <w:trHeight w:val="499"/>
        </w:trPr>
        <w:tc>
          <w:tcPr>
            <w:tcW w:w="7160" w:type="dxa"/>
            <w:vAlign w:val="bottom"/>
            <w:gridSpan w:val="2"/>
          </w:tcPr>
          <w:p>
            <w:pPr>
              <w:jc w:val="center"/>
              <w:ind w:left="4188"/>
              <w:spacing w:after="0"/>
              <w:rPr>
                <w:sz w:val="20"/>
                <w:szCs w:val="20"/>
                <w:color w:val="auto"/>
              </w:rPr>
            </w:pPr>
            <w:r>
              <w:rPr>
                <w:rFonts w:ascii="Arial" w:cs="Arial" w:eastAsia="Arial" w:hAnsi="Arial"/>
                <w:sz w:val="25"/>
                <w:szCs w:val="25"/>
                <w:b w:val="1"/>
                <w:bCs w:val="1"/>
                <w:color w:val="auto"/>
                <w:w w:val="99"/>
              </w:rPr>
              <w:t>L BRANDS, INC.</w:t>
            </w:r>
          </w:p>
        </w:tc>
        <w:tc>
          <w:tcPr>
            <w:tcW w:w="4260" w:type="dxa"/>
            <w:vAlign w:val="bottom"/>
          </w:tcPr>
          <w:p>
            <w:pPr>
              <w:spacing w:after="0"/>
              <w:rPr>
                <w:sz w:val="24"/>
                <w:szCs w:val="24"/>
                <w:color w:val="auto"/>
              </w:rPr>
            </w:pPr>
          </w:p>
        </w:tc>
      </w:tr>
      <w:tr>
        <w:trPr>
          <w:trHeight w:val="230"/>
        </w:trPr>
        <w:tc>
          <w:tcPr>
            <w:tcW w:w="7160" w:type="dxa"/>
            <w:vAlign w:val="bottom"/>
            <w:gridSpan w:val="2"/>
          </w:tcPr>
          <w:p>
            <w:pPr>
              <w:jc w:val="center"/>
              <w:ind w:left="4188"/>
              <w:spacing w:after="0"/>
              <w:rPr>
                <w:sz w:val="20"/>
                <w:szCs w:val="20"/>
                <w:color w:val="auto"/>
              </w:rPr>
            </w:pPr>
            <w:r>
              <w:rPr>
                <w:rFonts w:ascii="Arial" w:cs="Arial" w:eastAsia="Arial" w:hAnsi="Arial"/>
                <w:sz w:val="18"/>
                <w:szCs w:val="18"/>
                <w:color w:val="auto"/>
                <w:w w:val="90"/>
              </w:rPr>
              <w:t>(Issuer with respect to the Securities)</w:t>
            </w:r>
          </w:p>
        </w:tc>
        <w:tc>
          <w:tcPr>
            <w:tcW w:w="4260" w:type="dxa"/>
            <w:vAlign w:val="bottom"/>
          </w:tcPr>
          <w:p>
            <w:pPr>
              <w:spacing w:after="0"/>
              <w:rPr>
                <w:sz w:val="20"/>
                <w:szCs w:val="20"/>
                <w:color w:val="auto"/>
              </w:rPr>
            </w:pPr>
          </w:p>
        </w:tc>
      </w:tr>
      <w:tr>
        <w:trPr>
          <w:trHeight w:val="216"/>
        </w:trPr>
        <w:tc>
          <w:tcPr>
            <w:tcW w:w="7160" w:type="dxa"/>
            <w:vAlign w:val="bottom"/>
            <w:tcBorders>
              <w:bottom w:val="single" w:sz="8" w:color="auto"/>
            </w:tcBorders>
            <w:gridSpan w:val="2"/>
          </w:tcPr>
          <w:p>
            <w:pPr>
              <w:spacing w:after="0"/>
              <w:rPr>
                <w:sz w:val="18"/>
                <w:szCs w:val="18"/>
                <w:color w:val="auto"/>
              </w:rPr>
            </w:pPr>
          </w:p>
        </w:tc>
        <w:tc>
          <w:tcPr>
            <w:tcW w:w="4260" w:type="dxa"/>
            <w:vAlign w:val="bottom"/>
            <w:tcBorders>
              <w:bottom w:val="single" w:sz="8" w:color="auto"/>
            </w:tcBorders>
          </w:tcPr>
          <w:p>
            <w:pPr>
              <w:spacing w:after="0"/>
              <w:rPr>
                <w:sz w:val="18"/>
                <w:szCs w:val="18"/>
                <w:color w:val="auto"/>
              </w:rPr>
            </w:pPr>
          </w:p>
        </w:tc>
      </w:tr>
      <w:tr>
        <w:trPr>
          <w:trHeight w:val="210"/>
        </w:trPr>
        <w:tc>
          <w:tcPr>
            <w:tcW w:w="5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440" w:type="dxa"/>
            <w:vAlign w:val="bottom"/>
            <w:tcBorders>
              <w:bottom w:val="single" w:sz="8" w:color="auto"/>
            </w:tcBorders>
          </w:tcPr>
          <w:p>
            <w:pPr>
              <w:spacing w:after="0"/>
              <w:rPr>
                <w:sz w:val="18"/>
                <w:szCs w:val="18"/>
                <w:color w:val="auto"/>
              </w:rPr>
            </w:pPr>
          </w:p>
        </w:tc>
        <w:tc>
          <w:tcPr>
            <w:tcW w:w="4260" w:type="dxa"/>
            <w:vAlign w:val="bottom"/>
            <w:tcBorders>
              <w:bottom w:val="single" w:sz="8" w:color="auto"/>
              <w:right w:val="single" w:sz="8" w:color="auto"/>
            </w:tcBorders>
          </w:tcPr>
          <w:p>
            <w:pPr>
              <w:jc w:val="center"/>
              <w:ind w:right="1370"/>
              <w:spacing w:after="0"/>
              <w:rPr>
                <w:sz w:val="20"/>
                <w:szCs w:val="20"/>
                <w:color w:val="auto"/>
              </w:rPr>
            </w:pPr>
            <w:r>
              <w:rPr>
                <w:rFonts w:ascii="Arial" w:cs="Arial" w:eastAsia="Arial" w:hAnsi="Arial"/>
                <w:sz w:val="18"/>
                <w:szCs w:val="18"/>
                <w:color w:val="auto"/>
                <w:w w:val="91"/>
              </w:rPr>
              <w:t>31-1029810</w:t>
            </w:r>
          </w:p>
        </w:tc>
      </w:tr>
      <w:tr>
        <w:trPr>
          <w:trHeight w:val="210"/>
        </w:trPr>
        <w:tc>
          <w:tcPr>
            <w:tcW w:w="5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1440" w:type="dxa"/>
            <w:vAlign w:val="bottom"/>
            <w:tcBorders>
              <w:bottom w:val="single" w:sz="8" w:color="auto"/>
            </w:tcBorders>
          </w:tcPr>
          <w:p>
            <w:pPr>
              <w:spacing w:after="0"/>
              <w:rPr>
                <w:sz w:val="18"/>
                <w:szCs w:val="18"/>
                <w:color w:val="auto"/>
              </w:rPr>
            </w:pPr>
          </w:p>
        </w:tc>
        <w:tc>
          <w:tcPr>
            <w:tcW w:w="4260" w:type="dxa"/>
            <w:vAlign w:val="bottom"/>
            <w:tcBorders>
              <w:bottom w:val="single" w:sz="8" w:color="auto"/>
              <w:right w:val="single" w:sz="8" w:color="auto"/>
            </w:tcBorders>
          </w:tcPr>
          <w:p>
            <w:pPr>
              <w:jc w:val="center"/>
              <w:ind w:right="1350"/>
              <w:spacing w:after="0"/>
              <w:rPr>
                <w:sz w:val="20"/>
                <w:szCs w:val="20"/>
                <w:color w:val="auto"/>
              </w:rPr>
            </w:pPr>
            <w:r>
              <w:rPr>
                <w:rFonts w:ascii="Arial" w:cs="Arial" w:eastAsia="Arial" w:hAnsi="Arial"/>
                <w:sz w:val="18"/>
                <w:szCs w:val="18"/>
                <w:color w:val="auto"/>
                <w:w w:val="94"/>
              </w:rPr>
              <w:t>(I.R.S. Employer Identification No.)</w:t>
            </w:r>
          </w:p>
        </w:tc>
      </w:tr>
      <w:tr>
        <w:trPr>
          <w:trHeight w:val="210"/>
        </w:trPr>
        <w:tc>
          <w:tcPr>
            <w:tcW w:w="5720" w:type="dxa"/>
            <w:vAlign w:val="bottom"/>
            <w:tcBorders>
              <w:left w:val="single" w:sz="8" w:color="auto"/>
              <w:bottom w:val="single" w:sz="8" w:color="auto"/>
              <w:right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4260" w:type="dxa"/>
            <w:vAlign w:val="bottom"/>
            <w:tcBorders>
              <w:bottom w:val="single" w:sz="8" w:color="auto"/>
              <w:right w:val="single" w:sz="8" w:color="auto"/>
            </w:tcBorders>
          </w:tcPr>
          <w:p>
            <w:pPr>
              <w:spacing w:after="0"/>
              <w:rPr>
                <w:sz w:val="18"/>
                <w:szCs w:val="18"/>
                <w:color w:val="auto"/>
              </w:rPr>
            </w:pPr>
          </w:p>
        </w:tc>
      </w:tr>
      <w:tr>
        <w:trPr>
          <w:trHeight w:val="237"/>
        </w:trPr>
        <w:tc>
          <w:tcPr>
            <w:tcW w:w="7160" w:type="dxa"/>
            <w:vAlign w:val="bottom"/>
            <w:tcBorders>
              <w:bottom w:val="single" w:sz="8" w:color="auto"/>
            </w:tcBorders>
            <w:gridSpan w:val="2"/>
          </w:tcPr>
          <w:p>
            <w:pPr>
              <w:spacing w:after="0"/>
              <w:rPr>
                <w:sz w:val="20"/>
                <w:szCs w:val="20"/>
                <w:color w:val="auto"/>
              </w:rPr>
            </w:pPr>
          </w:p>
        </w:tc>
        <w:tc>
          <w:tcPr>
            <w:tcW w:w="4260" w:type="dxa"/>
            <w:vAlign w:val="bottom"/>
            <w:tcBorders>
              <w:bottom w:val="single" w:sz="8" w:color="auto"/>
            </w:tcBorders>
          </w:tcPr>
          <w:p>
            <w:pPr>
              <w:spacing w:after="0"/>
              <w:rPr>
                <w:sz w:val="20"/>
                <w:szCs w:val="20"/>
                <w:color w:val="auto"/>
              </w:rPr>
            </w:pPr>
          </w:p>
        </w:tc>
      </w:tr>
      <w:tr>
        <w:trPr>
          <w:trHeight w:val="195"/>
        </w:trPr>
        <w:tc>
          <w:tcPr>
            <w:tcW w:w="572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3 Limited Parkway</w:t>
            </w:r>
          </w:p>
        </w:tc>
        <w:tc>
          <w:tcPr>
            <w:tcW w:w="1440" w:type="dxa"/>
            <w:vAlign w:val="bottom"/>
          </w:tcPr>
          <w:p>
            <w:pPr>
              <w:spacing w:after="0"/>
              <w:rPr>
                <w:sz w:val="16"/>
                <w:szCs w:val="16"/>
                <w:color w:val="auto"/>
              </w:rPr>
            </w:pPr>
          </w:p>
        </w:tc>
        <w:tc>
          <w:tcPr>
            <w:tcW w:w="4260" w:type="dxa"/>
            <w:vAlign w:val="bottom"/>
            <w:tcBorders>
              <w:right w:val="single" w:sz="8" w:color="auto"/>
            </w:tcBorders>
          </w:tcPr>
          <w:p>
            <w:pPr>
              <w:jc w:val="center"/>
              <w:ind w:right="1370"/>
              <w:spacing w:after="0" w:line="195" w:lineRule="exact"/>
              <w:rPr>
                <w:sz w:val="20"/>
                <w:szCs w:val="20"/>
                <w:color w:val="auto"/>
              </w:rPr>
            </w:pPr>
            <w:r>
              <w:rPr>
                <w:rFonts w:ascii="Arial" w:cs="Arial" w:eastAsia="Arial" w:hAnsi="Arial"/>
                <w:sz w:val="18"/>
                <w:szCs w:val="18"/>
                <w:color w:val="auto"/>
                <w:w w:val="87"/>
              </w:rPr>
              <w:t>43230</w:t>
            </w:r>
          </w:p>
        </w:tc>
      </w:tr>
      <w:tr>
        <w:trPr>
          <w:trHeight w:val="230"/>
        </w:trPr>
        <w:tc>
          <w:tcPr>
            <w:tcW w:w="5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Columbus, OH</w:t>
            </w:r>
          </w:p>
        </w:tc>
        <w:tc>
          <w:tcPr>
            <w:tcW w:w="1440" w:type="dxa"/>
            <w:vAlign w:val="bottom"/>
            <w:tcBorders>
              <w:bottom w:val="single" w:sz="8" w:color="auto"/>
            </w:tcBorders>
          </w:tcPr>
          <w:p>
            <w:pPr>
              <w:spacing w:after="0"/>
              <w:rPr>
                <w:sz w:val="20"/>
                <w:szCs w:val="20"/>
                <w:color w:val="auto"/>
              </w:rPr>
            </w:pPr>
          </w:p>
        </w:tc>
        <w:tc>
          <w:tcPr>
            <w:tcW w:w="4260" w:type="dxa"/>
            <w:vAlign w:val="bottom"/>
            <w:tcBorders>
              <w:bottom w:val="single" w:sz="8" w:color="auto"/>
              <w:right w:val="single" w:sz="8" w:color="auto"/>
            </w:tcBorders>
          </w:tcPr>
          <w:p>
            <w:pPr>
              <w:spacing w:after="0"/>
              <w:rPr>
                <w:sz w:val="20"/>
                <w:szCs w:val="20"/>
                <w:color w:val="auto"/>
              </w:rPr>
            </w:pPr>
          </w:p>
        </w:tc>
      </w:tr>
      <w:tr>
        <w:trPr>
          <w:trHeight w:val="210"/>
        </w:trPr>
        <w:tc>
          <w:tcPr>
            <w:tcW w:w="5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440" w:type="dxa"/>
            <w:vAlign w:val="bottom"/>
            <w:tcBorders>
              <w:bottom w:val="single" w:sz="8" w:color="auto"/>
            </w:tcBorders>
          </w:tcPr>
          <w:p>
            <w:pPr>
              <w:spacing w:after="0"/>
              <w:rPr>
                <w:sz w:val="18"/>
                <w:szCs w:val="18"/>
                <w:color w:val="auto"/>
              </w:rPr>
            </w:pPr>
          </w:p>
        </w:tc>
        <w:tc>
          <w:tcPr>
            <w:tcW w:w="4260" w:type="dxa"/>
            <w:vAlign w:val="bottom"/>
            <w:tcBorders>
              <w:bottom w:val="single" w:sz="8" w:color="auto"/>
              <w:right w:val="single" w:sz="8" w:color="auto"/>
            </w:tcBorders>
          </w:tcPr>
          <w:p>
            <w:pPr>
              <w:jc w:val="center"/>
              <w:ind w:right="1370"/>
              <w:spacing w:after="0"/>
              <w:rPr>
                <w:sz w:val="20"/>
                <w:szCs w:val="20"/>
                <w:color w:val="auto"/>
              </w:rPr>
            </w:pPr>
            <w:r>
              <w:rPr>
                <w:rFonts w:ascii="Arial" w:cs="Arial" w:eastAsia="Arial" w:hAnsi="Arial"/>
                <w:sz w:val="18"/>
                <w:szCs w:val="18"/>
                <w:color w:val="auto"/>
                <w:w w:val="94"/>
              </w:rPr>
              <w:t>(Zip Code)</w:t>
            </w: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Debt Securities</w:t>
      </w:r>
    </w:p>
    <w:p>
      <w:pPr>
        <w:spacing w:after="0" w:line="3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u w:val="single" w:color="auto"/>
          <w:color w:val="auto"/>
        </w:rPr>
        <w:t>FORM T-1</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GENERAL INFORMATION</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Furnish the following information as to the Trustee.</w:t>
      </w:r>
    </w:p>
    <w:p>
      <w:pPr>
        <w:spacing w:after="0" w:line="229" w:lineRule="exact"/>
        <w:rPr>
          <w:sz w:val="20"/>
          <w:szCs w:val="20"/>
          <w:color w:val="auto"/>
        </w:rPr>
      </w:pPr>
    </w:p>
    <w:p>
      <w:pPr>
        <w:ind w:left="1760" w:right="4040" w:hanging="780"/>
        <w:spacing w:after="0" w:line="258" w:lineRule="auto"/>
        <w:tabs>
          <w:tab w:leader="none" w:pos="1306"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Name and address of each examining or supervising authority to which it is subject. </w:t>
      </w:r>
      <w:r>
        <w:rPr>
          <w:rFonts w:ascii="Arial" w:cs="Arial" w:eastAsia="Arial" w:hAnsi="Arial"/>
          <w:sz w:val="18"/>
          <w:szCs w:val="18"/>
          <w:color w:val="auto"/>
        </w:rPr>
        <w:t>Comptroller of the Currency</w:t>
      </w:r>
    </w:p>
    <w:p>
      <w:pPr>
        <w:spacing w:after="0" w:line="1"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Washington, D.C.</w:t>
      </w:r>
    </w:p>
    <w:p>
      <w:pPr>
        <w:spacing w:after="0" w:line="210" w:lineRule="exact"/>
        <w:rPr>
          <w:rFonts w:ascii="Arial" w:cs="Arial" w:eastAsia="Arial" w:hAnsi="Arial"/>
          <w:sz w:val="18"/>
          <w:szCs w:val="18"/>
          <w:color w:val="auto"/>
        </w:rPr>
      </w:pPr>
    </w:p>
    <w:p>
      <w:pPr>
        <w:ind w:left="1300" w:hanging="320"/>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Whether it is authorized to exercise corporate trust powers.</w:t>
      </w:r>
    </w:p>
    <w:p>
      <w:pPr>
        <w:spacing w:after="0" w:line="200" w:lineRule="exact"/>
        <w:rPr>
          <w:sz w:val="20"/>
          <w:szCs w:val="20"/>
          <w:color w:val="auto"/>
        </w:rPr>
      </w:pPr>
    </w:p>
    <w:p>
      <w:pPr>
        <w:spacing w:after="0" w:line="2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 xml:space="preserve">AFFILIATIONS WITH OBLIGOR. </w:t>
      </w:r>
      <w:r>
        <w:rPr>
          <w:rFonts w:ascii="Arial" w:cs="Arial" w:eastAsia="Arial" w:hAnsi="Arial"/>
          <w:sz w:val="17"/>
          <w:szCs w:val="17"/>
          <w:i w:val="1"/>
          <w:iCs w:val="1"/>
          <w:color w:val="auto"/>
        </w:rPr>
        <w:t>If the obligor is an affiliate of the Trustee, describe each such affiliation.</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None</w:t>
      </w:r>
    </w:p>
    <w:p>
      <w:pPr>
        <w:spacing w:after="0" w:line="207" w:lineRule="exact"/>
        <w:rPr>
          <w:sz w:val="20"/>
          <w:szCs w:val="20"/>
          <w:color w:val="auto"/>
        </w:rPr>
      </w:pPr>
    </w:p>
    <w:p>
      <w:pPr>
        <w:ind w:left="980" w:right="380" w:hanging="971"/>
        <w:spacing w:after="0" w:line="277" w:lineRule="auto"/>
        <w:tabs>
          <w:tab w:leader="none" w:pos="960" w:val="left"/>
        </w:tabs>
        <w:rPr>
          <w:sz w:val="20"/>
          <w:szCs w:val="20"/>
          <w:color w:val="auto"/>
        </w:rPr>
      </w:pPr>
      <w:r>
        <w:rPr>
          <w:rFonts w:ascii="Arial" w:cs="Arial" w:eastAsia="Arial" w:hAnsi="Arial"/>
          <w:sz w:val="18"/>
          <w:szCs w:val="18"/>
          <w:b w:val="1"/>
          <w:bCs w:val="1"/>
          <w:color w:val="auto"/>
        </w:rPr>
        <w:t>Items 3-15</w:t>
      </w:r>
      <w:r>
        <w:rPr>
          <w:sz w:val="20"/>
          <w:szCs w:val="20"/>
          <w:color w:val="auto"/>
        </w:rPr>
        <w:tab/>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 acts as Trustee.</w:t>
      </w:r>
    </w:p>
    <w:p>
      <w:pPr>
        <w:spacing w:after="0" w:line="1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 xml:space="preserve">LIST OF EXHIBITS: </w:t>
      </w:r>
      <w:r>
        <w:rPr>
          <w:rFonts w:ascii="Arial" w:cs="Arial" w:eastAsia="Arial" w:hAnsi="Arial"/>
          <w:sz w:val="17"/>
          <w:szCs w:val="17"/>
          <w:i w:val="1"/>
          <w:iCs w:val="1"/>
          <w:color w:val="auto"/>
        </w:rPr>
        <w:t>List below all exhibits filed as a part of this statement of eligibility and qualification.</w:t>
      </w:r>
    </w:p>
    <w:p>
      <w:pPr>
        <w:spacing w:after="0" w:line="229" w:lineRule="exact"/>
        <w:rPr>
          <w:sz w:val="20"/>
          <w:szCs w:val="20"/>
          <w:color w:val="auto"/>
        </w:rPr>
      </w:pPr>
    </w:p>
    <w:p>
      <w:pPr>
        <w:ind w:left="1300" w:hanging="320"/>
        <w:spacing w:after="0"/>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 attached as Exhibit 2.</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 attached as Exhibit 3.</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225" w:lineRule="exact"/>
        <w:rPr>
          <w:rFonts w:ascii="Arial" w:cs="Arial" w:eastAsia="Arial" w:hAnsi="Arial"/>
          <w:sz w:val="18"/>
          <w:szCs w:val="18"/>
          <w:color w:val="auto"/>
        </w:rPr>
      </w:pPr>
    </w:p>
    <w:p>
      <w:pPr>
        <w:ind w:left="1300" w:right="100" w:hanging="320"/>
        <w:spacing w:after="0" w:line="277"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Report of Condition of the Trustee as of September 30, 2018 published pursuant to law or the requirements of its supervising or examining authority, attached as Exhibit 7.</w:t>
      </w:r>
    </w:p>
    <w:p>
      <w:pPr>
        <w:spacing w:after="0" w:line="170" w:lineRule="exact"/>
        <w:rPr>
          <w:rFonts w:ascii="Arial" w:cs="Arial" w:eastAsia="Arial" w:hAnsi="Arial"/>
          <w:sz w:val="18"/>
          <w:szCs w:val="18"/>
          <w:color w:val="auto"/>
        </w:rPr>
      </w:pPr>
    </w:p>
    <w:p>
      <w:pPr>
        <w:ind w:left="500"/>
        <w:spacing w:after="0" w:line="277" w:lineRule="auto"/>
        <w:rPr>
          <w:rFonts w:ascii="Arial" w:cs="Arial" w:eastAsia="Arial" w:hAnsi="Arial"/>
          <w:sz w:val="18"/>
          <w:szCs w:val="18"/>
          <w:color w:val="auto"/>
        </w:rPr>
      </w:pPr>
      <w:r>
        <w:rPr>
          <w:rFonts w:ascii="Arial" w:cs="Arial" w:eastAsia="Arial" w:hAnsi="Arial"/>
          <w:sz w:val="18"/>
          <w:szCs w:val="18"/>
          <w:color w:val="auto"/>
        </w:rPr>
        <w:t>* Incorporated by reference to Exhibit 25.1 to Amendment No. 2 to registration statement on S-4, Registration Number 333-128217 filed on November 15, 2005.</w:t>
      </w:r>
    </w:p>
    <w:p>
      <w:pPr>
        <w:spacing w:after="0" w:line="170" w:lineRule="exact"/>
        <w:rPr>
          <w:rFonts w:ascii="Arial" w:cs="Arial" w:eastAsia="Arial" w:hAnsi="Arial"/>
          <w:sz w:val="18"/>
          <w:szCs w:val="18"/>
          <w:color w:val="auto"/>
        </w:rPr>
      </w:pPr>
    </w:p>
    <w:p>
      <w:pPr>
        <w:ind w:left="720" w:hanging="226"/>
        <w:spacing w:after="0"/>
        <w:tabs>
          <w:tab w:leader="none" w:pos="7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Incorporated by reference to Exhibit 25.1 to registration statement on form S-3ASR, Registration Number 333-199863 filed on November 5, 2014.</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Columbus, Ohio on the 17th of January,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jc w:val="right"/>
              <w:ind w:right="230"/>
              <w:spacing w:after="0"/>
              <w:rPr>
                <w:sz w:val="20"/>
                <w:szCs w:val="20"/>
                <w:color w:val="auto"/>
              </w:rPr>
            </w:pPr>
            <w:r>
              <w:rPr>
                <w:rFonts w:ascii="Arial" w:cs="Arial" w:eastAsia="Arial" w:hAnsi="Arial"/>
                <w:sz w:val="18"/>
                <w:szCs w:val="18"/>
                <w:color w:val="auto"/>
              </w:rPr>
              <w:t>By:</w:t>
            </w:r>
          </w:p>
        </w:tc>
        <w:tc>
          <w:tcPr>
            <w:tcW w:w="2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Miller</w:t>
            </w:r>
          </w:p>
        </w:tc>
        <w:tc>
          <w:tcPr>
            <w:tcW w:w="2620" w:type="dxa"/>
            <w:vAlign w:val="bottom"/>
          </w:tcPr>
          <w:p>
            <w:pPr>
              <w:spacing w:after="0"/>
              <w:rPr>
                <w:sz w:val="20"/>
                <w:szCs w:val="20"/>
                <w:color w:val="auto"/>
              </w:rPr>
            </w:pPr>
          </w:p>
        </w:tc>
      </w:tr>
      <w:tr>
        <w:trPr>
          <w:trHeight w:val="195"/>
        </w:trPr>
        <w:tc>
          <w:tcPr>
            <w:tcW w:w="6300" w:type="dxa"/>
            <w:vAlign w:val="bottom"/>
          </w:tcPr>
          <w:p>
            <w:pPr>
              <w:spacing w:after="0"/>
              <w:rPr>
                <w:sz w:val="16"/>
                <w:szCs w:val="16"/>
                <w:color w:val="auto"/>
              </w:rPr>
            </w:pPr>
          </w:p>
        </w:tc>
        <w:tc>
          <w:tcPr>
            <w:tcW w:w="2500" w:type="dxa"/>
            <w:vAlign w:val="bottom"/>
          </w:tcPr>
          <w:p>
            <w:pPr>
              <w:spacing w:after="0" w:line="195" w:lineRule="exact"/>
              <w:rPr>
                <w:sz w:val="20"/>
                <w:szCs w:val="20"/>
                <w:color w:val="auto"/>
              </w:rPr>
            </w:pPr>
            <w:r>
              <w:rPr>
                <w:rFonts w:ascii="Arial" w:cs="Arial" w:eastAsia="Arial" w:hAnsi="Arial"/>
                <w:sz w:val="18"/>
                <w:szCs w:val="18"/>
                <w:color w:val="auto"/>
              </w:rPr>
              <w:t>Scott Miller</w:t>
            </w:r>
          </w:p>
        </w:tc>
        <w:tc>
          <w:tcPr>
            <w:tcW w:w="2620" w:type="dxa"/>
            <w:vAlign w:val="bottom"/>
          </w:tcPr>
          <w:p>
            <w:pPr>
              <w:spacing w:after="0"/>
              <w:rPr>
                <w:sz w:val="16"/>
                <w:szCs w:val="16"/>
                <w:color w:val="auto"/>
              </w:rPr>
            </w:pPr>
          </w:p>
        </w:tc>
      </w:tr>
      <w:tr>
        <w:trPr>
          <w:trHeight w:val="230"/>
        </w:trPr>
        <w:tc>
          <w:tcPr>
            <w:tcW w:w="6300" w:type="dxa"/>
            <w:vAlign w:val="bottom"/>
          </w:tcPr>
          <w:p>
            <w:pPr>
              <w:spacing w:after="0"/>
              <w:rPr>
                <w:sz w:val="20"/>
                <w:szCs w:val="20"/>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Vice President</w:t>
            </w:r>
          </w:p>
        </w:tc>
        <w:tc>
          <w:tcPr>
            <w:tcW w:w="2620" w:type="dxa"/>
            <w:vAlign w:val="bottom"/>
          </w:tcPr>
          <w:p>
            <w:pPr>
              <w:spacing w:after="0"/>
              <w:rPr>
                <w:sz w:val="20"/>
                <w:szCs w:val="20"/>
                <w:color w:val="auto"/>
              </w:rPr>
            </w:pPr>
          </w:p>
        </w:tc>
      </w:tr>
      <w:tr>
        <w:trPr>
          <w:trHeight w:val="567"/>
        </w:trPr>
        <w:tc>
          <w:tcPr>
            <w:tcW w:w="6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3</w:t>
            </w:r>
          </w:p>
        </w:tc>
        <w:tc>
          <w:tcPr>
            <w:tcW w:w="25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6"/>
          <w:szCs w:val="16"/>
          <w:b w:val="1"/>
          <w:bCs w:val="1"/>
          <w:u w:val="single" w:color="auto"/>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169545</wp:posOffset>
            </wp:positionV>
            <wp:extent cx="5342890" cy="69037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5342890" cy="690372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22225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type w:val="continuous"/>
        </w:sectPr>
      </w:pPr>
    </w:p>
    <w:bookmarkStart w:id="52" w:name="page53"/>
    <w:bookmarkEnd w:id="52"/>
    <w:p>
      <w:pPr>
        <w:jc w:val="center"/>
        <w:spacing w:after="0"/>
        <w:rPr>
          <w:sz w:val="20"/>
          <w:szCs w:val="20"/>
          <w:color w:val="auto"/>
        </w:rPr>
      </w:pPr>
      <w:r>
        <w:rPr>
          <w:rFonts w:ascii="Arial" w:cs="Arial" w:eastAsia="Arial" w:hAnsi="Arial"/>
          <w:sz w:val="16"/>
          <w:szCs w:val="16"/>
          <w:b w:val="1"/>
          <w:bCs w:val="1"/>
          <w:u w:val="single" w:color="auto"/>
          <w:color w:val="auto"/>
        </w:rPr>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169545</wp:posOffset>
            </wp:positionV>
            <wp:extent cx="5351145" cy="69037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5351145" cy="690372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22225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type w:val="continuous"/>
        </w:sectPr>
      </w:pPr>
    </w:p>
    <w:bookmarkStart w:id="53" w:name="page54"/>
    <w:bookmarkEnd w:id="53"/>
    <w:p>
      <w:pPr>
        <w:jc w:val="center"/>
        <w:spacing w:after="0"/>
        <w:rPr>
          <w:sz w:val="20"/>
          <w:szCs w:val="20"/>
          <w:color w:val="auto"/>
        </w:rPr>
      </w:pPr>
      <w:r>
        <w:rPr>
          <w:rFonts w:ascii="Arial" w:cs="Arial" w:eastAsia="Arial" w:hAnsi="Arial"/>
          <w:sz w:val="18"/>
          <w:szCs w:val="18"/>
          <w:b w:val="1"/>
          <w:bCs w:val="1"/>
          <w:u w:val="single" w:color="auto"/>
          <w:color w:val="auto"/>
        </w:rPr>
        <w:t>Exhibit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w:t>
      </w:r>
    </w:p>
    <w:p>
      <w:pPr>
        <w:spacing w:after="0" w:line="229"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17,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jc w:val="right"/>
              <w:ind w:right="230"/>
              <w:spacing w:after="0"/>
              <w:rPr>
                <w:sz w:val="20"/>
                <w:szCs w:val="20"/>
                <w:color w:val="auto"/>
              </w:rPr>
            </w:pPr>
            <w:r>
              <w:rPr>
                <w:rFonts w:ascii="Arial" w:cs="Arial" w:eastAsia="Arial" w:hAnsi="Arial"/>
                <w:sz w:val="18"/>
                <w:szCs w:val="18"/>
                <w:color w:val="auto"/>
              </w:rPr>
              <w:t>By:</w:t>
            </w:r>
          </w:p>
        </w:tc>
        <w:tc>
          <w:tcPr>
            <w:tcW w:w="2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Miller</w:t>
            </w:r>
          </w:p>
        </w:tc>
        <w:tc>
          <w:tcPr>
            <w:tcW w:w="2620" w:type="dxa"/>
            <w:vAlign w:val="bottom"/>
          </w:tcPr>
          <w:p>
            <w:pPr>
              <w:spacing w:after="0"/>
              <w:rPr>
                <w:sz w:val="20"/>
                <w:szCs w:val="20"/>
                <w:color w:val="auto"/>
              </w:rPr>
            </w:pPr>
          </w:p>
        </w:tc>
      </w:tr>
      <w:tr>
        <w:trPr>
          <w:trHeight w:val="195"/>
        </w:trPr>
        <w:tc>
          <w:tcPr>
            <w:tcW w:w="6300" w:type="dxa"/>
            <w:vAlign w:val="bottom"/>
          </w:tcPr>
          <w:p>
            <w:pPr>
              <w:spacing w:after="0"/>
              <w:rPr>
                <w:sz w:val="16"/>
                <w:szCs w:val="16"/>
                <w:color w:val="auto"/>
              </w:rPr>
            </w:pPr>
          </w:p>
        </w:tc>
        <w:tc>
          <w:tcPr>
            <w:tcW w:w="2500" w:type="dxa"/>
            <w:vAlign w:val="bottom"/>
          </w:tcPr>
          <w:p>
            <w:pPr>
              <w:spacing w:after="0" w:line="195" w:lineRule="exact"/>
              <w:rPr>
                <w:sz w:val="20"/>
                <w:szCs w:val="20"/>
                <w:color w:val="auto"/>
              </w:rPr>
            </w:pPr>
            <w:r>
              <w:rPr>
                <w:rFonts w:ascii="Arial" w:cs="Arial" w:eastAsia="Arial" w:hAnsi="Arial"/>
                <w:sz w:val="18"/>
                <w:szCs w:val="18"/>
                <w:color w:val="auto"/>
              </w:rPr>
              <w:t>Scott Miller</w:t>
            </w:r>
          </w:p>
        </w:tc>
        <w:tc>
          <w:tcPr>
            <w:tcW w:w="2620" w:type="dxa"/>
            <w:vAlign w:val="bottom"/>
          </w:tcPr>
          <w:p>
            <w:pPr>
              <w:spacing w:after="0"/>
              <w:rPr>
                <w:sz w:val="16"/>
                <w:szCs w:val="16"/>
                <w:color w:val="auto"/>
              </w:rPr>
            </w:pPr>
          </w:p>
        </w:tc>
      </w:tr>
      <w:tr>
        <w:trPr>
          <w:trHeight w:val="230"/>
        </w:trPr>
        <w:tc>
          <w:tcPr>
            <w:tcW w:w="6300" w:type="dxa"/>
            <w:vAlign w:val="bottom"/>
          </w:tcPr>
          <w:p>
            <w:pPr>
              <w:spacing w:after="0"/>
              <w:rPr>
                <w:sz w:val="20"/>
                <w:szCs w:val="20"/>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Vice President</w:t>
            </w:r>
          </w:p>
        </w:tc>
        <w:tc>
          <w:tcPr>
            <w:tcW w:w="2620" w:type="dxa"/>
            <w:vAlign w:val="bottom"/>
          </w:tcPr>
          <w:p>
            <w:pPr>
              <w:spacing w:after="0"/>
              <w:rPr>
                <w:sz w:val="20"/>
                <w:szCs w:val="20"/>
                <w:color w:val="auto"/>
              </w:rPr>
            </w:pPr>
          </w:p>
        </w:tc>
      </w:tr>
      <w:tr>
        <w:trPr>
          <w:trHeight w:val="567"/>
        </w:trPr>
        <w:tc>
          <w:tcPr>
            <w:tcW w:w="6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6</w:t>
            </w:r>
          </w:p>
        </w:tc>
        <w:tc>
          <w:tcPr>
            <w:tcW w:w="25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80" w:type="dxa"/>
            <w:vAlign w:val="bottom"/>
            <w:gridSpan w:val="3"/>
          </w:tcPr>
          <w:p>
            <w:pPr>
              <w:jc w:val="center"/>
              <w:ind w:right="1890"/>
              <w:spacing w:after="0"/>
              <w:rPr>
                <w:sz w:val="20"/>
                <w:szCs w:val="20"/>
                <w:color w:val="auto"/>
              </w:rPr>
            </w:pPr>
            <w:r>
              <w:rPr>
                <w:rFonts w:ascii="Arial" w:cs="Arial" w:eastAsia="Arial" w:hAnsi="Arial"/>
                <w:sz w:val="18"/>
                <w:szCs w:val="18"/>
                <w:b w:val="1"/>
                <w:bCs w:val="1"/>
                <w:color w:val="auto"/>
                <w:w w:val="93"/>
              </w:rPr>
              <w:t>Exhibit 7</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800" w:type="dxa"/>
            <w:vAlign w:val="bottom"/>
            <w:gridSpan w:val="4"/>
          </w:tcPr>
          <w:p>
            <w:pPr>
              <w:jc w:val="center"/>
              <w:ind w:right="750"/>
              <w:spacing w:after="0"/>
              <w:rPr>
                <w:sz w:val="20"/>
                <w:szCs w:val="20"/>
                <w:color w:val="auto"/>
              </w:rPr>
            </w:pPr>
            <w:r>
              <w:rPr>
                <w:rFonts w:ascii="Arial" w:cs="Arial" w:eastAsia="Arial" w:hAnsi="Arial"/>
                <w:sz w:val="18"/>
                <w:szCs w:val="18"/>
                <w:b w:val="1"/>
                <w:bCs w:val="1"/>
                <w:color w:val="auto"/>
                <w:w w:val="89"/>
              </w:rPr>
              <w:t>U.S. Bank National Association</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800" w:type="dxa"/>
            <w:vAlign w:val="bottom"/>
            <w:gridSpan w:val="4"/>
          </w:tcPr>
          <w:p>
            <w:pPr>
              <w:jc w:val="center"/>
              <w:ind w:right="750"/>
              <w:spacing w:after="0"/>
              <w:rPr>
                <w:sz w:val="20"/>
                <w:szCs w:val="20"/>
                <w:color w:val="auto"/>
              </w:rPr>
            </w:pPr>
            <w:r>
              <w:rPr>
                <w:rFonts w:ascii="Arial" w:cs="Arial" w:eastAsia="Arial" w:hAnsi="Arial"/>
                <w:sz w:val="18"/>
                <w:szCs w:val="18"/>
                <w:b w:val="1"/>
                <w:bCs w:val="1"/>
                <w:color w:val="auto"/>
                <w:w w:val="91"/>
              </w:rPr>
              <w:t>Statement of Financial Condition</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3800" w:type="dxa"/>
            <w:vAlign w:val="bottom"/>
            <w:gridSpan w:val="4"/>
          </w:tcPr>
          <w:p>
            <w:pPr>
              <w:jc w:val="center"/>
              <w:ind w:right="770"/>
              <w:spacing w:after="0"/>
              <w:rPr>
                <w:sz w:val="20"/>
                <w:szCs w:val="20"/>
                <w:color w:val="auto"/>
              </w:rPr>
            </w:pPr>
            <w:r>
              <w:rPr>
                <w:rFonts w:ascii="Arial" w:cs="Arial" w:eastAsia="Arial" w:hAnsi="Arial"/>
                <w:sz w:val="18"/>
                <w:szCs w:val="18"/>
                <w:b w:val="1"/>
                <w:bCs w:val="1"/>
                <w:color w:val="auto"/>
                <w:w w:val="90"/>
              </w:rPr>
              <w:t>As of 9/30/2018</w:t>
            </w: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80" w:type="dxa"/>
            <w:vAlign w:val="bottom"/>
            <w:gridSpan w:val="3"/>
          </w:tcPr>
          <w:p>
            <w:pPr>
              <w:jc w:val="center"/>
              <w:ind w:right="1870"/>
              <w:spacing w:after="0"/>
              <w:rPr>
                <w:sz w:val="20"/>
                <w:szCs w:val="20"/>
                <w:color w:val="auto"/>
              </w:rPr>
            </w:pPr>
            <w:r>
              <w:rPr>
                <w:rFonts w:ascii="Arial" w:cs="Arial" w:eastAsia="Arial" w:hAnsi="Arial"/>
                <w:sz w:val="18"/>
                <w:szCs w:val="18"/>
                <w:b w:val="1"/>
                <w:bCs w:val="1"/>
                <w:color w:val="auto"/>
                <w:w w:val="89"/>
              </w:rPr>
              <w:t>($000’s)</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9/30/2018</w:t>
            </w:r>
          </w:p>
        </w:tc>
        <w:tc>
          <w:tcPr>
            <w:tcW w:w="8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24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D5EAEA"/>
          </w:tcPr>
          <w:p>
            <w:pPr>
              <w:ind w:left="160"/>
              <w:spacing w:after="0"/>
              <w:rPr>
                <w:sz w:val="20"/>
                <w:szCs w:val="20"/>
                <w:color w:val="auto"/>
              </w:rPr>
            </w:pPr>
            <w:r>
              <w:rPr>
                <w:rFonts w:ascii="Arial" w:cs="Arial" w:eastAsia="Arial" w:hAnsi="Arial"/>
                <w:sz w:val="18"/>
                <w:szCs w:val="18"/>
                <w:color w:val="auto"/>
                <w:w w:val="95"/>
              </w:rPr>
              <w:t>Cash and Balances Due From Depository Institutions</w:t>
            </w:r>
          </w:p>
        </w:tc>
        <w:tc>
          <w:tcPr>
            <w:tcW w:w="3800" w:type="dxa"/>
            <w:vAlign w:val="bottom"/>
            <w:gridSpan w:val="4"/>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D5EAEA"/>
          </w:tcPr>
          <w:p>
            <w:pPr>
              <w:jc w:val="right"/>
              <w:ind w:right="80"/>
              <w:spacing w:after="0"/>
              <w:rPr>
                <w:sz w:val="20"/>
                <w:szCs w:val="20"/>
                <w:color w:val="auto"/>
              </w:rPr>
            </w:pPr>
            <w:r>
              <w:rPr>
                <w:rFonts w:ascii="Arial" w:cs="Arial" w:eastAsia="Arial" w:hAnsi="Arial"/>
                <w:sz w:val="18"/>
                <w:szCs w:val="18"/>
                <w:color w:val="auto"/>
              </w:rPr>
              <w:t>20,003,448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Securities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110,034,104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D5EAEA"/>
          </w:tcPr>
          <w:p>
            <w:pPr>
              <w:ind w:left="160"/>
              <w:spacing w:after="0"/>
              <w:rPr>
                <w:sz w:val="20"/>
                <w:szCs w:val="20"/>
                <w:color w:val="auto"/>
              </w:rPr>
            </w:pPr>
            <w:r>
              <w:rPr>
                <w:rFonts w:ascii="Arial" w:cs="Arial" w:eastAsia="Arial" w:hAnsi="Arial"/>
                <w:sz w:val="18"/>
                <w:szCs w:val="18"/>
                <w:color w:val="auto"/>
              </w:rPr>
              <w:t>Federal Funds</w:t>
            </w:r>
          </w:p>
        </w:tc>
        <w:tc>
          <w:tcPr>
            <w:tcW w:w="1120" w:type="dxa"/>
            <w:vAlign w:val="bottom"/>
            <w:shd w:val="clear" w:color="auto" w:fill="D5EAEA"/>
          </w:tcPr>
          <w:p>
            <w:pPr>
              <w:spacing w:after="0"/>
              <w:rPr>
                <w:sz w:val="18"/>
                <w:szCs w:val="18"/>
                <w:color w:val="auto"/>
              </w:rPr>
            </w:pPr>
          </w:p>
        </w:tc>
        <w:tc>
          <w:tcPr>
            <w:tcW w:w="700" w:type="dxa"/>
            <w:vAlign w:val="bottom"/>
            <w:shd w:val="clear" w:color="auto" w:fill="D5EAEA"/>
          </w:tcPr>
          <w:p>
            <w:pPr>
              <w:spacing w:after="0"/>
              <w:rPr>
                <w:sz w:val="18"/>
                <w:szCs w:val="18"/>
                <w:color w:val="auto"/>
              </w:rPr>
            </w:pPr>
          </w:p>
        </w:tc>
        <w:tc>
          <w:tcPr>
            <w:tcW w:w="1800" w:type="dxa"/>
            <w:vAlign w:val="bottom"/>
            <w:shd w:val="clear" w:color="auto" w:fill="D5EAEA"/>
          </w:tcPr>
          <w:p>
            <w:pPr>
              <w:spacing w:after="0"/>
              <w:rPr>
                <w:sz w:val="18"/>
                <w:szCs w:val="18"/>
                <w:color w:val="auto"/>
              </w:rPr>
            </w:pPr>
          </w:p>
        </w:tc>
        <w:tc>
          <w:tcPr>
            <w:tcW w:w="18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80"/>
              <w:spacing w:after="0"/>
              <w:rPr>
                <w:sz w:val="20"/>
                <w:szCs w:val="20"/>
                <w:color w:val="auto"/>
              </w:rPr>
            </w:pPr>
            <w:r>
              <w:rPr>
                <w:rFonts w:ascii="Arial" w:cs="Arial" w:eastAsia="Arial" w:hAnsi="Arial"/>
                <w:sz w:val="18"/>
                <w:szCs w:val="18"/>
                <w:color w:val="auto"/>
              </w:rPr>
              <w:t>31,434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Loans &amp; Lease Financing Receivables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281,653,128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D5EAEA"/>
          </w:tcPr>
          <w:p>
            <w:pPr>
              <w:ind w:left="160"/>
              <w:spacing w:after="0"/>
              <w:rPr>
                <w:sz w:val="20"/>
                <w:szCs w:val="20"/>
                <w:color w:val="auto"/>
              </w:rPr>
            </w:pPr>
            <w:r>
              <w:rPr>
                <w:rFonts w:ascii="Arial" w:cs="Arial" w:eastAsia="Arial" w:hAnsi="Arial"/>
                <w:sz w:val="18"/>
                <w:szCs w:val="18"/>
                <w:color w:val="auto"/>
              </w:rPr>
              <w:t>Fixed Assets</w:t>
            </w:r>
          </w:p>
        </w:tc>
        <w:tc>
          <w:tcPr>
            <w:tcW w:w="1120" w:type="dxa"/>
            <w:vAlign w:val="bottom"/>
            <w:shd w:val="clear" w:color="auto" w:fill="D5EAEA"/>
          </w:tcPr>
          <w:p>
            <w:pPr>
              <w:spacing w:after="0"/>
              <w:rPr>
                <w:sz w:val="18"/>
                <w:szCs w:val="18"/>
                <w:color w:val="auto"/>
              </w:rPr>
            </w:pPr>
          </w:p>
        </w:tc>
        <w:tc>
          <w:tcPr>
            <w:tcW w:w="700" w:type="dxa"/>
            <w:vAlign w:val="bottom"/>
            <w:shd w:val="clear" w:color="auto" w:fill="D5EAEA"/>
          </w:tcPr>
          <w:p>
            <w:pPr>
              <w:spacing w:after="0"/>
              <w:rPr>
                <w:sz w:val="18"/>
                <w:szCs w:val="18"/>
                <w:color w:val="auto"/>
              </w:rPr>
            </w:pPr>
          </w:p>
        </w:tc>
        <w:tc>
          <w:tcPr>
            <w:tcW w:w="1800" w:type="dxa"/>
            <w:vAlign w:val="bottom"/>
            <w:shd w:val="clear" w:color="auto" w:fill="D5EAEA"/>
          </w:tcPr>
          <w:p>
            <w:pPr>
              <w:spacing w:after="0"/>
              <w:rPr>
                <w:sz w:val="18"/>
                <w:szCs w:val="18"/>
                <w:color w:val="auto"/>
              </w:rPr>
            </w:pPr>
          </w:p>
        </w:tc>
        <w:tc>
          <w:tcPr>
            <w:tcW w:w="18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80"/>
              <w:spacing w:after="0"/>
              <w:rPr>
                <w:sz w:val="20"/>
                <w:szCs w:val="20"/>
                <w:color w:val="auto"/>
              </w:rPr>
            </w:pPr>
            <w:r>
              <w:rPr>
                <w:rFonts w:ascii="Arial" w:cs="Arial" w:eastAsia="Arial" w:hAnsi="Arial"/>
                <w:sz w:val="18"/>
                <w:szCs w:val="18"/>
                <w:color w:val="auto"/>
              </w:rPr>
              <w:t>3,819,093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Intangible Assets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13,233,498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D5EAEA"/>
          </w:tcPr>
          <w:p>
            <w:pPr>
              <w:ind w:left="160"/>
              <w:spacing w:after="0"/>
              <w:rPr>
                <w:sz w:val="20"/>
                <w:szCs w:val="20"/>
                <w:color w:val="auto"/>
              </w:rPr>
            </w:pPr>
            <w:r>
              <w:rPr>
                <w:rFonts w:ascii="Arial" w:cs="Arial" w:eastAsia="Arial" w:hAnsi="Arial"/>
                <w:sz w:val="18"/>
                <w:szCs w:val="18"/>
                <w:color w:val="auto"/>
              </w:rPr>
              <w:t>Other Assets</w:t>
            </w:r>
          </w:p>
        </w:tc>
        <w:tc>
          <w:tcPr>
            <w:tcW w:w="1120" w:type="dxa"/>
            <w:vAlign w:val="bottom"/>
            <w:shd w:val="clear" w:color="auto" w:fill="D5EAEA"/>
          </w:tcPr>
          <w:p>
            <w:pPr>
              <w:spacing w:after="0"/>
              <w:rPr>
                <w:sz w:val="19"/>
                <w:szCs w:val="19"/>
                <w:color w:val="auto"/>
              </w:rPr>
            </w:pPr>
          </w:p>
        </w:tc>
        <w:tc>
          <w:tcPr>
            <w:tcW w:w="700" w:type="dxa"/>
            <w:vAlign w:val="bottom"/>
            <w:shd w:val="clear" w:color="auto" w:fill="D5EAEA"/>
          </w:tcPr>
          <w:p>
            <w:pPr>
              <w:spacing w:after="0"/>
              <w:rPr>
                <w:sz w:val="19"/>
                <w:szCs w:val="19"/>
                <w:color w:val="auto"/>
              </w:rPr>
            </w:pPr>
          </w:p>
        </w:tc>
        <w:tc>
          <w:tcPr>
            <w:tcW w:w="1800" w:type="dxa"/>
            <w:vAlign w:val="bottom"/>
            <w:shd w:val="clear" w:color="auto" w:fill="D5EAEA"/>
          </w:tcPr>
          <w:p>
            <w:pPr>
              <w:spacing w:after="0"/>
              <w:rPr>
                <w:sz w:val="19"/>
                <w:szCs w:val="19"/>
                <w:color w:val="auto"/>
              </w:rPr>
            </w:pPr>
          </w:p>
        </w:tc>
        <w:tc>
          <w:tcPr>
            <w:tcW w:w="180" w:type="dxa"/>
            <w:vAlign w:val="bottom"/>
            <w:shd w:val="clear" w:color="auto" w:fill="D5EAEA"/>
          </w:tcPr>
          <w:p>
            <w:pPr>
              <w:spacing w:after="0"/>
              <w:rPr>
                <w:sz w:val="19"/>
                <w:szCs w:val="19"/>
                <w:color w:val="auto"/>
              </w:rPr>
            </w:pPr>
          </w:p>
        </w:tc>
        <w:tc>
          <w:tcPr>
            <w:tcW w:w="1100" w:type="dxa"/>
            <w:vAlign w:val="bottom"/>
            <w:gridSpan w:val="2"/>
            <w:shd w:val="clear" w:color="auto" w:fill="D5EAEA"/>
          </w:tcPr>
          <w:p>
            <w:pPr>
              <w:jc w:val="right"/>
              <w:ind w:right="80"/>
              <w:spacing w:after="0"/>
              <w:rPr>
                <w:sz w:val="20"/>
                <w:szCs w:val="20"/>
                <w:color w:val="auto"/>
              </w:rPr>
            </w:pPr>
            <w:r>
              <w:rPr>
                <w:rFonts w:ascii="Arial" w:cs="Arial" w:eastAsia="Arial" w:hAnsi="Arial"/>
                <w:sz w:val="18"/>
                <w:szCs w:val="18"/>
                <w:color w:val="auto"/>
              </w:rPr>
              <w:t>27,236,326</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b w:val="1"/>
                <w:bCs w:val="1"/>
                <w:color w:val="auto"/>
              </w:rPr>
              <w:t>Total Assets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456,011,031</w:t>
            </w: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700" w:type="dxa"/>
            <w:vAlign w:val="bottom"/>
            <w:shd w:val="clear" w:color="auto" w:fill="D5EAEA"/>
          </w:tcPr>
          <w:p>
            <w:pPr>
              <w:spacing w:after="0"/>
              <w:rPr>
                <w:sz w:val="18"/>
                <w:szCs w:val="18"/>
                <w:color w:val="auto"/>
              </w:rPr>
            </w:pPr>
          </w:p>
        </w:tc>
        <w:tc>
          <w:tcPr>
            <w:tcW w:w="1800" w:type="dxa"/>
            <w:vAlign w:val="bottom"/>
            <w:shd w:val="clear" w:color="auto" w:fill="D5EAEA"/>
          </w:tcPr>
          <w:p>
            <w:pPr>
              <w:spacing w:after="0"/>
              <w:rPr>
                <w:sz w:val="18"/>
                <w:szCs w:val="18"/>
                <w:color w:val="auto"/>
              </w:rPr>
            </w:pPr>
          </w:p>
        </w:tc>
        <w:tc>
          <w:tcPr>
            <w:tcW w:w="18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D5EAEA"/>
          </w:tcPr>
          <w:p>
            <w:pPr>
              <w:ind w:left="160"/>
              <w:spacing w:after="0"/>
              <w:rPr>
                <w:sz w:val="20"/>
                <w:szCs w:val="20"/>
                <w:color w:val="auto"/>
              </w:rPr>
            </w:pPr>
            <w:r>
              <w:rPr>
                <w:rFonts w:ascii="Arial" w:cs="Arial" w:eastAsia="Arial" w:hAnsi="Arial"/>
                <w:sz w:val="18"/>
                <w:szCs w:val="18"/>
                <w:color w:val="auto"/>
              </w:rPr>
              <w:t>Deposits</w:t>
            </w:r>
          </w:p>
        </w:tc>
        <w:tc>
          <w:tcPr>
            <w:tcW w:w="3800" w:type="dxa"/>
            <w:vAlign w:val="bottom"/>
            <w:gridSpan w:val="4"/>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D5EAEA"/>
          </w:tcPr>
          <w:p>
            <w:pPr>
              <w:jc w:val="right"/>
              <w:ind w:right="80"/>
              <w:spacing w:after="0"/>
              <w:rPr>
                <w:sz w:val="20"/>
                <w:szCs w:val="20"/>
                <w:color w:val="auto"/>
              </w:rPr>
            </w:pPr>
            <w:r>
              <w:rPr>
                <w:rFonts w:ascii="Arial" w:cs="Arial" w:eastAsia="Arial" w:hAnsi="Arial"/>
                <w:sz w:val="18"/>
                <w:szCs w:val="18"/>
                <w:color w:val="auto"/>
                <w:w w:val="99"/>
              </w:rPr>
              <w:t>342,906,860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Fed Funds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6,964,321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D5EAEA"/>
          </w:tcPr>
          <w:p>
            <w:pPr>
              <w:ind w:left="160"/>
              <w:spacing w:after="0"/>
              <w:rPr>
                <w:sz w:val="20"/>
                <w:szCs w:val="20"/>
                <w:color w:val="auto"/>
              </w:rPr>
            </w:pPr>
            <w:r>
              <w:rPr>
                <w:rFonts w:ascii="Arial" w:cs="Arial" w:eastAsia="Arial" w:hAnsi="Arial"/>
                <w:sz w:val="18"/>
                <w:szCs w:val="18"/>
                <w:color w:val="auto"/>
              </w:rPr>
              <w:t>Treasury Demand Notes</w:t>
            </w:r>
          </w:p>
        </w:tc>
        <w:tc>
          <w:tcPr>
            <w:tcW w:w="1120" w:type="dxa"/>
            <w:vAlign w:val="bottom"/>
            <w:shd w:val="clear" w:color="auto" w:fill="D5EAEA"/>
          </w:tcPr>
          <w:p>
            <w:pPr>
              <w:spacing w:after="0"/>
              <w:rPr>
                <w:sz w:val="18"/>
                <w:szCs w:val="18"/>
                <w:color w:val="auto"/>
              </w:rPr>
            </w:pPr>
          </w:p>
        </w:tc>
        <w:tc>
          <w:tcPr>
            <w:tcW w:w="700" w:type="dxa"/>
            <w:vAlign w:val="bottom"/>
            <w:shd w:val="clear" w:color="auto" w:fill="D5EAEA"/>
          </w:tcPr>
          <w:p>
            <w:pPr>
              <w:spacing w:after="0"/>
              <w:rPr>
                <w:sz w:val="18"/>
                <w:szCs w:val="18"/>
                <w:color w:val="auto"/>
              </w:rPr>
            </w:pPr>
          </w:p>
        </w:tc>
        <w:tc>
          <w:tcPr>
            <w:tcW w:w="1800" w:type="dxa"/>
            <w:vAlign w:val="bottom"/>
            <w:shd w:val="clear" w:color="auto" w:fill="D5EAEA"/>
          </w:tcPr>
          <w:p>
            <w:pPr>
              <w:spacing w:after="0"/>
              <w:rPr>
                <w:sz w:val="18"/>
                <w:szCs w:val="18"/>
                <w:color w:val="auto"/>
              </w:rPr>
            </w:pPr>
          </w:p>
        </w:tc>
        <w:tc>
          <w:tcPr>
            <w:tcW w:w="18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80"/>
              <w:spacing w:after="0"/>
              <w:rPr>
                <w:sz w:val="20"/>
                <w:szCs w:val="20"/>
                <w:color w:val="auto"/>
              </w:rPr>
            </w:pPr>
            <w:r>
              <w:rPr>
                <w:rFonts w:ascii="Arial" w:cs="Arial" w:eastAsia="Arial" w:hAnsi="Arial"/>
                <w:sz w:val="18"/>
                <w:szCs w:val="18"/>
                <w:color w:val="auto"/>
              </w:rPr>
              <w:t>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Trading Liabilities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977,478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D5EAEA"/>
          </w:tcPr>
          <w:p>
            <w:pPr>
              <w:ind w:left="160"/>
              <w:spacing w:after="0"/>
              <w:rPr>
                <w:sz w:val="20"/>
                <w:szCs w:val="20"/>
                <w:color w:val="auto"/>
              </w:rPr>
            </w:pPr>
            <w:r>
              <w:rPr>
                <w:rFonts w:ascii="Arial" w:cs="Arial" w:eastAsia="Arial" w:hAnsi="Arial"/>
                <w:sz w:val="18"/>
                <w:szCs w:val="18"/>
                <w:color w:val="auto"/>
              </w:rPr>
              <w:t>Other Borrowed Money</w:t>
            </w:r>
          </w:p>
        </w:tc>
        <w:tc>
          <w:tcPr>
            <w:tcW w:w="1120" w:type="dxa"/>
            <w:vAlign w:val="bottom"/>
            <w:shd w:val="clear" w:color="auto" w:fill="D5EAEA"/>
          </w:tcPr>
          <w:p>
            <w:pPr>
              <w:spacing w:after="0"/>
              <w:rPr>
                <w:sz w:val="18"/>
                <w:szCs w:val="18"/>
                <w:color w:val="auto"/>
              </w:rPr>
            </w:pPr>
          </w:p>
        </w:tc>
        <w:tc>
          <w:tcPr>
            <w:tcW w:w="700" w:type="dxa"/>
            <w:vAlign w:val="bottom"/>
            <w:shd w:val="clear" w:color="auto" w:fill="D5EAEA"/>
          </w:tcPr>
          <w:p>
            <w:pPr>
              <w:spacing w:after="0"/>
              <w:rPr>
                <w:sz w:val="18"/>
                <w:szCs w:val="18"/>
                <w:color w:val="auto"/>
              </w:rPr>
            </w:pPr>
          </w:p>
        </w:tc>
        <w:tc>
          <w:tcPr>
            <w:tcW w:w="1800" w:type="dxa"/>
            <w:vAlign w:val="bottom"/>
            <w:shd w:val="clear" w:color="auto" w:fill="D5EAEA"/>
          </w:tcPr>
          <w:p>
            <w:pPr>
              <w:spacing w:after="0"/>
              <w:rPr>
                <w:sz w:val="18"/>
                <w:szCs w:val="18"/>
                <w:color w:val="auto"/>
              </w:rPr>
            </w:pPr>
          </w:p>
        </w:tc>
        <w:tc>
          <w:tcPr>
            <w:tcW w:w="18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80"/>
              <w:spacing w:after="0"/>
              <w:rPr>
                <w:sz w:val="20"/>
                <w:szCs w:val="20"/>
                <w:color w:val="auto"/>
              </w:rPr>
            </w:pPr>
            <w:r>
              <w:rPr>
                <w:rFonts w:ascii="Arial" w:cs="Arial" w:eastAsia="Arial" w:hAnsi="Arial"/>
                <w:sz w:val="18"/>
                <w:szCs w:val="18"/>
                <w:color w:val="auto"/>
              </w:rPr>
              <w:t>38,881,574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Acceptances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D5EAEA"/>
          </w:tcPr>
          <w:p>
            <w:pPr>
              <w:ind w:left="160"/>
              <w:spacing w:after="0"/>
              <w:rPr>
                <w:sz w:val="20"/>
                <w:szCs w:val="20"/>
                <w:color w:val="auto"/>
              </w:rPr>
            </w:pPr>
            <w:r>
              <w:rPr>
                <w:rFonts w:ascii="Arial" w:cs="Arial" w:eastAsia="Arial" w:hAnsi="Arial"/>
                <w:sz w:val="18"/>
                <w:szCs w:val="18"/>
                <w:color w:val="auto"/>
              </w:rPr>
              <w:t>Subordinated Notes and Debentures</w:t>
            </w:r>
          </w:p>
        </w:tc>
        <w:tc>
          <w:tcPr>
            <w:tcW w:w="1120" w:type="dxa"/>
            <w:vAlign w:val="bottom"/>
            <w:shd w:val="clear" w:color="auto" w:fill="D5EAEA"/>
          </w:tcPr>
          <w:p>
            <w:pPr>
              <w:spacing w:after="0"/>
              <w:rPr>
                <w:sz w:val="18"/>
                <w:szCs w:val="18"/>
                <w:color w:val="auto"/>
              </w:rPr>
            </w:pPr>
          </w:p>
        </w:tc>
        <w:tc>
          <w:tcPr>
            <w:tcW w:w="700" w:type="dxa"/>
            <w:vAlign w:val="bottom"/>
            <w:shd w:val="clear" w:color="auto" w:fill="D5EAEA"/>
          </w:tcPr>
          <w:p>
            <w:pPr>
              <w:spacing w:after="0"/>
              <w:rPr>
                <w:sz w:val="18"/>
                <w:szCs w:val="18"/>
                <w:color w:val="auto"/>
              </w:rPr>
            </w:pPr>
          </w:p>
        </w:tc>
        <w:tc>
          <w:tcPr>
            <w:tcW w:w="1800" w:type="dxa"/>
            <w:vAlign w:val="bottom"/>
            <w:shd w:val="clear" w:color="auto" w:fill="D5EAEA"/>
          </w:tcPr>
          <w:p>
            <w:pPr>
              <w:spacing w:after="0"/>
              <w:rPr>
                <w:sz w:val="18"/>
                <w:szCs w:val="18"/>
                <w:color w:val="auto"/>
              </w:rPr>
            </w:pPr>
          </w:p>
        </w:tc>
        <w:tc>
          <w:tcPr>
            <w:tcW w:w="18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80"/>
              <w:spacing w:after="0"/>
              <w:rPr>
                <w:sz w:val="20"/>
                <w:szCs w:val="20"/>
                <w:color w:val="auto"/>
              </w:rPr>
            </w:pPr>
            <w:r>
              <w:rPr>
                <w:rFonts w:ascii="Arial" w:cs="Arial" w:eastAsia="Arial" w:hAnsi="Arial"/>
                <w:sz w:val="18"/>
                <w:szCs w:val="18"/>
                <w:color w:val="auto"/>
              </w:rPr>
              <w:t>3,800,000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Other Liabilities</w:t>
            </w: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14,600,333</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D5EAEA"/>
            </w:tcBorders>
            <w:shd w:val="clear" w:color="auto" w:fill="D5EAEA"/>
          </w:tcPr>
          <w:p>
            <w:pPr>
              <w:ind w:left="160"/>
              <w:spacing w:after="0"/>
              <w:rPr>
                <w:sz w:val="20"/>
                <w:szCs w:val="20"/>
                <w:color w:val="auto"/>
              </w:rPr>
            </w:pPr>
            <w:r>
              <w:rPr>
                <w:rFonts w:ascii="Arial" w:cs="Arial" w:eastAsia="Arial" w:hAnsi="Arial"/>
                <w:sz w:val="18"/>
                <w:szCs w:val="18"/>
                <w:b w:val="1"/>
                <w:bCs w:val="1"/>
                <w:color w:val="auto"/>
              </w:rPr>
              <w:t>Total Liabilities</w:t>
            </w:r>
          </w:p>
        </w:tc>
        <w:tc>
          <w:tcPr>
            <w:tcW w:w="1120" w:type="dxa"/>
            <w:vAlign w:val="bottom"/>
            <w:tcBorders>
              <w:top w:val="single" w:sz="8" w:color="D5EAEA"/>
            </w:tcBorders>
            <w:shd w:val="clear" w:color="auto" w:fill="D5EAEA"/>
          </w:tcPr>
          <w:p>
            <w:pPr>
              <w:spacing w:after="0"/>
              <w:rPr>
                <w:sz w:val="18"/>
                <w:szCs w:val="18"/>
                <w:color w:val="auto"/>
              </w:rPr>
            </w:pPr>
          </w:p>
        </w:tc>
        <w:tc>
          <w:tcPr>
            <w:tcW w:w="700" w:type="dxa"/>
            <w:vAlign w:val="bottom"/>
            <w:tcBorders>
              <w:top w:val="single" w:sz="8" w:color="D5EAEA"/>
            </w:tcBorders>
            <w:shd w:val="clear" w:color="auto" w:fill="D5EAEA"/>
          </w:tcPr>
          <w:p>
            <w:pPr>
              <w:spacing w:after="0"/>
              <w:rPr>
                <w:sz w:val="18"/>
                <w:szCs w:val="18"/>
                <w:color w:val="auto"/>
              </w:rPr>
            </w:pPr>
          </w:p>
        </w:tc>
        <w:tc>
          <w:tcPr>
            <w:tcW w:w="1800" w:type="dxa"/>
            <w:vAlign w:val="bottom"/>
            <w:tcBorders>
              <w:top w:val="single" w:sz="8" w:color="D5EAEA"/>
            </w:tcBorders>
            <w:shd w:val="clear" w:color="auto" w:fill="D5EAEA"/>
          </w:tcPr>
          <w:p>
            <w:pPr>
              <w:spacing w:after="0"/>
              <w:rPr>
                <w:sz w:val="18"/>
                <w:szCs w:val="18"/>
                <w:color w:val="auto"/>
              </w:rPr>
            </w:pPr>
          </w:p>
        </w:tc>
        <w:tc>
          <w:tcPr>
            <w:tcW w:w="18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w w:val="99"/>
              </w:rPr>
              <w:t>408,130,566</w:t>
            </w:r>
          </w:p>
        </w:tc>
        <w:tc>
          <w:tcPr>
            <w:tcW w:w="80" w:type="dxa"/>
            <w:vAlign w:val="bottom"/>
            <w:tcBorders>
              <w:top w:val="single" w:sz="8" w:color="D5EAEA"/>
            </w:tcBorders>
            <w:shd w:val="clear" w:color="auto" w:fill="D5EAEA"/>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Equity</w:t>
            </w:r>
          </w:p>
        </w:tc>
        <w:tc>
          <w:tcPr>
            <w:tcW w:w="1120" w:type="dxa"/>
            <w:vAlign w:val="bottom"/>
            <w:shd w:val="clear" w:color="auto" w:fill="D5EAEA"/>
          </w:tcPr>
          <w:p>
            <w:pPr>
              <w:spacing w:after="0"/>
              <w:rPr>
                <w:sz w:val="18"/>
                <w:szCs w:val="18"/>
                <w:color w:val="auto"/>
              </w:rPr>
            </w:pPr>
          </w:p>
        </w:tc>
        <w:tc>
          <w:tcPr>
            <w:tcW w:w="700" w:type="dxa"/>
            <w:vAlign w:val="bottom"/>
            <w:shd w:val="clear" w:color="auto" w:fill="D5EAEA"/>
          </w:tcPr>
          <w:p>
            <w:pPr>
              <w:spacing w:after="0"/>
              <w:rPr>
                <w:sz w:val="18"/>
                <w:szCs w:val="18"/>
                <w:color w:val="auto"/>
              </w:rPr>
            </w:pPr>
          </w:p>
        </w:tc>
        <w:tc>
          <w:tcPr>
            <w:tcW w:w="1800" w:type="dxa"/>
            <w:vAlign w:val="bottom"/>
            <w:shd w:val="clear" w:color="auto" w:fill="D5EAEA"/>
          </w:tcPr>
          <w:p>
            <w:pPr>
              <w:spacing w:after="0"/>
              <w:rPr>
                <w:sz w:val="18"/>
                <w:szCs w:val="18"/>
                <w:color w:val="auto"/>
              </w:rPr>
            </w:pPr>
          </w:p>
        </w:tc>
        <w:tc>
          <w:tcPr>
            <w:tcW w:w="18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Common and Preferred Stock</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18,200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D5EAEA"/>
          </w:tcPr>
          <w:p>
            <w:pPr>
              <w:ind w:left="160"/>
              <w:spacing w:after="0"/>
              <w:rPr>
                <w:sz w:val="20"/>
                <w:szCs w:val="20"/>
                <w:color w:val="auto"/>
              </w:rPr>
            </w:pPr>
            <w:r>
              <w:rPr>
                <w:rFonts w:ascii="Arial" w:cs="Arial" w:eastAsia="Arial" w:hAnsi="Arial"/>
                <w:sz w:val="18"/>
                <w:szCs w:val="18"/>
                <w:color w:val="auto"/>
              </w:rPr>
              <w:t>Surplus</w:t>
            </w:r>
          </w:p>
        </w:tc>
        <w:tc>
          <w:tcPr>
            <w:tcW w:w="1120" w:type="dxa"/>
            <w:vAlign w:val="bottom"/>
            <w:shd w:val="clear" w:color="auto" w:fill="D5EAEA"/>
          </w:tcPr>
          <w:p>
            <w:pPr>
              <w:spacing w:after="0"/>
              <w:rPr>
                <w:sz w:val="18"/>
                <w:szCs w:val="18"/>
                <w:color w:val="auto"/>
              </w:rPr>
            </w:pPr>
          </w:p>
        </w:tc>
        <w:tc>
          <w:tcPr>
            <w:tcW w:w="700" w:type="dxa"/>
            <w:vAlign w:val="bottom"/>
            <w:shd w:val="clear" w:color="auto" w:fill="D5EAEA"/>
          </w:tcPr>
          <w:p>
            <w:pPr>
              <w:spacing w:after="0"/>
              <w:rPr>
                <w:sz w:val="18"/>
                <w:szCs w:val="18"/>
                <w:color w:val="auto"/>
              </w:rPr>
            </w:pPr>
          </w:p>
        </w:tc>
        <w:tc>
          <w:tcPr>
            <w:tcW w:w="1800" w:type="dxa"/>
            <w:vAlign w:val="bottom"/>
            <w:shd w:val="clear" w:color="auto" w:fill="D5EAEA"/>
          </w:tcPr>
          <w:p>
            <w:pPr>
              <w:spacing w:after="0"/>
              <w:rPr>
                <w:sz w:val="18"/>
                <w:szCs w:val="18"/>
                <w:color w:val="auto"/>
              </w:rPr>
            </w:pPr>
          </w:p>
        </w:tc>
        <w:tc>
          <w:tcPr>
            <w:tcW w:w="18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80"/>
              <w:spacing w:after="0"/>
              <w:rPr>
                <w:sz w:val="20"/>
                <w:szCs w:val="20"/>
                <w:color w:val="auto"/>
              </w:rPr>
            </w:pPr>
            <w:r>
              <w:rPr>
                <w:rFonts w:ascii="Arial" w:cs="Arial" w:eastAsia="Arial" w:hAnsi="Arial"/>
                <w:sz w:val="18"/>
                <w:szCs w:val="18"/>
                <w:color w:val="auto"/>
              </w:rPr>
              <w:t>14,266,915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Undivided Profits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32,793,053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D5EAEA"/>
          </w:tcPr>
          <w:p>
            <w:pPr>
              <w:ind w:left="160"/>
              <w:spacing w:after="0"/>
              <w:rPr>
                <w:sz w:val="20"/>
                <w:szCs w:val="20"/>
                <w:color w:val="auto"/>
              </w:rPr>
            </w:pPr>
            <w:r>
              <w:rPr>
                <w:rFonts w:ascii="Arial" w:cs="Arial" w:eastAsia="Arial" w:hAnsi="Arial"/>
                <w:sz w:val="18"/>
                <w:szCs w:val="18"/>
                <w:color w:val="auto"/>
              </w:rPr>
              <w:t>Minority Interest in Subsidiaries</w:t>
            </w:r>
          </w:p>
        </w:tc>
        <w:tc>
          <w:tcPr>
            <w:tcW w:w="1120" w:type="dxa"/>
            <w:vAlign w:val="bottom"/>
            <w:shd w:val="clear" w:color="auto" w:fill="D5EAEA"/>
          </w:tcPr>
          <w:p>
            <w:pPr>
              <w:spacing w:after="0"/>
              <w:rPr>
                <w:sz w:val="19"/>
                <w:szCs w:val="19"/>
                <w:color w:val="auto"/>
              </w:rPr>
            </w:pPr>
          </w:p>
        </w:tc>
        <w:tc>
          <w:tcPr>
            <w:tcW w:w="700" w:type="dxa"/>
            <w:vAlign w:val="bottom"/>
            <w:shd w:val="clear" w:color="auto" w:fill="D5EAEA"/>
          </w:tcPr>
          <w:p>
            <w:pPr>
              <w:spacing w:after="0"/>
              <w:rPr>
                <w:sz w:val="19"/>
                <w:szCs w:val="19"/>
                <w:color w:val="auto"/>
              </w:rPr>
            </w:pPr>
          </w:p>
        </w:tc>
        <w:tc>
          <w:tcPr>
            <w:tcW w:w="1800" w:type="dxa"/>
            <w:vAlign w:val="bottom"/>
            <w:shd w:val="clear" w:color="auto" w:fill="D5EAEA"/>
          </w:tcPr>
          <w:p>
            <w:pPr>
              <w:spacing w:after="0"/>
              <w:rPr>
                <w:sz w:val="19"/>
                <w:szCs w:val="19"/>
                <w:color w:val="auto"/>
              </w:rPr>
            </w:pPr>
          </w:p>
        </w:tc>
        <w:tc>
          <w:tcPr>
            <w:tcW w:w="180" w:type="dxa"/>
            <w:vAlign w:val="bottom"/>
            <w:shd w:val="clear" w:color="auto" w:fill="D5EAEA"/>
          </w:tcPr>
          <w:p>
            <w:pPr>
              <w:spacing w:after="0"/>
              <w:rPr>
                <w:sz w:val="19"/>
                <w:szCs w:val="19"/>
                <w:color w:val="auto"/>
              </w:rPr>
            </w:pPr>
          </w:p>
        </w:tc>
        <w:tc>
          <w:tcPr>
            <w:tcW w:w="1100" w:type="dxa"/>
            <w:vAlign w:val="bottom"/>
            <w:gridSpan w:val="2"/>
            <w:shd w:val="clear" w:color="auto" w:fill="D5EAEA"/>
          </w:tcPr>
          <w:p>
            <w:pPr>
              <w:jc w:val="right"/>
              <w:ind w:right="80"/>
              <w:spacing w:after="0"/>
              <w:rPr>
                <w:sz w:val="20"/>
                <w:szCs w:val="20"/>
                <w:color w:val="auto"/>
              </w:rPr>
            </w:pPr>
            <w:r>
              <w:rPr>
                <w:rFonts w:ascii="Arial" w:cs="Arial" w:eastAsia="Arial" w:hAnsi="Arial"/>
                <w:sz w:val="18"/>
                <w:szCs w:val="18"/>
                <w:color w:val="auto"/>
              </w:rPr>
              <w:t>802,297</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b w:val="1"/>
                <w:bCs w:val="1"/>
                <w:color w:val="auto"/>
              </w:rPr>
              <w:t>Total Equity Capital</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47,880,465</w:t>
            </w: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700" w:type="dxa"/>
            <w:vAlign w:val="bottom"/>
            <w:shd w:val="clear" w:color="auto" w:fill="D5EAEA"/>
          </w:tcPr>
          <w:p>
            <w:pPr>
              <w:spacing w:after="0"/>
              <w:rPr>
                <w:sz w:val="18"/>
                <w:szCs w:val="18"/>
                <w:color w:val="auto"/>
              </w:rPr>
            </w:pPr>
          </w:p>
        </w:tc>
        <w:tc>
          <w:tcPr>
            <w:tcW w:w="1800" w:type="dxa"/>
            <w:vAlign w:val="bottom"/>
            <w:shd w:val="clear" w:color="auto" w:fill="D5EAEA"/>
          </w:tcPr>
          <w:p>
            <w:pPr>
              <w:spacing w:after="0"/>
              <w:rPr>
                <w:sz w:val="18"/>
                <w:szCs w:val="18"/>
                <w:color w:val="auto"/>
              </w:rPr>
            </w:pPr>
          </w:p>
        </w:tc>
        <w:tc>
          <w:tcPr>
            <w:tcW w:w="18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Total Liabilities and Equity Capital</w:t>
            </w:r>
          </w:p>
        </w:tc>
        <w:tc>
          <w:tcPr>
            <w:tcW w:w="380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9"/>
              </w:rPr>
              <w:t>456,011,031</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20" w:type="dxa"/>
            <w:vAlign w:val="bottom"/>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7</w:t>
            </w:r>
          </w:p>
        </w:tc>
        <w:tc>
          <w:tcPr>
            <w:tcW w:w="1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67"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22"/>
          <w:szCs w:val="22"/>
          <w:b w:val="1"/>
          <w:bCs w:val="1"/>
          <w:color w:val="auto"/>
        </w:rPr>
        <w:t>Exhibit 25.2</w:t>
      </w:r>
    </w:p>
    <w:p>
      <w:pPr>
        <w:spacing w:after="0" w:line="20" w:lineRule="exact"/>
        <w:rPr>
          <w:sz w:val="20"/>
          <w:szCs w:val="20"/>
          <w:color w:val="auto"/>
        </w:rPr>
      </w:pPr>
    </w:p>
    <w:p>
      <w:pPr>
        <w:ind w:left="2240"/>
        <w:spacing w:after="0"/>
        <w:rPr>
          <w:sz w:val="20"/>
          <w:szCs w:val="20"/>
          <w:color w:val="auto"/>
        </w:rPr>
      </w:pPr>
      <w:r>
        <w:rPr>
          <w:rFonts w:ascii="Arial" w:cs="Arial" w:eastAsia="Arial" w:hAnsi="Arial"/>
          <w:sz w:val="18"/>
          <w:szCs w:val="18"/>
          <w:u w:val="single" w:color="auto"/>
          <w:color w:val="auto"/>
        </w:rPr>
        <w:t>_____________________________________________________________________________</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FORM T-1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ELIGIBILITY UNDER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TRUST INDENTURE ACT OF 1939 OF 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CORPORATION DESIGNATED TO ACT AS TRUSTEE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Check if an Application to Determine Eligibility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a Trustee Pursuant to Section 305(b)(2) </w:t>
      </w:r>
      <w:r>
        <w:rPr>
          <w:sz w:val="1"/>
          <w:szCs w:val="1"/>
          <w:color w:val="auto"/>
        </w:rPr>
        <w:drawing>
          <wp:inline distT="0" distB="0" distL="0" distR="0">
            <wp:extent cx="180340" cy="12001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180340" cy="120015"/>
                    </a:xfrm>
                    <a:prstGeom prst="rect">
                      <a:avLst/>
                    </a:prstGeom>
                    <a:noFill/>
                    <a:ln>
                      <a:noFill/>
                    </a:ln>
                  </pic:spPr>
                </pic:pic>
              </a:graphicData>
            </a:graphic>
          </wp:inline>
        </w:drawing>
      </w:r>
    </w:p>
    <w:p>
      <w:pPr>
        <w:spacing w:after="0" w:line="1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U.S. BANK NATIONAL ASSOCIATION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Trustee as specified in its charter)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31-0841368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I.R.S. Employer Identification No.</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57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800 Nicollet Mall</w:t>
            </w:r>
          </w:p>
        </w:tc>
        <w:tc>
          <w:tcPr>
            <w:tcW w:w="1440" w:type="dxa"/>
            <w:vAlign w:val="bottom"/>
            <w:tcBorders>
              <w:top w:val="single" w:sz="8" w:color="auto"/>
            </w:tcBorders>
          </w:tcPr>
          <w:p>
            <w:pPr>
              <w:spacing w:after="0"/>
              <w:rPr>
                <w:sz w:val="18"/>
                <w:szCs w:val="18"/>
                <w:color w:val="auto"/>
              </w:rPr>
            </w:pPr>
          </w:p>
        </w:tc>
        <w:tc>
          <w:tcPr>
            <w:tcW w:w="4260" w:type="dxa"/>
            <w:vAlign w:val="bottom"/>
            <w:tcBorders>
              <w:top w:val="single" w:sz="8" w:color="auto"/>
              <w:right w:val="single" w:sz="8" w:color="auto"/>
            </w:tcBorders>
          </w:tcPr>
          <w:p>
            <w:pPr>
              <w:jc w:val="center"/>
              <w:ind w:right="1370"/>
              <w:spacing w:after="0"/>
              <w:rPr>
                <w:sz w:val="20"/>
                <w:szCs w:val="20"/>
                <w:color w:val="auto"/>
              </w:rPr>
            </w:pPr>
            <w:r>
              <w:rPr>
                <w:rFonts w:ascii="Arial" w:cs="Arial" w:eastAsia="Arial" w:hAnsi="Arial"/>
                <w:sz w:val="18"/>
                <w:szCs w:val="18"/>
                <w:color w:val="auto"/>
                <w:w w:val="87"/>
              </w:rPr>
              <w:t>55402</w:t>
            </w:r>
          </w:p>
        </w:tc>
      </w:tr>
      <w:tr>
        <w:trPr>
          <w:trHeight w:val="230"/>
        </w:trPr>
        <w:tc>
          <w:tcPr>
            <w:tcW w:w="5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Minneapolis, Minnesota</w:t>
            </w:r>
          </w:p>
        </w:tc>
        <w:tc>
          <w:tcPr>
            <w:tcW w:w="1440" w:type="dxa"/>
            <w:vAlign w:val="bottom"/>
            <w:tcBorders>
              <w:bottom w:val="single" w:sz="8" w:color="auto"/>
            </w:tcBorders>
          </w:tcPr>
          <w:p>
            <w:pPr>
              <w:spacing w:after="0"/>
              <w:rPr>
                <w:sz w:val="20"/>
                <w:szCs w:val="20"/>
                <w:color w:val="auto"/>
              </w:rPr>
            </w:pPr>
          </w:p>
        </w:tc>
        <w:tc>
          <w:tcPr>
            <w:tcW w:w="4260" w:type="dxa"/>
            <w:vAlign w:val="bottom"/>
            <w:tcBorders>
              <w:bottom w:val="single" w:sz="8" w:color="auto"/>
              <w:right w:val="single" w:sz="8" w:color="auto"/>
            </w:tcBorders>
          </w:tcPr>
          <w:p>
            <w:pPr>
              <w:spacing w:after="0"/>
              <w:rPr>
                <w:sz w:val="20"/>
                <w:szCs w:val="20"/>
                <w:color w:val="auto"/>
              </w:rPr>
            </w:pPr>
          </w:p>
        </w:tc>
      </w:tr>
      <w:tr>
        <w:trPr>
          <w:trHeight w:val="210"/>
        </w:trPr>
        <w:tc>
          <w:tcPr>
            <w:tcW w:w="5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440" w:type="dxa"/>
            <w:vAlign w:val="bottom"/>
            <w:tcBorders>
              <w:bottom w:val="single" w:sz="8" w:color="auto"/>
            </w:tcBorders>
          </w:tcPr>
          <w:p>
            <w:pPr>
              <w:spacing w:after="0"/>
              <w:rPr>
                <w:sz w:val="18"/>
                <w:szCs w:val="18"/>
                <w:color w:val="auto"/>
              </w:rPr>
            </w:pPr>
          </w:p>
        </w:tc>
        <w:tc>
          <w:tcPr>
            <w:tcW w:w="4260" w:type="dxa"/>
            <w:vAlign w:val="bottom"/>
            <w:tcBorders>
              <w:bottom w:val="single" w:sz="8" w:color="auto"/>
              <w:right w:val="single" w:sz="8" w:color="auto"/>
            </w:tcBorders>
          </w:tcPr>
          <w:p>
            <w:pPr>
              <w:jc w:val="center"/>
              <w:ind w:right="1370"/>
              <w:spacing w:after="0"/>
              <w:rPr>
                <w:sz w:val="20"/>
                <w:szCs w:val="20"/>
                <w:color w:val="auto"/>
              </w:rPr>
            </w:pPr>
            <w:r>
              <w:rPr>
                <w:rFonts w:ascii="Arial" w:cs="Arial" w:eastAsia="Arial" w:hAnsi="Arial"/>
                <w:sz w:val="18"/>
                <w:szCs w:val="18"/>
                <w:color w:val="auto"/>
                <w:w w:val="94"/>
              </w:rPr>
              <w:t>(Zip Code)</w:t>
            </w:r>
          </w:p>
        </w:tc>
      </w:tr>
      <w:tr>
        <w:trPr>
          <w:trHeight w:val="411"/>
        </w:trPr>
        <w:tc>
          <w:tcPr>
            <w:tcW w:w="7160" w:type="dxa"/>
            <w:vAlign w:val="bottom"/>
            <w:gridSpan w:val="2"/>
          </w:tcPr>
          <w:p>
            <w:pPr>
              <w:jc w:val="center"/>
              <w:ind w:left="4168"/>
              <w:spacing w:after="0"/>
              <w:rPr>
                <w:sz w:val="20"/>
                <w:szCs w:val="20"/>
                <w:color w:val="auto"/>
              </w:rPr>
            </w:pPr>
            <w:r>
              <w:rPr>
                <w:rFonts w:ascii="Arial" w:cs="Arial" w:eastAsia="Arial" w:hAnsi="Arial"/>
                <w:sz w:val="18"/>
                <w:szCs w:val="18"/>
                <w:color w:val="auto"/>
                <w:w w:val="96"/>
              </w:rPr>
              <w:t>Scott Miller</w:t>
            </w:r>
          </w:p>
        </w:tc>
        <w:tc>
          <w:tcPr>
            <w:tcW w:w="4260" w:type="dxa"/>
            <w:vAlign w:val="bottom"/>
          </w:tcPr>
          <w:p>
            <w:pPr>
              <w:spacing w:after="0"/>
              <w:rPr>
                <w:sz w:val="24"/>
                <w:szCs w:val="24"/>
                <w:color w:val="auto"/>
              </w:rPr>
            </w:pPr>
          </w:p>
        </w:tc>
      </w:tr>
      <w:tr>
        <w:trPr>
          <w:trHeight w:val="216"/>
        </w:trPr>
        <w:tc>
          <w:tcPr>
            <w:tcW w:w="7160" w:type="dxa"/>
            <w:vAlign w:val="bottom"/>
            <w:gridSpan w:val="2"/>
          </w:tcPr>
          <w:p>
            <w:pPr>
              <w:jc w:val="center"/>
              <w:ind w:left="4168"/>
              <w:spacing w:after="0"/>
              <w:rPr>
                <w:sz w:val="20"/>
                <w:szCs w:val="20"/>
                <w:color w:val="auto"/>
              </w:rPr>
            </w:pPr>
            <w:r>
              <w:rPr>
                <w:rFonts w:ascii="Arial" w:cs="Arial" w:eastAsia="Arial" w:hAnsi="Arial"/>
                <w:sz w:val="18"/>
                <w:szCs w:val="18"/>
                <w:color w:val="auto"/>
                <w:w w:val="92"/>
              </w:rPr>
              <w:t>U.S. Bank National Association</w:t>
            </w:r>
          </w:p>
        </w:tc>
        <w:tc>
          <w:tcPr>
            <w:tcW w:w="4260" w:type="dxa"/>
            <w:vAlign w:val="bottom"/>
          </w:tcPr>
          <w:p>
            <w:pPr>
              <w:spacing w:after="0"/>
              <w:rPr>
                <w:sz w:val="18"/>
                <w:szCs w:val="18"/>
                <w:color w:val="auto"/>
              </w:rPr>
            </w:pPr>
          </w:p>
        </w:tc>
      </w:tr>
      <w:tr>
        <w:trPr>
          <w:trHeight w:val="216"/>
        </w:trPr>
        <w:tc>
          <w:tcPr>
            <w:tcW w:w="7160" w:type="dxa"/>
            <w:vAlign w:val="bottom"/>
            <w:gridSpan w:val="2"/>
          </w:tcPr>
          <w:p>
            <w:pPr>
              <w:jc w:val="center"/>
              <w:ind w:left="4168"/>
              <w:spacing w:after="0"/>
              <w:rPr>
                <w:sz w:val="20"/>
                <w:szCs w:val="20"/>
                <w:color w:val="auto"/>
              </w:rPr>
            </w:pPr>
            <w:r>
              <w:rPr>
                <w:rFonts w:ascii="Arial" w:cs="Arial" w:eastAsia="Arial" w:hAnsi="Arial"/>
                <w:sz w:val="18"/>
                <w:szCs w:val="18"/>
                <w:color w:val="auto"/>
                <w:w w:val="89"/>
              </w:rPr>
              <w:t>10 West Broad Street</w:t>
            </w:r>
          </w:p>
        </w:tc>
        <w:tc>
          <w:tcPr>
            <w:tcW w:w="4260" w:type="dxa"/>
            <w:vAlign w:val="bottom"/>
          </w:tcPr>
          <w:p>
            <w:pPr>
              <w:spacing w:after="0"/>
              <w:rPr>
                <w:sz w:val="18"/>
                <w:szCs w:val="18"/>
                <w:color w:val="auto"/>
              </w:rPr>
            </w:pPr>
          </w:p>
        </w:tc>
      </w:tr>
      <w:tr>
        <w:trPr>
          <w:trHeight w:val="216"/>
        </w:trPr>
        <w:tc>
          <w:tcPr>
            <w:tcW w:w="7160" w:type="dxa"/>
            <w:vAlign w:val="bottom"/>
            <w:gridSpan w:val="2"/>
          </w:tcPr>
          <w:p>
            <w:pPr>
              <w:jc w:val="center"/>
              <w:ind w:left="4168"/>
              <w:spacing w:after="0"/>
              <w:rPr>
                <w:sz w:val="20"/>
                <w:szCs w:val="20"/>
                <w:color w:val="auto"/>
              </w:rPr>
            </w:pPr>
            <w:r>
              <w:rPr>
                <w:rFonts w:ascii="Arial" w:cs="Arial" w:eastAsia="Arial" w:hAnsi="Arial"/>
                <w:sz w:val="18"/>
                <w:szCs w:val="18"/>
                <w:color w:val="auto"/>
                <w:w w:val="91"/>
              </w:rPr>
              <w:t>Columbus, OH 43215</w:t>
            </w:r>
          </w:p>
        </w:tc>
        <w:tc>
          <w:tcPr>
            <w:tcW w:w="4260" w:type="dxa"/>
            <w:vAlign w:val="bottom"/>
          </w:tcPr>
          <w:p>
            <w:pPr>
              <w:spacing w:after="0"/>
              <w:rPr>
                <w:sz w:val="18"/>
                <w:szCs w:val="18"/>
                <w:color w:val="auto"/>
              </w:rPr>
            </w:pPr>
          </w:p>
        </w:tc>
      </w:tr>
      <w:tr>
        <w:trPr>
          <w:trHeight w:val="216"/>
        </w:trPr>
        <w:tc>
          <w:tcPr>
            <w:tcW w:w="7160" w:type="dxa"/>
            <w:vAlign w:val="bottom"/>
            <w:gridSpan w:val="2"/>
          </w:tcPr>
          <w:p>
            <w:pPr>
              <w:jc w:val="center"/>
              <w:ind w:left="4188"/>
              <w:spacing w:after="0"/>
              <w:rPr>
                <w:sz w:val="20"/>
                <w:szCs w:val="20"/>
                <w:color w:val="auto"/>
              </w:rPr>
            </w:pPr>
            <w:r>
              <w:rPr>
                <w:rFonts w:ascii="Arial" w:cs="Arial" w:eastAsia="Arial" w:hAnsi="Arial"/>
                <w:sz w:val="18"/>
                <w:szCs w:val="18"/>
                <w:color w:val="auto"/>
                <w:w w:val="90"/>
              </w:rPr>
              <w:t>(614) 849-3402</w:t>
            </w:r>
          </w:p>
        </w:tc>
        <w:tc>
          <w:tcPr>
            <w:tcW w:w="4260" w:type="dxa"/>
            <w:vAlign w:val="bottom"/>
          </w:tcPr>
          <w:p>
            <w:pPr>
              <w:spacing w:after="0"/>
              <w:rPr>
                <w:sz w:val="18"/>
                <w:szCs w:val="18"/>
                <w:color w:val="auto"/>
              </w:rPr>
            </w:pPr>
          </w:p>
        </w:tc>
      </w:tr>
      <w:tr>
        <w:trPr>
          <w:trHeight w:val="230"/>
        </w:trPr>
        <w:tc>
          <w:tcPr>
            <w:tcW w:w="11420" w:type="dxa"/>
            <w:vAlign w:val="bottom"/>
            <w:gridSpan w:val="3"/>
          </w:tcPr>
          <w:p>
            <w:pPr>
              <w:jc w:val="center"/>
              <w:spacing w:after="0"/>
              <w:rPr>
                <w:sz w:val="20"/>
                <w:szCs w:val="20"/>
                <w:color w:val="auto"/>
              </w:rPr>
            </w:pPr>
            <w:r>
              <w:rPr>
                <w:rFonts w:ascii="Arial" w:cs="Arial" w:eastAsia="Arial" w:hAnsi="Arial"/>
                <w:sz w:val="18"/>
                <w:szCs w:val="18"/>
                <w:color w:val="auto"/>
                <w:w w:val="89"/>
              </w:rPr>
              <w:t>(Name, address and telephone number of agent for service)</w:t>
            </w:r>
          </w:p>
        </w:tc>
      </w:tr>
      <w:tr>
        <w:trPr>
          <w:trHeight w:val="499"/>
        </w:trPr>
        <w:tc>
          <w:tcPr>
            <w:tcW w:w="7160" w:type="dxa"/>
            <w:vAlign w:val="bottom"/>
            <w:gridSpan w:val="2"/>
          </w:tcPr>
          <w:p>
            <w:pPr>
              <w:jc w:val="center"/>
              <w:ind w:left="4188"/>
              <w:spacing w:after="0"/>
              <w:rPr>
                <w:sz w:val="20"/>
                <w:szCs w:val="20"/>
                <w:color w:val="auto"/>
              </w:rPr>
            </w:pPr>
            <w:r>
              <w:rPr>
                <w:rFonts w:ascii="Arial" w:cs="Arial" w:eastAsia="Arial" w:hAnsi="Arial"/>
                <w:sz w:val="25"/>
                <w:szCs w:val="25"/>
                <w:b w:val="1"/>
                <w:bCs w:val="1"/>
                <w:color w:val="auto"/>
                <w:w w:val="99"/>
              </w:rPr>
              <w:t>L BRANDS, INC.</w:t>
            </w:r>
          </w:p>
        </w:tc>
        <w:tc>
          <w:tcPr>
            <w:tcW w:w="4260" w:type="dxa"/>
            <w:vAlign w:val="bottom"/>
          </w:tcPr>
          <w:p>
            <w:pPr>
              <w:spacing w:after="0"/>
              <w:rPr>
                <w:sz w:val="24"/>
                <w:szCs w:val="24"/>
                <w:color w:val="auto"/>
              </w:rPr>
            </w:pPr>
          </w:p>
        </w:tc>
      </w:tr>
      <w:tr>
        <w:trPr>
          <w:trHeight w:val="230"/>
        </w:trPr>
        <w:tc>
          <w:tcPr>
            <w:tcW w:w="7160" w:type="dxa"/>
            <w:vAlign w:val="bottom"/>
            <w:gridSpan w:val="2"/>
          </w:tcPr>
          <w:p>
            <w:pPr>
              <w:jc w:val="center"/>
              <w:ind w:left="4188"/>
              <w:spacing w:after="0"/>
              <w:rPr>
                <w:sz w:val="20"/>
                <w:szCs w:val="20"/>
                <w:color w:val="auto"/>
              </w:rPr>
            </w:pPr>
            <w:r>
              <w:rPr>
                <w:rFonts w:ascii="Arial" w:cs="Arial" w:eastAsia="Arial" w:hAnsi="Arial"/>
                <w:sz w:val="18"/>
                <w:szCs w:val="18"/>
                <w:color w:val="auto"/>
                <w:w w:val="90"/>
              </w:rPr>
              <w:t>(Issuer with respect to the Securities)</w:t>
            </w:r>
          </w:p>
        </w:tc>
        <w:tc>
          <w:tcPr>
            <w:tcW w:w="4260" w:type="dxa"/>
            <w:vAlign w:val="bottom"/>
          </w:tcPr>
          <w:p>
            <w:pPr>
              <w:spacing w:after="0"/>
              <w:rPr>
                <w:sz w:val="20"/>
                <w:szCs w:val="20"/>
                <w:color w:val="auto"/>
              </w:rPr>
            </w:pPr>
          </w:p>
        </w:tc>
      </w:tr>
      <w:tr>
        <w:trPr>
          <w:trHeight w:val="216"/>
        </w:trPr>
        <w:tc>
          <w:tcPr>
            <w:tcW w:w="7160" w:type="dxa"/>
            <w:vAlign w:val="bottom"/>
            <w:tcBorders>
              <w:bottom w:val="single" w:sz="8" w:color="auto"/>
            </w:tcBorders>
            <w:gridSpan w:val="2"/>
          </w:tcPr>
          <w:p>
            <w:pPr>
              <w:spacing w:after="0"/>
              <w:rPr>
                <w:sz w:val="18"/>
                <w:szCs w:val="18"/>
                <w:color w:val="auto"/>
              </w:rPr>
            </w:pPr>
          </w:p>
        </w:tc>
        <w:tc>
          <w:tcPr>
            <w:tcW w:w="4260" w:type="dxa"/>
            <w:vAlign w:val="bottom"/>
            <w:tcBorders>
              <w:bottom w:val="single" w:sz="8" w:color="auto"/>
            </w:tcBorders>
          </w:tcPr>
          <w:p>
            <w:pPr>
              <w:spacing w:after="0"/>
              <w:rPr>
                <w:sz w:val="18"/>
                <w:szCs w:val="18"/>
                <w:color w:val="auto"/>
              </w:rPr>
            </w:pPr>
          </w:p>
        </w:tc>
      </w:tr>
      <w:tr>
        <w:trPr>
          <w:trHeight w:val="210"/>
        </w:trPr>
        <w:tc>
          <w:tcPr>
            <w:tcW w:w="5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440" w:type="dxa"/>
            <w:vAlign w:val="bottom"/>
            <w:tcBorders>
              <w:bottom w:val="single" w:sz="8" w:color="auto"/>
            </w:tcBorders>
          </w:tcPr>
          <w:p>
            <w:pPr>
              <w:spacing w:after="0"/>
              <w:rPr>
                <w:sz w:val="18"/>
                <w:szCs w:val="18"/>
                <w:color w:val="auto"/>
              </w:rPr>
            </w:pPr>
          </w:p>
        </w:tc>
        <w:tc>
          <w:tcPr>
            <w:tcW w:w="4260" w:type="dxa"/>
            <w:vAlign w:val="bottom"/>
            <w:tcBorders>
              <w:bottom w:val="single" w:sz="8" w:color="auto"/>
              <w:right w:val="single" w:sz="8" w:color="auto"/>
            </w:tcBorders>
          </w:tcPr>
          <w:p>
            <w:pPr>
              <w:jc w:val="center"/>
              <w:ind w:right="1370"/>
              <w:spacing w:after="0"/>
              <w:rPr>
                <w:sz w:val="20"/>
                <w:szCs w:val="20"/>
                <w:color w:val="auto"/>
              </w:rPr>
            </w:pPr>
            <w:r>
              <w:rPr>
                <w:rFonts w:ascii="Arial" w:cs="Arial" w:eastAsia="Arial" w:hAnsi="Arial"/>
                <w:sz w:val="18"/>
                <w:szCs w:val="18"/>
                <w:color w:val="auto"/>
                <w:w w:val="91"/>
              </w:rPr>
              <w:t>31-1029810</w:t>
            </w:r>
          </w:p>
        </w:tc>
      </w:tr>
      <w:tr>
        <w:trPr>
          <w:trHeight w:val="210"/>
        </w:trPr>
        <w:tc>
          <w:tcPr>
            <w:tcW w:w="5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1440" w:type="dxa"/>
            <w:vAlign w:val="bottom"/>
            <w:tcBorders>
              <w:bottom w:val="single" w:sz="8" w:color="auto"/>
            </w:tcBorders>
          </w:tcPr>
          <w:p>
            <w:pPr>
              <w:spacing w:after="0"/>
              <w:rPr>
                <w:sz w:val="18"/>
                <w:szCs w:val="18"/>
                <w:color w:val="auto"/>
              </w:rPr>
            </w:pPr>
          </w:p>
        </w:tc>
        <w:tc>
          <w:tcPr>
            <w:tcW w:w="4260" w:type="dxa"/>
            <w:vAlign w:val="bottom"/>
            <w:tcBorders>
              <w:bottom w:val="single" w:sz="8" w:color="auto"/>
              <w:right w:val="single" w:sz="8" w:color="auto"/>
            </w:tcBorders>
          </w:tcPr>
          <w:p>
            <w:pPr>
              <w:jc w:val="center"/>
              <w:ind w:right="1350"/>
              <w:spacing w:after="0"/>
              <w:rPr>
                <w:sz w:val="20"/>
                <w:szCs w:val="20"/>
                <w:color w:val="auto"/>
              </w:rPr>
            </w:pPr>
            <w:r>
              <w:rPr>
                <w:rFonts w:ascii="Arial" w:cs="Arial" w:eastAsia="Arial" w:hAnsi="Arial"/>
                <w:sz w:val="18"/>
                <w:szCs w:val="18"/>
                <w:color w:val="auto"/>
                <w:w w:val="94"/>
              </w:rPr>
              <w:t>(I.R.S. Employer Identification No.)</w:t>
            </w:r>
          </w:p>
        </w:tc>
      </w:tr>
      <w:tr>
        <w:trPr>
          <w:trHeight w:val="210"/>
        </w:trPr>
        <w:tc>
          <w:tcPr>
            <w:tcW w:w="5720" w:type="dxa"/>
            <w:vAlign w:val="bottom"/>
            <w:tcBorders>
              <w:left w:val="single" w:sz="8" w:color="auto"/>
              <w:bottom w:val="single" w:sz="8" w:color="auto"/>
              <w:right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4260" w:type="dxa"/>
            <w:vAlign w:val="bottom"/>
            <w:tcBorders>
              <w:bottom w:val="single" w:sz="8" w:color="auto"/>
              <w:right w:val="single" w:sz="8" w:color="auto"/>
            </w:tcBorders>
          </w:tcPr>
          <w:p>
            <w:pPr>
              <w:spacing w:after="0"/>
              <w:rPr>
                <w:sz w:val="18"/>
                <w:szCs w:val="18"/>
                <w:color w:val="auto"/>
              </w:rPr>
            </w:pPr>
          </w:p>
        </w:tc>
      </w:tr>
      <w:tr>
        <w:trPr>
          <w:trHeight w:val="237"/>
        </w:trPr>
        <w:tc>
          <w:tcPr>
            <w:tcW w:w="7160" w:type="dxa"/>
            <w:vAlign w:val="bottom"/>
            <w:tcBorders>
              <w:bottom w:val="single" w:sz="8" w:color="auto"/>
            </w:tcBorders>
            <w:gridSpan w:val="2"/>
          </w:tcPr>
          <w:p>
            <w:pPr>
              <w:spacing w:after="0"/>
              <w:rPr>
                <w:sz w:val="20"/>
                <w:szCs w:val="20"/>
                <w:color w:val="auto"/>
              </w:rPr>
            </w:pPr>
          </w:p>
        </w:tc>
        <w:tc>
          <w:tcPr>
            <w:tcW w:w="4260" w:type="dxa"/>
            <w:vAlign w:val="bottom"/>
            <w:tcBorders>
              <w:bottom w:val="single" w:sz="8" w:color="auto"/>
            </w:tcBorders>
          </w:tcPr>
          <w:p>
            <w:pPr>
              <w:spacing w:after="0"/>
              <w:rPr>
                <w:sz w:val="20"/>
                <w:szCs w:val="20"/>
                <w:color w:val="auto"/>
              </w:rPr>
            </w:pPr>
          </w:p>
        </w:tc>
      </w:tr>
      <w:tr>
        <w:trPr>
          <w:trHeight w:val="195"/>
        </w:trPr>
        <w:tc>
          <w:tcPr>
            <w:tcW w:w="572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3 Limited Parkway</w:t>
            </w:r>
          </w:p>
        </w:tc>
        <w:tc>
          <w:tcPr>
            <w:tcW w:w="1440" w:type="dxa"/>
            <w:vAlign w:val="bottom"/>
          </w:tcPr>
          <w:p>
            <w:pPr>
              <w:spacing w:after="0"/>
              <w:rPr>
                <w:sz w:val="16"/>
                <w:szCs w:val="16"/>
                <w:color w:val="auto"/>
              </w:rPr>
            </w:pPr>
          </w:p>
        </w:tc>
        <w:tc>
          <w:tcPr>
            <w:tcW w:w="4260" w:type="dxa"/>
            <w:vAlign w:val="bottom"/>
            <w:tcBorders>
              <w:right w:val="single" w:sz="8" w:color="auto"/>
            </w:tcBorders>
          </w:tcPr>
          <w:p>
            <w:pPr>
              <w:jc w:val="center"/>
              <w:ind w:right="1370"/>
              <w:spacing w:after="0" w:line="195" w:lineRule="exact"/>
              <w:rPr>
                <w:sz w:val="20"/>
                <w:szCs w:val="20"/>
                <w:color w:val="auto"/>
              </w:rPr>
            </w:pPr>
            <w:r>
              <w:rPr>
                <w:rFonts w:ascii="Arial" w:cs="Arial" w:eastAsia="Arial" w:hAnsi="Arial"/>
                <w:sz w:val="18"/>
                <w:szCs w:val="18"/>
                <w:color w:val="auto"/>
                <w:w w:val="87"/>
              </w:rPr>
              <w:t>43230</w:t>
            </w:r>
          </w:p>
        </w:tc>
      </w:tr>
      <w:tr>
        <w:trPr>
          <w:trHeight w:val="230"/>
        </w:trPr>
        <w:tc>
          <w:tcPr>
            <w:tcW w:w="5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Columbus, OH</w:t>
            </w:r>
          </w:p>
        </w:tc>
        <w:tc>
          <w:tcPr>
            <w:tcW w:w="1440" w:type="dxa"/>
            <w:vAlign w:val="bottom"/>
            <w:tcBorders>
              <w:bottom w:val="single" w:sz="8" w:color="auto"/>
            </w:tcBorders>
          </w:tcPr>
          <w:p>
            <w:pPr>
              <w:spacing w:after="0"/>
              <w:rPr>
                <w:sz w:val="20"/>
                <w:szCs w:val="20"/>
                <w:color w:val="auto"/>
              </w:rPr>
            </w:pPr>
          </w:p>
        </w:tc>
        <w:tc>
          <w:tcPr>
            <w:tcW w:w="4260" w:type="dxa"/>
            <w:vAlign w:val="bottom"/>
            <w:tcBorders>
              <w:bottom w:val="single" w:sz="8" w:color="auto"/>
              <w:right w:val="single" w:sz="8" w:color="auto"/>
            </w:tcBorders>
          </w:tcPr>
          <w:p>
            <w:pPr>
              <w:spacing w:after="0"/>
              <w:rPr>
                <w:sz w:val="20"/>
                <w:szCs w:val="20"/>
                <w:color w:val="auto"/>
              </w:rPr>
            </w:pPr>
          </w:p>
        </w:tc>
      </w:tr>
      <w:tr>
        <w:trPr>
          <w:trHeight w:val="210"/>
        </w:trPr>
        <w:tc>
          <w:tcPr>
            <w:tcW w:w="5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440" w:type="dxa"/>
            <w:vAlign w:val="bottom"/>
            <w:tcBorders>
              <w:bottom w:val="single" w:sz="8" w:color="auto"/>
            </w:tcBorders>
          </w:tcPr>
          <w:p>
            <w:pPr>
              <w:spacing w:after="0"/>
              <w:rPr>
                <w:sz w:val="18"/>
                <w:szCs w:val="18"/>
                <w:color w:val="auto"/>
              </w:rPr>
            </w:pPr>
          </w:p>
        </w:tc>
        <w:tc>
          <w:tcPr>
            <w:tcW w:w="4260" w:type="dxa"/>
            <w:vAlign w:val="bottom"/>
            <w:tcBorders>
              <w:bottom w:val="single" w:sz="8" w:color="auto"/>
              <w:right w:val="single" w:sz="8" w:color="auto"/>
            </w:tcBorders>
          </w:tcPr>
          <w:p>
            <w:pPr>
              <w:jc w:val="center"/>
              <w:ind w:right="1370"/>
              <w:spacing w:after="0"/>
              <w:rPr>
                <w:sz w:val="20"/>
                <w:szCs w:val="20"/>
                <w:color w:val="auto"/>
              </w:rPr>
            </w:pPr>
            <w:r>
              <w:rPr>
                <w:rFonts w:ascii="Arial" w:cs="Arial" w:eastAsia="Arial" w:hAnsi="Arial"/>
                <w:sz w:val="18"/>
                <w:szCs w:val="18"/>
                <w:color w:val="auto"/>
                <w:w w:val="94"/>
              </w:rPr>
              <w:t>(Zip Code)</w:t>
            </w: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Subordinated Debt Securities</w:t>
      </w:r>
    </w:p>
    <w:p>
      <w:pPr>
        <w:spacing w:after="0" w:line="3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u w:val="single" w:color="auto"/>
          <w:color w:val="auto"/>
        </w:rPr>
        <w:t>FORM T-1</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GENERAL INFORMATION</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Furnish the following information as to the Trustee.</w:t>
      </w:r>
    </w:p>
    <w:p>
      <w:pPr>
        <w:spacing w:after="0" w:line="229" w:lineRule="exact"/>
        <w:rPr>
          <w:sz w:val="20"/>
          <w:szCs w:val="20"/>
          <w:color w:val="auto"/>
        </w:rPr>
      </w:pPr>
    </w:p>
    <w:p>
      <w:pPr>
        <w:ind w:left="1960" w:right="3920" w:hanging="980"/>
        <w:spacing w:after="0" w:line="258" w:lineRule="auto"/>
        <w:tabs>
          <w:tab w:leader="none" w:pos="1433"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Name and address of each examining or supervising authority to which it is subject. </w:t>
      </w:r>
      <w:r>
        <w:rPr>
          <w:rFonts w:ascii="Arial" w:cs="Arial" w:eastAsia="Arial" w:hAnsi="Arial"/>
          <w:sz w:val="18"/>
          <w:szCs w:val="18"/>
          <w:color w:val="auto"/>
        </w:rPr>
        <w:t>Comptroller of the Currency</w:t>
      </w:r>
    </w:p>
    <w:p>
      <w:pPr>
        <w:spacing w:after="0" w:line="1"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Washington, D.C.</w:t>
      </w:r>
    </w:p>
    <w:p>
      <w:pPr>
        <w:spacing w:after="0" w:line="210" w:lineRule="exact"/>
        <w:rPr>
          <w:rFonts w:ascii="Arial" w:cs="Arial" w:eastAsia="Arial" w:hAnsi="Arial"/>
          <w:sz w:val="18"/>
          <w:szCs w:val="18"/>
          <w:color w:val="auto"/>
        </w:rPr>
      </w:pPr>
    </w:p>
    <w:p>
      <w:pPr>
        <w:ind w:left="1420" w:hanging="440"/>
        <w:spacing w:after="0"/>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Whether it is authorized to exercise corporate trust powers.</w:t>
      </w:r>
    </w:p>
    <w:p>
      <w:pPr>
        <w:spacing w:after="0" w:line="200" w:lineRule="exact"/>
        <w:rPr>
          <w:sz w:val="20"/>
          <w:szCs w:val="20"/>
          <w:color w:val="auto"/>
        </w:rPr>
      </w:pPr>
    </w:p>
    <w:p>
      <w:pPr>
        <w:spacing w:after="0" w:line="2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 xml:space="preserve">AFFILIATIONS WITH OBLIGOR. </w:t>
      </w:r>
      <w:r>
        <w:rPr>
          <w:rFonts w:ascii="Arial" w:cs="Arial" w:eastAsia="Arial" w:hAnsi="Arial"/>
          <w:sz w:val="17"/>
          <w:szCs w:val="17"/>
          <w:i w:val="1"/>
          <w:iCs w:val="1"/>
          <w:color w:val="auto"/>
        </w:rPr>
        <w:t>If the obligor is an affiliate of the Trustee, describe each such affiliation.</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None</w:t>
      </w:r>
    </w:p>
    <w:p>
      <w:pPr>
        <w:spacing w:after="0" w:line="207" w:lineRule="exact"/>
        <w:rPr>
          <w:sz w:val="20"/>
          <w:szCs w:val="20"/>
          <w:color w:val="auto"/>
        </w:rPr>
      </w:pPr>
    </w:p>
    <w:p>
      <w:pPr>
        <w:ind w:left="980" w:right="380" w:hanging="971"/>
        <w:spacing w:after="0" w:line="277" w:lineRule="auto"/>
        <w:tabs>
          <w:tab w:leader="none" w:pos="960" w:val="left"/>
        </w:tabs>
        <w:rPr>
          <w:sz w:val="20"/>
          <w:szCs w:val="20"/>
          <w:color w:val="auto"/>
        </w:rPr>
      </w:pPr>
      <w:r>
        <w:rPr>
          <w:rFonts w:ascii="Arial" w:cs="Arial" w:eastAsia="Arial" w:hAnsi="Arial"/>
          <w:sz w:val="18"/>
          <w:szCs w:val="18"/>
          <w:b w:val="1"/>
          <w:bCs w:val="1"/>
          <w:color w:val="auto"/>
        </w:rPr>
        <w:t>Items 3-15</w:t>
      </w:r>
      <w:r>
        <w:rPr>
          <w:sz w:val="20"/>
          <w:szCs w:val="20"/>
          <w:color w:val="auto"/>
        </w:rPr>
        <w:tab/>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 acts as Trustee.</w:t>
      </w:r>
    </w:p>
    <w:p>
      <w:pPr>
        <w:spacing w:after="0" w:line="1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 xml:space="preserve">LIST OF EXHIBITS: </w:t>
      </w:r>
      <w:r>
        <w:rPr>
          <w:rFonts w:ascii="Arial" w:cs="Arial" w:eastAsia="Arial" w:hAnsi="Arial"/>
          <w:sz w:val="17"/>
          <w:szCs w:val="17"/>
          <w:i w:val="1"/>
          <w:iCs w:val="1"/>
          <w:color w:val="auto"/>
        </w:rPr>
        <w:t>List below all exhibits filed as a part of this statement of eligibility and qualification.</w:t>
      </w:r>
    </w:p>
    <w:p>
      <w:pPr>
        <w:spacing w:after="0" w:line="229" w:lineRule="exact"/>
        <w:rPr>
          <w:sz w:val="20"/>
          <w:szCs w:val="20"/>
          <w:color w:val="auto"/>
        </w:rPr>
      </w:pPr>
    </w:p>
    <w:p>
      <w:pPr>
        <w:ind w:left="1300" w:hanging="320"/>
        <w:spacing w:after="0"/>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 attached as Exhibit 2.</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 attached as Exhibit 3.</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225" w:lineRule="exact"/>
        <w:rPr>
          <w:rFonts w:ascii="Arial" w:cs="Arial" w:eastAsia="Arial" w:hAnsi="Arial"/>
          <w:sz w:val="18"/>
          <w:szCs w:val="18"/>
          <w:color w:val="auto"/>
        </w:rPr>
      </w:pPr>
    </w:p>
    <w:p>
      <w:pPr>
        <w:ind w:left="1300" w:right="100" w:hanging="320"/>
        <w:spacing w:after="0" w:line="277"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Report of Condition of the Trustee as of September 30, 2018 published pursuant to law or the requirements of its supervising or examining authority, attached as Exhibit 7.</w:t>
      </w:r>
    </w:p>
    <w:p>
      <w:pPr>
        <w:spacing w:after="0" w:line="170" w:lineRule="exact"/>
        <w:rPr>
          <w:rFonts w:ascii="Arial" w:cs="Arial" w:eastAsia="Arial" w:hAnsi="Arial"/>
          <w:sz w:val="18"/>
          <w:szCs w:val="18"/>
          <w:color w:val="auto"/>
        </w:rPr>
      </w:pPr>
    </w:p>
    <w:p>
      <w:pPr>
        <w:ind w:left="500"/>
        <w:spacing w:after="0" w:line="277" w:lineRule="auto"/>
        <w:rPr>
          <w:rFonts w:ascii="Arial" w:cs="Arial" w:eastAsia="Arial" w:hAnsi="Arial"/>
          <w:sz w:val="18"/>
          <w:szCs w:val="18"/>
          <w:color w:val="auto"/>
        </w:rPr>
      </w:pPr>
      <w:r>
        <w:rPr>
          <w:rFonts w:ascii="Arial" w:cs="Arial" w:eastAsia="Arial" w:hAnsi="Arial"/>
          <w:sz w:val="18"/>
          <w:szCs w:val="18"/>
          <w:color w:val="auto"/>
        </w:rPr>
        <w:t>* Incorporated by reference to Exhibit 25.1 to Amendment No. 2 to registration statement on S-4, Registration Number 333-128217 filed on November 15, 2005.</w:t>
      </w:r>
    </w:p>
    <w:p>
      <w:pPr>
        <w:spacing w:after="0" w:line="170" w:lineRule="exact"/>
        <w:rPr>
          <w:rFonts w:ascii="Arial" w:cs="Arial" w:eastAsia="Arial" w:hAnsi="Arial"/>
          <w:sz w:val="18"/>
          <w:szCs w:val="18"/>
          <w:color w:val="auto"/>
        </w:rPr>
      </w:pPr>
    </w:p>
    <w:p>
      <w:pPr>
        <w:ind w:left="720" w:hanging="226"/>
        <w:spacing w:after="0"/>
        <w:tabs>
          <w:tab w:leader="none" w:pos="7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Incorporated by reference to Exhibit 25.1 to registration statement on form S-3ASR, Registration Number 333-199863 filed on November 5, 2014.</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Columbus, Ohio on the 17th of January,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jc w:val="right"/>
              <w:ind w:right="230"/>
              <w:spacing w:after="0"/>
              <w:rPr>
                <w:sz w:val="20"/>
                <w:szCs w:val="20"/>
                <w:color w:val="auto"/>
              </w:rPr>
            </w:pPr>
            <w:r>
              <w:rPr>
                <w:rFonts w:ascii="Arial" w:cs="Arial" w:eastAsia="Arial" w:hAnsi="Arial"/>
                <w:sz w:val="18"/>
                <w:szCs w:val="18"/>
                <w:color w:val="auto"/>
              </w:rPr>
              <w:t>By:</w:t>
            </w:r>
          </w:p>
        </w:tc>
        <w:tc>
          <w:tcPr>
            <w:tcW w:w="2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Miller</w:t>
            </w:r>
          </w:p>
        </w:tc>
        <w:tc>
          <w:tcPr>
            <w:tcW w:w="2620" w:type="dxa"/>
            <w:vAlign w:val="bottom"/>
          </w:tcPr>
          <w:p>
            <w:pPr>
              <w:spacing w:after="0"/>
              <w:rPr>
                <w:sz w:val="20"/>
                <w:szCs w:val="20"/>
                <w:color w:val="auto"/>
              </w:rPr>
            </w:pPr>
          </w:p>
        </w:tc>
      </w:tr>
      <w:tr>
        <w:trPr>
          <w:trHeight w:val="195"/>
        </w:trPr>
        <w:tc>
          <w:tcPr>
            <w:tcW w:w="6300" w:type="dxa"/>
            <w:vAlign w:val="bottom"/>
          </w:tcPr>
          <w:p>
            <w:pPr>
              <w:spacing w:after="0"/>
              <w:rPr>
                <w:sz w:val="16"/>
                <w:szCs w:val="16"/>
                <w:color w:val="auto"/>
              </w:rPr>
            </w:pPr>
          </w:p>
        </w:tc>
        <w:tc>
          <w:tcPr>
            <w:tcW w:w="2500" w:type="dxa"/>
            <w:vAlign w:val="bottom"/>
          </w:tcPr>
          <w:p>
            <w:pPr>
              <w:spacing w:after="0" w:line="195" w:lineRule="exact"/>
              <w:rPr>
                <w:sz w:val="20"/>
                <w:szCs w:val="20"/>
                <w:color w:val="auto"/>
              </w:rPr>
            </w:pPr>
            <w:r>
              <w:rPr>
                <w:rFonts w:ascii="Arial" w:cs="Arial" w:eastAsia="Arial" w:hAnsi="Arial"/>
                <w:sz w:val="18"/>
                <w:szCs w:val="18"/>
                <w:color w:val="auto"/>
              </w:rPr>
              <w:t>Scott Miller</w:t>
            </w:r>
          </w:p>
        </w:tc>
        <w:tc>
          <w:tcPr>
            <w:tcW w:w="2620" w:type="dxa"/>
            <w:vAlign w:val="bottom"/>
          </w:tcPr>
          <w:p>
            <w:pPr>
              <w:spacing w:after="0"/>
              <w:rPr>
                <w:sz w:val="16"/>
                <w:szCs w:val="16"/>
                <w:color w:val="auto"/>
              </w:rPr>
            </w:pPr>
          </w:p>
        </w:tc>
      </w:tr>
      <w:tr>
        <w:trPr>
          <w:trHeight w:val="230"/>
        </w:trPr>
        <w:tc>
          <w:tcPr>
            <w:tcW w:w="6300" w:type="dxa"/>
            <w:vAlign w:val="bottom"/>
          </w:tcPr>
          <w:p>
            <w:pPr>
              <w:spacing w:after="0"/>
              <w:rPr>
                <w:sz w:val="20"/>
                <w:szCs w:val="20"/>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Vice President</w:t>
            </w:r>
          </w:p>
        </w:tc>
        <w:tc>
          <w:tcPr>
            <w:tcW w:w="2620" w:type="dxa"/>
            <w:vAlign w:val="bottom"/>
          </w:tcPr>
          <w:p>
            <w:pPr>
              <w:spacing w:after="0"/>
              <w:rPr>
                <w:sz w:val="20"/>
                <w:szCs w:val="20"/>
                <w:color w:val="auto"/>
              </w:rPr>
            </w:pPr>
          </w:p>
        </w:tc>
      </w:tr>
      <w:tr>
        <w:trPr>
          <w:trHeight w:val="540"/>
        </w:trPr>
        <w:tc>
          <w:tcPr>
            <w:tcW w:w="6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3</w:t>
            </w:r>
          </w:p>
        </w:tc>
        <w:tc>
          <w:tcPr>
            <w:tcW w:w="25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6"/>
          <w:szCs w:val="16"/>
          <w:b w:val="1"/>
          <w:bCs w:val="1"/>
          <w:u w:val="single" w:color="auto"/>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169545</wp:posOffset>
            </wp:positionV>
            <wp:extent cx="5342890" cy="69037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5342890" cy="690372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22225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type w:val="continuous"/>
        </w:sectPr>
      </w:pPr>
    </w:p>
    <w:bookmarkStart w:id="59" w:name="page60"/>
    <w:bookmarkEnd w:id="59"/>
    <w:p>
      <w:pPr>
        <w:jc w:val="center"/>
        <w:spacing w:after="0"/>
        <w:rPr>
          <w:sz w:val="20"/>
          <w:szCs w:val="20"/>
          <w:color w:val="auto"/>
        </w:rPr>
      </w:pPr>
      <w:r>
        <w:rPr>
          <w:rFonts w:ascii="Arial" w:cs="Arial" w:eastAsia="Arial" w:hAnsi="Arial"/>
          <w:sz w:val="16"/>
          <w:szCs w:val="16"/>
          <w:b w:val="1"/>
          <w:bCs w:val="1"/>
          <w:u w:val="single" w:color="auto"/>
          <w:color w:val="auto"/>
        </w:rPr>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168910</wp:posOffset>
            </wp:positionV>
            <wp:extent cx="5351145" cy="69037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5351145" cy="690372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22225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type w:val="continuous"/>
        </w:sectPr>
      </w:pPr>
    </w:p>
    <w:bookmarkStart w:id="60" w:name="page61"/>
    <w:bookmarkEnd w:id="60"/>
    <w:p>
      <w:pPr>
        <w:jc w:val="center"/>
        <w:spacing w:after="0"/>
        <w:rPr>
          <w:sz w:val="20"/>
          <w:szCs w:val="20"/>
          <w:color w:val="auto"/>
        </w:rPr>
      </w:pPr>
      <w:r>
        <w:rPr>
          <w:rFonts w:ascii="Arial" w:cs="Arial" w:eastAsia="Arial" w:hAnsi="Arial"/>
          <w:sz w:val="18"/>
          <w:szCs w:val="18"/>
          <w:b w:val="1"/>
          <w:bCs w:val="1"/>
          <w:u w:val="single" w:color="auto"/>
          <w:color w:val="auto"/>
        </w:rPr>
        <w:t>Exhibit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w:t>
      </w:r>
    </w:p>
    <w:p>
      <w:pPr>
        <w:spacing w:after="0" w:line="229"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17,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jc w:val="right"/>
              <w:ind w:right="230"/>
              <w:spacing w:after="0"/>
              <w:rPr>
                <w:sz w:val="20"/>
                <w:szCs w:val="20"/>
                <w:color w:val="auto"/>
              </w:rPr>
            </w:pPr>
            <w:r>
              <w:rPr>
                <w:rFonts w:ascii="Arial" w:cs="Arial" w:eastAsia="Arial" w:hAnsi="Arial"/>
                <w:sz w:val="18"/>
                <w:szCs w:val="18"/>
                <w:color w:val="auto"/>
              </w:rPr>
              <w:t>By:</w:t>
            </w:r>
          </w:p>
        </w:tc>
        <w:tc>
          <w:tcPr>
            <w:tcW w:w="2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Miller</w:t>
            </w:r>
          </w:p>
        </w:tc>
        <w:tc>
          <w:tcPr>
            <w:tcW w:w="2620" w:type="dxa"/>
            <w:vAlign w:val="bottom"/>
          </w:tcPr>
          <w:p>
            <w:pPr>
              <w:spacing w:after="0"/>
              <w:rPr>
                <w:sz w:val="20"/>
                <w:szCs w:val="20"/>
                <w:color w:val="auto"/>
              </w:rPr>
            </w:pPr>
          </w:p>
        </w:tc>
      </w:tr>
      <w:tr>
        <w:trPr>
          <w:trHeight w:val="195"/>
        </w:trPr>
        <w:tc>
          <w:tcPr>
            <w:tcW w:w="6300" w:type="dxa"/>
            <w:vAlign w:val="bottom"/>
          </w:tcPr>
          <w:p>
            <w:pPr>
              <w:spacing w:after="0"/>
              <w:rPr>
                <w:sz w:val="16"/>
                <w:szCs w:val="16"/>
                <w:color w:val="auto"/>
              </w:rPr>
            </w:pPr>
          </w:p>
        </w:tc>
        <w:tc>
          <w:tcPr>
            <w:tcW w:w="2500" w:type="dxa"/>
            <w:vAlign w:val="bottom"/>
          </w:tcPr>
          <w:p>
            <w:pPr>
              <w:spacing w:after="0" w:line="195" w:lineRule="exact"/>
              <w:rPr>
                <w:sz w:val="20"/>
                <w:szCs w:val="20"/>
                <w:color w:val="auto"/>
              </w:rPr>
            </w:pPr>
            <w:r>
              <w:rPr>
                <w:rFonts w:ascii="Arial" w:cs="Arial" w:eastAsia="Arial" w:hAnsi="Arial"/>
                <w:sz w:val="18"/>
                <w:szCs w:val="18"/>
                <w:color w:val="auto"/>
              </w:rPr>
              <w:t>Scott Miller</w:t>
            </w:r>
          </w:p>
        </w:tc>
        <w:tc>
          <w:tcPr>
            <w:tcW w:w="2620" w:type="dxa"/>
            <w:vAlign w:val="bottom"/>
          </w:tcPr>
          <w:p>
            <w:pPr>
              <w:spacing w:after="0"/>
              <w:rPr>
                <w:sz w:val="16"/>
                <w:szCs w:val="16"/>
                <w:color w:val="auto"/>
              </w:rPr>
            </w:pPr>
          </w:p>
        </w:tc>
      </w:tr>
      <w:tr>
        <w:trPr>
          <w:trHeight w:val="230"/>
        </w:trPr>
        <w:tc>
          <w:tcPr>
            <w:tcW w:w="6300" w:type="dxa"/>
            <w:vAlign w:val="bottom"/>
          </w:tcPr>
          <w:p>
            <w:pPr>
              <w:spacing w:after="0"/>
              <w:rPr>
                <w:sz w:val="20"/>
                <w:szCs w:val="20"/>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Vice President</w:t>
            </w:r>
          </w:p>
        </w:tc>
        <w:tc>
          <w:tcPr>
            <w:tcW w:w="2620" w:type="dxa"/>
            <w:vAlign w:val="bottom"/>
          </w:tcPr>
          <w:p>
            <w:pPr>
              <w:spacing w:after="0"/>
              <w:rPr>
                <w:sz w:val="20"/>
                <w:szCs w:val="20"/>
                <w:color w:val="auto"/>
              </w:rPr>
            </w:pPr>
          </w:p>
        </w:tc>
      </w:tr>
      <w:tr>
        <w:trPr>
          <w:trHeight w:val="540"/>
        </w:trPr>
        <w:tc>
          <w:tcPr>
            <w:tcW w:w="6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6</w:t>
            </w:r>
          </w:p>
        </w:tc>
        <w:tc>
          <w:tcPr>
            <w:tcW w:w="25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80" w:type="dxa"/>
            <w:vAlign w:val="bottom"/>
            <w:gridSpan w:val="3"/>
          </w:tcPr>
          <w:p>
            <w:pPr>
              <w:jc w:val="center"/>
              <w:ind w:right="1890"/>
              <w:spacing w:after="0"/>
              <w:rPr>
                <w:sz w:val="20"/>
                <w:szCs w:val="20"/>
                <w:color w:val="auto"/>
              </w:rPr>
            </w:pPr>
            <w:r>
              <w:rPr>
                <w:rFonts w:ascii="Arial" w:cs="Arial" w:eastAsia="Arial" w:hAnsi="Arial"/>
                <w:sz w:val="18"/>
                <w:szCs w:val="18"/>
                <w:b w:val="1"/>
                <w:bCs w:val="1"/>
                <w:color w:val="auto"/>
                <w:w w:val="93"/>
              </w:rPr>
              <w:t>Exhibit 7</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800" w:type="dxa"/>
            <w:vAlign w:val="bottom"/>
            <w:gridSpan w:val="4"/>
          </w:tcPr>
          <w:p>
            <w:pPr>
              <w:jc w:val="center"/>
              <w:ind w:right="750"/>
              <w:spacing w:after="0"/>
              <w:rPr>
                <w:sz w:val="20"/>
                <w:szCs w:val="20"/>
                <w:color w:val="auto"/>
              </w:rPr>
            </w:pPr>
            <w:r>
              <w:rPr>
                <w:rFonts w:ascii="Arial" w:cs="Arial" w:eastAsia="Arial" w:hAnsi="Arial"/>
                <w:sz w:val="18"/>
                <w:szCs w:val="18"/>
                <w:b w:val="1"/>
                <w:bCs w:val="1"/>
                <w:color w:val="auto"/>
                <w:w w:val="89"/>
              </w:rPr>
              <w:t>U.S. Bank National Association</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800" w:type="dxa"/>
            <w:vAlign w:val="bottom"/>
            <w:gridSpan w:val="4"/>
          </w:tcPr>
          <w:p>
            <w:pPr>
              <w:jc w:val="center"/>
              <w:ind w:right="750"/>
              <w:spacing w:after="0"/>
              <w:rPr>
                <w:sz w:val="20"/>
                <w:szCs w:val="20"/>
                <w:color w:val="auto"/>
              </w:rPr>
            </w:pPr>
            <w:r>
              <w:rPr>
                <w:rFonts w:ascii="Arial" w:cs="Arial" w:eastAsia="Arial" w:hAnsi="Arial"/>
                <w:sz w:val="18"/>
                <w:szCs w:val="18"/>
                <w:b w:val="1"/>
                <w:bCs w:val="1"/>
                <w:color w:val="auto"/>
                <w:w w:val="91"/>
              </w:rPr>
              <w:t>Statement of Financial Condition</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3800" w:type="dxa"/>
            <w:vAlign w:val="bottom"/>
            <w:gridSpan w:val="4"/>
          </w:tcPr>
          <w:p>
            <w:pPr>
              <w:jc w:val="center"/>
              <w:ind w:right="770"/>
              <w:spacing w:after="0"/>
              <w:rPr>
                <w:sz w:val="20"/>
                <w:szCs w:val="20"/>
                <w:color w:val="auto"/>
              </w:rPr>
            </w:pPr>
            <w:r>
              <w:rPr>
                <w:rFonts w:ascii="Arial" w:cs="Arial" w:eastAsia="Arial" w:hAnsi="Arial"/>
                <w:sz w:val="18"/>
                <w:szCs w:val="18"/>
                <w:b w:val="1"/>
                <w:bCs w:val="1"/>
                <w:color w:val="auto"/>
                <w:w w:val="90"/>
              </w:rPr>
              <w:t>As of 9/30/2018</w:t>
            </w: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80" w:type="dxa"/>
            <w:vAlign w:val="bottom"/>
            <w:gridSpan w:val="3"/>
          </w:tcPr>
          <w:p>
            <w:pPr>
              <w:jc w:val="center"/>
              <w:ind w:right="1870"/>
              <w:spacing w:after="0"/>
              <w:rPr>
                <w:sz w:val="20"/>
                <w:szCs w:val="20"/>
                <w:color w:val="auto"/>
              </w:rPr>
            </w:pPr>
            <w:r>
              <w:rPr>
                <w:rFonts w:ascii="Arial" w:cs="Arial" w:eastAsia="Arial" w:hAnsi="Arial"/>
                <w:sz w:val="18"/>
                <w:szCs w:val="18"/>
                <w:b w:val="1"/>
                <w:bCs w:val="1"/>
                <w:color w:val="auto"/>
                <w:w w:val="89"/>
              </w:rPr>
              <w:t>($000’s)</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9/30/2018</w:t>
            </w:r>
          </w:p>
        </w:tc>
        <w:tc>
          <w:tcPr>
            <w:tcW w:w="8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D5EAEA"/>
          </w:tcPr>
          <w:p>
            <w:pPr>
              <w:ind w:left="160"/>
              <w:spacing w:after="0"/>
              <w:rPr>
                <w:sz w:val="20"/>
                <w:szCs w:val="20"/>
                <w:color w:val="auto"/>
              </w:rPr>
            </w:pPr>
            <w:r>
              <w:rPr>
                <w:rFonts w:ascii="Arial" w:cs="Arial" w:eastAsia="Arial" w:hAnsi="Arial"/>
                <w:sz w:val="18"/>
                <w:szCs w:val="18"/>
                <w:color w:val="auto"/>
                <w:w w:val="95"/>
              </w:rPr>
              <w:t>Cash and Balances Due From Depository Institutions</w:t>
            </w:r>
          </w:p>
        </w:tc>
        <w:tc>
          <w:tcPr>
            <w:tcW w:w="3800" w:type="dxa"/>
            <w:vAlign w:val="bottom"/>
            <w:gridSpan w:val="4"/>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D5EAEA"/>
          </w:tcPr>
          <w:p>
            <w:pPr>
              <w:jc w:val="right"/>
              <w:ind w:right="80"/>
              <w:spacing w:after="0"/>
              <w:rPr>
                <w:sz w:val="20"/>
                <w:szCs w:val="20"/>
                <w:color w:val="auto"/>
              </w:rPr>
            </w:pPr>
            <w:r>
              <w:rPr>
                <w:rFonts w:ascii="Arial" w:cs="Arial" w:eastAsia="Arial" w:hAnsi="Arial"/>
                <w:sz w:val="18"/>
                <w:szCs w:val="18"/>
                <w:color w:val="auto"/>
              </w:rPr>
              <w:t>20,003,448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Securities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110,034,104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D5EAEA"/>
          </w:tcPr>
          <w:p>
            <w:pPr>
              <w:ind w:left="160"/>
              <w:spacing w:after="0"/>
              <w:rPr>
                <w:sz w:val="20"/>
                <w:szCs w:val="20"/>
                <w:color w:val="auto"/>
              </w:rPr>
            </w:pPr>
            <w:r>
              <w:rPr>
                <w:rFonts w:ascii="Arial" w:cs="Arial" w:eastAsia="Arial" w:hAnsi="Arial"/>
                <w:sz w:val="18"/>
                <w:szCs w:val="18"/>
                <w:color w:val="auto"/>
              </w:rPr>
              <w:t>Federal Funds</w:t>
            </w:r>
          </w:p>
        </w:tc>
        <w:tc>
          <w:tcPr>
            <w:tcW w:w="1120" w:type="dxa"/>
            <w:vAlign w:val="bottom"/>
            <w:shd w:val="clear" w:color="auto" w:fill="D5EAEA"/>
          </w:tcPr>
          <w:p>
            <w:pPr>
              <w:spacing w:after="0"/>
              <w:rPr>
                <w:sz w:val="18"/>
                <w:szCs w:val="18"/>
                <w:color w:val="auto"/>
              </w:rPr>
            </w:pPr>
          </w:p>
        </w:tc>
        <w:tc>
          <w:tcPr>
            <w:tcW w:w="700" w:type="dxa"/>
            <w:vAlign w:val="bottom"/>
            <w:shd w:val="clear" w:color="auto" w:fill="D5EAEA"/>
          </w:tcPr>
          <w:p>
            <w:pPr>
              <w:spacing w:after="0"/>
              <w:rPr>
                <w:sz w:val="18"/>
                <w:szCs w:val="18"/>
                <w:color w:val="auto"/>
              </w:rPr>
            </w:pPr>
          </w:p>
        </w:tc>
        <w:tc>
          <w:tcPr>
            <w:tcW w:w="1800" w:type="dxa"/>
            <w:vAlign w:val="bottom"/>
            <w:shd w:val="clear" w:color="auto" w:fill="D5EAEA"/>
          </w:tcPr>
          <w:p>
            <w:pPr>
              <w:spacing w:after="0"/>
              <w:rPr>
                <w:sz w:val="18"/>
                <w:szCs w:val="18"/>
                <w:color w:val="auto"/>
              </w:rPr>
            </w:pPr>
          </w:p>
        </w:tc>
        <w:tc>
          <w:tcPr>
            <w:tcW w:w="18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80"/>
              <w:spacing w:after="0"/>
              <w:rPr>
                <w:sz w:val="20"/>
                <w:szCs w:val="20"/>
                <w:color w:val="auto"/>
              </w:rPr>
            </w:pPr>
            <w:r>
              <w:rPr>
                <w:rFonts w:ascii="Arial" w:cs="Arial" w:eastAsia="Arial" w:hAnsi="Arial"/>
                <w:sz w:val="18"/>
                <w:szCs w:val="18"/>
                <w:color w:val="auto"/>
              </w:rPr>
              <w:t>31,434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Loans &amp; Lease Financing Receivables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281,653,128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D5EAEA"/>
          </w:tcPr>
          <w:p>
            <w:pPr>
              <w:ind w:left="160"/>
              <w:spacing w:after="0"/>
              <w:rPr>
                <w:sz w:val="20"/>
                <w:szCs w:val="20"/>
                <w:color w:val="auto"/>
              </w:rPr>
            </w:pPr>
            <w:r>
              <w:rPr>
                <w:rFonts w:ascii="Arial" w:cs="Arial" w:eastAsia="Arial" w:hAnsi="Arial"/>
                <w:sz w:val="18"/>
                <w:szCs w:val="18"/>
                <w:color w:val="auto"/>
              </w:rPr>
              <w:t>Fixed Assets</w:t>
            </w:r>
          </w:p>
        </w:tc>
        <w:tc>
          <w:tcPr>
            <w:tcW w:w="1120" w:type="dxa"/>
            <w:vAlign w:val="bottom"/>
            <w:shd w:val="clear" w:color="auto" w:fill="D5EAEA"/>
          </w:tcPr>
          <w:p>
            <w:pPr>
              <w:spacing w:after="0"/>
              <w:rPr>
                <w:sz w:val="18"/>
                <w:szCs w:val="18"/>
                <w:color w:val="auto"/>
              </w:rPr>
            </w:pPr>
          </w:p>
        </w:tc>
        <w:tc>
          <w:tcPr>
            <w:tcW w:w="700" w:type="dxa"/>
            <w:vAlign w:val="bottom"/>
            <w:shd w:val="clear" w:color="auto" w:fill="D5EAEA"/>
          </w:tcPr>
          <w:p>
            <w:pPr>
              <w:spacing w:after="0"/>
              <w:rPr>
                <w:sz w:val="18"/>
                <w:szCs w:val="18"/>
                <w:color w:val="auto"/>
              </w:rPr>
            </w:pPr>
          </w:p>
        </w:tc>
        <w:tc>
          <w:tcPr>
            <w:tcW w:w="1800" w:type="dxa"/>
            <w:vAlign w:val="bottom"/>
            <w:shd w:val="clear" w:color="auto" w:fill="D5EAEA"/>
          </w:tcPr>
          <w:p>
            <w:pPr>
              <w:spacing w:after="0"/>
              <w:rPr>
                <w:sz w:val="18"/>
                <w:szCs w:val="18"/>
                <w:color w:val="auto"/>
              </w:rPr>
            </w:pPr>
          </w:p>
        </w:tc>
        <w:tc>
          <w:tcPr>
            <w:tcW w:w="18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80"/>
              <w:spacing w:after="0"/>
              <w:rPr>
                <w:sz w:val="20"/>
                <w:szCs w:val="20"/>
                <w:color w:val="auto"/>
              </w:rPr>
            </w:pPr>
            <w:r>
              <w:rPr>
                <w:rFonts w:ascii="Arial" w:cs="Arial" w:eastAsia="Arial" w:hAnsi="Arial"/>
                <w:sz w:val="18"/>
                <w:szCs w:val="18"/>
                <w:color w:val="auto"/>
              </w:rPr>
              <w:t>3,819,093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Intangible Assets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13,233,498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D5EAEA"/>
          </w:tcPr>
          <w:p>
            <w:pPr>
              <w:ind w:left="160"/>
              <w:spacing w:after="0"/>
              <w:rPr>
                <w:sz w:val="20"/>
                <w:szCs w:val="20"/>
                <w:color w:val="auto"/>
              </w:rPr>
            </w:pPr>
            <w:r>
              <w:rPr>
                <w:rFonts w:ascii="Arial" w:cs="Arial" w:eastAsia="Arial" w:hAnsi="Arial"/>
                <w:sz w:val="18"/>
                <w:szCs w:val="18"/>
                <w:color w:val="auto"/>
              </w:rPr>
              <w:t>Other Assets</w:t>
            </w:r>
          </w:p>
        </w:tc>
        <w:tc>
          <w:tcPr>
            <w:tcW w:w="1120" w:type="dxa"/>
            <w:vAlign w:val="bottom"/>
            <w:shd w:val="clear" w:color="auto" w:fill="D5EAEA"/>
          </w:tcPr>
          <w:p>
            <w:pPr>
              <w:spacing w:after="0"/>
              <w:rPr>
                <w:sz w:val="19"/>
                <w:szCs w:val="19"/>
                <w:color w:val="auto"/>
              </w:rPr>
            </w:pPr>
          </w:p>
        </w:tc>
        <w:tc>
          <w:tcPr>
            <w:tcW w:w="700" w:type="dxa"/>
            <w:vAlign w:val="bottom"/>
            <w:shd w:val="clear" w:color="auto" w:fill="D5EAEA"/>
          </w:tcPr>
          <w:p>
            <w:pPr>
              <w:spacing w:after="0"/>
              <w:rPr>
                <w:sz w:val="19"/>
                <w:szCs w:val="19"/>
                <w:color w:val="auto"/>
              </w:rPr>
            </w:pPr>
          </w:p>
        </w:tc>
        <w:tc>
          <w:tcPr>
            <w:tcW w:w="1800" w:type="dxa"/>
            <w:vAlign w:val="bottom"/>
            <w:shd w:val="clear" w:color="auto" w:fill="D5EAEA"/>
          </w:tcPr>
          <w:p>
            <w:pPr>
              <w:spacing w:after="0"/>
              <w:rPr>
                <w:sz w:val="19"/>
                <w:szCs w:val="19"/>
                <w:color w:val="auto"/>
              </w:rPr>
            </w:pPr>
          </w:p>
        </w:tc>
        <w:tc>
          <w:tcPr>
            <w:tcW w:w="180" w:type="dxa"/>
            <w:vAlign w:val="bottom"/>
            <w:shd w:val="clear" w:color="auto" w:fill="D5EAEA"/>
          </w:tcPr>
          <w:p>
            <w:pPr>
              <w:spacing w:after="0"/>
              <w:rPr>
                <w:sz w:val="19"/>
                <w:szCs w:val="19"/>
                <w:color w:val="auto"/>
              </w:rPr>
            </w:pPr>
          </w:p>
        </w:tc>
        <w:tc>
          <w:tcPr>
            <w:tcW w:w="1100" w:type="dxa"/>
            <w:vAlign w:val="bottom"/>
            <w:gridSpan w:val="2"/>
            <w:shd w:val="clear" w:color="auto" w:fill="D5EAEA"/>
          </w:tcPr>
          <w:p>
            <w:pPr>
              <w:jc w:val="right"/>
              <w:ind w:right="80"/>
              <w:spacing w:after="0"/>
              <w:rPr>
                <w:sz w:val="20"/>
                <w:szCs w:val="20"/>
                <w:color w:val="auto"/>
              </w:rPr>
            </w:pPr>
            <w:r>
              <w:rPr>
                <w:rFonts w:ascii="Arial" w:cs="Arial" w:eastAsia="Arial" w:hAnsi="Arial"/>
                <w:sz w:val="18"/>
                <w:szCs w:val="18"/>
                <w:color w:val="auto"/>
              </w:rPr>
              <w:t>27,236,326</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b w:val="1"/>
                <w:bCs w:val="1"/>
                <w:color w:val="auto"/>
              </w:rPr>
              <w:t>Total Assets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456,011,031</w:t>
            </w: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700" w:type="dxa"/>
            <w:vAlign w:val="bottom"/>
            <w:shd w:val="clear" w:color="auto" w:fill="D5EAEA"/>
          </w:tcPr>
          <w:p>
            <w:pPr>
              <w:spacing w:after="0"/>
              <w:rPr>
                <w:sz w:val="18"/>
                <w:szCs w:val="18"/>
                <w:color w:val="auto"/>
              </w:rPr>
            </w:pPr>
          </w:p>
        </w:tc>
        <w:tc>
          <w:tcPr>
            <w:tcW w:w="1800" w:type="dxa"/>
            <w:vAlign w:val="bottom"/>
            <w:shd w:val="clear" w:color="auto" w:fill="D5EAEA"/>
          </w:tcPr>
          <w:p>
            <w:pPr>
              <w:spacing w:after="0"/>
              <w:rPr>
                <w:sz w:val="18"/>
                <w:szCs w:val="18"/>
                <w:color w:val="auto"/>
              </w:rPr>
            </w:pPr>
          </w:p>
        </w:tc>
        <w:tc>
          <w:tcPr>
            <w:tcW w:w="18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D5EAEA"/>
          </w:tcPr>
          <w:p>
            <w:pPr>
              <w:ind w:left="160"/>
              <w:spacing w:after="0"/>
              <w:rPr>
                <w:sz w:val="20"/>
                <w:szCs w:val="20"/>
                <w:color w:val="auto"/>
              </w:rPr>
            </w:pPr>
            <w:r>
              <w:rPr>
                <w:rFonts w:ascii="Arial" w:cs="Arial" w:eastAsia="Arial" w:hAnsi="Arial"/>
                <w:sz w:val="18"/>
                <w:szCs w:val="18"/>
                <w:color w:val="auto"/>
              </w:rPr>
              <w:t>Deposits</w:t>
            </w:r>
          </w:p>
        </w:tc>
        <w:tc>
          <w:tcPr>
            <w:tcW w:w="3800" w:type="dxa"/>
            <w:vAlign w:val="bottom"/>
            <w:gridSpan w:val="4"/>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D5EAEA"/>
          </w:tcPr>
          <w:p>
            <w:pPr>
              <w:jc w:val="right"/>
              <w:ind w:right="80"/>
              <w:spacing w:after="0"/>
              <w:rPr>
                <w:sz w:val="20"/>
                <w:szCs w:val="20"/>
                <w:color w:val="auto"/>
              </w:rPr>
            </w:pPr>
            <w:r>
              <w:rPr>
                <w:rFonts w:ascii="Arial" w:cs="Arial" w:eastAsia="Arial" w:hAnsi="Arial"/>
                <w:sz w:val="18"/>
                <w:szCs w:val="18"/>
                <w:color w:val="auto"/>
                <w:w w:val="99"/>
              </w:rPr>
              <w:t>342,906,860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Fed Funds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6,964,321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D5EAEA"/>
          </w:tcPr>
          <w:p>
            <w:pPr>
              <w:ind w:left="160"/>
              <w:spacing w:after="0"/>
              <w:rPr>
                <w:sz w:val="20"/>
                <w:szCs w:val="20"/>
                <w:color w:val="auto"/>
              </w:rPr>
            </w:pPr>
            <w:r>
              <w:rPr>
                <w:rFonts w:ascii="Arial" w:cs="Arial" w:eastAsia="Arial" w:hAnsi="Arial"/>
                <w:sz w:val="18"/>
                <w:szCs w:val="18"/>
                <w:color w:val="auto"/>
              </w:rPr>
              <w:t>Treasury Demand Notes</w:t>
            </w:r>
          </w:p>
        </w:tc>
        <w:tc>
          <w:tcPr>
            <w:tcW w:w="1120" w:type="dxa"/>
            <w:vAlign w:val="bottom"/>
            <w:shd w:val="clear" w:color="auto" w:fill="D5EAEA"/>
          </w:tcPr>
          <w:p>
            <w:pPr>
              <w:spacing w:after="0"/>
              <w:rPr>
                <w:sz w:val="18"/>
                <w:szCs w:val="18"/>
                <w:color w:val="auto"/>
              </w:rPr>
            </w:pPr>
          </w:p>
        </w:tc>
        <w:tc>
          <w:tcPr>
            <w:tcW w:w="700" w:type="dxa"/>
            <w:vAlign w:val="bottom"/>
            <w:shd w:val="clear" w:color="auto" w:fill="D5EAEA"/>
          </w:tcPr>
          <w:p>
            <w:pPr>
              <w:spacing w:after="0"/>
              <w:rPr>
                <w:sz w:val="18"/>
                <w:szCs w:val="18"/>
                <w:color w:val="auto"/>
              </w:rPr>
            </w:pPr>
          </w:p>
        </w:tc>
        <w:tc>
          <w:tcPr>
            <w:tcW w:w="1800" w:type="dxa"/>
            <w:vAlign w:val="bottom"/>
            <w:shd w:val="clear" w:color="auto" w:fill="D5EAEA"/>
          </w:tcPr>
          <w:p>
            <w:pPr>
              <w:spacing w:after="0"/>
              <w:rPr>
                <w:sz w:val="18"/>
                <w:szCs w:val="18"/>
                <w:color w:val="auto"/>
              </w:rPr>
            </w:pPr>
          </w:p>
        </w:tc>
        <w:tc>
          <w:tcPr>
            <w:tcW w:w="18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80"/>
              <w:spacing w:after="0"/>
              <w:rPr>
                <w:sz w:val="20"/>
                <w:szCs w:val="20"/>
                <w:color w:val="auto"/>
              </w:rPr>
            </w:pPr>
            <w:r>
              <w:rPr>
                <w:rFonts w:ascii="Arial" w:cs="Arial" w:eastAsia="Arial" w:hAnsi="Arial"/>
                <w:sz w:val="18"/>
                <w:szCs w:val="18"/>
                <w:color w:val="auto"/>
              </w:rPr>
              <w:t>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Trading Liabilities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977,478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D5EAEA"/>
          </w:tcPr>
          <w:p>
            <w:pPr>
              <w:ind w:left="160"/>
              <w:spacing w:after="0"/>
              <w:rPr>
                <w:sz w:val="20"/>
                <w:szCs w:val="20"/>
                <w:color w:val="auto"/>
              </w:rPr>
            </w:pPr>
            <w:r>
              <w:rPr>
                <w:rFonts w:ascii="Arial" w:cs="Arial" w:eastAsia="Arial" w:hAnsi="Arial"/>
                <w:sz w:val="18"/>
                <w:szCs w:val="18"/>
                <w:color w:val="auto"/>
              </w:rPr>
              <w:t>Other Borrowed Money</w:t>
            </w:r>
          </w:p>
        </w:tc>
        <w:tc>
          <w:tcPr>
            <w:tcW w:w="1120" w:type="dxa"/>
            <w:vAlign w:val="bottom"/>
            <w:shd w:val="clear" w:color="auto" w:fill="D5EAEA"/>
          </w:tcPr>
          <w:p>
            <w:pPr>
              <w:spacing w:after="0"/>
              <w:rPr>
                <w:sz w:val="18"/>
                <w:szCs w:val="18"/>
                <w:color w:val="auto"/>
              </w:rPr>
            </w:pPr>
          </w:p>
        </w:tc>
        <w:tc>
          <w:tcPr>
            <w:tcW w:w="700" w:type="dxa"/>
            <w:vAlign w:val="bottom"/>
            <w:shd w:val="clear" w:color="auto" w:fill="D5EAEA"/>
          </w:tcPr>
          <w:p>
            <w:pPr>
              <w:spacing w:after="0"/>
              <w:rPr>
                <w:sz w:val="18"/>
                <w:szCs w:val="18"/>
                <w:color w:val="auto"/>
              </w:rPr>
            </w:pPr>
          </w:p>
        </w:tc>
        <w:tc>
          <w:tcPr>
            <w:tcW w:w="1800" w:type="dxa"/>
            <w:vAlign w:val="bottom"/>
            <w:shd w:val="clear" w:color="auto" w:fill="D5EAEA"/>
          </w:tcPr>
          <w:p>
            <w:pPr>
              <w:spacing w:after="0"/>
              <w:rPr>
                <w:sz w:val="18"/>
                <w:szCs w:val="18"/>
                <w:color w:val="auto"/>
              </w:rPr>
            </w:pPr>
          </w:p>
        </w:tc>
        <w:tc>
          <w:tcPr>
            <w:tcW w:w="18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80"/>
              <w:spacing w:after="0"/>
              <w:rPr>
                <w:sz w:val="20"/>
                <w:szCs w:val="20"/>
                <w:color w:val="auto"/>
              </w:rPr>
            </w:pPr>
            <w:r>
              <w:rPr>
                <w:rFonts w:ascii="Arial" w:cs="Arial" w:eastAsia="Arial" w:hAnsi="Arial"/>
                <w:sz w:val="18"/>
                <w:szCs w:val="18"/>
                <w:color w:val="auto"/>
              </w:rPr>
              <w:t>38,881,574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Acceptances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D5EAEA"/>
          </w:tcPr>
          <w:p>
            <w:pPr>
              <w:ind w:left="160"/>
              <w:spacing w:after="0"/>
              <w:rPr>
                <w:sz w:val="20"/>
                <w:szCs w:val="20"/>
                <w:color w:val="auto"/>
              </w:rPr>
            </w:pPr>
            <w:r>
              <w:rPr>
                <w:rFonts w:ascii="Arial" w:cs="Arial" w:eastAsia="Arial" w:hAnsi="Arial"/>
                <w:sz w:val="18"/>
                <w:szCs w:val="18"/>
                <w:color w:val="auto"/>
              </w:rPr>
              <w:t>Subordinated Notes and Debentures</w:t>
            </w:r>
          </w:p>
        </w:tc>
        <w:tc>
          <w:tcPr>
            <w:tcW w:w="1120" w:type="dxa"/>
            <w:vAlign w:val="bottom"/>
            <w:shd w:val="clear" w:color="auto" w:fill="D5EAEA"/>
          </w:tcPr>
          <w:p>
            <w:pPr>
              <w:spacing w:after="0"/>
              <w:rPr>
                <w:sz w:val="18"/>
                <w:szCs w:val="18"/>
                <w:color w:val="auto"/>
              </w:rPr>
            </w:pPr>
          </w:p>
        </w:tc>
        <w:tc>
          <w:tcPr>
            <w:tcW w:w="700" w:type="dxa"/>
            <w:vAlign w:val="bottom"/>
            <w:shd w:val="clear" w:color="auto" w:fill="D5EAEA"/>
          </w:tcPr>
          <w:p>
            <w:pPr>
              <w:spacing w:after="0"/>
              <w:rPr>
                <w:sz w:val="18"/>
                <w:szCs w:val="18"/>
                <w:color w:val="auto"/>
              </w:rPr>
            </w:pPr>
          </w:p>
        </w:tc>
        <w:tc>
          <w:tcPr>
            <w:tcW w:w="1800" w:type="dxa"/>
            <w:vAlign w:val="bottom"/>
            <w:shd w:val="clear" w:color="auto" w:fill="D5EAEA"/>
          </w:tcPr>
          <w:p>
            <w:pPr>
              <w:spacing w:after="0"/>
              <w:rPr>
                <w:sz w:val="18"/>
                <w:szCs w:val="18"/>
                <w:color w:val="auto"/>
              </w:rPr>
            </w:pPr>
          </w:p>
        </w:tc>
        <w:tc>
          <w:tcPr>
            <w:tcW w:w="18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80"/>
              <w:spacing w:after="0"/>
              <w:rPr>
                <w:sz w:val="20"/>
                <w:szCs w:val="20"/>
                <w:color w:val="auto"/>
              </w:rPr>
            </w:pPr>
            <w:r>
              <w:rPr>
                <w:rFonts w:ascii="Arial" w:cs="Arial" w:eastAsia="Arial" w:hAnsi="Arial"/>
                <w:sz w:val="18"/>
                <w:szCs w:val="18"/>
                <w:color w:val="auto"/>
              </w:rPr>
              <w:t>3,800,000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Other Liabilities</w:t>
            </w: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14,600,333</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D5EAEA"/>
            </w:tcBorders>
            <w:shd w:val="clear" w:color="auto" w:fill="D5EAEA"/>
          </w:tcPr>
          <w:p>
            <w:pPr>
              <w:ind w:left="160"/>
              <w:spacing w:after="0"/>
              <w:rPr>
                <w:sz w:val="20"/>
                <w:szCs w:val="20"/>
                <w:color w:val="auto"/>
              </w:rPr>
            </w:pPr>
            <w:r>
              <w:rPr>
                <w:rFonts w:ascii="Arial" w:cs="Arial" w:eastAsia="Arial" w:hAnsi="Arial"/>
                <w:sz w:val="18"/>
                <w:szCs w:val="18"/>
                <w:b w:val="1"/>
                <w:bCs w:val="1"/>
                <w:color w:val="auto"/>
              </w:rPr>
              <w:t>Total Liabilities</w:t>
            </w:r>
          </w:p>
        </w:tc>
        <w:tc>
          <w:tcPr>
            <w:tcW w:w="1120" w:type="dxa"/>
            <w:vAlign w:val="bottom"/>
            <w:tcBorders>
              <w:top w:val="single" w:sz="8" w:color="D5EAEA"/>
            </w:tcBorders>
            <w:shd w:val="clear" w:color="auto" w:fill="D5EAEA"/>
          </w:tcPr>
          <w:p>
            <w:pPr>
              <w:spacing w:after="0"/>
              <w:rPr>
                <w:sz w:val="18"/>
                <w:szCs w:val="18"/>
                <w:color w:val="auto"/>
              </w:rPr>
            </w:pPr>
          </w:p>
        </w:tc>
        <w:tc>
          <w:tcPr>
            <w:tcW w:w="700" w:type="dxa"/>
            <w:vAlign w:val="bottom"/>
            <w:tcBorders>
              <w:top w:val="single" w:sz="8" w:color="D5EAEA"/>
            </w:tcBorders>
            <w:shd w:val="clear" w:color="auto" w:fill="D5EAEA"/>
          </w:tcPr>
          <w:p>
            <w:pPr>
              <w:spacing w:after="0"/>
              <w:rPr>
                <w:sz w:val="18"/>
                <w:szCs w:val="18"/>
                <w:color w:val="auto"/>
              </w:rPr>
            </w:pPr>
          </w:p>
        </w:tc>
        <w:tc>
          <w:tcPr>
            <w:tcW w:w="1800" w:type="dxa"/>
            <w:vAlign w:val="bottom"/>
            <w:tcBorders>
              <w:top w:val="single" w:sz="8" w:color="D5EAEA"/>
            </w:tcBorders>
            <w:shd w:val="clear" w:color="auto" w:fill="D5EAEA"/>
          </w:tcPr>
          <w:p>
            <w:pPr>
              <w:spacing w:after="0"/>
              <w:rPr>
                <w:sz w:val="18"/>
                <w:szCs w:val="18"/>
                <w:color w:val="auto"/>
              </w:rPr>
            </w:pPr>
          </w:p>
        </w:tc>
        <w:tc>
          <w:tcPr>
            <w:tcW w:w="18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w w:val="99"/>
              </w:rPr>
              <w:t>408,130,566</w:t>
            </w:r>
          </w:p>
        </w:tc>
        <w:tc>
          <w:tcPr>
            <w:tcW w:w="80" w:type="dxa"/>
            <w:vAlign w:val="bottom"/>
            <w:tcBorders>
              <w:top w:val="single" w:sz="8" w:color="D5EAEA"/>
            </w:tcBorders>
            <w:shd w:val="clear" w:color="auto" w:fill="D5EAEA"/>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Equity</w:t>
            </w:r>
          </w:p>
        </w:tc>
        <w:tc>
          <w:tcPr>
            <w:tcW w:w="1120" w:type="dxa"/>
            <w:vAlign w:val="bottom"/>
            <w:shd w:val="clear" w:color="auto" w:fill="D5EAEA"/>
          </w:tcPr>
          <w:p>
            <w:pPr>
              <w:spacing w:after="0"/>
              <w:rPr>
                <w:sz w:val="18"/>
                <w:szCs w:val="18"/>
                <w:color w:val="auto"/>
              </w:rPr>
            </w:pPr>
          </w:p>
        </w:tc>
        <w:tc>
          <w:tcPr>
            <w:tcW w:w="700" w:type="dxa"/>
            <w:vAlign w:val="bottom"/>
            <w:shd w:val="clear" w:color="auto" w:fill="D5EAEA"/>
          </w:tcPr>
          <w:p>
            <w:pPr>
              <w:spacing w:after="0"/>
              <w:rPr>
                <w:sz w:val="18"/>
                <w:szCs w:val="18"/>
                <w:color w:val="auto"/>
              </w:rPr>
            </w:pPr>
          </w:p>
        </w:tc>
        <w:tc>
          <w:tcPr>
            <w:tcW w:w="1800" w:type="dxa"/>
            <w:vAlign w:val="bottom"/>
            <w:shd w:val="clear" w:color="auto" w:fill="D5EAEA"/>
          </w:tcPr>
          <w:p>
            <w:pPr>
              <w:spacing w:after="0"/>
              <w:rPr>
                <w:sz w:val="18"/>
                <w:szCs w:val="18"/>
                <w:color w:val="auto"/>
              </w:rPr>
            </w:pPr>
          </w:p>
        </w:tc>
        <w:tc>
          <w:tcPr>
            <w:tcW w:w="18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Common and Preferred Stock</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18,200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D5EAEA"/>
          </w:tcPr>
          <w:p>
            <w:pPr>
              <w:ind w:left="160"/>
              <w:spacing w:after="0"/>
              <w:rPr>
                <w:sz w:val="20"/>
                <w:szCs w:val="20"/>
                <w:color w:val="auto"/>
              </w:rPr>
            </w:pPr>
            <w:r>
              <w:rPr>
                <w:rFonts w:ascii="Arial" w:cs="Arial" w:eastAsia="Arial" w:hAnsi="Arial"/>
                <w:sz w:val="18"/>
                <w:szCs w:val="18"/>
                <w:color w:val="auto"/>
              </w:rPr>
              <w:t>Surplus</w:t>
            </w:r>
          </w:p>
        </w:tc>
        <w:tc>
          <w:tcPr>
            <w:tcW w:w="1120" w:type="dxa"/>
            <w:vAlign w:val="bottom"/>
            <w:shd w:val="clear" w:color="auto" w:fill="D5EAEA"/>
          </w:tcPr>
          <w:p>
            <w:pPr>
              <w:spacing w:after="0"/>
              <w:rPr>
                <w:sz w:val="18"/>
                <w:szCs w:val="18"/>
                <w:color w:val="auto"/>
              </w:rPr>
            </w:pPr>
          </w:p>
        </w:tc>
        <w:tc>
          <w:tcPr>
            <w:tcW w:w="700" w:type="dxa"/>
            <w:vAlign w:val="bottom"/>
            <w:shd w:val="clear" w:color="auto" w:fill="D5EAEA"/>
          </w:tcPr>
          <w:p>
            <w:pPr>
              <w:spacing w:after="0"/>
              <w:rPr>
                <w:sz w:val="18"/>
                <w:szCs w:val="18"/>
                <w:color w:val="auto"/>
              </w:rPr>
            </w:pPr>
          </w:p>
        </w:tc>
        <w:tc>
          <w:tcPr>
            <w:tcW w:w="1800" w:type="dxa"/>
            <w:vAlign w:val="bottom"/>
            <w:shd w:val="clear" w:color="auto" w:fill="D5EAEA"/>
          </w:tcPr>
          <w:p>
            <w:pPr>
              <w:spacing w:after="0"/>
              <w:rPr>
                <w:sz w:val="18"/>
                <w:szCs w:val="18"/>
                <w:color w:val="auto"/>
              </w:rPr>
            </w:pPr>
          </w:p>
        </w:tc>
        <w:tc>
          <w:tcPr>
            <w:tcW w:w="18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80"/>
              <w:spacing w:after="0"/>
              <w:rPr>
                <w:sz w:val="20"/>
                <w:szCs w:val="20"/>
                <w:color w:val="auto"/>
              </w:rPr>
            </w:pPr>
            <w:r>
              <w:rPr>
                <w:rFonts w:ascii="Arial" w:cs="Arial" w:eastAsia="Arial" w:hAnsi="Arial"/>
                <w:sz w:val="18"/>
                <w:szCs w:val="18"/>
                <w:color w:val="auto"/>
              </w:rPr>
              <w:t>14,266,915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Undivided Profits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32,793,053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D5EAEA"/>
          </w:tcPr>
          <w:p>
            <w:pPr>
              <w:ind w:left="160"/>
              <w:spacing w:after="0"/>
              <w:rPr>
                <w:sz w:val="20"/>
                <w:szCs w:val="20"/>
                <w:color w:val="auto"/>
              </w:rPr>
            </w:pPr>
            <w:r>
              <w:rPr>
                <w:rFonts w:ascii="Arial" w:cs="Arial" w:eastAsia="Arial" w:hAnsi="Arial"/>
                <w:sz w:val="18"/>
                <w:szCs w:val="18"/>
                <w:color w:val="auto"/>
              </w:rPr>
              <w:t>Minority Interest in Subsidiaries</w:t>
            </w:r>
          </w:p>
        </w:tc>
        <w:tc>
          <w:tcPr>
            <w:tcW w:w="1120" w:type="dxa"/>
            <w:vAlign w:val="bottom"/>
            <w:shd w:val="clear" w:color="auto" w:fill="D5EAEA"/>
          </w:tcPr>
          <w:p>
            <w:pPr>
              <w:spacing w:after="0"/>
              <w:rPr>
                <w:sz w:val="19"/>
                <w:szCs w:val="19"/>
                <w:color w:val="auto"/>
              </w:rPr>
            </w:pPr>
          </w:p>
        </w:tc>
        <w:tc>
          <w:tcPr>
            <w:tcW w:w="700" w:type="dxa"/>
            <w:vAlign w:val="bottom"/>
            <w:shd w:val="clear" w:color="auto" w:fill="D5EAEA"/>
          </w:tcPr>
          <w:p>
            <w:pPr>
              <w:spacing w:after="0"/>
              <w:rPr>
                <w:sz w:val="19"/>
                <w:szCs w:val="19"/>
                <w:color w:val="auto"/>
              </w:rPr>
            </w:pPr>
          </w:p>
        </w:tc>
        <w:tc>
          <w:tcPr>
            <w:tcW w:w="1800" w:type="dxa"/>
            <w:vAlign w:val="bottom"/>
            <w:shd w:val="clear" w:color="auto" w:fill="D5EAEA"/>
          </w:tcPr>
          <w:p>
            <w:pPr>
              <w:spacing w:after="0"/>
              <w:rPr>
                <w:sz w:val="19"/>
                <w:szCs w:val="19"/>
                <w:color w:val="auto"/>
              </w:rPr>
            </w:pPr>
          </w:p>
        </w:tc>
        <w:tc>
          <w:tcPr>
            <w:tcW w:w="180" w:type="dxa"/>
            <w:vAlign w:val="bottom"/>
            <w:shd w:val="clear" w:color="auto" w:fill="D5EAEA"/>
          </w:tcPr>
          <w:p>
            <w:pPr>
              <w:spacing w:after="0"/>
              <w:rPr>
                <w:sz w:val="19"/>
                <w:szCs w:val="19"/>
                <w:color w:val="auto"/>
              </w:rPr>
            </w:pPr>
          </w:p>
        </w:tc>
        <w:tc>
          <w:tcPr>
            <w:tcW w:w="1100" w:type="dxa"/>
            <w:vAlign w:val="bottom"/>
            <w:gridSpan w:val="2"/>
            <w:shd w:val="clear" w:color="auto" w:fill="D5EAEA"/>
          </w:tcPr>
          <w:p>
            <w:pPr>
              <w:jc w:val="right"/>
              <w:ind w:right="80"/>
              <w:spacing w:after="0"/>
              <w:rPr>
                <w:sz w:val="20"/>
                <w:szCs w:val="20"/>
                <w:color w:val="auto"/>
              </w:rPr>
            </w:pPr>
            <w:r>
              <w:rPr>
                <w:rFonts w:ascii="Arial" w:cs="Arial" w:eastAsia="Arial" w:hAnsi="Arial"/>
                <w:sz w:val="18"/>
                <w:szCs w:val="18"/>
                <w:color w:val="auto"/>
              </w:rPr>
              <w:t>802,297</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b w:val="1"/>
                <w:bCs w:val="1"/>
                <w:color w:val="auto"/>
              </w:rPr>
              <w:t>Total Equity Capital</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47,880,465</w:t>
            </w: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700" w:type="dxa"/>
            <w:vAlign w:val="bottom"/>
            <w:shd w:val="clear" w:color="auto" w:fill="D5EAEA"/>
          </w:tcPr>
          <w:p>
            <w:pPr>
              <w:spacing w:after="0"/>
              <w:rPr>
                <w:sz w:val="18"/>
                <w:szCs w:val="18"/>
                <w:color w:val="auto"/>
              </w:rPr>
            </w:pPr>
          </w:p>
        </w:tc>
        <w:tc>
          <w:tcPr>
            <w:tcW w:w="1800" w:type="dxa"/>
            <w:vAlign w:val="bottom"/>
            <w:shd w:val="clear" w:color="auto" w:fill="D5EAEA"/>
          </w:tcPr>
          <w:p>
            <w:pPr>
              <w:spacing w:after="0"/>
              <w:rPr>
                <w:sz w:val="18"/>
                <w:szCs w:val="18"/>
                <w:color w:val="auto"/>
              </w:rPr>
            </w:pPr>
          </w:p>
        </w:tc>
        <w:tc>
          <w:tcPr>
            <w:tcW w:w="18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tcPr>
          <w:p>
            <w:pPr>
              <w:ind w:left="160"/>
              <w:spacing w:after="0"/>
              <w:rPr>
                <w:sz w:val="20"/>
                <w:szCs w:val="20"/>
                <w:color w:val="auto"/>
              </w:rPr>
            </w:pPr>
            <w:r>
              <w:rPr>
                <w:rFonts w:ascii="Arial" w:cs="Arial" w:eastAsia="Arial" w:hAnsi="Arial"/>
                <w:sz w:val="18"/>
                <w:szCs w:val="18"/>
                <w:b w:val="1"/>
                <w:bCs w:val="1"/>
                <w:color w:val="auto"/>
              </w:rPr>
              <w:t>Total Liabilities and Equity Capital</w:t>
            </w:r>
          </w:p>
        </w:tc>
        <w:tc>
          <w:tcPr>
            <w:tcW w:w="380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9"/>
              </w:rPr>
              <w:t>456,011,031</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9"/>
        </w:trPr>
        <w:tc>
          <w:tcPr>
            <w:tcW w:w="20" w:type="dxa"/>
            <w:vAlign w:val="bottom"/>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7</w:t>
            </w:r>
          </w:p>
        </w:tc>
        <w:tc>
          <w:tcPr>
            <w:tcW w:w="1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67"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22"/>
          <w:szCs w:val="22"/>
          <w:b w:val="1"/>
          <w:bCs w:val="1"/>
          <w:color w:val="auto"/>
        </w:rPr>
        <w:t>Exhibit 25.3</w:t>
      </w:r>
    </w:p>
    <w:p>
      <w:pPr>
        <w:spacing w:after="0" w:line="20" w:lineRule="exact"/>
        <w:rPr>
          <w:sz w:val="20"/>
          <w:szCs w:val="20"/>
          <w:color w:val="auto"/>
        </w:rPr>
      </w:pPr>
    </w:p>
    <w:p>
      <w:pPr>
        <w:ind w:left="2240"/>
        <w:spacing w:after="0"/>
        <w:rPr>
          <w:sz w:val="20"/>
          <w:szCs w:val="20"/>
          <w:color w:val="auto"/>
        </w:rPr>
      </w:pPr>
      <w:r>
        <w:rPr>
          <w:rFonts w:ascii="Arial" w:cs="Arial" w:eastAsia="Arial" w:hAnsi="Arial"/>
          <w:sz w:val="18"/>
          <w:szCs w:val="18"/>
          <w:u w:val="single" w:color="auto"/>
          <w:color w:val="auto"/>
        </w:rPr>
        <w:t>_____________________________________________________________________________</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FORM T-1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ELIGIBILITY UNDER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TRUST INDENTURE ACT OF 1939 OF 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CORPORATION DESIGNATED TO ACT AS TRUSTEE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Check if an Application to Determine Eligibility of</w:t>
      </w:r>
    </w:p>
    <w:p>
      <w:pPr>
        <w:spacing w:after="0" w:line="2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a Trustee Pursuant to Section 305(b)(2)</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U.S. BANK NATIONAL ASSOCIATION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Trustee as specified in its charter)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31-0841368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I.R.S. Employer Identification No.</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57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800 Nicollet Mall</w:t>
            </w:r>
          </w:p>
        </w:tc>
        <w:tc>
          <w:tcPr>
            <w:tcW w:w="1440" w:type="dxa"/>
            <w:vAlign w:val="bottom"/>
            <w:tcBorders>
              <w:top w:val="single" w:sz="8" w:color="auto"/>
            </w:tcBorders>
          </w:tcPr>
          <w:p>
            <w:pPr>
              <w:spacing w:after="0"/>
              <w:rPr>
                <w:sz w:val="18"/>
                <w:szCs w:val="18"/>
                <w:color w:val="auto"/>
              </w:rPr>
            </w:pPr>
          </w:p>
        </w:tc>
        <w:tc>
          <w:tcPr>
            <w:tcW w:w="4260" w:type="dxa"/>
            <w:vAlign w:val="bottom"/>
            <w:tcBorders>
              <w:top w:val="single" w:sz="8" w:color="auto"/>
              <w:right w:val="single" w:sz="8" w:color="auto"/>
            </w:tcBorders>
          </w:tcPr>
          <w:p>
            <w:pPr>
              <w:jc w:val="center"/>
              <w:ind w:right="1370"/>
              <w:spacing w:after="0"/>
              <w:rPr>
                <w:sz w:val="20"/>
                <w:szCs w:val="20"/>
                <w:color w:val="auto"/>
              </w:rPr>
            </w:pPr>
            <w:r>
              <w:rPr>
                <w:rFonts w:ascii="Arial" w:cs="Arial" w:eastAsia="Arial" w:hAnsi="Arial"/>
                <w:sz w:val="18"/>
                <w:szCs w:val="18"/>
                <w:color w:val="auto"/>
                <w:w w:val="87"/>
              </w:rPr>
              <w:t>55402</w:t>
            </w:r>
          </w:p>
        </w:tc>
      </w:tr>
      <w:tr>
        <w:trPr>
          <w:trHeight w:val="230"/>
        </w:trPr>
        <w:tc>
          <w:tcPr>
            <w:tcW w:w="5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Minneapolis, Minnesota</w:t>
            </w:r>
          </w:p>
        </w:tc>
        <w:tc>
          <w:tcPr>
            <w:tcW w:w="1440" w:type="dxa"/>
            <w:vAlign w:val="bottom"/>
            <w:tcBorders>
              <w:bottom w:val="single" w:sz="8" w:color="auto"/>
            </w:tcBorders>
          </w:tcPr>
          <w:p>
            <w:pPr>
              <w:spacing w:after="0"/>
              <w:rPr>
                <w:sz w:val="20"/>
                <w:szCs w:val="20"/>
                <w:color w:val="auto"/>
              </w:rPr>
            </w:pPr>
          </w:p>
        </w:tc>
        <w:tc>
          <w:tcPr>
            <w:tcW w:w="4260" w:type="dxa"/>
            <w:vAlign w:val="bottom"/>
            <w:tcBorders>
              <w:bottom w:val="single" w:sz="8" w:color="auto"/>
              <w:right w:val="single" w:sz="8" w:color="auto"/>
            </w:tcBorders>
          </w:tcPr>
          <w:p>
            <w:pPr>
              <w:spacing w:after="0"/>
              <w:rPr>
                <w:sz w:val="20"/>
                <w:szCs w:val="20"/>
                <w:color w:val="auto"/>
              </w:rPr>
            </w:pPr>
          </w:p>
        </w:tc>
      </w:tr>
      <w:tr>
        <w:trPr>
          <w:trHeight w:val="210"/>
        </w:trPr>
        <w:tc>
          <w:tcPr>
            <w:tcW w:w="5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440" w:type="dxa"/>
            <w:vAlign w:val="bottom"/>
            <w:tcBorders>
              <w:bottom w:val="single" w:sz="8" w:color="auto"/>
            </w:tcBorders>
          </w:tcPr>
          <w:p>
            <w:pPr>
              <w:spacing w:after="0"/>
              <w:rPr>
                <w:sz w:val="18"/>
                <w:szCs w:val="18"/>
                <w:color w:val="auto"/>
              </w:rPr>
            </w:pPr>
          </w:p>
        </w:tc>
        <w:tc>
          <w:tcPr>
            <w:tcW w:w="4260" w:type="dxa"/>
            <w:vAlign w:val="bottom"/>
            <w:tcBorders>
              <w:bottom w:val="single" w:sz="8" w:color="auto"/>
              <w:right w:val="single" w:sz="8" w:color="auto"/>
            </w:tcBorders>
          </w:tcPr>
          <w:p>
            <w:pPr>
              <w:jc w:val="center"/>
              <w:ind w:right="1370"/>
              <w:spacing w:after="0"/>
              <w:rPr>
                <w:sz w:val="20"/>
                <w:szCs w:val="20"/>
                <w:color w:val="auto"/>
              </w:rPr>
            </w:pPr>
            <w:r>
              <w:rPr>
                <w:rFonts w:ascii="Arial" w:cs="Arial" w:eastAsia="Arial" w:hAnsi="Arial"/>
                <w:sz w:val="18"/>
                <w:szCs w:val="18"/>
                <w:color w:val="auto"/>
                <w:w w:val="94"/>
              </w:rPr>
              <w:t>(Zip Code)</w:t>
            </w:r>
          </w:p>
        </w:tc>
      </w:tr>
      <w:tr>
        <w:trPr>
          <w:trHeight w:val="411"/>
        </w:trPr>
        <w:tc>
          <w:tcPr>
            <w:tcW w:w="7160" w:type="dxa"/>
            <w:vAlign w:val="bottom"/>
            <w:gridSpan w:val="2"/>
          </w:tcPr>
          <w:p>
            <w:pPr>
              <w:jc w:val="center"/>
              <w:ind w:left="4168"/>
              <w:spacing w:after="0"/>
              <w:rPr>
                <w:sz w:val="20"/>
                <w:szCs w:val="20"/>
                <w:color w:val="auto"/>
              </w:rPr>
            </w:pPr>
            <w:r>
              <w:rPr>
                <w:rFonts w:ascii="Arial" w:cs="Arial" w:eastAsia="Arial" w:hAnsi="Arial"/>
                <w:sz w:val="18"/>
                <w:szCs w:val="18"/>
                <w:color w:val="auto"/>
                <w:w w:val="96"/>
              </w:rPr>
              <w:t>Scott Miller</w:t>
            </w:r>
          </w:p>
        </w:tc>
        <w:tc>
          <w:tcPr>
            <w:tcW w:w="4260" w:type="dxa"/>
            <w:vAlign w:val="bottom"/>
          </w:tcPr>
          <w:p>
            <w:pPr>
              <w:spacing w:after="0"/>
              <w:rPr>
                <w:sz w:val="24"/>
                <w:szCs w:val="24"/>
                <w:color w:val="auto"/>
              </w:rPr>
            </w:pPr>
          </w:p>
        </w:tc>
      </w:tr>
      <w:tr>
        <w:trPr>
          <w:trHeight w:val="216"/>
        </w:trPr>
        <w:tc>
          <w:tcPr>
            <w:tcW w:w="7160" w:type="dxa"/>
            <w:vAlign w:val="bottom"/>
            <w:gridSpan w:val="2"/>
          </w:tcPr>
          <w:p>
            <w:pPr>
              <w:jc w:val="center"/>
              <w:ind w:left="4168"/>
              <w:spacing w:after="0"/>
              <w:rPr>
                <w:sz w:val="20"/>
                <w:szCs w:val="20"/>
                <w:color w:val="auto"/>
              </w:rPr>
            </w:pPr>
            <w:r>
              <w:rPr>
                <w:rFonts w:ascii="Arial" w:cs="Arial" w:eastAsia="Arial" w:hAnsi="Arial"/>
                <w:sz w:val="18"/>
                <w:szCs w:val="18"/>
                <w:color w:val="auto"/>
                <w:w w:val="92"/>
              </w:rPr>
              <w:t>U.S. Bank National Association</w:t>
            </w:r>
          </w:p>
        </w:tc>
        <w:tc>
          <w:tcPr>
            <w:tcW w:w="4260" w:type="dxa"/>
            <w:vAlign w:val="bottom"/>
          </w:tcPr>
          <w:p>
            <w:pPr>
              <w:spacing w:after="0"/>
              <w:rPr>
                <w:sz w:val="18"/>
                <w:szCs w:val="18"/>
                <w:color w:val="auto"/>
              </w:rPr>
            </w:pPr>
          </w:p>
        </w:tc>
      </w:tr>
      <w:tr>
        <w:trPr>
          <w:trHeight w:val="216"/>
        </w:trPr>
        <w:tc>
          <w:tcPr>
            <w:tcW w:w="7160" w:type="dxa"/>
            <w:vAlign w:val="bottom"/>
            <w:gridSpan w:val="2"/>
          </w:tcPr>
          <w:p>
            <w:pPr>
              <w:jc w:val="center"/>
              <w:ind w:left="4168"/>
              <w:spacing w:after="0"/>
              <w:rPr>
                <w:sz w:val="20"/>
                <w:szCs w:val="20"/>
                <w:color w:val="auto"/>
              </w:rPr>
            </w:pPr>
            <w:r>
              <w:rPr>
                <w:rFonts w:ascii="Arial" w:cs="Arial" w:eastAsia="Arial" w:hAnsi="Arial"/>
                <w:sz w:val="18"/>
                <w:szCs w:val="18"/>
                <w:color w:val="auto"/>
                <w:w w:val="89"/>
              </w:rPr>
              <w:t>10 West Broad Street</w:t>
            </w:r>
          </w:p>
        </w:tc>
        <w:tc>
          <w:tcPr>
            <w:tcW w:w="4260" w:type="dxa"/>
            <w:vAlign w:val="bottom"/>
          </w:tcPr>
          <w:p>
            <w:pPr>
              <w:spacing w:after="0"/>
              <w:rPr>
                <w:sz w:val="18"/>
                <w:szCs w:val="18"/>
                <w:color w:val="auto"/>
              </w:rPr>
            </w:pPr>
          </w:p>
        </w:tc>
      </w:tr>
      <w:tr>
        <w:trPr>
          <w:trHeight w:val="216"/>
        </w:trPr>
        <w:tc>
          <w:tcPr>
            <w:tcW w:w="7160" w:type="dxa"/>
            <w:vAlign w:val="bottom"/>
            <w:gridSpan w:val="2"/>
          </w:tcPr>
          <w:p>
            <w:pPr>
              <w:jc w:val="center"/>
              <w:ind w:left="4168"/>
              <w:spacing w:after="0"/>
              <w:rPr>
                <w:sz w:val="20"/>
                <w:szCs w:val="20"/>
                <w:color w:val="auto"/>
              </w:rPr>
            </w:pPr>
            <w:r>
              <w:rPr>
                <w:rFonts w:ascii="Arial" w:cs="Arial" w:eastAsia="Arial" w:hAnsi="Arial"/>
                <w:sz w:val="18"/>
                <w:szCs w:val="18"/>
                <w:color w:val="auto"/>
                <w:w w:val="91"/>
              </w:rPr>
              <w:t>Columbus, OH 43215</w:t>
            </w:r>
          </w:p>
        </w:tc>
        <w:tc>
          <w:tcPr>
            <w:tcW w:w="4260" w:type="dxa"/>
            <w:vAlign w:val="bottom"/>
          </w:tcPr>
          <w:p>
            <w:pPr>
              <w:spacing w:after="0"/>
              <w:rPr>
                <w:sz w:val="18"/>
                <w:szCs w:val="18"/>
                <w:color w:val="auto"/>
              </w:rPr>
            </w:pPr>
          </w:p>
        </w:tc>
      </w:tr>
      <w:tr>
        <w:trPr>
          <w:trHeight w:val="216"/>
        </w:trPr>
        <w:tc>
          <w:tcPr>
            <w:tcW w:w="7160" w:type="dxa"/>
            <w:vAlign w:val="bottom"/>
            <w:gridSpan w:val="2"/>
          </w:tcPr>
          <w:p>
            <w:pPr>
              <w:jc w:val="center"/>
              <w:ind w:left="4188"/>
              <w:spacing w:after="0"/>
              <w:rPr>
                <w:sz w:val="20"/>
                <w:szCs w:val="20"/>
                <w:color w:val="auto"/>
              </w:rPr>
            </w:pPr>
            <w:r>
              <w:rPr>
                <w:rFonts w:ascii="Arial" w:cs="Arial" w:eastAsia="Arial" w:hAnsi="Arial"/>
                <w:sz w:val="18"/>
                <w:szCs w:val="18"/>
                <w:color w:val="auto"/>
                <w:w w:val="90"/>
              </w:rPr>
              <w:t>(614) 849-3402</w:t>
            </w:r>
          </w:p>
        </w:tc>
        <w:tc>
          <w:tcPr>
            <w:tcW w:w="4260" w:type="dxa"/>
            <w:vAlign w:val="bottom"/>
          </w:tcPr>
          <w:p>
            <w:pPr>
              <w:spacing w:after="0"/>
              <w:rPr>
                <w:sz w:val="18"/>
                <w:szCs w:val="18"/>
                <w:color w:val="auto"/>
              </w:rPr>
            </w:pPr>
          </w:p>
        </w:tc>
      </w:tr>
      <w:tr>
        <w:trPr>
          <w:trHeight w:val="230"/>
        </w:trPr>
        <w:tc>
          <w:tcPr>
            <w:tcW w:w="11420" w:type="dxa"/>
            <w:vAlign w:val="bottom"/>
            <w:gridSpan w:val="3"/>
          </w:tcPr>
          <w:p>
            <w:pPr>
              <w:jc w:val="center"/>
              <w:spacing w:after="0"/>
              <w:rPr>
                <w:sz w:val="20"/>
                <w:szCs w:val="20"/>
                <w:color w:val="auto"/>
              </w:rPr>
            </w:pPr>
            <w:r>
              <w:rPr>
                <w:rFonts w:ascii="Arial" w:cs="Arial" w:eastAsia="Arial" w:hAnsi="Arial"/>
                <w:sz w:val="18"/>
                <w:szCs w:val="18"/>
                <w:color w:val="auto"/>
                <w:w w:val="89"/>
              </w:rPr>
              <w:t>(Name, address and telephone number of agent for service)</w:t>
            </w:r>
          </w:p>
        </w:tc>
      </w:tr>
      <w:tr>
        <w:trPr>
          <w:trHeight w:val="499"/>
        </w:trPr>
        <w:tc>
          <w:tcPr>
            <w:tcW w:w="7160" w:type="dxa"/>
            <w:vAlign w:val="bottom"/>
            <w:gridSpan w:val="2"/>
          </w:tcPr>
          <w:p>
            <w:pPr>
              <w:jc w:val="center"/>
              <w:ind w:left="4188"/>
              <w:spacing w:after="0"/>
              <w:rPr>
                <w:sz w:val="20"/>
                <w:szCs w:val="20"/>
                <w:color w:val="auto"/>
              </w:rPr>
            </w:pPr>
            <w:r>
              <w:rPr>
                <w:rFonts w:ascii="Arial" w:cs="Arial" w:eastAsia="Arial" w:hAnsi="Arial"/>
                <w:sz w:val="25"/>
                <w:szCs w:val="25"/>
                <w:b w:val="1"/>
                <w:bCs w:val="1"/>
                <w:color w:val="auto"/>
                <w:w w:val="99"/>
              </w:rPr>
              <w:t>L BRANDS, INC.</w:t>
            </w:r>
          </w:p>
        </w:tc>
        <w:tc>
          <w:tcPr>
            <w:tcW w:w="4260" w:type="dxa"/>
            <w:vAlign w:val="bottom"/>
          </w:tcPr>
          <w:p>
            <w:pPr>
              <w:spacing w:after="0"/>
              <w:rPr>
                <w:sz w:val="24"/>
                <w:szCs w:val="24"/>
                <w:color w:val="auto"/>
              </w:rPr>
            </w:pPr>
          </w:p>
        </w:tc>
      </w:tr>
      <w:tr>
        <w:trPr>
          <w:trHeight w:val="230"/>
        </w:trPr>
        <w:tc>
          <w:tcPr>
            <w:tcW w:w="7160" w:type="dxa"/>
            <w:vAlign w:val="bottom"/>
            <w:gridSpan w:val="2"/>
          </w:tcPr>
          <w:p>
            <w:pPr>
              <w:jc w:val="center"/>
              <w:ind w:left="4188"/>
              <w:spacing w:after="0"/>
              <w:rPr>
                <w:sz w:val="20"/>
                <w:szCs w:val="20"/>
                <w:color w:val="auto"/>
              </w:rPr>
            </w:pPr>
            <w:r>
              <w:rPr>
                <w:rFonts w:ascii="Arial" w:cs="Arial" w:eastAsia="Arial" w:hAnsi="Arial"/>
                <w:sz w:val="18"/>
                <w:szCs w:val="18"/>
                <w:color w:val="auto"/>
                <w:w w:val="90"/>
              </w:rPr>
              <w:t>(Issuer with respect to the Securities)</w:t>
            </w:r>
          </w:p>
        </w:tc>
        <w:tc>
          <w:tcPr>
            <w:tcW w:w="4260" w:type="dxa"/>
            <w:vAlign w:val="bottom"/>
          </w:tcPr>
          <w:p>
            <w:pPr>
              <w:spacing w:after="0"/>
              <w:rPr>
                <w:sz w:val="20"/>
                <w:szCs w:val="20"/>
                <w:color w:val="auto"/>
              </w:rPr>
            </w:pPr>
          </w:p>
        </w:tc>
      </w:tr>
      <w:tr>
        <w:trPr>
          <w:trHeight w:val="216"/>
        </w:trPr>
        <w:tc>
          <w:tcPr>
            <w:tcW w:w="7160" w:type="dxa"/>
            <w:vAlign w:val="bottom"/>
            <w:tcBorders>
              <w:bottom w:val="single" w:sz="8" w:color="auto"/>
            </w:tcBorders>
            <w:gridSpan w:val="2"/>
          </w:tcPr>
          <w:p>
            <w:pPr>
              <w:spacing w:after="0"/>
              <w:rPr>
                <w:sz w:val="18"/>
                <w:szCs w:val="18"/>
                <w:color w:val="auto"/>
              </w:rPr>
            </w:pPr>
          </w:p>
        </w:tc>
        <w:tc>
          <w:tcPr>
            <w:tcW w:w="4260" w:type="dxa"/>
            <w:vAlign w:val="bottom"/>
            <w:tcBorders>
              <w:bottom w:val="single" w:sz="8" w:color="auto"/>
            </w:tcBorders>
          </w:tcPr>
          <w:p>
            <w:pPr>
              <w:spacing w:after="0"/>
              <w:rPr>
                <w:sz w:val="18"/>
                <w:szCs w:val="18"/>
                <w:color w:val="auto"/>
              </w:rPr>
            </w:pPr>
          </w:p>
        </w:tc>
      </w:tr>
      <w:tr>
        <w:trPr>
          <w:trHeight w:val="210"/>
        </w:trPr>
        <w:tc>
          <w:tcPr>
            <w:tcW w:w="5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440" w:type="dxa"/>
            <w:vAlign w:val="bottom"/>
            <w:tcBorders>
              <w:bottom w:val="single" w:sz="8" w:color="auto"/>
            </w:tcBorders>
          </w:tcPr>
          <w:p>
            <w:pPr>
              <w:spacing w:after="0"/>
              <w:rPr>
                <w:sz w:val="18"/>
                <w:szCs w:val="18"/>
                <w:color w:val="auto"/>
              </w:rPr>
            </w:pPr>
          </w:p>
        </w:tc>
        <w:tc>
          <w:tcPr>
            <w:tcW w:w="4260" w:type="dxa"/>
            <w:vAlign w:val="bottom"/>
            <w:tcBorders>
              <w:bottom w:val="single" w:sz="8" w:color="auto"/>
              <w:right w:val="single" w:sz="8" w:color="auto"/>
            </w:tcBorders>
          </w:tcPr>
          <w:p>
            <w:pPr>
              <w:jc w:val="center"/>
              <w:ind w:right="1370"/>
              <w:spacing w:after="0"/>
              <w:rPr>
                <w:sz w:val="20"/>
                <w:szCs w:val="20"/>
                <w:color w:val="auto"/>
              </w:rPr>
            </w:pPr>
            <w:r>
              <w:rPr>
                <w:rFonts w:ascii="Arial" w:cs="Arial" w:eastAsia="Arial" w:hAnsi="Arial"/>
                <w:sz w:val="18"/>
                <w:szCs w:val="18"/>
                <w:color w:val="auto"/>
                <w:w w:val="91"/>
              </w:rPr>
              <w:t>31-1029810</w:t>
            </w:r>
          </w:p>
        </w:tc>
      </w:tr>
      <w:tr>
        <w:trPr>
          <w:trHeight w:val="210"/>
        </w:trPr>
        <w:tc>
          <w:tcPr>
            <w:tcW w:w="5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1440" w:type="dxa"/>
            <w:vAlign w:val="bottom"/>
            <w:tcBorders>
              <w:bottom w:val="single" w:sz="8" w:color="auto"/>
            </w:tcBorders>
          </w:tcPr>
          <w:p>
            <w:pPr>
              <w:spacing w:after="0"/>
              <w:rPr>
                <w:sz w:val="18"/>
                <w:szCs w:val="18"/>
                <w:color w:val="auto"/>
              </w:rPr>
            </w:pPr>
          </w:p>
        </w:tc>
        <w:tc>
          <w:tcPr>
            <w:tcW w:w="4260" w:type="dxa"/>
            <w:vAlign w:val="bottom"/>
            <w:tcBorders>
              <w:bottom w:val="single" w:sz="8" w:color="auto"/>
              <w:right w:val="single" w:sz="8" w:color="auto"/>
            </w:tcBorders>
          </w:tcPr>
          <w:p>
            <w:pPr>
              <w:jc w:val="center"/>
              <w:ind w:right="1350"/>
              <w:spacing w:after="0"/>
              <w:rPr>
                <w:sz w:val="20"/>
                <w:szCs w:val="20"/>
                <w:color w:val="auto"/>
              </w:rPr>
            </w:pPr>
            <w:r>
              <w:rPr>
                <w:rFonts w:ascii="Arial" w:cs="Arial" w:eastAsia="Arial" w:hAnsi="Arial"/>
                <w:sz w:val="18"/>
                <w:szCs w:val="18"/>
                <w:color w:val="auto"/>
                <w:w w:val="94"/>
              </w:rPr>
              <w:t>(I.R.S. Employer Identification No.)</w:t>
            </w:r>
          </w:p>
        </w:tc>
      </w:tr>
      <w:tr>
        <w:trPr>
          <w:trHeight w:val="210"/>
        </w:trPr>
        <w:tc>
          <w:tcPr>
            <w:tcW w:w="5720" w:type="dxa"/>
            <w:vAlign w:val="bottom"/>
            <w:tcBorders>
              <w:left w:val="single" w:sz="8" w:color="auto"/>
              <w:bottom w:val="single" w:sz="8" w:color="auto"/>
              <w:right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4260" w:type="dxa"/>
            <w:vAlign w:val="bottom"/>
            <w:tcBorders>
              <w:bottom w:val="single" w:sz="8" w:color="auto"/>
              <w:right w:val="single" w:sz="8" w:color="auto"/>
            </w:tcBorders>
          </w:tcPr>
          <w:p>
            <w:pPr>
              <w:spacing w:after="0"/>
              <w:rPr>
                <w:sz w:val="18"/>
                <w:szCs w:val="18"/>
                <w:color w:val="auto"/>
              </w:rPr>
            </w:pPr>
          </w:p>
        </w:tc>
      </w:tr>
      <w:tr>
        <w:trPr>
          <w:trHeight w:val="237"/>
        </w:trPr>
        <w:tc>
          <w:tcPr>
            <w:tcW w:w="7160" w:type="dxa"/>
            <w:vAlign w:val="bottom"/>
            <w:tcBorders>
              <w:bottom w:val="single" w:sz="8" w:color="auto"/>
            </w:tcBorders>
            <w:gridSpan w:val="2"/>
          </w:tcPr>
          <w:p>
            <w:pPr>
              <w:spacing w:after="0"/>
              <w:rPr>
                <w:sz w:val="20"/>
                <w:szCs w:val="20"/>
                <w:color w:val="auto"/>
              </w:rPr>
            </w:pPr>
          </w:p>
        </w:tc>
        <w:tc>
          <w:tcPr>
            <w:tcW w:w="4260" w:type="dxa"/>
            <w:vAlign w:val="bottom"/>
            <w:tcBorders>
              <w:bottom w:val="single" w:sz="8" w:color="auto"/>
            </w:tcBorders>
          </w:tcPr>
          <w:p>
            <w:pPr>
              <w:spacing w:after="0"/>
              <w:rPr>
                <w:sz w:val="20"/>
                <w:szCs w:val="20"/>
                <w:color w:val="auto"/>
              </w:rPr>
            </w:pPr>
          </w:p>
        </w:tc>
      </w:tr>
      <w:tr>
        <w:trPr>
          <w:trHeight w:val="195"/>
        </w:trPr>
        <w:tc>
          <w:tcPr>
            <w:tcW w:w="572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3 Limited Parkway</w:t>
            </w:r>
          </w:p>
        </w:tc>
        <w:tc>
          <w:tcPr>
            <w:tcW w:w="1440" w:type="dxa"/>
            <w:vAlign w:val="bottom"/>
          </w:tcPr>
          <w:p>
            <w:pPr>
              <w:spacing w:after="0"/>
              <w:rPr>
                <w:sz w:val="16"/>
                <w:szCs w:val="16"/>
                <w:color w:val="auto"/>
              </w:rPr>
            </w:pPr>
          </w:p>
        </w:tc>
        <w:tc>
          <w:tcPr>
            <w:tcW w:w="4260" w:type="dxa"/>
            <w:vAlign w:val="bottom"/>
            <w:tcBorders>
              <w:right w:val="single" w:sz="8" w:color="auto"/>
            </w:tcBorders>
          </w:tcPr>
          <w:p>
            <w:pPr>
              <w:jc w:val="center"/>
              <w:ind w:right="1370"/>
              <w:spacing w:after="0" w:line="195" w:lineRule="exact"/>
              <w:rPr>
                <w:sz w:val="20"/>
                <w:szCs w:val="20"/>
                <w:color w:val="auto"/>
              </w:rPr>
            </w:pPr>
            <w:r>
              <w:rPr>
                <w:rFonts w:ascii="Arial" w:cs="Arial" w:eastAsia="Arial" w:hAnsi="Arial"/>
                <w:sz w:val="18"/>
                <w:szCs w:val="18"/>
                <w:color w:val="auto"/>
                <w:w w:val="87"/>
              </w:rPr>
              <w:t>43230</w:t>
            </w:r>
          </w:p>
        </w:tc>
      </w:tr>
      <w:tr>
        <w:trPr>
          <w:trHeight w:val="230"/>
        </w:trPr>
        <w:tc>
          <w:tcPr>
            <w:tcW w:w="5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Columbus, OH</w:t>
            </w:r>
          </w:p>
        </w:tc>
        <w:tc>
          <w:tcPr>
            <w:tcW w:w="1440" w:type="dxa"/>
            <w:vAlign w:val="bottom"/>
            <w:tcBorders>
              <w:bottom w:val="single" w:sz="8" w:color="auto"/>
            </w:tcBorders>
          </w:tcPr>
          <w:p>
            <w:pPr>
              <w:spacing w:after="0"/>
              <w:rPr>
                <w:sz w:val="20"/>
                <w:szCs w:val="20"/>
                <w:color w:val="auto"/>
              </w:rPr>
            </w:pPr>
          </w:p>
        </w:tc>
        <w:tc>
          <w:tcPr>
            <w:tcW w:w="4260" w:type="dxa"/>
            <w:vAlign w:val="bottom"/>
            <w:tcBorders>
              <w:bottom w:val="single" w:sz="8" w:color="auto"/>
              <w:right w:val="single" w:sz="8" w:color="auto"/>
            </w:tcBorders>
          </w:tcPr>
          <w:p>
            <w:pPr>
              <w:spacing w:after="0"/>
              <w:rPr>
                <w:sz w:val="20"/>
                <w:szCs w:val="20"/>
                <w:color w:val="auto"/>
              </w:rPr>
            </w:pPr>
          </w:p>
        </w:tc>
      </w:tr>
      <w:tr>
        <w:trPr>
          <w:trHeight w:val="210"/>
        </w:trPr>
        <w:tc>
          <w:tcPr>
            <w:tcW w:w="5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440" w:type="dxa"/>
            <w:vAlign w:val="bottom"/>
            <w:tcBorders>
              <w:bottom w:val="single" w:sz="8" w:color="auto"/>
            </w:tcBorders>
          </w:tcPr>
          <w:p>
            <w:pPr>
              <w:spacing w:after="0"/>
              <w:rPr>
                <w:sz w:val="18"/>
                <w:szCs w:val="18"/>
                <w:color w:val="auto"/>
              </w:rPr>
            </w:pPr>
          </w:p>
        </w:tc>
        <w:tc>
          <w:tcPr>
            <w:tcW w:w="4260" w:type="dxa"/>
            <w:vAlign w:val="bottom"/>
            <w:tcBorders>
              <w:bottom w:val="single" w:sz="8" w:color="auto"/>
              <w:right w:val="single" w:sz="8" w:color="auto"/>
            </w:tcBorders>
          </w:tcPr>
          <w:p>
            <w:pPr>
              <w:jc w:val="center"/>
              <w:ind w:right="1370"/>
              <w:spacing w:after="0"/>
              <w:rPr>
                <w:sz w:val="20"/>
                <w:szCs w:val="20"/>
                <w:color w:val="auto"/>
              </w:rPr>
            </w:pPr>
            <w:r>
              <w:rPr>
                <w:rFonts w:ascii="Arial" w:cs="Arial" w:eastAsia="Arial" w:hAnsi="Arial"/>
                <w:sz w:val="18"/>
                <w:szCs w:val="18"/>
                <w:color w:val="auto"/>
                <w:w w:val="94"/>
              </w:rPr>
              <w:t>(Zip Code)</w:t>
            </w: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6.694% Senior Notes Due 2027</w:t>
      </w:r>
    </w:p>
    <w:p>
      <w:pPr>
        <w:spacing w:after="0" w:line="3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u w:val="single" w:color="auto"/>
          <w:color w:val="auto"/>
        </w:rPr>
        <w:t>FORM T-1</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GENERAL INFORMATION</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Furnish the following information as to the Trustee.</w:t>
      </w:r>
    </w:p>
    <w:p>
      <w:pPr>
        <w:spacing w:after="0" w:line="229" w:lineRule="exact"/>
        <w:rPr>
          <w:sz w:val="20"/>
          <w:szCs w:val="20"/>
          <w:color w:val="auto"/>
        </w:rPr>
      </w:pPr>
    </w:p>
    <w:p>
      <w:pPr>
        <w:ind w:left="1960" w:right="3920" w:hanging="980"/>
        <w:spacing w:after="0" w:line="258" w:lineRule="auto"/>
        <w:tabs>
          <w:tab w:leader="none" w:pos="1433"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Name and address of each examining or supervising authority to which it is subject. </w:t>
      </w:r>
      <w:r>
        <w:rPr>
          <w:rFonts w:ascii="Arial" w:cs="Arial" w:eastAsia="Arial" w:hAnsi="Arial"/>
          <w:sz w:val="18"/>
          <w:szCs w:val="18"/>
          <w:color w:val="auto"/>
        </w:rPr>
        <w:t>Comptroller of the Currency</w:t>
      </w:r>
    </w:p>
    <w:p>
      <w:pPr>
        <w:spacing w:after="0" w:line="1"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Washington, D.C.</w:t>
      </w:r>
    </w:p>
    <w:p>
      <w:pPr>
        <w:spacing w:after="0" w:line="210" w:lineRule="exact"/>
        <w:rPr>
          <w:rFonts w:ascii="Arial" w:cs="Arial" w:eastAsia="Arial" w:hAnsi="Arial"/>
          <w:sz w:val="18"/>
          <w:szCs w:val="18"/>
          <w:color w:val="auto"/>
        </w:rPr>
      </w:pPr>
    </w:p>
    <w:p>
      <w:pPr>
        <w:ind w:left="1420" w:hanging="440"/>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Whether it is authorized to exercise corporate trust powers.</w:t>
      </w:r>
    </w:p>
    <w:p>
      <w:pPr>
        <w:spacing w:after="0" w:line="200" w:lineRule="exact"/>
        <w:rPr>
          <w:sz w:val="20"/>
          <w:szCs w:val="20"/>
          <w:color w:val="auto"/>
        </w:rPr>
      </w:pPr>
    </w:p>
    <w:p>
      <w:pPr>
        <w:spacing w:after="0" w:line="2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 xml:space="preserve">AFFILIATIONS WITH OBLIGOR. </w:t>
      </w:r>
      <w:r>
        <w:rPr>
          <w:rFonts w:ascii="Arial" w:cs="Arial" w:eastAsia="Arial" w:hAnsi="Arial"/>
          <w:sz w:val="17"/>
          <w:szCs w:val="17"/>
          <w:i w:val="1"/>
          <w:iCs w:val="1"/>
          <w:color w:val="auto"/>
        </w:rPr>
        <w:t>If the obligor is an affiliate of the Trustee, describe each such affiliation.</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None</w:t>
      </w:r>
    </w:p>
    <w:p>
      <w:pPr>
        <w:spacing w:after="0" w:line="207" w:lineRule="exact"/>
        <w:rPr>
          <w:sz w:val="20"/>
          <w:szCs w:val="20"/>
          <w:color w:val="auto"/>
        </w:rPr>
      </w:pPr>
    </w:p>
    <w:p>
      <w:pPr>
        <w:ind w:left="980" w:right="380" w:hanging="971"/>
        <w:spacing w:after="0" w:line="277" w:lineRule="auto"/>
        <w:tabs>
          <w:tab w:leader="none" w:pos="960" w:val="left"/>
        </w:tabs>
        <w:rPr>
          <w:sz w:val="20"/>
          <w:szCs w:val="20"/>
          <w:color w:val="auto"/>
        </w:rPr>
      </w:pPr>
      <w:r>
        <w:rPr>
          <w:rFonts w:ascii="Arial" w:cs="Arial" w:eastAsia="Arial" w:hAnsi="Arial"/>
          <w:sz w:val="18"/>
          <w:szCs w:val="18"/>
          <w:b w:val="1"/>
          <w:bCs w:val="1"/>
          <w:color w:val="auto"/>
        </w:rPr>
        <w:t>Items 3-15</w:t>
      </w:r>
      <w:r>
        <w:rPr>
          <w:sz w:val="20"/>
          <w:szCs w:val="20"/>
          <w:color w:val="auto"/>
        </w:rPr>
        <w:tab/>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 acts as Trustee.</w:t>
      </w:r>
    </w:p>
    <w:p>
      <w:pPr>
        <w:spacing w:after="0" w:line="1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 xml:space="preserve">LIST OF EXHIBITS: </w:t>
      </w:r>
      <w:r>
        <w:rPr>
          <w:rFonts w:ascii="Arial" w:cs="Arial" w:eastAsia="Arial" w:hAnsi="Arial"/>
          <w:sz w:val="17"/>
          <w:szCs w:val="17"/>
          <w:i w:val="1"/>
          <w:iCs w:val="1"/>
          <w:color w:val="auto"/>
        </w:rPr>
        <w:t>List below all exhibits filed as a part of this statement of eligibility and qualification.</w:t>
      </w:r>
    </w:p>
    <w:p>
      <w:pPr>
        <w:spacing w:after="0" w:line="229" w:lineRule="exact"/>
        <w:rPr>
          <w:sz w:val="20"/>
          <w:szCs w:val="20"/>
          <w:color w:val="auto"/>
        </w:rPr>
      </w:pPr>
    </w:p>
    <w:p>
      <w:pPr>
        <w:ind w:left="1300" w:hanging="320"/>
        <w:spacing w:after="0"/>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 attached as Exhibit 2.</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 attached as Exhibit 3.</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225" w:lineRule="exact"/>
        <w:rPr>
          <w:rFonts w:ascii="Arial" w:cs="Arial" w:eastAsia="Arial" w:hAnsi="Arial"/>
          <w:sz w:val="18"/>
          <w:szCs w:val="18"/>
          <w:color w:val="auto"/>
        </w:rPr>
      </w:pPr>
    </w:p>
    <w:p>
      <w:pPr>
        <w:ind w:left="1300" w:right="100" w:hanging="320"/>
        <w:spacing w:after="0" w:line="277" w:lineRule="auto"/>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Report of Condition of the Trustee as of September 30, 2018 published pursuant to law or the requirements of its supervising or examining authority, attached as Exhibit 7.</w:t>
      </w:r>
    </w:p>
    <w:p>
      <w:pPr>
        <w:spacing w:after="0" w:line="170" w:lineRule="exact"/>
        <w:rPr>
          <w:rFonts w:ascii="Arial" w:cs="Arial" w:eastAsia="Arial" w:hAnsi="Arial"/>
          <w:sz w:val="18"/>
          <w:szCs w:val="18"/>
          <w:color w:val="auto"/>
        </w:rPr>
      </w:pPr>
    </w:p>
    <w:p>
      <w:pPr>
        <w:ind w:left="500"/>
        <w:spacing w:after="0" w:line="277" w:lineRule="auto"/>
        <w:rPr>
          <w:rFonts w:ascii="Arial" w:cs="Arial" w:eastAsia="Arial" w:hAnsi="Arial"/>
          <w:sz w:val="18"/>
          <w:szCs w:val="18"/>
          <w:color w:val="auto"/>
        </w:rPr>
      </w:pPr>
      <w:r>
        <w:rPr>
          <w:rFonts w:ascii="Arial" w:cs="Arial" w:eastAsia="Arial" w:hAnsi="Arial"/>
          <w:sz w:val="18"/>
          <w:szCs w:val="18"/>
          <w:color w:val="auto"/>
        </w:rPr>
        <w:t>* Incorporated by reference to Exhibit 25.1 to Amendment No. 2 to registration statement on S-4, Registration Number 333-128217 filed on November 15, 2005.</w:t>
      </w:r>
    </w:p>
    <w:p>
      <w:pPr>
        <w:spacing w:after="0" w:line="170" w:lineRule="exact"/>
        <w:rPr>
          <w:rFonts w:ascii="Arial" w:cs="Arial" w:eastAsia="Arial" w:hAnsi="Arial"/>
          <w:sz w:val="18"/>
          <w:szCs w:val="18"/>
          <w:color w:val="auto"/>
        </w:rPr>
      </w:pPr>
    </w:p>
    <w:p>
      <w:pPr>
        <w:ind w:left="720" w:hanging="226"/>
        <w:spacing w:after="0"/>
        <w:tabs>
          <w:tab w:leader="none" w:pos="7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Incorporated by reference to Exhibit 25.1 to registration statement on form S-3ASR, Registration Number 333-199863 filed on November 5, 2014.</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Columbus, Ohio on the 17th of January,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jc w:val="right"/>
              <w:ind w:right="230"/>
              <w:spacing w:after="0"/>
              <w:rPr>
                <w:sz w:val="20"/>
                <w:szCs w:val="20"/>
                <w:color w:val="auto"/>
              </w:rPr>
            </w:pPr>
            <w:r>
              <w:rPr>
                <w:rFonts w:ascii="Arial" w:cs="Arial" w:eastAsia="Arial" w:hAnsi="Arial"/>
                <w:sz w:val="18"/>
                <w:szCs w:val="18"/>
                <w:color w:val="auto"/>
              </w:rPr>
              <w:t>By:</w:t>
            </w:r>
          </w:p>
        </w:tc>
        <w:tc>
          <w:tcPr>
            <w:tcW w:w="2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Miller</w:t>
            </w:r>
          </w:p>
        </w:tc>
        <w:tc>
          <w:tcPr>
            <w:tcW w:w="2620" w:type="dxa"/>
            <w:vAlign w:val="bottom"/>
          </w:tcPr>
          <w:p>
            <w:pPr>
              <w:spacing w:after="0"/>
              <w:rPr>
                <w:sz w:val="20"/>
                <w:szCs w:val="20"/>
                <w:color w:val="auto"/>
              </w:rPr>
            </w:pPr>
          </w:p>
        </w:tc>
      </w:tr>
      <w:tr>
        <w:trPr>
          <w:trHeight w:val="195"/>
        </w:trPr>
        <w:tc>
          <w:tcPr>
            <w:tcW w:w="6300" w:type="dxa"/>
            <w:vAlign w:val="bottom"/>
          </w:tcPr>
          <w:p>
            <w:pPr>
              <w:spacing w:after="0"/>
              <w:rPr>
                <w:sz w:val="16"/>
                <w:szCs w:val="16"/>
                <w:color w:val="auto"/>
              </w:rPr>
            </w:pPr>
          </w:p>
        </w:tc>
        <w:tc>
          <w:tcPr>
            <w:tcW w:w="2500" w:type="dxa"/>
            <w:vAlign w:val="bottom"/>
          </w:tcPr>
          <w:p>
            <w:pPr>
              <w:spacing w:after="0" w:line="195" w:lineRule="exact"/>
              <w:rPr>
                <w:sz w:val="20"/>
                <w:szCs w:val="20"/>
                <w:color w:val="auto"/>
              </w:rPr>
            </w:pPr>
            <w:r>
              <w:rPr>
                <w:rFonts w:ascii="Arial" w:cs="Arial" w:eastAsia="Arial" w:hAnsi="Arial"/>
                <w:sz w:val="18"/>
                <w:szCs w:val="18"/>
                <w:color w:val="auto"/>
              </w:rPr>
              <w:t>Scott Miller</w:t>
            </w:r>
          </w:p>
        </w:tc>
        <w:tc>
          <w:tcPr>
            <w:tcW w:w="2620" w:type="dxa"/>
            <w:vAlign w:val="bottom"/>
          </w:tcPr>
          <w:p>
            <w:pPr>
              <w:spacing w:after="0"/>
              <w:rPr>
                <w:sz w:val="16"/>
                <w:szCs w:val="16"/>
                <w:color w:val="auto"/>
              </w:rPr>
            </w:pPr>
          </w:p>
        </w:tc>
      </w:tr>
      <w:tr>
        <w:trPr>
          <w:trHeight w:val="230"/>
        </w:trPr>
        <w:tc>
          <w:tcPr>
            <w:tcW w:w="6300" w:type="dxa"/>
            <w:vAlign w:val="bottom"/>
          </w:tcPr>
          <w:p>
            <w:pPr>
              <w:spacing w:after="0"/>
              <w:rPr>
                <w:sz w:val="20"/>
                <w:szCs w:val="20"/>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Vice President</w:t>
            </w:r>
          </w:p>
        </w:tc>
        <w:tc>
          <w:tcPr>
            <w:tcW w:w="2620" w:type="dxa"/>
            <w:vAlign w:val="bottom"/>
          </w:tcPr>
          <w:p>
            <w:pPr>
              <w:spacing w:after="0"/>
              <w:rPr>
                <w:sz w:val="20"/>
                <w:szCs w:val="20"/>
                <w:color w:val="auto"/>
              </w:rPr>
            </w:pPr>
          </w:p>
        </w:tc>
      </w:tr>
      <w:tr>
        <w:trPr>
          <w:trHeight w:val="540"/>
        </w:trPr>
        <w:tc>
          <w:tcPr>
            <w:tcW w:w="6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3</w:t>
            </w:r>
          </w:p>
        </w:tc>
        <w:tc>
          <w:tcPr>
            <w:tcW w:w="25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6"/>
          <w:szCs w:val="16"/>
          <w:b w:val="1"/>
          <w:bCs w:val="1"/>
          <w:u w:val="single" w:color="auto"/>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168910</wp:posOffset>
            </wp:positionV>
            <wp:extent cx="5342890" cy="69037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5342890" cy="690372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22225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type w:val="continuous"/>
        </w:sectPr>
      </w:pPr>
    </w:p>
    <w:bookmarkStart w:id="66" w:name="page67"/>
    <w:bookmarkEnd w:id="66"/>
    <w:p>
      <w:pPr>
        <w:jc w:val="center"/>
        <w:spacing w:after="0"/>
        <w:rPr>
          <w:sz w:val="20"/>
          <w:szCs w:val="20"/>
          <w:color w:val="auto"/>
        </w:rPr>
      </w:pPr>
      <w:r>
        <w:rPr>
          <w:rFonts w:ascii="Arial" w:cs="Arial" w:eastAsia="Arial" w:hAnsi="Arial"/>
          <w:sz w:val="16"/>
          <w:szCs w:val="16"/>
          <w:b w:val="1"/>
          <w:bCs w:val="1"/>
          <w:u w:val="single" w:color="auto"/>
          <w:color w:val="auto"/>
        </w:rPr>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169545</wp:posOffset>
            </wp:positionV>
            <wp:extent cx="5351145" cy="69037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5351145" cy="690372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22225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type w:val="continuous"/>
        </w:sectPr>
      </w:pPr>
    </w:p>
    <w:bookmarkStart w:id="67" w:name="page68"/>
    <w:bookmarkEnd w:id="67"/>
    <w:p>
      <w:pPr>
        <w:jc w:val="center"/>
        <w:spacing w:after="0"/>
        <w:rPr>
          <w:sz w:val="20"/>
          <w:szCs w:val="20"/>
          <w:color w:val="auto"/>
        </w:rPr>
      </w:pPr>
      <w:r>
        <w:rPr>
          <w:rFonts w:ascii="Arial" w:cs="Arial" w:eastAsia="Arial" w:hAnsi="Arial"/>
          <w:sz w:val="18"/>
          <w:szCs w:val="18"/>
          <w:b w:val="1"/>
          <w:bCs w:val="1"/>
          <w:u w:val="single" w:color="auto"/>
          <w:color w:val="auto"/>
        </w:rPr>
        <w:t>Exhibit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w:t>
      </w:r>
    </w:p>
    <w:p>
      <w:pPr>
        <w:spacing w:after="0" w:line="229"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17,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jc w:val="right"/>
              <w:ind w:right="230"/>
              <w:spacing w:after="0"/>
              <w:rPr>
                <w:sz w:val="20"/>
                <w:szCs w:val="20"/>
                <w:color w:val="auto"/>
              </w:rPr>
            </w:pPr>
            <w:r>
              <w:rPr>
                <w:rFonts w:ascii="Arial" w:cs="Arial" w:eastAsia="Arial" w:hAnsi="Arial"/>
                <w:sz w:val="18"/>
                <w:szCs w:val="18"/>
                <w:color w:val="auto"/>
              </w:rPr>
              <w:t>By:</w:t>
            </w:r>
          </w:p>
        </w:tc>
        <w:tc>
          <w:tcPr>
            <w:tcW w:w="2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Miller</w:t>
            </w:r>
          </w:p>
        </w:tc>
        <w:tc>
          <w:tcPr>
            <w:tcW w:w="2620" w:type="dxa"/>
            <w:vAlign w:val="bottom"/>
          </w:tcPr>
          <w:p>
            <w:pPr>
              <w:spacing w:after="0"/>
              <w:rPr>
                <w:sz w:val="20"/>
                <w:szCs w:val="20"/>
                <w:color w:val="auto"/>
              </w:rPr>
            </w:pPr>
          </w:p>
        </w:tc>
      </w:tr>
      <w:tr>
        <w:trPr>
          <w:trHeight w:val="195"/>
        </w:trPr>
        <w:tc>
          <w:tcPr>
            <w:tcW w:w="6300" w:type="dxa"/>
            <w:vAlign w:val="bottom"/>
          </w:tcPr>
          <w:p>
            <w:pPr>
              <w:spacing w:after="0"/>
              <w:rPr>
                <w:sz w:val="16"/>
                <w:szCs w:val="16"/>
                <w:color w:val="auto"/>
              </w:rPr>
            </w:pPr>
          </w:p>
        </w:tc>
        <w:tc>
          <w:tcPr>
            <w:tcW w:w="2500" w:type="dxa"/>
            <w:vAlign w:val="bottom"/>
          </w:tcPr>
          <w:p>
            <w:pPr>
              <w:spacing w:after="0" w:line="195" w:lineRule="exact"/>
              <w:rPr>
                <w:sz w:val="20"/>
                <w:szCs w:val="20"/>
                <w:color w:val="auto"/>
              </w:rPr>
            </w:pPr>
            <w:r>
              <w:rPr>
                <w:rFonts w:ascii="Arial" w:cs="Arial" w:eastAsia="Arial" w:hAnsi="Arial"/>
                <w:sz w:val="18"/>
                <w:szCs w:val="18"/>
                <w:color w:val="auto"/>
              </w:rPr>
              <w:t>Scott Miller</w:t>
            </w:r>
          </w:p>
        </w:tc>
        <w:tc>
          <w:tcPr>
            <w:tcW w:w="2620" w:type="dxa"/>
            <w:vAlign w:val="bottom"/>
          </w:tcPr>
          <w:p>
            <w:pPr>
              <w:spacing w:after="0"/>
              <w:rPr>
                <w:sz w:val="16"/>
                <w:szCs w:val="16"/>
                <w:color w:val="auto"/>
              </w:rPr>
            </w:pPr>
          </w:p>
        </w:tc>
      </w:tr>
      <w:tr>
        <w:trPr>
          <w:trHeight w:val="230"/>
        </w:trPr>
        <w:tc>
          <w:tcPr>
            <w:tcW w:w="6300" w:type="dxa"/>
            <w:vAlign w:val="bottom"/>
          </w:tcPr>
          <w:p>
            <w:pPr>
              <w:spacing w:after="0"/>
              <w:rPr>
                <w:sz w:val="20"/>
                <w:szCs w:val="20"/>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Vice President</w:t>
            </w:r>
          </w:p>
        </w:tc>
        <w:tc>
          <w:tcPr>
            <w:tcW w:w="2620" w:type="dxa"/>
            <w:vAlign w:val="bottom"/>
          </w:tcPr>
          <w:p>
            <w:pPr>
              <w:spacing w:after="0"/>
              <w:rPr>
                <w:sz w:val="20"/>
                <w:szCs w:val="20"/>
                <w:color w:val="auto"/>
              </w:rPr>
            </w:pPr>
          </w:p>
        </w:tc>
      </w:tr>
      <w:tr>
        <w:trPr>
          <w:trHeight w:val="540"/>
        </w:trPr>
        <w:tc>
          <w:tcPr>
            <w:tcW w:w="6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6</w:t>
            </w:r>
          </w:p>
        </w:tc>
        <w:tc>
          <w:tcPr>
            <w:tcW w:w="25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800" w:type="dxa"/>
            <w:vAlign w:val="bottom"/>
            <w:gridSpan w:val="3"/>
          </w:tcPr>
          <w:p>
            <w:pPr>
              <w:jc w:val="center"/>
              <w:ind w:right="4010"/>
              <w:spacing w:after="0"/>
              <w:rPr>
                <w:sz w:val="20"/>
                <w:szCs w:val="20"/>
                <w:color w:val="auto"/>
              </w:rPr>
            </w:pPr>
            <w:r>
              <w:rPr>
                <w:rFonts w:ascii="Arial" w:cs="Arial" w:eastAsia="Arial" w:hAnsi="Arial"/>
                <w:sz w:val="18"/>
                <w:szCs w:val="18"/>
                <w:b w:val="1"/>
                <w:bCs w:val="1"/>
                <w:color w:val="auto"/>
                <w:w w:val="93"/>
              </w:rPr>
              <w:t>Exhibit 7</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5920" w:type="dxa"/>
            <w:vAlign w:val="bottom"/>
            <w:gridSpan w:val="4"/>
          </w:tcPr>
          <w:p>
            <w:pPr>
              <w:jc w:val="center"/>
              <w:ind w:right="2870"/>
              <w:spacing w:after="0"/>
              <w:rPr>
                <w:sz w:val="20"/>
                <w:szCs w:val="20"/>
                <w:color w:val="auto"/>
              </w:rPr>
            </w:pPr>
            <w:r>
              <w:rPr>
                <w:rFonts w:ascii="Arial" w:cs="Arial" w:eastAsia="Arial" w:hAnsi="Arial"/>
                <w:sz w:val="18"/>
                <w:szCs w:val="18"/>
                <w:b w:val="1"/>
                <w:bCs w:val="1"/>
                <w:color w:val="auto"/>
                <w:w w:val="89"/>
              </w:rPr>
              <w:t>U.S. Bank National Association</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5920" w:type="dxa"/>
            <w:vAlign w:val="bottom"/>
            <w:gridSpan w:val="4"/>
          </w:tcPr>
          <w:p>
            <w:pPr>
              <w:jc w:val="center"/>
              <w:ind w:right="2870"/>
              <w:spacing w:after="0"/>
              <w:rPr>
                <w:sz w:val="20"/>
                <w:szCs w:val="20"/>
                <w:color w:val="auto"/>
              </w:rPr>
            </w:pPr>
            <w:r>
              <w:rPr>
                <w:rFonts w:ascii="Arial" w:cs="Arial" w:eastAsia="Arial" w:hAnsi="Arial"/>
                <w:sz w:val="18"/>
                <w:szCs w:val="18"/>
                <w:b w:val="1"/>
                <w:bCs w:val="1"/>
                <w:color w:val="auto"/>
                <w:w w:val="91"/>
              </w:rPr>
              <w:t>Statement of Financial Condition</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5920" w:type="dxa"/>
            <w:vAlign w:val="bottom"/>
            <w:gridSpan w:val="4"/>
          </w:tcPr>
          <w:p>
            <w:pPr>
              <w:jc w:val="center"/>
              <w:ind w:right="2890"/>
              <w:spacing w:after="0"/>
              <w:rPr>
                <w:sz w:val="20"/>
                <w:szCs w:val="20"/>
                <w:color w:val="auto"/>
              </w:rPr>
            </w:pPr>
            <w:r>
              <w:rPr>
                <w:rFonts w:ascii="Arial" w:cs="Arial" w:eastAsia="Arial" w:hAnsi="Arial"/>
                <w:sz w:val="18"/>
                <w:szCs w:val="18"/>
                <w:b w:val="1"/>
                <w:bCs w:val="1"/>
                <w:color w:val="auto"/>
                <w:w w:val="90"/>
              </w:rPr>
              <w:t>As of 9/30/2018</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0" w:type="dxa"/>
            <w:vAlign w:val="bottom"/>
            <w:gridSpan w:val="3"/>
          </w:tcPr>
          <w:p>
            <w:pPr>
              <w:jc w:val="center"/>
              <w:ind w:right="3990"/>
              <w:spacing w:after="0"/>
              <w:rPr>
                <w:sz w:val="20"/>
                <w:szCs w:val="20"/>
                <w:color w:val="auto"/>
              </w:rPr>
            </w:pPr>
            <w:r>
              <w:rPr>
                <w:rFonts w:ascii="Arial" w:cs="Arial" w:eastAsia="Arial" w:hAnsi="Arial"/>
                <w:sz w:val="18"/>
                <w:szCs w:val="18"/>
                <w:b w:val="1"/>
                <w:bCs w:val="1"/>
                <w:color w:val="auto"/>
                <w:w w:val="89"/>
              </w:rPr>
              <w:t>($000’s)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9/30/2018</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D5EAEA"/>
          </w:tcPr>
          <w:p>
            <w:pPr>
              <w:ind w:left="160"/>
              <w:spacing w:after="0"/>
              <w:rPr>
                <w:sz w:val="20"/>
                <w:szCs w:val="20"/>
                <w:color w:val="auto"/>
              </w:rPr>
            </w:pPr>
            <w:r>
              <w:rPr>
                <w:rFonts w:ascii="Arial" w:cs="Arial" w:eastAsia="Arial" w:hAnsi="Arial"/>
                <w:sz w:val="18"/>
                <w:szCs w:val="18"/>
                <w:color w:val="auto"/>
                <w:w w:val="95"/>
              </w:rPr>
              <w:t>Cash and Balances Due From Depository Institutions</w:t>
            </w:r>
          </w:p>
        </w:tc>
        <w:tc>
          <w:tcPr>
            <w:tcW w:w="5920" w:type="dxa"/>
            <w:vAlign w:val="bottom"/>
            <w:gridSpan w:val="4"/>
            <w:shd w:val="clear" w:color="auto" w:fill="D5EAEA"/>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20,003,448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Securities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110,034,104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D5EAEA"/>
          </w:tcPr>
          <w:p>
            <w:pPr>
              <w:ind w:left="160"/>
              <w:spacing w:after="0"/>
              <w:rPr>
                <w:sz w:val="20"/>
                <w:szCs w:val="20"/>
                <w:color w:val="auto"/>
              </w:rPr>
            </w:pPr>
            <w:r>
              <w:rPr>
                <w:rFonts w:ascii="Arial" w:cs="Arial" w:eastAsia="Arial" w:hAnsi="Arial"/>
                <w:sz w:val="18"/>
                <w:szCs w:val="18"/>
                <w:color w:val="auto"/>
              </w:rPr>
              <w:t>Federal Funds</w:t>
            </w:r>
          </w:p>
        </w:tc>
        <w:tc>
          <w:tcPr>
            <w:tcW w:w="1120" w:type="dxa"/>
            <w:vAlign w:val="bottom"/>
            <w:shd w:val="clear" w:color="auto" w:fill="D5EAEA"/>
          </w:tcPr>
          <w:p>
            <w:pPr>
              <w:spacing w:after="0"/>
              <w:rPr>
                <w:sz w:val="18"/>
                <w:szCs w:val="18"/>
                <w:color w:val="auto"/>
              </w:rPr>
            </w:pPr>
          </w:p>
        </w:tc>
        <w:tc>
          <w:tcPr>
            <w:tcW w:w="700" w:type="dxa"/>
            <w:vAlign w:val="bottom"/>
            <w:shd w:val="clear" w:color="auto" w:fill="D5EAEA"/>
          </w:tcPr>
          <w:p>
            <w:pPr>
              <w:spacing w:after="0"/>
              <w:rPr>
                <w:sz w:val="18"/>
                <w:szCs w:val="18"/>
                <w:color w:val="auto"/>
              </w:rPr>
            </w:pPr>
          </w:p>
        </w:tc>
        <w:tc>
          <w:tcPr>
            <w:tcW w:w="3760" w:type="dxa"/>
            <w:vAlign w:val="bottom"/>
            <w:shd w:val="clear" w:color="auto" w:fill="D5EAEA"/>
          </w:tcPr>
          <w:p>
            <w:pPr>
              <w:spacing w:after="0"/>
              <w:rPr>
                <w:sz w:val="18"/>
                <w:szCs w:val="18"/>
                <w:color w:val="auto"/>
              </w:rPr>
            </w:pPr>
          </w:p>
        </w:tc>
        <w:tc>
          <w:tcPr>
            <w:tcW w:w="340" w:type="dxa"/>
            <w:vAlign w:val="bottom"/>
            <w:shd w:val="clear" w:color="auto" w:fill="D5EAEA"/>
          </w:tcPr>
          <w:p>
            <w:pPr>
              <w:spacing w:after="0"/>
              <w:rPr>
                <w:sz w:val="18"/>
                <w:szCs w:val="18"/>
                <w:color w:val="auto"/>
              </w:rPr>
            </w:pPr>
          </w:p>
        </w:tc>
        <w:tc>
          <w:tcPr>
            <w:tcW w:w="12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31,434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Loans &amp; Lease Financing Receivables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281,653,128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D5EAEA"/>
          </w:tcPr>
          <w:p>
            <w:pPr>
              <w:ind w:left="160"/>
              <w:spacing w:after="0"/>
              <w:rPr>
                <w:sz w:val="20"/>
                <w:szCs w:val="20"/>
                <w:color w:val="auto"/>
              </w:rPr>
            </w:pPr>
            <w:r>
              <w:rPr>
                <w:rFonts w:ascii="Arial" w:cs="Arial" w:eastAsia="Arial" w:hAnsi="Arial"/>
                <w:sz w:val="18"/>
                <w:szCs w:val="18"/>
                <w:color w:val="auto"/>
              </w:rPr>
              <w:t>Fixed Assets</w:t>
            </w:r>
          </w:p>
        </w:tc>
        <w:tc>
          <w:tcPr>
            <w:tcW w:w="1120" w:type="dxa"/>
            <w:vAlign w:val="bottom"/>
            <w:shd w:val="clear" w:color="auto" w:fill="D5EAEA"/>
          </w:tcPr>
          <w:p>
            <w:pPr>
              <w:spacing w:after="0"/>
              <w:rPr>
                <w:sz w:val="18"/>
                <w:szCs w:val="18"/>
                <w:color w:val="auto"/>
              </w:rPr>
            </w:pPr>
          </w:p>
        </w:tc>
        <w:tc>
          <w:tcPr>
            <w:tcW w:w="700" w:type="dxa"/>
            <w:vAlign w:val="bottom"/>
            <w:shd w:val="clear" w:color="auto" w:fill="D5EAEA"/>
          </w:tcPr>
          <w:p>
            <w:pPr>
              <w:spacing w:after="0"/>
              <w:rPr>
                <w:sz w:val="18"/>
                <w:szCs w:val="18"/>
                <w:color w:val="auto"/>
              </w:rPr>
            </w:pPr>
          </w:p>
        </w:tc>
        <w:tc>
          <w:tcPr>
            <w:tcW w:w="3760" w:type="dxa"/>
            <w:vAlign w:val="bottom"/>
            <w:shd w:val="clear" w:color="auto" w:fill="D5EAEA"/>
          </w:tcPr>
          <w:p>
            <w:pPr>
              <w:spacing w:after="0"/>
              <w:rPr>
                <w:sz w:val="18"/>
                <w:szCs w:val="18"/>
                <w:color w:val="auto"/>
              </w:rPr>
            </w:pPr>
          </w:p>
        </w:tc>
        <w:tc>
          <w:tcPr>
            <w:tcW w:w="340" w:type="dxa"/>
            <w:vAlign w:val="bottom"/>
            <w:shd w:val="clear" w:color="auto" w:fill="D5EAEA"/>
          </w:tcPr>
          <w:p>
            <w:pPr>
              <w:spacing w:after="0"/>
              <w:rPr>
                <w:sz w:val="18"/>
                <w:szCs w:val="18"/>
                <w:color w:val="auto"/>
              </w:rPr>
            </w:pPr>
          </w:p>
        </w:tc>
        <w:tc>
          <w:tcPr>
            <w:tcW w:w="12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3,819,093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Intangible Assets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13,233,498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D5EAEA"/>
          </w:tcPr>
          <w:p>
            <w:pPr>
              <w:ind w:left="160"/>
              <w:spacing w:after="0"/>
              <w:rPr>
                <w:sz w:val="20"/>
                <w:szCs w:val="20"/>
                <w:color w:val="auto"/>
              </w:rPr>
            </w:pPr>
            <w:r>
              <w:rPr>
                <w:rFonts w:ascii="Arial" w:cs="Arial" w:eastAsia="Arial" w:hAnsi="Arial"/>
                <w:sz w:val="18"/>
                <w:szCs w:val="18"/>
                <w:color w:val="auto"/>
              </w:rPr>
              <w:t>Other Assets</w:t>
            </w:r>
          </w:p>
        </w:tc>
        <w:tc>
          <w:tcPr>
            <w:tcW w:w="1120" w:type="dxa"/>
            <w:vAlign w:val="bottom"/>
            <w:shd w:val="clear" w:color="auto" w:fill="D5EAEA"/>
          </w:tcPr>
          <w:p>
            <w:pPr>
              <w:spacing w:after="0"/>
              <w:rPr>
                <w:sz w:val="19"/>
                <w:szCs w:val="19"/>
                <w:color w:val="auto"/>
              </w:rPr>
            </w:pPr>
          </w:p>
        </w:tc>
        <w:tc>
          <w:tcPr>
            <w:tcW w:w="700" w:type="dxa"/>
            <w:vAlign w:val="bottom"/>
            <w:shd w:val="clear" w:color="auto" w:fill="D5EAEA"/>
          </w:tcPr>
          <w:p>
            <w:pPr>
              <w:spacing w:after="0"/>
              <w:rPr>
                <w:sz w:val="19"/>
                <w:szCs w:val="19"/>
                <w:color w:val="auto"/>
              </w:rPr>
            </w:pPr>
          </w:p>
        </w:tc>
        <w:tc>
          <w:tcPr>
            <w:tcW w:w="3760" w:type="dxa"/>
            <w:vAlign w:val="bottom"/>
            <w:shd w:val="clear" w:color="auto" w:fill="D5EAEA"/>
          </w:tcPr>
          <w:p>
            <w:pPr>
              <w:spacing w:after="0"/>
              <w:rPr>
                <w:sz w:val="19"/>
                <w:szCs w:val="19"/>
                <w:color w:val="auto"/>
              </w:rPr>
            </w:pPr>
          </w:p>
        </w:tc>
        <w:tc>
          <w:tcPr>
            <w:tcW w:w="340" w:type="dxa"/>
            <w:vAlign w:val="bottom"/>
            <w:shd w:val="clear" w:color="auto" w:fill="D5EAEA"/>
          </w:tcPr>
          <w:p>
            <w:pPr>
              <w:spacing w:after="0"/>
              <w:rPr>
                <w:sz w:val="19"/>
                <w:szCs w:val="19"/>
                <w:color w:val="auto"/>
              </w:rPr>
            </w:pPr>
          </w:p>
        </w:tc>
        <w:tc>
          <w:tcPr>
            <w:tcW w:w="12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27,236,326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b w:val="1"/>
                <w:bCs w:val="1"/>
                <w:color w:val="auto"/>
              </w:rPr>
              <w:t>Total Assets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456,011,031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700" w:type="dxa"/>
            <w:vAlign w:val="bottom"/>
            <w:shd w:val="clear" w:color="auto" w:fill="D5EAEA"/>
          </w:tcPr>
          <w:p>
            <w:pPr>
              <w:spacing w:after="0"/>
              <w:rPr>
                <w:sz w:val="18"/>
                <w:szCs w:val="18"/>
                <w:color w:val="auto"/>
              </w:rPr>
            </w:pPr>
          </w:p>
        </w:tc>
        <w:tc>
          <w:tcPr>
            <w:tcW w:w="3760" w:type="dxa"/>
            <w:vAlign w:val="bottom"/>
            <w:shd w:val="clear" w:color="auto" w:fill="D5EAEA"/>
          </w:tcPr>
          <w:p>
            <w:pPr>
              <w:spacing w:after="0"/>
              <w:rPr>
                <w:sz w:val="18"/>
                <w:szCs w:val="18"/>
                <w:color w:val="auto"/>
              </w:rPr>
            </w:pPr>
          </w:p>
        </w:tc>
        <w:tc>
          <w:tcPr>
            <w:tcW w:w="340" w:type="dxa"/>
            <w:vAlign w:val="bottom"/>
            <w:shd w:val="clear" w:color="auto" w:fill="D5EAEA"/>
          </w:tcPr>
          <w:p>
            <w:pPr>
              <w:spacing w:after="0"/>
              <w:rPr>
                <w:sz w:val="18"/>
                <w:szCs w:val="18"/>
                <w:color w:val="auto"/>
              </w:rPr>
            </w:pPr>
          </w:p>
        </w:tc>
        <w:tc>
          <w:tcPr>
            <w:tcW w:w="11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D5EAEA"/>
          </w:tcPr>
          <w:p>
            <w:pPr>
              <w:ind w:left="160"/>
              <w:spacing w:after="0"/>
              <w:rPr>
                <w:sz w:val="20"/>
                <w:szCs w:val="20"/>
                <w:color w:val="auto"/>
              </w:rPr>
            </w:pPr>
            <w:r>
              <w:rPr>
                <w:rFonts w:ascii="Arial" w:cs="Arial" w:eastAsia="Arial" w:hAnsi="Arial"/>
                <w:sz w:val="18"/>
                <w:szCs w:val="18"/>
                <w:color w:val="auto"/>
              </w:rPr>
              <w:t>Deposits</w:t>
            </w:r>
          </w:p>
        </w:tc>
        <w:tc>
          <w:tcPr>
            <w:tcW w:w="5920" w:type="dxa"/>
            <w:vAlign w:val="bottom"/>
            <w:gridSpan w:val="4"/>
            <w:shd w:val="clear" w:color="auto" w:fill="D5EAEA"/>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342,906,860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Fed Funds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6,964,321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D5EAEA"/>
          </w:tcPr>
          <w:p>
            <w:pPr>
              <w:ind w:left="160"/>
              <w:spacing w:after="0"/>
              <w:rPr>
                <w:sz w:val="20"/>
                <w:szCs w:val="20"/>
                <w:color w:val="auto"/>
              </w:rPr>
            </w:pPr>
            <w:r>
              <w:rPr>
                <w:rFonts w:ascii="Arial" w:cs="Arial" w:eastAsia="Arial" w:hAnsi="Arial"/>
                <w:sz w:val="18"/>
                <w:szCs w:val="18"/>
                <w:color w:val="auto"/>
              </w:rPr>
              <w:t>Treasury Demand Notes</w:t>
            </w:r>
          </w:p>
        </w:tc>
        <w:tc>
          <w:tcPr>
            <w:tcW w:w="1120" w:type="dxa"/>
            <w:vAlign w:val="bottom"/>
            <w:shd w:val="clear" w:color="auto" w:fill="D5EAEA"/>
          </w:tcPr>
          <w:p>
            <w:pPr>
              <w:spacing w:after="0"/>
              <w:rPr>
                <w:sz w:val="18"/>
                <w:szCs w:val="18"/>
                <w:color w:val="auto"/>
              </w:rPr>
            </w:pPr>
          </w:p>
        </w:tc>
        <w:tc>
          <w:tcPr>
            <w:tcW w:w="700" w:type="dxa"/>
            <w:vAlign w:val="bottom"/>
            <w:shd w:val="clear" w:color="auto" w:fill="D5EAEA"/>
          </w:tcPr>
          <w:p>
            <w:pPr>
              <w:spacing w:after="0"/>
              <w:rPr>
                <w:sz w:val="18"/>
                <w:szCs w:val="18"/>
                <w:color w:val="auto"/>
              </w:rPr>
            </w:pPr>
          </w:p>
        </w:tc>
        <w:tc>
          <w:tcPr>
            <w:tcW w:w="3760" w:type="dxa"/>
            <w:vAlign w:val="bottom"/>
            <w:shd w:val="clear" w:color="auto" w:fill="D5EAEA"/>
          </w:tcPr>
          <w:p>
            <w:pPr>
              <w:spacing w:after="0"/>
              <w:rPr>
                <w:sz w:val="18"/>
                <w:szCs w:val="18"/>
                <w:color w:val="auto"/>
              </w:rPr>
            </w:pPr>
          </w:p>
        </w:tc>
        <w:tc>
          <w:tcPr>
            <w:tcW w:w="340" w:type="dxa"/>
            <w:vAlign w:val="bottom"/>
            <w:shd w:val="clear" w:color="auto" w:fill="D5EAEA"/>
          </w:tcPr>
          <w:p>
            <w:pPr>
              <w:spacing w:after="0"/>
              <w:rPr>
                <w:sz w:val="18"/>
                <w:szCs w:val="18"/>
                <w:color w:val="auto"/>
              </w:rPr>
            </w:pPr>
          </w:p>
        </w:tc>
        <w:tc>
          <w:tcPr>
            <w:tcW w:w="12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Trading Liabilities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977,478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D5EAEA"/>
          </w:tcPr>
          <w:p>
            <w:pPr>
              <w:ind w:left="160"/>
              <w:spacing w:after="0"/>
              <w:rPr>
                <w:sz w:val="20"/>
                <w:szCs w:val="20"/>
                <w:color w:val="auto"/>
              </w:rPr>
            </w:pPr>
            <w:r>
              <w:rPr>
                <w:rFonts w:ascii="Arial" w:cs="Arial" w:eastAsia="Arial" w:hAnsi="Arial"/>
                <w:sz w:val="18"/>
                <w:szCs w:val="18"/>
                <w:color w:val="auto"/>
              </w:rPr>
              <w:t>Other Borrowed Money</w:t>
            </w:r>
          </w:p>
        </w:tc>
        <w:tc>
          <w:tcPr>
            <w:tcW w:w="1120" w:type="dxa"/>
            <w:vAlign w:val="bottom"/>
            <w:shd w:val="clear" w:color="auto" w:fill="D5EAEA"/>
          </w:tcPr>
          <w:p>
            <w:pPr>
              <w:spacing w:after="0"/>
              <w:rPr>
                <w:sz w:val="18"/>
                <w:szCs w:val="18"/>
                <w:color w:val="auto"/>
              </w:rPr>
            </w:pPr>
          </w:p>
        </w:tc>
        <w:tc>
          <w:tcPr>
            <w:tcW w:w="700" w:type="dxa"/>
            <w:vAlign w:val="bottom"/>
            <w:shd w:val="clear" w:color="auto" w:fill="D5EAEA"/>
          </w:tcPr>
          <w:p>
            <w:pPr>
              <w:spacing w:after="0"/>
              <w:rPr>
                <w:sz w:val="18"/>
                <w:szCs w:val="18"/>
                <w:color w:val="auto"/>
              </w:rPr>
            </w:pPr>
          </w:p>
        </w:tc>
        <w:tc>
          <w:tcPr>
            <w:tcW w:w="3760" w:type="dxa"/>
            <w:vAlign w:val="bottom"/>
            <w:shd w:val="clear" w:color="auto" w:fill="D5EAEA"/>
          </w:tcPr>
          <w:p>
            <w:pPr>
              <w:spacing w:after="0"/>
              <w:rPr>
                <w:sz w:val="18"/>
                <w:szCs w:val="18"/>
                <w:color w:val="auto"/>
              </w:rPr>
            </w:pPr>
          </w:p>
        </w:tc>
        <w:tc>
          <w:tcPr>
            <w:tcW w:w="340" w:type="dxa"/>
            <w:vAlign w:val="bottom"/>
            <w:shd w:val="clear" w:color="auto" w:fill="D5EAEA"/>
          </w:tcPr>
          <w:p>
            <w:pPr>
              <w:spacing w:after="0"/>
              <w:rPr>
                <w:sz w:val="18"/>
                <w:szCs w:val="18"/>
                <w:color w:val="auto"/>
              </w:rPr>
            </w:pPr>
          </w:p>
        </w:tc>
        <w:tc>
          <w:tcPr>
            <w:tcW w:w="12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38,881,574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Acceptances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D5EAEA"/>
          </w:tcPr>
          <w:p>
            <w:pPr>
              <w:ind w:left="160"/>
              <w:spacing w:after="0"/>
              <w:rPr>
                <w:sz w:val="20"/>
                <w:szCs w:val="20"/>
                <w:color w:val="auto"/>
              </w:rPr>
            </w:pPr>
            <w:r>
              <w:rPr>
                <w:rFonts w:ascii="Arial" w:cs="Arial" w:eastAsia="Arial" w:hAnsi="Arial"/>
                <w:sz w:val="18"/>
                <w:szCs w:val="18"/>
                <w:color w:val="auto"/>
              </w:rPr>
              <w:t>Subordinated Notes and Debentures</w:t>
            </w:r>
          </w:p>
        </w:tc>
        <w:tc>
          <w:tcPr>
            <w:tcW w:w="1120" w:type="dxa"/>
            <w:vAlign w:val="bottom"/>
            <w:shd w:val="clear" w:color="auto" w:fill="D5EAEA"/>
          </w:tcPr>
          <w:p>
            <w:pPr>
              <w:spacing w:after="0"/>
              <w:rPr>
                <w:sz w:val="18"/>
                <w:szCs w:val="18"/>
                <w:color w:val="auto"/>
              </w:rPr>
            </w:pPr>
          </w:p>
        </w:tc>
        <w:tc>
          <w:tcPr>
            <w:tcW w:w="700" w:type="dxa"/>
            <w:vAlign w:val="bottom"/>
            <w:shd w:val="clear" w:color="auto" w:fill="D5EAEA"/>
          </w:tcPr>
          <w:p>
            <w:pPr>
              <w:spacing w:after="0"/>
              <w:rPr>
                <w:sz w:val="18"/>
                <w:szCs w:val="18"/>
                <w:color w:val="auto"/>
              </w:rPr>
            </w:pPr>
          </w:p>
        </w:tc>
        <w:tc>
          <w:tcPr>
            <w:tcW w:w="3760" w:type="dxa"/>
            <w:vAlign w:val="bottom"/>
            <w:shd w:val="clear" w:color="auto" w:fill="D5EAEA"/>
          </w:tcPr>
          <w:p>
            <w:pPr>
              <w:spacing w:after="0"/>
              <w:rPr>
                <w:sz w:val="18"/>
                <w:szCs w:val="18"/>
                <w:color w:val="auto"/>
              </w:rPr>
            </w:pPr>
          </w:p>
        </w:tc>
        <w:tc>
          <w:tcPr>
            <w:tcW w:w="340" w:type="dxa"/>
            <w:vAlign w:val="bottom"/>
            <w:shd w:val="clear" w:color="auto" w:fill="D5EAEA"/>
          </w:tcPr>
          <w:p>
            <w:pPr>
              <w:spacing w:after="0"/>
              <w:rPr>
                <w:sz w:val="18"/>
                <w:szCs w:val="18"/>
                <w:color w:val="auto"/>
              </w:rPr>
            </w:pPr>
          </w:p>
        </w:tc>
        <w:tc>
          <w:tcPr>
            <w:tcW w:w="12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3,800,000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Other Liabilities</w:t>
            </w: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14,600,333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D5EAEA"/>
            </w:tcBorders>
            <w:shd w:val="clear" w:color="auto" w:fill="D5EAEA"/>
          </w:tcPr>
          <w:p>
            <w:pPr>
              <w:ind w:left="160"/>
              <w:spacing w:after="0"/>
              <w:rPr>
                <w:sz w:val="20"/>
                <w:szCs w:val="20"/>
                <w:color w:val="auto"/>
              </w:rPr>
            </w:pPr>
            <w:r>
              <w:rPr>
                <w:rFonts w:ascii="Arial" w:cs="Arial" w:eastAsia="Arial" w:hAnsi="Arial"/>
                <w:sz w:val="18"/>
                <w:szCs w:val="18"/>
                <w:b w:val="1"/>
                <w:bCs w:val="1"/>
                <w:color w:val="auto"/>
              </w:rPr>
              <w:t>Total Liabilities</w:t>
            </w:r>
          </w:p>
        </w:tc>
        <w:tc>
          <w:tcPr>
            <w:tcW w:w="1120" w:type="dxa"/>
            <w:vAlign w:val="bottom"/>
            <w:tcBorders>
              <w:top w:val="single" w:sz="8" w:color="D5EAEA"/>
            </w:tcBorders>
            <w:shd w:val="clear" w:color="auto" w:fill="D5EAEA"/>
          </w:tcPr>
          <w:p>
            <w:pPr>
              <w:spacing w:after="0"/>
              <w:rPr>
                <w:sz w:val="18"/>
                <w:szCs w:val="18"/>
                <w:color w:val="auto"/>
              </w:rPr>
            </w:pPr>
          </w:p>
        </w:tc>
        <w:tc>
          <w:tcPr>
            <w:tcW w:w="700" w:type="dxa"/>
            <w:vAlign w:val="bottom"/>
            <w:tcBorders>
              <w:top w:val="single" w:sz="8" w:color="D5EAEA"/>
            </w:tcBorders>
            <w:shd w:val="clear" w:color="auto" w:fill="D5EAEA"/>
          </w:tcPr>
          <w:p>
            <w:pPr>
              <w:spacing w:after="0"/>
              <w:rPr>
                <w:sz w:val="18"/>
                <w:szCs w:val="18"/>
                <w:color w:val="auto"/>
              </w:rPr>
            </w:pPr>
          </w:p>
        </w:tc>
        <w:tc>
          <w:tcPr>
            <w:tcW w:w="3760" w:type="dxa"/>
            <w:vAlign w:val="bottom"/>
            <w:tcBorders>
              <w:top w:val="single" w:sz="8" w:color="D5EAEA"/>
            </w:tcBorders>
            <w:shd w:val="clear" w:color="auto" w:fill="D5EAEA"/>
          </w:tcPr>
          <w:p>
            <w:pPr>
              <w:spacing w:after="0"/>
              <w:rPr>
                <w:sz w:val="18"/>
                <w:szCs w:val="18"/>
                <w:color w:val="auto"/>
              </w:rPr>
            </w:pPr>
          </w:p>
        </w:tc>
        <w:tc>
          <w:tcPr>
            <w:tcW w:w="340" w:type="dxa"/>
            <w:vAlign w:val="bottom"/>
            <w:tcBorders>
              <w:top w:val="single" w:sz="8" w:color="auto"/>
            </w:tcBorders>
            <w:shd w:val="clear" w:color="auto" w:fill="D5EAEA"/>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408,130,566</w:t>
            </w:r>
          </w:p>
        </w:tc>
        <w:tc>
          <w:tcPr>
            <w:tcW w:w="100" w:type="dxa"/>
            <w:vAlign w:val="bottom"/>
            <w:tcBorders>
              <w:top w:val="single" w:sz="8" w:color="D5EAEA"/>
            </w:tcBorders>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Equity</w:t>
            </w:r>
          </w:p>
        </w:tc>
        <w:tc>
          <w:tcPr>
            <w:tcW w:w="1120" w:type="dxa"/>
            <w:vAlign w:val="bottom"/>
            <w:shd w:val="clear" w:color="auto" w:fill="D5EAEA"/>
          </w:tcPr>
          <w:p>
            <w:pPr>
              <w:spacing w:after="0"/>
              <w:rPr>
                <w:sz w:val="18"/>
                <w:szCs w:val="18"/>
                <w:color w:val="auto"/>
              </w:rPr>
            </w:pPr>
          </w:p>
        </w:tc>
        <w:tc>
          <w:tcPr>
            <w:tcW w:w="700" w:type="dxa"/>
            <w:vAlign w:val="bottom"/>
            <w:shd w:val="clear" w:color="auto" w:fill="D5EAEA"/>
          </w:tcPr>
          <w:p>
            <w:pPr>
              <w:spacing w:after="0"/>
              <w:rPr>
                <w:sz w:val="18"/>
                <w:szCs w:val="18"/>
                <w:color w:val="auto"/>
              </w:rPr>
            </w:pPr>
          </w:p>
        </w:tc>
        <w:tc>
          <w:tcPr>
            <w:tcW w:w="3760" w:type="dxa"/>
            <w:vAlign w:val="bottom"/>
            <w:shd w:val="clear" w:color="auto" w:fill="D5EAEA"/>
          </w:tcPr>
          <w:p>
            <w:pPr>
              <w:spacing w:after="0"/>
              <w:rPr>
                <w:sz w:val="18"/>
                <w:szCs w:val="18"/>
                <w:color w:val="auto"/>
              </w:rPr>
            </w:pPr>
          </w:p>
        </w:tc>
        <w:tc>
          <w:tcPr>
            <w:tcW w:w="340" w:type="dxa"/>
            <w:vAlign w:val="bottom"/>
            <w:shd w:val="clear" w:color="auto" w:fill="D5EAEA"/>
          </w:tcPr>
          <w:p>
            <w:pPr>
              <w:spacing w:after="0"/>
              <w:rPr>
                <w:sz w:val="18"/>
                <w:szCs w:val="18"/>
                <w:color w:val="auto"/>
              </w:rPr>
            </w:pPr>
          </w:p>
        </w:tc>
        <w:tc>
          <w:tcPr>
            <w:tcW w:w="11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Common and Preferred Stock</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D5EAEA"/>
          </w:tcPr>
          <w:p>
            <w:pPr>
              <w:ind w:left="160"/>
              <w:spacing w:after="0"/>
              <w:rPr>
                <w:sz w:val="20"/>
                <w:szCs w:val="20"/>
                <w:color w:val="auto"/>
              </w:rPr>
            </w:pPr>
            <w:r>
              <w:rPr>
                <w:rFonts w:ascii="Arial" w:cs="Arial" w:eastAsia="Arial" w:hAnsi="Arial"/>
                <w:sz w:val="18"/>
                <w:szCs w:val="18"/>
                <w:color w:val="auto"/>
              </w:rPr>
              <w:t>Surplus</w:t>
            </w:r>
          </w:p>
        </w:tc>
        <w:tc>
          <w:tcPr>
            <w:tcW w:w="1120" w:type="dxa"/>
            <w:vAlign w:val="bottom"/>
            <w:shd w:val="clear" w:color="auto" w:fill="D5EAEA"/>
          </w:tcPr>
          <w:p>
            <w:pPr>
              <w:spacing w:after="0"/>
              <w:rPr>
                <w:sz w:val="18"/>
                <w:szCs w:val="18"/>
                <w:color w:val="auto"/>
              </w:rPr>
            </w:pPr>
          </w:p>
        </w:tc>
        <w:tc>
          <w:tcPr>
            <w:tcW w:w="700" w:type="dxa"/>
            <w:vAlign w:val="bottom"/>
            <w:shd w:val="clear" w:color="auto" w:fill="D5EAEA"/>
          </w:tcPr>
          <w:p>
            <w:pPr>
              <w:spacing w:after="0"/>
              <w:rPr>
                <w:sz w:val="18"/>
                <w:szCs w:val="18"/>
                <w:color w:val="auto"/>
              </w:rPr>
            </w:pPr>
          </w:p>
        </w:tc>
        <w:tc>
          <w:tcPr>
            <w:tcW w:w="3760" w:type="dxa"/>
            <w:vAlign w:val="bottom"/>
            <w:shd w:val="clear" w:color="auto" w:fill="D5EAEA"/>
          </w:tcPr>
          <w:p>
            <w:pPr>
              <w:spacing w:after="0"/>
              <w:rPr>
                <w:sz w:val="18"/>
                <w:szCs w:val="18"/>
                <w:color w:val="auto"/>
              </w:rPr>
            </w:pPr>
          </w:p>
        </w:tc>
        <w:tc>
          <w:tcPr>
            <w:tcW w:w="340" w:type="dxa"/>
            <w:vAlign w:val="bottom"/>
            <w:shd w:val="clear" w:color="auto" w:fill="D5EAEA"/>
          </w:tcPr>
          <w:p>
            <w:pPr>
              <w:spacing w:after="0"/>
              <w:rPr>
                <w:sz w:val="18"/>
                <w:szCs w:val="18"/>
                <w:color w:val="auto"/>
              </w:rPr>
            </w:pPr>
          </w:p>
        </w:tc>
        <w:tc>
          <w:tcPr>
            <w:tcW w:w="12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14,266,915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Undivided Profits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32,793,053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D5EAEA"/>
          </w:tcPr>
          <w:p>
            <w:pPr>
              <w:ind w:left="160"/>
              <w:spacing w:after="0"/>
              <w:rPr>
                <w:sz w:val="20"/>
                <w:szCs w:val="20"/>
                <w:color w:val="auto"/>
              </w:rPr>
            </w:pPr>
            <w:r>
              <w:rPr>
                <w:rFonts w:ascii="Arial" w:cs="Arial" w:eastAsia="Arial" w:hAnsi="Arial"/>
                <w:sz w:val="18"/>
                <w:szCs w:val="18"/>
                <w:color w:val="auto"/>
              </w:rPr>
              <w:t>Minority Interest in Subsidiaries</w:t>
            </w:r>
          </w:p>
        </w:tc>
        <w:tc>
          <w:tcPr>
            <w:tcW w:w="1120" w:type="dxa"/>
            <w:vAlign w:val="bottom"/>
            <w:shd w:val="clear" w:color="auto" w:fill="D5EAEA"/>
          </w:tcPr>
          <w:p>
            <w:pPr>
              <w:spacing w:after="0"/>
              <w:rPr>
                <w:sz w:val="19"/>
                <w:szCs w:val="19"/>
                <w:color w:val="auto"/>
              </w:rPr>
            </w:pPr>
          </w:p>
        </w:tc>
        <w:tc>
          <w:tcPr>
            <w:tcW w:w="700" w:type="dxa"/>
            <w:vAlign w:val="bottom"/>
            <w:shd w:val="clear" w:color="auto" w:fill="D5EAEA"/>
          </w:tcPr>
          <w:p>
            <w:pPr>
              <w:spacing w:after="0"/>
              <w:rPr>
                <w:sz w:val="19"/>
                <w:szCs w:val="19"/>
                <w:color w:val="auto"/>
              </w:rPr>
            </w:pPr>
          </w:p>
        </w:tc>
        <w:tc>
          <w:tcPr>
            <w:tcW w:w="3760" w:type="dxa"/>
            <w:vAlign w:val="bottom"/>
            <w:shd w:val="clear" w:color="auto" w:fill="D5EAEA"/>
          </w:tcPr>
          <w:p>
            <w:pPr>
              <w:spacing w:after="0"/>
              <w:rPr>
                <w:sz w:val="19"/>
                <w:szCs w:val="19"/>
                <w:color w:val="auto"/>
              </w:rPr>
            </w:pPr>
          </w:p>
        </w:tc>
        <w:tc>
          <w:tcPr>
            <w:tcW w:w="340" w:type="dxa"/>
            <w:vAlign w:val="bottom"/>
            <w:shd w:val="clear" w:color="auto" w:fill="D5EAEA"/>
          </w:tcPr>
          <w:p>
            <w:pPr>
              <w:spacing w:after="0"/>
              <w:rPr>
                <w:sz w:val="19"/>
                <w:szCs w:val="19"/>
                <w:color w:val="auto"/>
              </w:rPr>
            </w:pPr>
          </w:p>
        </w:tc>
        <w:tc>
          <w:tcPr>
            <w:tcW w:w="12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802,297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b w:val="1"/>
                <w:bCs w:val="1"/>
                <w:color w:val="auto"/>
              </w:rPr>
              <w:t>Total Equity Capital</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47,880,465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700" w:type="dxa"/>
            <w:vAlign w:val="bottom"/>
            <w:shd w:val="clear" w:color="auto" w:fill="D5EAEA"/>
          </w:tcPr>
          <w:p>
            <w:pPr>
              <w:spacing w:after="0"/>
              <w:rPr>
                <w:sz w:val="18"/>
                <w:szCs w:val="18"/>
                <w:color w:val="auto"/>
              </w:rPr>
            </w:pPr>
          </w:p>
        </w:tc>
        <w:tc>
          <w:tcPr>
            <w:tcW w:w="3760" w:type="dxa"/>
            <w:vAlign w:val="bottom"/>
            <w:shd w:val="clear" w:color="auto" w:fill="D5EAEA"/>
          </w:tcPr>
          <w:p>
            <w:pPr>
              <w:spacing w:after="0"/>
              <w:rPr>
                <w:sz w:val="18"/>
                <w:szCs w:val="18"/>
                <w:color w:val="auto"/>
              </w:rPr>
            </w:pPr>
          </w:p>
        </w:tc>
        <w:tc>
          <w:tcPr>
            <w:tcW w:w="340" w:type="dxa"/>
            <w:vAlign w:val="bottom"/>
            <w:shd w:val="clear" w:color="auto" w:fill="D5EAEA"/>
          </w:tcPr>
          <w:p>
            <w:pPr>
              <w:spacing w:after="0"/>
              <w:rPr>
                <w:sz w:val="18"/>
                <w:szCs w:val="18"/>
                <w:color w:val="auto"/>
              </w:rPr>
            </w:pPr>
          </w:p>
        </w:tc>
        <w:tc>
          <w:tcPr>
            <w:tcW w:w="11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Total Liabilities and Equity Capital</w:t>
            </w:r>
          </w:p>
        </w:tc>
        <w:tc>
          <w:tcPr>
            <w:tcW w:w="592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456,011,031</w:t>
            </w:r>
          </w:p>
        </w:tc>
        <w:tc>
          <w:tcPr>
            <w:tcW w:w="0" w:type="dxa"/>
            <w:vAlign w:val="bottom"/>
          </w:tcPr>
          <w:p>
            <w:pPr>
              <w:spacing w:after="0"/>
              <w:rPr>
                <w:sz w:val="1"/>
                <w:szCs w:val="1"/>
                <w:color w:val="auto"/>
              </w:rPr>
            </w:pPr>
          </w:p>
        </w:tc>
      </w:tr>
      <w:tr>
        <w:trPr>
          <w:trHeight w:val="522"/>
        </w:trPr>
        <w:tc>
          <w:tcPr>
            <w:tcW w:w="20" w:type="dxa"/>
            <w:vAlign w:val="bottom"/>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7</w:t>
            </w:r>
          </w:p>
        </w:tc>
        <w:tc>
          <w:tcPr>
            <w:tcW w:w="37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56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1)"/>
      <w:numFmt w:val="decimal"/>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lvl w:ilvl="1">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1)"/>
      <w:numFmt w:val="decimal"/>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1)"/>
      <w:numFmt w:val="decimal"/>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1)"/>
      <w:numFmt w:val="lowerLetter"/>
      <w:start w:val="1"/>
    </w:lvl>
    <w:lvl w:ilvl="1">
      <w:lvlJc w:val="left"/>
      <w:lvlText w:val="(%2)"/>
      <w:numFmt w:val="lowerRoman"/>
      <w:start w:val="1"/>
    </w:lvl>
  </w:abstractNum>
  <w:abstractNum w:abstractNumId="31">
    <w:nsid w:val="3855585C"/>
    <w:multiLevelType w:val="hybridMultilevel"/>
    <w:lvl w:ilvl="0">
      <w:lvlJc w:val="left"/>
      <w:lvlText w:val="(%1)"/>
      <w:numFmt w:val="lowerRoman"/>
      <w:start w:val="3"/>
    </w:lvl>
  </w:abstractNum>
  <w:abstractNum w:abstractNumId="32">
    <w:nsid w:val="70A64E2A"/>
    <w:multiLevelType w:val="hybridMultilevel"/>
    <w:lvl w:ilvl="0">
      <w:lvlJc w:val="left"/>
      <w:lvlText w:val="(%1)"/>
      <w:numFmt w:val="lowerLetter"/>
      <w:start w:val="2"/>
    </w:lvl>
    <w:lvl w:ilvl="1">
      <w:lvlJc w:val="left"/>
      <w:lvlText w:val="(%2)"/>
      <w:numFmt w:val="lowerRoman"/>
      <w:start w:val="1"/>
    </w:lvl>
  </w:abstractNum>
  <w:abstractNum w:abstractNumId="33">
    <w:nsid w:val="6A2342EC"/>
    <w:multiLevelType w:val="hybridMultilevel"/>
    <w:lvl w:ilvl="0">
      <w:lvlJc w:val="left"/>
      <w:lvlText w:val="%1"/>
      <w:numFmt w:val="lowerLetter"/>
      <w:start w:val="1"/>
    </w:lvl>
    <w:lvl w:ilvl="1">
      <w:lvlJc w:val="left"/>
      <w:lvlText w:val="(%2)"/>
      <w:numFmt w:val="lowerRoman"/>
      <w:start w:val="3"/>
    </w:lvl>
  </w:abstractNum>
  <w:abstractNum w:abstractNumId="34">
    <w:nsid w:val="2A487CB0"/>
    <w:multiLevelType w:val="hybridMultilevel"/>
    <w:lvl w:ilvl="0">
      <w:lvlJc w:val="left"/>
      <w:lvlText w:val="(%1)"/>
      <w:numFmt w:val="lowerLetter"/>
      <w:start w:val="6"/>
    </w:lvl>
    <w:lvl w:ilvl="1">
      <w:lvlJc w:val="left"/>
      <w:lvlText w:val="%2"/>
      <w:numFmt w:val="lowerRoman"/>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1)"/>
      <w:numFmt w:val="lowerLetter"/>
      <w:start w:val="1"/>
    </w:lvl>
  </w:abstractNum>
  <w:abstractNum w:abstractNumId="38">
    <w:nsid w:val="57E4CCAF"/>
    <w:multiLevelType w:val="hybridMultilevel"/>
    <w:lvl w:ilvl="0">
      <w:lvlJc w:val="left"/>
      <w:lvlText w:val="%1."/>
      <w:numFmt w:val="decimal"/>
      <w:start w:val="1"/>
    </w:lvl>
  </w:abstractNum>
  <w:abstractNum w:abstractNumId="39">
    <w:nsid w:val="7A6D8D3C"/>
    <w:multiLevelType w:val="hybridMultilevel"/>
    <w:lvl w:ilvl="0">
      <w:lvlJc w:val="left"/>
      <w:lvlText w:val="%1."/>
      <w:numFmt w:val="decimal"/>
      <w:start w:val="4"/>
    </w:lvl>
  </w:abstractNum>
  <w:abstractNum w:abstractNumId="40">
    <w:nsid w:val="4B588F54"/>
    <w:multiLevelType w:val="hybridMultilevel"/>
    <w:lvl w:ilvl="0">
      <w:lvlJc w:val="left"/>
      <w:lvlText w:val="%1."/>
      <w:numFmt w:val="decimal"/>
      <w:start w:val="8"/>
    </w:lvl>
  </w:abstractNum>
  <w:abstractNum w:abstractNumId="41">
    <w:nsid w:val="542289EC"/>
    <w:multiLevelType w:val="hybridMultilevel"/>
    <w:lvl w:ilvl="0">
      <w:lvlJc w:val="left"/>
      <w:lvlText w:val="(%1)"/>
      <w:numFmt w:val="lowerRoman"/>
      <w:start w:val="1"/>
    </w:lvl>
  </w:abstractNum>
  <w:abstractNum w:abstractNumId="42">
    <w:nsid w:val="6DE91B18"/>
    <w:multiLevelType w:val="hybridMultilevel"/>
    <w:lvl w:ilvl="0">
      <w:lvlJc w:val="left"/>
      <w:lvlText w:val="%1)"/>
      <w:numFmt w:val="lowerLetter"/>
      <w:start w:val="1"/>
    </w:lvl>
  </w:abstractNum>
  <w:abstractNum w:abstractNumId="43">
    <w:nsid w:val="38437FDB"/>
    <w:multiLevelType w:val="hybridMultilevel"/>
    <w:lvl w:ilvl="0">
      <w:lvlJc w:val="left"/>
      <w:lvlText w:val="*"/>
      <w:numFmt w:val="bullet"/>
      <w:start w:val="1"/>
    </w:lvl>
    <w:lvl w:ilvl="1">
      <w:lvlJc w:val="left"/>
      <w:lvlText w:val="%2."/>
      <w:numFmt w:val="decimal"/>
      <w:start w:val="1"/>
    </w:lvl>
  </w:abstractNum>
  <w:abstractNum w:abstractNumId="44">
    <w:nsid w:val="7644A45C"/>
    <w:multiLevelType w:val="hybridMultilevel"/>
    <w:lvl w:ilvl="0">
      <w:lvlJc w:val="left"/>
      <w:lvlText w:val="**"/>
      <w:numFmt w:val="bullet"/>
      <w:start w:val="1"/>
    </w:lvl>
    <w:lvl w:ilvl="1">
      <w:lvlJc w:val="left"/>
      <w:lvlText w:val="%2"/>
      <w:numFmt w:val="decimal"/>
      <w:start w:val="1"/>
    </w:lvl>
  </w:abstractNum>
  <w:abstractNum w:abstractNumId="45">
    <w:nsid w:val="32FFF902"/>
    <w:multiLevelType w:val="hybridMultilevel"/>
    <w:lvl w:ilvl="0">
      <w:lvlJc w:val="left"/>
      <w:lvlText w:val="%1)"/>
      <w:numFmt w:val="lowerLetter"/>
      <w:start w:val="1"/>
    </w:lvl>
  </w:abstractNum>
  <w:abstractNum w:abstractNumId="46">
    <w:nsid w:val="684A481A"/>
    <w:multiLevelType w:val="hybridMultilevel"/>
    <w:lvl w:ilvl="0">
      <w:lvlJc w:val="left"/>
      <w:lvlText w:val="*"/>
      <w:numFmt w:val="bullet"/>
      <w:start w:val="1"/>
    </w:lvl>
    <w:lvl w:ilvl="1">
      <w:lvlJc w:val="left"/>
      <w:lvlText w:val="%2."/>
      <w:numFmt w:val="decimal"/>
      <w:start w:val="1"/>
    </w:lvl>
  </w:abstractNum>
  <w:abstractNum w:abstractNumId="47">
    <w:nsid w:val="579478FE"/>
    <w:multiLevelType w:val="hybridMultilevel"/>
    <w:lvl w:ilvl="0">
      <w:lvlJc w:val="left"/>
      <w:lvlText w:val="**"/>
      <w:numFmt w:val="bullet"/>
      <w:start w:val="1"/>
    </w:lvl>
    <w:lvl w:ilvl="1">
      <w:lvlJc w:val="left"/>
      <w:lvlText w:val="%2"/>
      <w:numFmt w:val="decimal"/>
      <w:start w:val="1"/>
    </w:lvl>
  </w:abstractNum>
  <w:abstractNum w:abstractNumId="48">
    <w:nsid w:val="749ABB43"/>
    <w:multiLevelType w:val="hybridMultilevel"/>
    <w:lvl w:ilvl="0">
      <w:lvlJc w:val="left"/>
      <w:lvlText w:val="%1)"/>
      <w:numFmt w:val="lowerLetter"/>
      <w:start w:val="1"/>
    </w:lvl>
  </w:abstractNum>
  <w:abstractNum w:abstractNumId="49">
    <w:nsid w:val="3DC240FB"/>
    <w:multiLevelType w:val="hybridMultilevel"/>
    <w:lvl w:ilvl="0">
      <w:lvlJc w:val="left"/>
      <w:lvlText w:val="*"/>
      <w:numFmt w:val="bullet"/>
      <w:start w:val="1"/>
    </w:lvl>
    <w:lvl w:ilvl="1">
      <w:lvlJc w:val="left"/>
      <w:lvlText w:val="%2."/>
      <w:numFmt w:val="decimal"/>
      <w:start w:val="1"/>
    </w:lvl>
  </w:abstractNum>
  <w:abstractNum w:abstractNumId="50">
    <w:nsid w:val="1BA026FA"/>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jpe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jpe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jpeg"/><Relationship Id="rId94" Type="http://schemas.openxmlformats.org/officeDocument/2006/relationships/image" Target="media/image79.png"/><Relationship Id="rId95" Type="http://schemas.openxmlformats.org/officeDocument/2006/relationships/image" Target="media/image80.jpeg"/><Relationship Id="rId96" Type="http://schemas.openxmlformats.org/officeDocument/2006/relationships/image" Target="media/image81.png"/><Relationship Id="rId97" Type="http://schemas.openxmlformats.org/officeDocument/2006/relationships/image" Target="media/image82.jpe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jpeg"/><Relationship Id="rId101" Type="http://schemas.openxmlformats.org/officeDocument/2006/relationships/image" Target="media/image86.png"/><Relationship Id="rId102" Type="http://schemas.openxmlformats.org/officeDocument/2006/relationships/image" Target="media/image87.jpe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jpeg"/><Relationship Id="rId107" Type="http://schemas.openxmlformats.org/officeDocument/2006/relationships/image" Target="media/image92.png"/><Relationship Id="rId108" Type="http://schemas.openxmlformats.org/officeDocument/2006/relationships/image" Target="media/image93.jpeg"/><Relationship Id="rId109" Type="http://schemas.openxmlformats.org/officeDocument/2006/relationships/image" Target="media/image94.png"/><Relationship Id="rId57" Type="http://schemas.openxmlformats.org/officeDocument/2006/relationships/hyperlink" Target="http://www.sec.gov/Archives/edgar/data/701985/000095010310003271/dp19831_ex0101.htm" TargetMode="External"/><Relationship Id="rId58" Type="http://schemas.openxmlformats.org/officeDocument/2006/relationships/hyperlink" Target="http://www.sec.gov/Archives/edgar/data/701985/000070198514000013/lb21201410kex31.htm" TargetMode="External"/><Relationship Id="rId59" Type="http://schemas.openxmlformats.org/officeDocument/2006/relationships/hyperlink" Target="http://www.sec.gov/Archives/edgar/data/701985/000095010313001890/dp37086_ex0302.htm" TargetMode="External"/><Relationship Id="rId60" Type="http://schemas.openxmlformats.org/officeDocument/2006/relationships/hyperlink" Target="http://www.sec.gov/Archives/edgar/data/701985/000119312516623095/d167047dex41.htm" TargetMode="External"/><Relationship Id="rId61" Type="http://schemas.openxmlformats.org/officeDocument/2006/relationships/hyperlink" Target="http://www.sec.gov/Archives/edgar/data/701985/000119312516623095/d167047dex42.htm" TargetMode="External"/><Relationship Id="rId62" Type="http://schemas.openxmlformats.org/officeDocument/2006/relationships/hyperlink" Target="http://www.sec.gov/Archives/edgar/data/701985/000119312518016808/d527009dex42.htm" TargetMode="External"/><Relationship Id="rId63" Type="http://schemas.openxmlformats.org/officeDocument/2006/relationships/hyperlink" Target="http://www.sec.gov/Archives/edgar/data/701985/000119312516444329/d259040dex47.htm" TargetMode="External"/><Relationship Id="rId64" Type="http://schemas.openxmlformats.org/officeDocument/2006/relationships/hyperlink" Target="http://www.sec.gov/Archives/edgar/data/701985/000114036118038258/s002352x1_ex4-2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2019-12-04T23:43:29Z</dcterms:created>
  <dcterms:modified xsi:type="dcterms:W3CDTF">2019-12-04T23:43:29Z</dcterms:modified>
</cp:coreProperties>
</file>