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 C. 20549</w:t>
      </w:r>
    </w:p>
    <w:p>
      <w:pPr>
        <w:spacing w:after="0" w:line="1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3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February 1, 2025</w:t>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OR</w:t>
      </w:r>
    </w:p>
    <w:p>
      <w:pPr>
        <w:spacing w:after="0" w:line="138"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[NO FEE REQUIRED]</w:t>
      </w:r>
    </w:p>
    <w:p>
      <w:pPr>
        <w:spacing w:after="0" w:line="110" w:lineRule="exact"/>
        <w:rPr>
          <w:sz w:val="24"/>
          <w:szCs w:val="24"/>
          <w:color w:val="auto"/>
        </w:rPr>
      </w:pPr>
    </w:p>
    <w:tbl>
      <w:tblPr>
        <w:tblLayout w:type="fixed"/>
        <w:tblInd w:w="10" w:type="dxa"/>
        <w:tblCellMar>
          <w:top w:w="0" w:type="dxa"/>
          <w:left w:w="0" w:type="dxa"/>
          <w:bottom w:w="0" w:type="dxa"/>
          <w:right w:w="0" w:type="dxa"/>
        </w:tblCellMar>
      </w:tblPr>
      <w:tr>
        <w:trPr>
          <w:trHeight w:val="202"/>
        </w:trPr>
        <w:tc>
          <w:tcPr>
            <w:tcW w:w="3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to</w:t>
            </w:r>
          </w:p>
        </w:tc>
      </w:tr>
      <w:tr>
        <w:trPr>
          <w:trHeight w:val="189"/>
        </w:trPr>
        <w:tc>
          <w:tcPr>
            <w:tcW w:w="3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500" w:type="dxa"/>
            <w:vAlign w:val="bottom"/>
            <w:gridSpan w:val="3"/>
          </w:tcPr>
          <w:p>
            <w:pPr>
              <w:jc w:val="center"/>
              <w:ind w:right="3704"/>
              <w:spacing w:after="0"/>
              <w:rPr>
                <w:sz w:val="20"/>
                <w:szCs w:val="20"/>
                <w:color w:val="auto"/>
              </w:rPr>
            </w:pPr>
            <w:r>
              <w:rPr>
                <w:rFonts w:ascii="Times New Roman" w:cs="Times New Roman" w:eastAsia="Times New Roman" w:hAnsi="Times New Roman"/>
                <w:sz w:val="16"/>
                <w:szCs w:val="16"/>
                <w:color w:val="auto"/>
              </w:rPr>
              <w:t>Commission file number 1-8344</w:t>
            </w:r>
          </w:p>
        </w:tc>
      </w:tr>
      <w:tr>
        <w:trPr>
          <w:trHeight w:val="210"/>
        </w:trPr>
        <w:tc>
          <w:tcPr>
            <w:tcW w:w="3320" w:type="dxa"/>
            <w:vAlign w:val="bottom"/>
          </w:tcPr>
          <w:p>
            <w:pPr>
              <w:spacing w:after="0"/>
              <w:rPr>
                <w:sz w:val="18"/>
                <w:szCs w:val="18"/>
                <w:color w:val="auto"/>
              </w:rPr>
            </w:pPr>
          </w:p>
        </w:tc>
        <w:tc>
          <w:tcPr>
            <w:tcW w:w="7940" w:type="dxa"/>
            <w:vAlign w:val="bottom"/>
            <w:gridSpan w:val="4"/>
          </w:tcPr>
          <w:p>
            <w:pPr>
              <w:jc w:val="center"/>
              <w:ind w:right="3284"/>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tc>
      </w:tr>
      <w:tr>
        <w:trPr>
          <w:trHeight w:val="373"/>
        </w:trPr>
        <w:tc>
          <w:tcPr>
            <w:tcW w:w="3320" w:type="dxa"/>
            <w:vAlign w:val="bottom"/>
          </w:tcPr>
          <w:p>
            <w:pPr>
              <w:spacing w:after="0"/>
              <w:rPr>
                <w:sz w:val="24"/>
                <w:szCs w:val="24"/>
                <w:color w:val="auto"/>
              </w:rPr>
            </w:pPr>
          </w:p>
        </w:tc>
        <w:tc>
          <w:tcPr>
            <w:tcW w:w="7940" w:type="dxa"/>
            <w:vAlign w:val="bottom"/>
            <w:gridSpan w:val="4"/>
          </w:tcPr>
          <w:p>
            <w:pPr>
              <w:jc w:val="center"/>
              <w:ind w:right="3264"/>
              <w:spacing w:after="0"/>
              <w:rPr>
                <w:sz w:val="20"/>
                <w:szCs w:val="20"/>
                <w:color w:val="auto"/>
              </w:rPr>
            </w:pPr>
            <w:r>
              <w:rPr>
                <w:rFonts w:ascii="Times New Roman" w:cs="Times New Roman" w:eastAsia="Times New Roman" w:hAnsi="Times New Roman"/>
                <w:sz w:val="29"/>
                <w:szCs w:val="29"/>
                <w:b w:val="1"/>
                <w:bCs w:val="1"/>
                <w:color w:val="auto"/>
                <w:w w:val="98"/>
              </w:rPr>
              <w:t>BATH &amp; BODY WORKS, INC.</w:t>
            </w:r>
          </w:p>
        </w:tc>
      </w:tr>
      <w:tr>
        <w:trPr>
          <w:trHeight w:val="186"/>
        </w:trPr>
        <w:tc>
          <w:tcPr>
            <w:tcW w:w="3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500" w:type="dxa"/>
            <w:vAlign w:val="bottom"/>
            <w:gridSpan w:val="3"/>
          </w:tcPr>
          <w:p>
            <w:pPr>
              <w:jc w:val="center"/>
              <w:ind w:right="3684"/>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10"/>
        </w:trPr>
        <w:tc>
          <w:tcPr>
            <w:tcW w:w="3320" w:type="dxa"/>
            <w:vAlign w:val="bottom"/>
          </w:tcPr>
          <w:p>
            <w:pPr>
              <w:spacing w:after="0"/>
              <w:rPr>
                <w:sz w:val="18"/>
                <w:szCs w:val="18"/>
                <w:color w:val="auto"/>
              </w:rPr>
            </w:pPr>
          </w:p>
        </w:tc>
        <w:tc>
          <w:tcPr>
            <w:tcW w:w="7940" w:type="dxa"/>
            <w:vAlign w:val="bottom"/>
            <w:gridSpan w:val="4"/>
          </w:tcPr>
          <w:p>
            <w:pPr>
              <w:jc w:val="right"/>
              <w:ind w:right="3584"/>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r>
      <w:tr>
        <w:trPr>
          <w:trHeight w:val="268"/>
        </w:trPr>
        <w:tc>
          <w:tcPr>
            <w:tcW w:w="3320" w:type="dxa"/>
            <w:vAlign w:val="bottom"/>
          </w:tcPr>
          <w:p>
            <w:pPr>
              <w:jc w:val="center"/>
              <w:ind w:left="218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4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880" w:type="dxa"/>
            <w:vAlign w:val="bottom"/>
            <w:gridSpan w:val="2"/>
          </w:tcPr>
          <w:p>
            <w:pPr>
              <w:jc w:val="right"/>
              <w:ind w:right="2364"/>
              <w:spacing w:after="0"/>
              <w:rPr>
                <w:sz w:val="20"/>
                <w:szCs w:val="20"/>
                <w:color w:val="auto"/>
              </w:rPr>
            </w:pPr>
            <w:r>
              <w:rPr>
                <w:rFonts w:ascii="Times New Roman" w:cs="Times New Roman" w:eastAsia="Times New Roman" w:hAnsi="Times New Roman"/>
                <w:sz w:val="15"/>
                <w:szCs w:val="15"/>
                <w:b w:val="1"/>
                <w:bCs w:val="1"/>
                <w:color w:val="auto"/>
              </w:rPr>
              <w:t>31-1029810</w:t>
            </w:r>
          </w:p>
        </w:tc>
      </w:tr>
      <w:tr>
        <w:trPr>
          <w:trHeight w:val="162"/>
        </w:trPr>
        <w:tc>
          <w:tcPr>
            <w:tcW w:w="6380" w:type="dxa"/>
            <w:vAlign w:val="bottom"/>
            <w:gridSpan w:val="3"/>
          </w:tcPr>
          <w:p>
            <w:pPr>
              <w:jc w:val="center"/>
              <w:ind w:right="723"/>
              <w:spacing w:after="0" w:line="162" w:lineRule="exact"/>
              <w:rPr>
                <w:sz w:val="20"/>
                <w:szCs w:val="20"/>
                <w:color w:val="auto"/>
              </w:rPr>
            </w:pPr>
            <w:r>
              <w:rPr>
                <w:rFonts w:ascii="Times New Roman" w:cs="Times New Roman" w:eastAsia="Times New Roman" w:hAnsi="Times New Roman"/>
                <w:sz w:val="15"/>
                <w:szCs w:val="15"/>
                <w:b w:val="1"/>
                <w:bCs w:val="1"/>
                <w:color w:val="auto"/>
              </w:rPr>
              <w:t>(State or other jurisdiction</w:t>
            </w:r>
          </w:p>
        </w:tc>
        <w:tc>
          <w:tcPr>
            <w:tcW w:w="4880" w:type="dxa"/>
            <w:vAlign w:val="bottom"/>
            <w:gridSpan w:val="2"/>
          </w:tcPr>
          <w:p>
            <w:pPr>
              <w:jc w:val="center"/>
              <w:ind w:right="664"/>
              <w:spacing w:after="0" w:line="162" w:lineRule="exact"/>
              <w:rPr>
                <w:sz w:val="20"/>
                <w:szCs w:val="20"/>
                <w:color w:val="auto"/>
              </w:rPr>
            </w:pPr>
            <w:r>
              <w:rPr>
                <w:rFonts w:ascii="Times New Roman" w:cs="Times New Roman" w:eastAsia="Times New Roman" w:hAnsi="Times New Roman"/>
                <w:sz w:val="15"/>
                <w:szCs w:val="15"/>
                <w:b w:val="1"/>
                <w:bCs w:val="1"/>
                <w:color w:val="auto"/>
              </w:rPr>
              <w:t>(I.R.S. Employer Identification No.)</w:t>
            </w:r>
          </w:p>
        </w:tc>
      </w:tr>
      <w:tr>
        <w:trPr>
          <w:trHeight w:val="202"/>
        </w:trPr>
        <w:tc>
          <w:tcPr>
            <w:tcW w:w="6380" w:type="dxa"/>
            <w:vAlign w:val="bottom"/>
            <w:gridSpan w:val="3"/>
          </w:tcPr>
          <w:p>
            <w:pPr>
              <w:jc w:val="center"/>
              <w:ind w:right="703"/>
              <w:spacing w:after="0"/>
              <w:rPr>
                <w:sz w:val="20"/>
                <w:szCs w:val="20"/>
                <w:color w:val="auto"/>
              </w:rPr>
            </w:pPr>
            <w:r>
              <w:rPr>
                <w:rFonts w:ascii="Times New Roman" w:cs="Times New Roman" w:eastAsia="Times New Roman" w:hAnsi="Times New Roman"/>
                <w:sz w:val="15"/>
                <w:szCs w:val="15"/>
                <w:b w:val="1"/>
                <w:bCs w:val="1"/>
                <w:color w:val="auto"/>
              </w:rPr>
              <w:t>of incorporation or organization)</w:t>
            </w:r>
          </w:p>
        </w:tc>
        <w:tc>
          <w:tcPr>
            <w:tcW w:w="112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57"/>
        </w:trPr>
        <w:tc>
          <w:tcPr>
            <w:tcW w:w="6380" w:type="dxa"/>
            <w:vAlign w:val="bottom"/>
            <w:gridSpan w:val="3"/>
          </w:tcPr>
          <w:p>
            <w:pPr>
              <w:jc w:val="center"/>
              <w:ind w:right="703"/>
              <w:spacing w:after="0"/>
              <w:rPr>
                <w:sz w:val="20"/>
                <w:szCs w:val="20"/>
                <w:color w:val="auto"/>
              </w:rPr>
            </w:pPr>
            <w:r>
              <w:rPr>
                <w:rFonts w:ascii="Times New Roman" w:cs="Times New Roman" w:eastAsia="Times New Roman" w:hAnsi="Times New Roman"/>
                <w:sz w:val="15"/>
                <w:szCs w:val="15"/>
                <w:b w:val="1"/>
                <w:bCs w:val="1"/>
                <w:color w:val="auto"/>
              </w:rPr>
              <w:t>Three Limited Parkway,</w:t>
            </w:r>
          </w:p>
        </w:tc>
        <w:tc>
          <w:tcPr>
            <w:tcW w:w="112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03"/>
        </w:trPr>
        <w:tc>
          <w:tcPr>
            <w:tcW w:w="3320" w:type="dxa"/>
            <w:vAlign w:val="bottom"/>
          </w:tcPr>
          <w:p>
            <w:pPr>
              <w:ind w:left="2160"/>
              <w:spacing w:after="0"/>
              <w:rPr>
                <w:sz w:val="20"/>
                <w:szCs w:val="20"/>
                <w:color w:val="auto"/>
              </w:rPr>
            </w:pPr>
            <w:r>
              <w:rPr>
                <w:rFonts w:ascii="Times New Roman" w:cs="Times New Roman" w:eastAsia="Times New Roman" w:hAnsi="Times New Roman"/>
                <w:sz w:val="15"/>
                <w:szCs w:val="15"/>
                <w:b w:val="1"/>
                <w:bCs w:val="1"/>
                <w:color w:val="auto"/>
              </w:rPr>
              <w:t>Columbus, Ohio</w:t>
            </w:r>
          </w:p>
        </w:tc>
        <w:tc>
          <w:tcPr>
            <w:tcW w:w="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880" w:type="dxa"/>
            <w:vAlign w:val="bottom"/>
            <w:gridSpan w:val="2"/>
          </w:tcPr>
          <w:p>
            <w:pPr>
              <w:jc w:val="right"/>
              <w:ind w:right="2544"/>
              <w:spacing w:after="0"/>
              <w:rPr>
                <w:sz w:val="20"/>
                <w:szCs w:val="20"/>
                <w:color w:val="auto"/>
              </w:rPr>
            </w:pPr>
            <w:r>
              <w:rPr>
                <w:rFonts w:ascii="Times New Roman" w:cs="Times New Roman" w:eastAsia="Times New Roman" w:hAnsi="Times New Roman"/>
                <w:sz w:val="15"/>
                <w:szCs w:val="15"/>
                <w:b w:val="1"/>
                <w:bCs w:val="1"/>
                <w:color w:val="auto"/>
              </w:rPr>
              <w:t>43230</w:t>
            </w:r>
          </w:p>
        </w:tc>
      </w:tr>
      <w:tr>
        <w:trPr>
          <w:trHeight w:val="202"/>
        </w:trPr>
        <w:tc>
          <w:tcPr>
            <w:tcW w:w="6380" w:type="dxa"/>
            <w:vAlign w:val="bottom"/>
            <w:gridSpan w:val="3"/>
          </w:tcPr>
          <w:p>
            <w:pPr>
              <w:jc w:val="center"/>
              <w:ind w:right="703"/>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1120" w:type="dxa"/>
            <w:vAlign w:val="bottom"/>
          </w:tcPr>
          <w:p>
            <w:pPr>
              <w:spacing w:after="0"/>
              <w:rPr>
                <w:sz w:val="17"/>
                <w:szCs w:val="17"/>
                <w:color w:val="auto"/>
              </w:rPr>
            </w:pPr>
          </w:p>
        </w:tc>
        <w:tc>
          <w:tcPr>
            <w:tcW w:w="3760" w:type="dxa"/>
            <w:vAlign w:val="bottom"/>
          </w:tcPr>
          <w:p>
            <w:pPr>
              <w:jc w:val="center"/>
              <w:ind w:right="1784"/>
              <w:spacing w:after="0"/>
              <w:rPr>
                <w:sz w:val="20"/>
                <w:szCs w:val="20"/>
                <w:color w:val="auto"/>
              </w:rPr>
            </w:pPr>
            <w:r>
              <w:rPr>
                <w:rFonts w:ascii="Times New Roman" w:cs="Times New Roman" w:eastAsia="Times New Roman" w:hAnsi="Times New Roman"/>
                <w:sz w:val="15"/>
                <w:szCs w:val="15"/>
                <w:b w:val="1"/>
                <w:bCs w:val="1"/>
                <w:color w:val="auto"/>
              </w:rPr>
              <w:t>(Zip Code)</w:t>
            </w:r>
          </w:p>
        </w:tc>
      </w:tr>
      <w:tr>
        <w:trPr>
          <w:trHeight w:val="369"/>
        </w:trPr>
        <w:tc>
          <w:tcPr>
            <w:tcW w:w="3320" w:type="dxa"/>
            <w:vAlign w:val="bottom"/>
          </w:tcPr>
          <w:p>
            <w:pPr>
              <w:spacing w:after="0"/>
              <w:rPr>
                <w:sz w:val="24"/>
                <w:szCs w:val="24"/>
                <w:color w:val="auto"/>
              </w:rPr>
            </w:pPr>
          </w:p>
        </w:tc>
        <w:tc>
          <w:tcPr>
            <w:tcW w:w="7940" w:type="dxa"/>
            <w:vAlign w:val="bottom"/>
            <w:gridSpan w:val="4"/>
          </w:tcPr>
          <w:p>
            <w:pPr>
              <w:jc w:val="center"/>
              <w:ind w:right="3244"/>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(614) 415-7000</w:t>
            </w:r>
          </w:p>
        </w:tc>
      </w:tr>
      <w:tr>
        <w:trPr>
          <w:trHeight w:val="185"/>
        </w:trPr>
        <w:tc>
          <w:tcPr>
            <w:tcW w:w="3320" w:type="dxa"/>
            <w:vAlign w:val="bottom"/>
          </w:tcPr>
          <w:p>
            <w:pPr>
              <w:spacing w:after="0"/>
              <w:rPr>
                <w:sz w:val="16"/>
                <w:szCs w:val="16"/>
                <w:color w:val="auto"/>
              </w:rPr>
            </w:pPr>
          </w:p>
        </w:tc>
        <w:tc>
          <w:tcPr>
            <w:tcW w:w="7940" w:type="dxa"/>
            <w:vAlign w:val="bottom"/>
            <w:gridSpan w:val="4"/>
          </w:tcPr>
          <w:p>
            <w:pPr>
              <w:jc w:val="right"/>
              <w:ind w:right="3504"/>
              <w:spacing w:after="0"/>
              <w:rPr>
                <w:sz w:val="20"/>
                <w:szCs w:val="20"/>
                <w:color w:val="auto"/>
              </w:rPr>
            </w:pPr>
            <w:r>
              <w:rPr>
                <w:rFonts w:ascii="Times New Roman" w:cs="Times New Roman" w:eastAsia="Times New Roman" w:hAnsi="Times New Roman"/>
                <w:sz w:val="15"/>
                <w:szCs w:val="15"/>
                <w:color w:val="auto"/>
              </w:rPr>
              <w:t>______________________________________________________</w:t>
            </w:r>
          </w:p>
        </w:tc>
      </w:tr>
      <w:tr>
        <w:trPr>
          <w:trHeight w:val="202"/>
        </w:trPr>
        <w:tc>
          <w:tcPr>
            <w:tcW w:w="3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500" w:type="dxa"/>
            <w:vAlign w:val="bottom"/>
            <w:gridSpan w:val="3"/>
          </w:tcPr>
          <w:p>
            <w:pPr>
              <w:jc w:val="center"/>
              <w:ind w:right="3684"/>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r>
      <w:tr>
        <w:trPr>
          <w:trHeight w:val="89"/>
        </w:trPr>
        <w:tc>
          <w:tcPr>
            <w:tcW w:w="33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760" w:type="dxa"/>
            <w:vAlign w:val="bottom"/>
            <w:tcBorders>
              <w:bottom w:val="single" w:sz="8" w:color="auto"/>
            </w:tcBorders>
          </w:tcPr>
          <w:p>
            <w:pPr>
              <w:spacing w:after="0"/>
              <w:rPr>
                <w:sz w:val="7"/>
                <w:szCs w:val="7"/>
                <w:color w:val="auto"/>
              </w:rPr>
            </w:pPr>
          </w:p>
        </w:tc>
      </w:tr>
      <w:tr>
        <w:trPr>
          <w:trHeight w:val="196"/>
        </w:trPr>
        <w:tc>
          <w:tcPr>
            <w:tcW w:w="3320" w:type="dxa"/>
            <w:vAlign w:val="bottom"/>
            <w:tcBorders>
              <w:left w:val="single" w:sz="8" w:color="auto"/>
              <w:bottom w:val="single" w:sz="8" w:color="auto"/>
            </w:tcBorders>
          </w:tcPr>
          <w:p>
            <w:pPr>
              <w:jc w:val="center"/>
              <w:ind w:left="36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440" w:type="dxa"/>
            <w:vAlign w:val="bottom"/>
            <w:tcBorders>
              <w:bottom w:val="single" w:sz="8" w:color="auto"/>
              <w:right w:val="single" w:sz="8" w:color="auto"/>
            </w:tcBorders>
          </w:tcPr>
          <w:p>
            <w:pPr>
              <w:spacing w:after="0"/>
              <w:rPr>
                <w:sz w:val="17"/>
                <w:szCs w:val="17"/>
                <w:color w:val="auto"/>
              </w:rPr>
            </w:pPr>
          </w:p>
        </w:tc>
        <w:tc>
          <w:tcPr>
            <w:tcW w:w="2620" w:type="dxa"/>
            <w:vAlign w:val="bottom"/>
            <w:tcBorders>
              <w:bottom w:val="single" w:sz="8" w:color="auto"/>
            </w:tcBorders>
          </w:tcPr>
          <w:p>
            <w:pPr>
              <w:jc w:val="center"/>
              <w:ind w:left="1003"/>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112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4"/>
        </w:trPr>
        <w:tc>
          <w:tcPr>
            <w:tcW w:w="3320" w:type="dxa"/>
            <w:vAlign w:val="bottom"/>
            <w:tcBorders>
              <w:left w:val="single" w:sz="8" w:color="auto"/>
              <w:bottom w:val="single" w:sz="8" w:color="auto"/>
            </w:tcBorders>
          </w:tcPr>
          <w:p>
            <w:pPr>
              <w:jc w:val="center"/>
              <w:ind w:left="364"/>
              <w:spacing w:after="0"/>
              <w:rPr>
                <w:sz w:val="20"/>
                <w:szCs w:val="20"/>
                <w:color w:val="auto"/>
              </w:rPr>
            </w:pPr>
            <w:r>
              <w:rPr>
                <w:rFonts w:ascii="Times New Roman" w:cs="Times New Roman" w:eastAsia="Times New Roman" w:hAnsi="Times New Roman"/>
                <w:sz w:val="15"/>
                <w:szCs w:val="15"/>
                <w:color w:val="auto"/>
              </w:rPr>
              <w:t>Common Stock, $0.50 Par Value</w:t>
            </w:r>
          </w:p>
        </w:tc>
        <w:tc>
          <w:tcPr>
            <w:tcW w:w="440" w:type="dxa"/>
            <w:vAlign w:val="bottom"/>
            <w:tcBorders>
              <w:bottom w:val="single" w:sz="8" w:color="auto"/>
              <w:right w:val="single" w:sz="8" w:color="auto"/>
            </w:tcBorders>
          </w:tcPr>
          <w:p>
            <w:pPr>
              <w:spacing w:after="0"/>
              <w:rPr>
                <w:sz w:val="16"/>
                <w:szCs w:val="16"/>
                <w:color w:val="auto"/>
              </w:rPr>
            </w:pPr>
          </w:p>
        </w:tc>
        <w:tc>
          <w:tcPr>
            <w:tcW w:w="2620" w:type="dxa"/>
            <w:vAlign w:val="bottom"/>
            <w:tcBorders>
              <w:bottom w:val="single" w:sz="8" w:color="auto"/>
            </w:tcBorders>
          </w:tcPr>
          <w:p>
            <w:pPr>
              <w:jc w:val="center"/>
              <w:ind w:left="1023"/>
              <w:spacing w:after="0"/>
              <w:rPr>
                <w:sz w:val="20"/>
                <w:szCs w:val="20"/>
                <w:color w:val="auto"/>
              </w:rPr>
            </w:pPr>
            <w:r>
              <w:rPr>
                <w:rFonts w:ascii="Times New Roman" w:cs="Times New Roman" w:eastAsia="Times New Roman" w:hAnsi="Times New Roman"/>
                <w:sz w:val="15"/>
                <w:szCs w:val="15"/>
                <w:color w:val="auto"/>
              </w:rPr>
              <w:t>BBWI</w:t>
            </w:r>
          </w:p>
        </w:tc>
        <w:tc>
          <w:tcPr>
            <w:tcW w:w="1120" w:type="dxa"/>
            <w:vAlign w:val="bottom"/>
            <w:tcBorders>
              <w:bottom w:val="single" w:sz="8" w:color="auto"/>
              <w:right w:val="single" w:sz="8" w:color="auto"/>
            </w:tcBorders>
          </w:tcPr>
          <w:p>
            <w:pPr>
              <w:spacing w:after="0"/>
              <w:rPr>
                <w:sz w:val="16"/>
                <w:szCs w:val="16"/>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New York Stock Exchange</w:t>
            </w:r>
          </w:p>
        </w:tc>
      </w:tr>
    </w:tbl>
    <w:p>
      <w:pPr>
        <w:spacing w:after="0" w:line="1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ectPr>
          <w:pgSz w:w="11900" w:h="16838" w:orient="portrait"/>
          <w:cols w:equalWidth="0" w:num="1">
            <w:col w:w="11260"/>
          </w:cols>
          <w:pgMar w:left="320" w:top="225" w:right="319" w:bottom="1440" w:gutter="0" w:footer="0" w:header="0"/>
        </w:sectPr>
      </w:pP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ectPr>
          <w:pgSz w:w="11900" w:h="16838" w:orient="portrait"/>
          <w:cols w:equalWidth="0" w:num="5">
            <w:col w:w="7180" w:space="160"/>
            <w:col w:w="220" w:space="80"/>
            <w:col w:w="140" w:space="140"/>
            <w:col w:w="180" w:space="80"/>
            <w:col w:w="3080"/>
          </w:cols>
          <w:pgMar w:left="320" w:top="22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sectPr>
          <w:pgSz w:w="11900" w:h="16838" w:orient="portrait"/>
          <w:cols w:equalWidth="0" w:num="5">
            <w:col w:w="7320" w:space="160"/>
            <w:col w:w="220" w:space="80"/>
            <w:col w:w="120" w:space="160"/>
            <w:col w:w="180" w:space="80"/>
            <w:col w:w="2940"/>
          </w:cols>
          <w:pgMar w:left="320" w:top="225" w:right="319" w:bottom="1440" w:gutter="0" w:footer="0" w:header="0"/>
          <w:type w:val="continuous"/>
        </w:sectPr>
      </w:pPr>
    </w:p>
    <w:p>
      <w:pPr>
        <w:ind w:right="34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ind w:right="380"/>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7" w:lineRule="exact"/>
        <w:rPr>
          <w:sz w:val="24"/>
          <w:szCs w:val="24"/>
          <w:color w:val="auto"/>
        </w:rPr>
      </w:pPr>
    </w:p>
    <w:p>
      <w:pPr>
        <w:spacing w:after="0" w:line="173" w:lineRule="exact"/>
        <w:tabs>
          <w:tab w:leader="none" w:pos="1680" w:val="left"/>
          <w:tab w:leader="none" w:pos="3020" w:val="left"/>
          <w:tab w:leader="none" w:pos="4640" w:val="left"/>
          <w:tab w:leader="none" w:pos="664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Non-accelerated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Emerging growth company </w:t>
      </w:r>
      <w:r>
        <w:rPr>
          <w:rFonts w:ascii="MS PGothic" w:cs="MS PGothic" w:eastAsia="MS PGothic" w:hAnsi="MS PGothic"/>
          <w:sz w:val="15"/>
          <w:szCs w:val="15"/>
          <w:color w:val="auto"/>
        </w:rPr>
        <w:t>☐</w:t>
      </w:r>
    </w:p>
    <w:p>
      <w:pPr>
        <w:spacing w:after="0" w:line="75" w:lineRule="exact"/>
        <w:rPr>
          <w:sz w:val="24"/>
          <w:szCs w:val="24"/>
          <w:color w:val="auto"/>
        </w:rPr>
      </w:pPr>
    </w:p>
    <w:p>
      <w:pPr>
        <w:ind w:right="620"/>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6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120"/>
        <w:spacing w:after="0" w:line="202"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right="240"/>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7080" w:val="left"/>
          <w:tab w:leader="none" w:pos="76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44" w:lineRule="exact"/>
        <w:rPr>
          <w:sz w:val="24"/>
          <w:szCs w:val="24"/>
          <w:color w:val="auto"/>
        </w:rPr>
      </w:pPr>
    </w:p>
    <w:p>
      <w:pPr>
        <w:ind w:right="360"/>
        <w:spacing w:after="0" w:line="277" w:lineRule="auto"/>
        <w:rPr>
          <w:sz w:val="20"/>
          <w:szCs w:val="20"/>
          <w:color w:val="auto"/>
        </w:rPr>
      </w:pPr>
      <w:r>
        <w:rPr>
          <w:rFonts w:ascii="Times New Roman" w:cs="Times New Roman" w:eastAsia="Times New Roman" w:hAnsi="Times New Roman"/>
          <w:sz w:val="15"/>
          <w:szCs w:val="15"/>
          <w:color w:val="auto"/>
        </w:rPr>
        <w:t>The aggregate market value of the registrant’s Common Stock held by non-affiliates of the registrant as of the last business day of the registrant’s most recently completed second fiscal quarter was approximately $7.3 billion.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outstanding of the registrant’s Common Stock as of March 7, 2025: 214,225,864.</w:t>
      </w:r>
    </w:p>
    <w:p>
      <w:pPr>
        <w:spacing w:after="0" w:line="67"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Portions of the Registrant’s Proxy Statement for the Registrant’s 2025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60" w:type="dxa"/>
            <w:vAlign w:val="bottom"/>
            <w:gridSpan w:val="9"/>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340" w:type="dxa"/>
            <w:vAlign w:val="bottom"/>
            <w:gridSpan w:val="2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40" w:type="dxa"/>
            <w:vAlign w:val="bottom"/>
            <w:gridSpan w:val="1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80" w:type="dxa"/>
            <w:vAlign w:val="bottom"/>
            <w:gridSpan w:val="18"/>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40" w:type="dxa"/>
            <w:vAlign w:val="bottom"/>
            <w:gridSpan w:val="16"/>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the Registrant’s Common Equity, Related Stockholder Matters and Issuer Purchases of Equity Securities</w:t>
            </w:r>
          </w:p>
        </w:tc>
        <w:tc>
          <w:tcPr>
            <w:tcW w:w="6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20" w:type="dxa"/>
            <w:vAlign w:val="bottom"/>
            <w:gridSpan w:val="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7"/>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00" w:type="dxa"/>
            <w:vAlign w:val="bottom"/>
            <w:gridSpan w:val="3"/>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220" w:type="dxa"/>
            <w:vAlign w:val="bottom"/>
            <w:gridSpan w:val="1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8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0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40" w:type="dxa"/>
            <w:vAlign w:val="bottom"/>
            <w:gridSpan w:val="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2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40" w:type="dxa"/>
            <w:vAlign w:val="bottom"/>
            <w:gridSpan w:val="1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2"/>
        </w:trPr>
        <w:tc>
          <w:tcPr>
            <w:tcW w:w="11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which was founded in 1963 in Columbus, Ohio, has evolved over time from an apparel-based specialty retailer to a global leader in personal care and home fragrance making the world a brighter, happier place through the power of fragrance. For more than 30 years, customers have looked to Bath</w:t>
      </w:r>
    </w:p>
    <w:p>
      <w:pPr>
        <w:ind w:right="200" w:firstLine="8"/>
        <w:spacing w:after="0" w:line="252"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Body Works for quality, on-trend products and the newest, freshest fragrances which has positioned us as a global leader in personal care and home fragrance. We sell home fragrance, body care and soap and sanitizer products under the Bath &amp; Body Works®, White Barn® and other brand names. We care about our customers and believe in giving them a reason to celebrate with fragrance every day. We remain committed to improving our communities and fostering an environment that is focused on delivering exceptional fragrances and experiences to our customers. We offer a breadth of exclusive fragrances for the body and home, including top-selling collections for 3-wick candles, home fragrance diffusers, fine fragrance mists, liquid hand soaps, body lotions and body creams.</w:t>
      </w:r>
    </w:p>
    <w:p>
      <w:pPr>
        <w:spacing w:after="0" w:line="8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As of February 1, 2025, our merchandise was sold through 1,895 Company-operated stores and e-commerce sites in the United States of America (“U.S.”) and Canada, and in 529 stores and 31 e-commerce sites in more than 45 other countries operating under franchise, license and wholesale arrangements.</w:t>
      </w:r>
    </w:p>
    <w:p>
      <w:pPr>
        <w:spacing w:after="0" w:line="32" w:lineRule="exact"/>
        <w:rPr>
          <w:sz w:val="20"/>
          <w:szCs w:val="20"/>
          <w:color w:val="auto"/>
        </w:rPr>
      </w:pPr>
    </w:p>
    <w:p>
      <w:pPr>
        <w:ind w:right="3020"/>
        <w:spacing w:after="0" w:line="375" w:lineRule="auto"/>
        <w:rPr>
          <w:sz w:val="20"/>
          <w:szCs w:val="20"/>
          <w:color w:val="auto"/>
        </w:rPr>
      </w:pPr>
      <w:r>
        <w:rPr>
          <w:rFonts w:ascii="Times New Roman" w:cs="Times New Roman" w:eastAsia="Times New Roman" w:hAnsi="Times New Roman"/>
          <w:sz w:val="18"/>
          <w:szCs w:val="18"/>
          <w:color w:val="auto"/>
        </w:rPr>
        <w:t xml:space="preserve">Throughout this Annual Report on Form 10-K, we refer to Bath &amp; Body Works, Inc. as “we” and the “Company.” </w:t>
      </w:r>
      <w:r>
        <w:rPr>
          <w:rFonts w:ascii="Times New Roman" w:cs="Times New Roman" w:eastAsia="Times New Roman" w:hAnsi="Times New Roman"/>
          <w:sz w:val="18"/>
          <w:szCs w:val="18"/>
          <w:b w:val="1"/>
          <w:bCs w:val="1"/>
          <w:color w:val="auto"/>
        </w:rPr>
        <w:t>Fiscal Year</w:t>
      </w:r>
    </w:p>
    <w:p>
      <w:pPr>
        <w:spacing w:after="0" w:line="1"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utilize the retail calendar for reporting and our fiscal year ends on the Saturday nearest to January 31. As a result, “2024” refers to the 52-week period ended February 1, 2025, “2023” refers to the 53-week period ended February 3, 2024 and “2022” refers to the 52-week period ended January 28, 2023.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Priorities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management team is focused on strengthening our operational foundation while building a platform for sustained success to deliver top- and bottom-line growth and long-term shareholder value. Our key strategic priorities include:</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top-line growth;</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operational excellence and efficiency through disciplined cost management and a continuous improvement mindset; and</w:t>
      </w:r>
    </w:p>
    <w:p>
      <w:pPr>
        <w:spacing w:after="0" w:line="6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our financial position through strong cash flow generation and disciplined capital allocation, ensuring we invest for growth while delivering returns to shareholders.</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our pursuit of accelerating top-line growth, we are focused on product innovation, marketing and technology, while also extending our reach through adjacencies and international expansion. Foundational to these growth drivers is the creation of great products and continuing to deliver innovation, newness and elevated experiences for our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believe the following competitive strengths contribute to our leading market position, differentiate us from our competitors and will drive future long-term sustainable growth: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Leading Brand and Products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developed and operate a well-known, beloved and broadly appealing brand, which allows us to target markets across the economic spectrum, across demographics and across the world. As one of the premier fragrance companies in the world, we deliver customers their favorite fragrances in multiple forms and categories with industry-leading speed and innovation that power our deep customer connections. We are an affordable luxury brand with covetable offerings, and a key tenet of our strategy is offering products at multiple price points. Customers look to us to celebrate the season, transport them to another time and place, decorate their home and find the perfect gift.</w:t>
      </w:r>
    </w:p>
    <w:p>
      <w:pPr>
        <w:spacing w:after="0" w:line="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have also developed trusted and market-leading products in the home fragrance, body care, and soap and sanitizer categories. Our products are differentiated through a combination of fragrance, packaging and quality at accessible prices.</w:t>
      </w:r>
    </w:p>
    <w:p>
      <w:pPr>
        <w:spacing w:after="0" w:line="5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are continuously offering innovation and newness to customers through compelling product introductions paired with exciting marketing activities. During 2024, we rolled out Everyday Luxuries, our prestige-inspired line of fine fragrance mists, and we view it as a platform to drive long-term growth and expect to expand the collection in 2025. We also believe that adjacencies are an opportunity to expand our product portfolio, applying our fragrance expertise and leadership to large addressable markets. Another key element across our core business is collaborations, which allow us to deliver highly differentiated storytelling that generates top-of-mind brand awareness with existing and new customers, drive traffic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enhance our cultural relevancy. In 2024, we launched collaborations with leading brands in pop culture through partnerships and plan to continue to build upon this strategy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In-Store Experience and Store Operations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view our customers’ in-store experience as an important vehicle for communicating the image of our brand and engaging with our customers. We utilize visual presentation of merchandise, fragrance, in-store marketing, music and our sales associates to reinforce the image represented by our brand. Our in-store marketing is designed to convey the principal elements and personality of our brand. The store design, visual marketing and storytelling, fixtures, fragrances and music are all carefully planned and coordinated to create a unique shopping experience. We display merchandise uniformly to ensure a consistent store experience, regardless of location. Store managers receive detailed plans designating fixture and merchandise placement to ensure coordinated execution of the Company-wide merchandising strategy. Our sales associates and store managers are a central element in bringing our seasonal storytelling to life by providing a high level of customer service.</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2024, we created a new store design type called Gingham+, which is a refreshed in-store experience that is highly customer-centric and creates an easy and seamless shopping experience. This new format, which we have adopted for all new and renovated stores, has resonated very well with our customers and yielded operational efficiencies. Additionally, our buy online pick up in store (“BOPIS”) option continues to grow as our customers appreciate the convenience. As we look forward, we are investing in the capabilities to allow for greater capacity and efficiencies, including additional storage and technology enhancements.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Experience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our in-store experience, we strive to create a customer-centric digital platform that integrates the digital and physical brand experience and enables convenience for the customer when desired. Our digital presence, including social media, our websites and our loyalty application, allows us to get to know our customers better and communicate with them anytime and anywhere.</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prioritizing enhancements to our digital personalization capabilities to build and implement a more tailored and targeted approach to marketing and promotions, one that is rooted in data, analytics and customer segmentation. In 2024, we added “Gingham Genius,” an artificial intelligence-powered tool that helps customers find their perfect fragrance, product or gift. We have updated the quantity selector to create a more seamless shopping experience and expanded our targeted offers and products to increase conversion. Lastly, we have adopted a real-time abandon cart email that alerts customers right away when they leave product in carts to enable a quick purchase. We continue to leverage personalized product recommendations based on shopping behavior and customized headers to welcome recognized users by name and highlight their loyalty account balance. By adding personalized landing pages, immersive content, and product recommendations, we plan to acquire more customers, increase retention of existing customers and drive more discovery and larger basket sizes.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Loyalty Program</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loyalty program is a critical tool for engaging with our customers and meeting them where they are. As of February 1, 2025, we had approximately 39 million active members of our loyalty program. Active members of our loyalty program represent loyalty program members who have purchased at least once directly from the Company during the preceding twelve-month period. In 2024, nearly 80% of our U.S. sales came from our loyalty members, and our loyalty members continue to outperform non-loyalty members, leading to increased spend, trips, cross-channel purchases and higher retention. During 2024, our reward redemption rate increased, reflecting the strength of the program. We have planned enhancements to the program in 2025, which we believe will drive further improvements to redemption.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Quality and innovation are at the core of our sourcing strategy. We seek to drive efficiencies and mitigate risk through our strong technical research and prolific product development. Our merchant, design and sourcing teams have a long history of bringing innovative and covetable products to our customers. Our product offering and assortment strategy is key to elevating our brand, increasing our long-term pricing power and expanding our business both into adjacent product categories and internationally.</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believe a large part of our success comes from our ability to quickly assess and effectively adjust to changing customer preferences. We leverage our differentiated product development capabilities and our strong partnerships with fragrance houses to frequently deliver compelling new fragrances, packaging and other product launches. We are dedicated to delivering a full product pipeline by launching new fragrances and products every four to six weeks, with new products launching nearly every week.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Sourcing and Logistics</w:t>
      </w:r>
    </w:p>
    <w:p>
      <w:pPr>
        <w:spacing w:after="0" w:line="108"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8"/>
          <w:szCs w:val="18"/>
          <w:color w:val="auto"/>
        </w:rPr>
        <w:t>Our predominantly domestic, vertically integrated supply chain enables us to continually deliver newness and meet the demands of our omnichannel customers and changing macro trends with speed and agility. Our supplier base includes long-standing vendor relationships, and the majority of our products are produced at Beauty Park, a business park that includes several key vendors within close proximity to our Columbus, Ohio distribution and fulfillment centers. These strategic vendor relationships provide deep capabilities across our product categories.</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While our Company-owned distribution centers located in central Ohio are core to our operations, we also utilize third-party distribution centers located throughout North America to position inventory geographically closer to our customers. In addition, we operate a leased direct channel fulfillment center located near Columbus, Ohio. This facility has 1.1 million square feet of space and state-of-the-art fulfillment capabilities to support our direct business (also referred to as digital or e-commerce) and enhanced fulfillment capabilities for our business. Finally, we also utilize third party-operated direct channel fulfillment centers throughout North America to support our needs.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and Committed Management Team</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senior management team has significant retail and business experience at Bath &amp; Body Works, Inc. and other companies such as Unilever, Avon Products, The Estée Lauder Companies, Ford Motor Company, CVS Health, Merck, Madewell, J.Crew, Carter’s, Hasbro and Mattel.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Stores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a diversified store portfolio in the U.S. and Canada across venue tiers and types, and as a result of our strong brand and established retail presence, have been able to lease high-traffic locations in most retail centers in which we operate. We proactively manage our stores and adjust our investment levels based on individual store and fleet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number of our Company-operated retail stores as of February 1, 2025 and February 3,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40" w:type="dxa"/>
            <w:vAlign w:val="bottom"/>
          </w:tcPr>
          <w:p>
            <w:pPr>
              <w:spacing w:after="0"/>
              <w:rPr>
                <w:sz w:val="16"/>
                <w:szCs w:val="16"/>
                <w:color w:val="auto"/>
              </w:rPr>
            </w:pPr>
          </w:p>
        </w:tc>
        <w:tc>
          <w:tcPr>
            <w:tcW w:w="14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0" w:type="dxa"/>
            <w:vAlign w:val="bottom"/>
          </w:tcPr>
          <w:p>
            <w:pPr>
              <w:spacing w:after="0"/>
              <w:rPr>
                <w:sz w:val="1"/>
                <w:szCs w:val="1"/>
                <w:color w:val="auto"/>
              </w:rPr>
            </w:pPr>
          </w:p>
        </w:tc>
      </w:tr>
      <w:tr>
        <w:trPr>
          <w:trHeight w:val="23"/>
        </w:trPr>
        <w:tc>
          <w:tcPr>
            <w:tcW w:w="49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6"/>
              </w:rPr>
              <w:t>113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provides the changes in the number of our Company-operated retail stores for the past three fiscal years:</w:t>
            </w: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980" w:type="dxa"/>
            <w:vAlign w:val="bottom"/>
          </w:tcPr>
          <w:p>
            <w:pPr>
              <w:spacing w:after="0"/>
              <w:rPr>
                <w:sz w:val="23"/>
                <w:szCs w:val="23"/>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5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60" w:type="dxa"/>
            <w:vAlign w:val="bottom"/>
          </w:tcPr>
          <w:p>
            <w:pPr>
              <w:spacing w:after="0"/>
              <w:rPr>
                <w:sz w:val="23"/>
                <w:szCs w:val="23"/>
                <w:color w:val="auto"/>
              </w:rPr>
            </w:pPr>
          </w:p>
        </w:tc>
        <w:tc>
          <w:tcPr>
            <w:tcW w:w="156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40" w:type="dxa"/>
            <w:vAlign w:val="bottom"/>
          </w:tcPr>
          <w:p>
            <w:pPr>
              <w:spacing w:after="0"/>
              <w:rPr>
                <w:sz w:val="23"/>
                <w:szCs w:val="23"/>
                <w:color w:val="auto"/>
              </w:rPr>
            </w:pPr>
          </w:p>
        </w:tc>
        <w:tc>
          <w:tcPr>
            <w:tcW w:w="148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15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gridSpan w:val="2"/>
            <w:shd w:val="clear" w:color="auto" w:fill="CCEEFF"/>
          </w:tcPr>
          <w:p>
            <w:pPr>
              <w:jc w:val="center"/>
              <w:ind w:left="1062"/>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tcPr>
          <w:p>
            <w:pPr>
              <w:spacing w:after="0"/>
              <w:rPr>
                <w:sz w:val="19"/>
                <w:szCs w:val="19"/>
                <w:color w:val="auto"/>
              </w:rPr>
            </w:pPr>
          </w:p>
        </w:tc>
        <w:tc>
          <w:tcPr>
            <w:tcW w:w="15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Pr>
          <w:p>
            <w:pPr>
              <w:spacing w:after="0"/>
              <w:rPr>
                <w:sz w:val="19"/>
                <w:szCs w:val="19"/>
                <w:color w:val="auto"/>
              </w:rPr>
            </w:pPr>
          </w:p>
        </w:tc>
        <w:tc>
          <w:tcPr>
            <w:tcW w:w="152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Over time, we expect low-single digit annual increases in North American square footage. We plan to open new stores in emerging non-mall venues or as replacement stores for non-viable malls, while closing stores in non-viable or declining malls. In 2024, we successfully transitioned to become a predominantly off-mall retailer with 57% of our North American store fleet located in off-mall locations as of February 1, 2025. We are continuing our off-mall expansion to limit our exposure to vulnerable mall locations, with a target mix of 75% off-mall over time given continued consumer preference.</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During 2024, we opened 106 new North American stores, nearly all in off-mall locations, and permanently closed 61 stores, predominantly in malls, which, when combined with store remodel activity, resulted in net square footage growth of 3%. In 2025, we expect North American square footage growth of between 2% and 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License and Wholesale Arrangements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to our Company-operated stores, our products are sold at partner-operated locations and websites in more than 45 countries through franchise, license and wholesale arrangements. Our international partner-based, asset-light business model allows us to establish operating standards by owning assortment, pricing architecture, promotions, store designs and real estate approval while our partners make investments and contribute as experts in local real estate, people and practices.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number of international stores operated by our partners as of February 1, 2025 and February 3,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5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3"/>
        </w:trPr>
        <w:tc>
          <w:tcPr>
            <w:tcW w:w="8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 Travel Retail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store locations only and does not include kiosks, shop-in-shops, gondola or beauty counter locations.</w:t>
      </w:r>
    </w:p>
    <w:p>
      <w:pPr>
        <w:spacing w:after="0" w:line="104" w:lineRule="exact"/>
        <w:rPr>
          <w:sz w:val="20"/>
          <w:szCs w:val="20"/>
          <w:color w:val="auto"/>
        </w:rPr>
      </w:pPr>
    </w:p>
    <w:p>
      <w:pPr>
        <w:ind w:right="1640"/>
        <w:spacing w:after="0" w:line="375" w:lineRule="auto"/>
        <w:rPr>
          <w:sz w:val="20"/>
          <w:szCs w:val="20"/>
          <w:color w:val="auto"/>
        </w:rPr>
      </w:pPr>
      <w:r>
        <w:rPr>
          <w:rFonts w:ascii="Times New Roman" w:cs="Times New Roman" w:eastAsia="Times New Roman" w:hAnsi="Times New Roman"/>
          <w:sz w:val="18"/>
          <w:szCs w:val="18"/>
          <w:color w:val="auto"/>
        </w:rPr>
        <w:t xml:space="preserve">Additionally, our partners operated 31 international e-commerce sites as of February 1, 2025, compared to 28 as of February 3, 2024. </w:t>
      </w:r>
      <w:r>
        <w:rPr>
          <w:rFonts w:ascii="Times New Roman" w:cs="Times New Roman" w:eastAsia="Times New Roman" w:hAnsi="Times New Roman"/>
          <w:sz w:val="18"/>
          <w:szCs w:val="18"/>
          <w:b w:val="1"/>
          <w:bCs w:val="1"/>
          <w:i w:val="1"/>
          <w:iCs w:val="1"/>
          <w:color w:val="auto"/>
        </w:rPr>
        <w:t>Merchandise Vendors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2024, we purchased merchandise from approximately 100 vendors, primarily located in the U.S. Our largest vendor supplied approximately 15% of our total merchandise purchases (on a dollar basis) during 2024, while no other single vendor accounted for more than 10% of our merchandise purchases (on a dollar basis). Our five largest vendors supplied approximately 40% of our total merchandise purchases (on a dollar basis) on a combined basis during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Merchandise Inventory</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Most of our merchandise is produced in the U.S. and is shipped to our distribution centers in the Columbus, Ohio area. In addition to our Company-operated distribution centers, we also utilize third-party logistics providers to warehouse and distribute product throughout North America. We proactively evaluate our distribution channels to ensure we are able to provide the right product at the right place to meet or exceed our customers’ expectations. We strive to maintain sufficient quantities of inventories on hand in our retail stores, fulfillment centers and distribution centers to enable us to meet customer demand.</w:t>
      </w:r>
    </w:p>
    <w:p>
      <w:pPr>
        <w:spacing w:after="0" w:line="75"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We continue to actively manage our inventory to adjust for anticipated channel shifts and product category shifts. The current macroeconomic environment requires agility, and we believe we are leveraging the speed that we have in our supply chain, our close partnerships with our suppliers and the capabilities of our sourcing, production and logistics teams to respond quickly. We believe that our predominantly domestic, vertically integrated supply chain enables us to successfully navigate a dynamic environment and present full and abundant product assortments on time to our customers with speed and agility.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Systems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information systems consist of a full range of retail, financial and merchandising applications. These applications are related to point-of-sale, e-commerce, merchandising, marketing, planning, sourcing, logistics, inventory management, data security and support systems, including human resources and finance applications. We substantially completed our information technology (“IT”) separation from Victoria’s Secret &amp; Co. (“Victoria’s Secret”) during the second quarter of 2023, and completed all remaining separation activities in 2024.</w:t>
      </w:r>
    </w:p>
    <w:p>
      <w:pPr>
        <w:spacing w:after="0" w:line="5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 connection with the IT separation from Victoria’s Secret, we have undertaken a multi-year project to significantly upgrade our digital and information technology systems, capabilities and organization to, among other things, advance our data analytics capabilities, enhance our in-store and online customer experience, enable us to more effectively personalize our marketing, shopping, and promotional experiences, streamline our IT and digital operations and enable us to work more efficiently (the “IT Transformation Project”). We believe successful execution of the IT Transformation Project will enhance our omnichannel capabilities and support the growth and profitability of our business while also enhancing the security of, and otherwise reducing risks associated with, our IT systems. Our technology roadmap remains on-track, as we enhance our systems and put in place foundational tools to enable more personalization and seamless customer engagement to drive long-term growth.</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Business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operations are seasonal in nature and consist of two principal selling seasons: Spring (the first and second quarters) and Fall (the third and fourth quarters). The fourth quarter, including the holiday season, typically accounts for approximately 40% of our Net Sales and is our most profitable quarter. Accordingly, cash requirements are highest in the third quarter as our inventories build in advance of the holiday season.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fund our business operations through a combination of available cash and cash equivalents and cash flows generated from operations. In addition, our credit facility is available for additional working capital needs and investment opportunities.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and our products are subject to regulation by various federal, state, local and foreign regulatory authorities. We are subject to a variety of tax and customs regulations and international trade arrangements.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trademarks, copyrights and patents, which constitute our primary intellectual property, have been registered or are the subject of pending applications in the U.S. Patent and Trademark Office and with the registries of many foreign countries and/or are protected by common law. We believe our products are identified by our intellectual property and our intellectual property is an integral tool in protecting innovation. Thus, we believe our intellectual property is of significant value. Accordingly, we intend to maintain our intellectual property and related registrations and vigorously protect our intellectual property assets against infringement.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sale of home fragrance, body care and soap and sanitizer products is a highly competitive business with numerous competitors, including individual and chain specialty stores, department stores, online retailers and discount retailers. Brand image, presentation, marketing, design, price, service, fulfillment, assortment and quality are the principal competitive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business, see “Management’s Discussion and Analysis of Financial Condition and Results of Operations,” included under Item 7. of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Bath &amp; Body Works, our purpose goes beyond selling product. We strive to be an employer of choice, make a difference in our communities and foster a safe, inclusive and empowering environment for our thousands of associates as well as our customers and suppliers. We believe everyone belongs at Bath &amp; Body Works.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work to create a culture of inclusion where all associates can contribute their unique skills and abilities and where differences are embraced and celebrated. The Human Capital &amp; Compensation Committee of our Board of Directors (the “Board”) oversees, among other things, the Company’s programs, policies, practices and strategies relating to culture, talent, equal employment opportunities and the Company’s executive compensation programs. In addition, our Board oversees the talent review and succession planning process for our Chief Executive Officer and other senior level critical roles.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Workforce Demographics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February 1, 2025, we employed approximately 59,200 associates, none of whom were covered by a collective bargaining agreement. Approximately 94% of our associates work in our stores, with the remainder working in our home office or distribution and fulfillment centers. The following table includes demographic information related to the full-time status or part-time status (which are associates who work less than 40 hours a week) of our associates as of February 1,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Work Status</w:t>
            </w:r>
          </w:p>
        </w:tc>
        <w:tc>
          <w:tcPr>
            <w:tcW w:w="2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 Associates</w:t>
            </w:r>
          </w:p>
        </w:tc>
      </w:tr>
      <w:tr>
        <w:trPr>
          <w:trHeight w:val="223"/>
        </w:trPr>
        <w:tc>
          <w:tcPr>
            <w:tcW w:w="8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Full-time</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w:t>
            </w:r>
          </w:p>
        </w:tc>
      </w:tr>
      <w:tr>
        <w:trPr>
          <w:trHeight w:val="230"/>
        </w:trPr>
        <w:tc>
          <w:tcPr>
            <w:tcW w:w="9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Part-time</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50,235</w:t>
            </w:r>
          </w:p>
        </w:tc>
      </w:tr>
      <w:tr>
        <w:trPr>
          <w:trHeight w:val="248"/>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59,210</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Inclusion</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champion an inclusive work environment with a focus on attracting, engaging and developing talent. By continuing to encourage and support a workplace environment where inclusion is valued, we believe we can serve our customers better, as well as attract and retain highly talented associates. We also strive to give all our team members access to opportunities, which includes career advancement opportunities and competitive wages.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Competitive Wages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compensation programs are designed to link annual changes in compensation to overall Company performance, as well as each individual’s contribution to the results achieved. Our pay for performance philosophy includes participation of our store leaders and all salaried associates in home office and distribution and fulfillment centers in our short-term cash incentive compensation program. In addition, our store leaders earn monthly bonuses based on performance. The emphasis on overall Company performance is intended to align the associates’ financial interests with the interests of our stockholders.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to Providing Quality Benefits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offer competitive, performance-based compensation; a company-matched 401(k) retirement plan; and flexible and affordable health, wellness and lifestyle benefits. Subject to certain eligibility requirements, associates can choose benefits and resources that fit their lifestyle, including, but not limited to, 14 weeks paid maternity leave, six weeks paid parental leave, mental health benefits, family planning benefits including fertility, adoption and surrogacy, expanded bereavement leave time, military leave, tuition-free access to education, tuition assistance, free access to life planning services, removal of co-pays for insulin and other critical prescriptions, commuter benefits, a tobacco cessation program, an associate stock purchase plan that allows associates to purchase Company stock at a discount and a generous merchandise discount.</w:t>
      </w:r>
    </w:p>
    <w:p>
      <w:pPr>
        <w:spacing w:after="0" w:line="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2024, we continued our focus on ensuring associate well-being by promoting our wellness center in our Columbus, Ohio headquarters, which provides accessible, low-cost medical care, physical therapy and an on-site pharmacy to our associates, and by expanding our employee assistance program to all seasonal associates. In addition, we expanded DailyPay from our distribution and fulfillment centers to include our associates in stores. DailyPay provides earlier access to associates’ earned wages as needed.</w:t>
      </w:r>
    </w:p>
    <w:p>
      <w:pPr>
        <w:spacing w:after="0" w:line="72"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As part of our caring culture, our associates help fellow associates going through extreme personal hardships through the Bath &amp; Body Works Associates for Associates Emergency Fund (“A4A”). Administered by the Columbus Foundation with funds donated by associates and matched by the Bath &amp; Body Works Foundation, A4A provides monetary aid and/or make community resources available to associates facing crisis, such as fire destruction, a serious medical condition or a natural disaster. During 2024, the A4A fund awarded over $585,000 in grants to over 400 associates.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Is Our Priority</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committed to providing all of our associates a healthy and safe working environment and for protecting the safety of our customers. Our health and safety programs (including safety training for associate onboarding, developmental e-learning and on-the-job training) are designed to meet or exceed regulatory requirements for the various industry sectors of our business and in the jurisdictions in which we operate.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We have a written Code of Conduct that is based on our values and is a resource which establishes standards for associate conduct that reinforce the Company’s commitment to integrity and ethical conduct. All associates are required to complete a Code of Conduct training course and certify their compliance annually.</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maintain an Ethics Hotline, operated by a third-party, 24 hours a day, seven days a week, where associates may anonymously report potential instances of unethical conduct and potential violations of law or Company policies.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(the “Exchange Act”), and its rules and regulations. The Exchange Act requires us to file reports, proxy statements and other information with the U.S. Securities and Exchange Commission (“SEC”). The SEC maintains a website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these reports filed or furnished pursuant to Section 13(a) or 15(d) of the Exchange Act are available, free of charge, on our website at </w:t>
      </w:r>
      <w:r>
        <w:rPr>
          <w:rFonts w:ascii="Times New Roman" w:cs="Times New Roman" w:eastAsia="Times New Roman" w:hAnsi="Times New Roman"/>
          <w:sz w:val="18"/>
          <w:szCs w:val="18"/>
          <w:i w:val="1"/>
          <w:iCs w:val="1"/>
          <w:color w:val="auto"/>
        </w:rPr>
        <w:t>www.bbwinc.com</w:t>
      </w:r>
      <w:r>
        <w:rPr>
          <w:rFonts w:ascii="Times New Roman" w:cs="Times New Roman" w:eastAsia="Times New Roman" w:hAnsi="Times New Roman"/>
          <w:sz w:val="18"/>
          <w:szCs w:val="18"/>
          <w:color w:val="auto"/>
        </w:rPr>
        <w:t>. Our website and information included in or linked to our website are not part of this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any of the above-referenced documents will also be made available, free of charge, upon written request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Limited Parkway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 43230</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report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“target,” “goal”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report or otherwise made by the Company or our management:</w:t>
      </w:r>
    </w:p>
    <w:p>
      <w:pPr>
        <w:spacing w:after="0" w:line="81" w:lineRule="exact"/>
        <w:rPr>
          <w:sz w:val="20"/>
          <w:szCs w:val="20"/>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tariffs,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of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on store traffic and the availability of suitable store locations on appropriate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growth in part through new store openings and existing store remodels and expansions;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franchise, license, wholesale and other distribution-related partners;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channel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our brand image;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promotional programs and our loyalty program;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and protect our trade names, trademarks and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 develop new merchandise and launch and expand new product lines successfully;</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distribute and sell goods and materials on a global basis, including risks related to:</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wars and other armed conflicts, environmental hazards or natural disasters;</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 which could result in closed factories and/or stores, reduced workforces, scarcity of raw materials, and scrutiny or embargoing of goods produced in impacted areas;</w:t>
      </w: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taxes and other charges;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and political issues;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or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environmental, social and governance initiatives, and associated costs thereof;</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third-party manufacturing facilities and our distribution facilities in central Ohio;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to support a substantial portion of our inventory purchasing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deliver products in a timely manner, meet quality standards and comply with applicable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of Victoria’s Secret may not be tax-free for U.S. federal income tax purposes;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product input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energy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assets from loss and theft;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our self-insurance;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and make share repurchases under share repurchase authorizations;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refinance our debt and maintain compliance with our restrictive covenants;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standards, technology platform rules or other requirements related to data privacy and cybersecurity;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compliance matters;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trade and other regulatory matters.</w:t>
      </w:r>
    </w:p>
    <w:p>
      <w:pPr>
        <w:spacing w:after="0" w:line="23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not under any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68"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The following discussion of risk factors contains “forward-looking statements.” These risk factors may be important to understanding any statement in this Annual Report on Form 10-K, other filings or in any other discussions of our business. The following information should be read in conjunction with Item 7. Management’s Discussion and Analysis of Financial Condition and Results of Operation and Item 8. Financial Statements and Supplementary Data.</w:t>
      </w:r>
    </w:p>
    <w:p>
      <w:pPr>
        <w:spacing w:after="0" w:line="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the reader should carefully consider the following factors which could materially affect our business, results of operations, financial condition and/or cash flows. The risks described below are not our only risks. Additional risks and uncertainties not currently known or that are currently deemed to be immaterial may also adversely affect our business, results of operations, financial condition and/or cash flows in a material way.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Our net sales, results of operations and cash flows are sensitive to, have been affected by and may in the future be further impacted by, general economic conditions, inflation, tariffs, consumer confidence, consumer spending patterns, significant health hazards or pandemics, severe weather or other market disruptions.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net sales, results of operations, cash flows and future growth may be affected by local, regional, national or international political or economic trends or developments that can reduce consumers’ ability or willingness to spend or alter consumer behavior and spending patterns. These trends and developments (including tariffs), which can vary substantially by country, include political, financial or social instability or conditions, geopolitical events, corruption, anti-American sentiment, social and ethnic unrest, military conflicts and terrorism, as well as changes in general economic conditions (including unemployment levels, inflation and market volatility). For example, during 2022, 2023 and 2024, the global economy was negatively impacted by high inflation rates, which has resulted in higher prices that have negatively impacted and may continue to negatively impact consumer demand. In addition, market disruptions due to natural disasters, significant health hazards or pandemics or other major events or the prospect of these events could also impact or shift consumer spending and sentiment. Extreme weather conditions in the areas in which our stores are located, particularly in markets where we have multiple stores, or in the central Ohio region where most of our third-party manufacturers and our distribution centers are located, have adversely affected and could in the future adversely affect our business. During periods when economic or market conditions are unsettled or weak, purchases of our products have declined, and may in the future further decline. In such circumstances, we have increased, and may in the future continue to increase, the number of promotional sales which, when combined with inflationary cost pressures, have negatively affected our merchandise margin rates and, in the future, could have a material adverse effect on our results of operations, financial condition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 sales, operating income, cash and inventory levels fluctuate on a seasonal basis.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experience major seasonal fluctuations in our net sales and operating income, with a significant portion of our operating income and cash flows typically realized during the fourth quarter holiday season. Any decrease in sales or margins during this critical period could have a material adverse effect on our results of operations, financial condition and cash flows.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Seasonal fluctuations also affect our cash and inventory levels since we usually order merchandise in advance of peak selling periods and sometimes before new trends are confirmed by customer purchases. We must carry a significant amount of inventory, especially before the holiday season selling period. If we are not successful in selling inventory, we may have to sell the inventory at significantly reduced prices or may not be able to sell the inventory at all, which could have a material adverse effect on our results of operations, financial condition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attract, develop and retain qualified associates and manage labor-related costs.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believe one of our competitive advantages is providing positive, engaging and satisfying experiences for our diverse customer base, which requires us to have highly trained, engaged and diverse associates. Our success depends in part upon our ability to attract, develop and retain a sufficient number of qualified associates, including, but not limited to, store personnel, associates in our home office, distribution and fulfillment centers and key product and support talent. The turnover rate in the retail industry is generally high, and qualified individuals of the requisite caliber and number needed to fill these positions have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been in short supply in some areas. Competition for such qualified individuals and shifts in the labor market, including availability of skilled talent, and continued changes and complexity in labor and healthcare laws have caused us to incur higher labor costs, and such increases in labor costs could continue in the future. Our inability to recruit a sufficient number of qualified individuals in the future may, among other things, delay planned openings of new stores, affect the speed with which we expand, or negatively impact our ability to timely and efficiently fulfill orders, to develop new merchandise and to launch new product lines. Delayed store openings, significant increases in associate turnover rates or significant increases in labor-related costs could have a material adverse effect on our results of operations, financial condition and cash flows.</w:t>
      </w:r>
    </w:p>
    <w:p>
      <w:pPr>
        <w:spacing w:after="0" w:line="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recent years, multiple retailers have faced unionization campaigns from their workers. If we are subject to a unionization campaign from our associates, we would incur significant expenses in the form of legal and consulting fees and potentially be subject to negative publicity that could significantly disrupt our operations and have an adverse effect on our results of operations, financial condition and cash flows.</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 increase in the costs of associate wages, benefits and insurance (including workers’ compensation, general liability, property and health) has adversely affected, and could continue to adversely affect, our operating results. In particular, labor shortages and the current competitive labor market have increased competition for qualified associates, which has compelled, and may continue to compel, us to pay higher wages to attract or retain qualified associates. Such increases in costs may result from general economic or competitive conditions or from government imposition of higher minimum wages at the federal, state or local level, including in connection with the increases in state minimum wages that have been enacted by various states. Moreover, there may be a long-term trend toward higher wages in developing markets. Any increase in such operating expenses could have a material adverse effect on our results of operations, financial condition and cash flows.</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Turnover in Company leadership or other key positions, and our ability to attract and retain new talent, may have an adverse impact on Company performance.</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experience changes in key leadership or key positions in the future. The departure of key personnel can result in the loss of significant knowledge and experience. This loss of knowledge, expertise and experience can be mitigated through successful internal succession planning or external hiring and transition, but there can be no assurance that we will be successful in such efforts. Attracting and retaining qualified senior leadership may be more challenging under adverse business conditions. Failure to attract and retain the right talent or to smoothly manage the transition of responsibilities resulting from such turnover could affect our ability to meet our goals and may cause us to miss performance objectives or financial targets or disrupt our relationships with our customers, vendors or other third parties.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 sales depend on a volume of traffic to our stores and the availability of suitable lease space.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More than half of our stores are located in off-mall retail shopping areas with the remainder located in malls and other types of retail centers. Sales at these stores are derived, in part, from the volume of consumer traffic in those retail areas. Our stores benefit from the ability of the retail center and other attractions in an area, including “destination” retail stores, to generate consumer traffic in the vicinity of our stores. Sales volume and retail traffic may be adversely affected by factors that we cannot control, such as economic downturns, including due to inflationary or tariff pressures, or changes in consumer demographics in a particular area, consumer trends away from brick-and-mortar retail toward online shopping, competition from internet and other retailers and other retail areas where we do not have stores, significant health hazards or pandemics, the closing of other stores or the decline in popularity or safety in the shopping areas where our stores are located and the deterioration in the financial condition of the operators or developers of the shopping areas in which our stores are located.</w:t>
      </w:r>
    </w:p>
    <w:p>
      <w:pPr>
        <w:spacing w:after="0" w:line="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Part of our future growth is significantly dependent on our ability to operate stores in desirable locations with capital investment and lease costs providing the opportunity to earn a reasonable return. We cannot be sure as to when or whether such desirable locations will become available at reasonable costs. Additionally, we are dependent upon the suitability of the lease spaces that we currently use. The leases that we enter into are generally noncancelable leases with initial terms of ten years. If we determine that it is no longer economical to operate a store and decide to close it, we may remain obligated under the applicable lease for, among other things, payment of the base rent for the balance of the lease term.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ability to grow and our results of operations, financial condition and 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continued growth and success depend in part on new store openings and existing store remodels and expansions.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continued growth and success depend in part on our ability to open and operate new, primarily off-mall stores and expand and remodel existing stores on a timely and profitable basis. Accomplishing our new and existing store expansion goals will depend upon a number of factors, including the ability to partner with developers and landlords to obtain suitable sites for new and expanded stores at acceptable costs and on acceptable timelines, the hiring and training of qualified personnel and the integration of new stores into existing operations. There can be no assurance we will be able to achieve our store expansion goals, manage our growth effectively, successfully integrate the planned new stores into our operations or operate our new,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remodeled and expanded stores profitably. These risks could have a material adverse effect on our ability to grow and our results of operations, financial condition and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operations and our plans for international expansion include risks that could impact our results and reputation.</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intend to continue to operate internationally and further expand in our existing markets and into new international markets, including through franchise and other distribution-related partner arrangements. The risks associated with international markets include, among others, difficulties in attracting customers due to a lack of customer familiarity with our brand, our ability to comply with international laws and regulations, our lack of familiarity with local customer preferences, cultures or religious norms and seasonal differences in the international markets. Any of these difficulties may lead to disruption in the overall timing of our international expansion efforts, lower sales than we anticipate and increased costs. Further, entry into other markets may bring us into competition with new competitors or with existing competitors with an established presence in such markets. Such expansions will also have upfront investment costs, some of which may be significant, that may not be accompanied by sufficient revenues to achieve expected operational and financial performance. Other risks include general economic conditions in specific countries or markets, reliance on franchise partners, service providers and other distribution-related partners that we do not control, volatility in the geopolitical landscape (including social and ethnic unrest, military conflicts and terrorism), anti-American sentiment, foreign governmental regulation and enforcement (including the risks of local tariffs and operating in markets in which there are uncertainties regarding the interpretation and enforceability of legal requirements and the enforceability of contract rights and intellectual property rights), legal actions, disruptions or delays in shipments, restrictions on the repatriation of funds held internationally, occurrence of significant health hazards or pandemics, changes in diplomatic and trade relationships and political instability. For example, the conflict in the Middle East has resulted in unpredictable conditions in the region and around the world, and has affected, and may continue to affect, our business and operations as a result of, among other things, the economic consequences and disruptions from such conflict, supply chain availability, consumer boycotts of Western brands, and consumer reaction to perceived acts or failures to act by us or our franchise partners including commencing and/or maintaining operations in countries or regions that are linked to such conflicts.</w:t>
      </w:r>
    </w:p>
    <w:p>
      <w:pPr>
        <w:spacing w:after="0" w:line="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Further, our results of operations and financial condition may be adversely affected by fluctuations in currency exchange rates. See “Fluctuations in foreign currency exchange rates could impact our results of operations, financial condition and cash flows”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above risks could have a material adverse effect on our results of operations, financial condition and 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licensees, franchisees, wholesalers and other distribution-related partners could take actions that could harm our business or brand images.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global brand exposure through digital sites and stores independently owned and/or operated by our franchise partners and other distribution-related partners. Although we have criteria to evaluate and select prospective partners, the level of control we can exercise over our partners is limited, and the quality and success of their operations may be diminished by any number of factors beyond our control. For example, our partners may not have the business acumen or financial resources necessary to successfully operate stores in a manner consistent with our standards and may not hire and train qualified store managers and other personnel. Further, we primarily rely on our partners to comply with applicable laws and regulations in the international markets in which they operate. Our brand image and reputation may suffer materially, and our sales could decline, if our partners do not operate successfully, including operating in compliance with applicable laws and regulations. These risks could have an adverse effect on our results of operations, financial condition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direct channel business includes risks that could have a material adverse effect on our results.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direct channel (also referred to as digital or e-commerce) is subject to numerous risks that could have a material adverse effect on our results of operations, financial condition and cash flows. Such risks include, but are not limited to, the difficulty in recreating the in-store experience through our direct channels; domestic or international large scale buyers and resellers purchasing merchandise and reselling it outside our control; resellers competing against us on domestic or international platforms where we legitimately sell our goods, or competition on marketplaces; our ability to anticipate and implement innovations in technology and logistics in order to appeal to existing and potential customers who increasingly rely on multiple channels to meet their shopping needs; legal and regulatory developments associated with digital, data, analytics, artificial intelligence, communications and ad-targeting practices (including, without limitation, the use of technologies and third-party services to personalize or create concierge-like customer experiences); risks associated with increases in order fulfillment logistics costs; risks associated with the level of support provided by third party partners’ web infrastructure, websites and related support systems; and the failure of and risks related to the resources that underlay and support the operation of our and our third-party partners’ web infrastructure, websites and the related support systems, including computer viruses, malware (including, without limitation, ransomware), unauthorized access to and theft of customer information, privacy violations, fraudulent branded phishing sites impersonating our direct channel, ad scams causing customer confusion, information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technology and vendor system failures, deepfakes and other malicious uses of artificial intelligence, disruption of critical services caused by threat actors and similar disruptions.</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failure to maintain efficient and uninterrupted order-taking and fulfillment operations could also have a material adverse effect on our results of operations, financial condition and cash flows. We utilize third-party service providers for order management and for a majority of our fulfillment services. If these third-party service providers do not maintain efficient and uninterrupted service, we have experienced, and may in the future experience, merchandise delivery delays, loss of sales, stranded inventory, cancellation charges or excessive promotional activity to clear inventory. Further, we may have difficulty replacing these third-party service providers and there can be no assurance we can do so in a timely manner or on terms favorable to us. The satisfaction of our direct channel customers also depends on their timely receipt of merchandise. If we encounter difficulties with the distribution and fulfillment facilities, or if the facilities were to shut down for any reason, including as a result of a pandemic, fire, severe weather, natural disaster or work stoppage, we could face shortages of inventory; we could incur significantly higher costs and longer lead times associated with distributing our products to our customers; we could face scrutiny by regulators and litigants; and our customers may be dissatisfied.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issues could have a material adverse effect on our results of operations, financial condition and 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protect our reputation could have a material adverse effect on our brand image.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ability to maintain our reputation is critical to our brand image. Our reputation could be jeopardized if we fail to maintain high standards for merchandise quality and integrity of the consumer’s experience in stores and online. If third parties with which we have a business relationship, including our influencer network, fail to represent our brand in a manner consistent with our brand image, it could harm our reputation. Any negative publicity, including information publicized through traditional or social media platforms and similar venues such as websites, blogs and other forums, may affect our reputation and brand and, consequently, reduce demand for our merchandise and negatively impact our reputation, even if such publicity is unverified or inaccurate.</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Failure to comply with or the perception that we have failed to comply with ethical, social, product, labor, privacy, systems and data security and environmental standards, or related political considerations, or that we have failed to ensure the safety of our stores and products, could also jeopardize our reputation and potentially lead to various adverse consumer actions, including boycotts. Failure to comply with applicable laws and regulations, to maintain an effective system of internal controls, to maintain the security of customer, associate, third-party and company information or to provide accurate and timely financial statement information could also hurt our reputation. Damage to our reputation or loss of consumer confidence for any of these or other reasons could have a material adverse effect on our results of operations, financial condition and cash flows, as well as require additional resources to rebuild our reputation.</w:t>
      </w:r>
    </w:p>
    <w:p>
      <w:pPr>
        <w:spacing w:after="0" w:line="7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If our marketing, advertising, promotional programs or loyalty program are unsuccessful, or if our competitors are more effective with their programs than we are, our results of operations, financial condition and cash flows may be adversely affected.</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Customer traffic and demand for our merchandise are influenced by our advertising, marketing and promotional activities, the effectiveness of our loyalty program, the name recognition and reputation of our brand and the location of and service offered in our stores and through our direct business. Although we use marketing, advertising and promotional programs and our loyalty program to attract customers through various media, including social media, websites, mobile applications, email and print, and we continue to invest to improve the online and mobile user experience for our customers, some of our competitors may expend more for their programs than we do or use different or more efficient approaches than we do, which may provide them with a competitive advantage. Our financial forecasts are dependent on our marketing, advertising and promotional programs and our loyalty program enhancements driving customer acquisition and stronger customer retention. Our programs may not be effective or could require increased expenditures, which could have a material adverse effect on our results of operations, financial condition and cash flows.</w:t>
      </w:r>
    </w:p>
    <w:p>
      <w:pPr>
        <w:spacing w:after="0" w:line="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adequately maintain, enforce and protect our trade names, trademarks and patents could have an impact on our brand image and ability to penetrate new markets.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believe that our trade names, trademarks and patents are important assets and an essential element of our strategy. We have obtained or applied for federal registration of these trade names, trademarks and patents and have applied for or obtained registrations in many foreign countries. There can be no assurance that we will obtain such applied for registrations or that the registrations we obtain will prevent the imitation of our products or infringement or other violation of our intellectual property rights by others. In particular, the laws of certain foreign countries may not protect proprietary rights to the same extent as the laws of the U.S. If any third party copies our products, our or our partners’ websites or our or our partners’ stores in a manner that projects lesser quality or carries a negative connotation, it could have a material adverse effect on our brand image and reputation as well as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We may be unable to successfully resolve these types of conflicts to our satisfaction and may be required to enter into costly license agreements, be required to pay significant royalties, settlement costs or damages, be required to rebrand our products and/or be prevented from selling some of our products.</w:t>
      </w:r>
    </w:p>
    <w:p>
      <w:pPr>
        <w:spacing w:after="0" w:line="6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compete favorably in our highly competitive segments of the retail industry could impact our results of operations, financial condition and cash flows.</w:t>
      </w:r>
    </w:p>
    <w:p>
      <w:pPr>
        <w:spacing w:after="0" w:line="5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retail industry is highly competitive. We compete for sales with a broad range of other retailers, including individual and chain specialty stores, department stores and discount retailers. In addition to the traditional store-based retailers, we also compete with direct marketers or retailers that sell similar lines of merchandise and who target customers through online channels. Brand image, marketing, design, price, service, assortment, quality, innovation, image presentation and fulfillment are all competitive factors in both the store-based and online channels.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Some of our competitors may have greater financial, marketing and other resources available and trends across our product categories may favor our competitors. We rely to a greater degree than some of our competitors on physical locations in retail centers. Therefore, declines in traffic to such locations may affect us more significantly than our competitors. Some of our competitors sell their products in stores that are located in the same retail centers as our stores. In addition to competing for sales, we compete for favorable site locations and lease terms in retail centers.</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Increased competition, combined with declines in store and/or direct channel traffic, could result in price reductions, increased marketing expenditures and loss of pricing power and market share, any of which could have a material adverse effect on our results of operations, financial condition and cash flows.</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manage the life cycles of our brand and to remain current with trends and launch and expand new product lines successfully could impact the image and relevance of our brand.</w:t>
      </w:r>
    </w:p>
    <w:p>
      <w:pPr>
        <w:spacing w:after="0" w:line="5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Our success depends in part on management’s ability to effectively manage the life cycles of our brand, to anticipate and respond to changing preferences and consumer demands and to translate market trends into appropriate, saleable product offerings in advance of the actual time of sale to the customer. We are dependent on certain product categories and declines in customer demand in these product categories have negatively impacted, and may in the future impact, our results of operations, financial condition and cash flows. Our financial forecasts are dependent on our ability to drive growth through adjacent product categories, including men’s, fragrant haircare, laundry and lip. Customer demands and trends change rapidly. If we are unable to successfully anticipate, identify or react to changing preferences or trends, we misjudge the market for our products or any new product lines, or our launches or expansions of new product lines are unsuccessful, we may not be able to achieve the growth in our business that we currently anticipate. In response, we may be forced to increase our marketing, promotions or price markdowns and potentially discontinue a product line. These risks are particularly acute for us because of our reliance on innovation and the newness we offer to engage new and existing customers and could have a material adverse effect on our brand image and reputation as well as our results of operations, financial condition and cash flows.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adequately source, distribute and sell merchandise and other materials on a global basis.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source merchandise and other materials directly in domestic and international markets. We distribute merchandise and other materials globally to our franchise and other distribution-related partners in international locations and to our stores. Many of our imports and exports are subject to a variety of customs regulations and international trade arrangements, including existing or potential duties, tariffs or safeguard quotas. We also compete with other companies for manufacturing facilities.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face a variety of other risks generally associated with doing business on a global basis. For example:</w:t>
      </w:r>
    </w:p>
    <w:p>
      <w:pPr>
        <w:spacing w:after="0" w:line="117"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geopolitical conflict, including the war between Russia and Ukraine and the conflict in the Middle East, environmental hazards or natural disasters, which could negatively affect international economies, financial markets and business activity;</w:t>
      </w: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 which could result in closed factories, distribution and fulfillment centers and/or stores, reduced workforces, scarcity of raw materials and scrutiny or embargoing of goods produced in impacted areas;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retaliatory trade duties, sanctions, tariffs or taxes and other charges on imports or exports;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new or complex legal and regulatory matters;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and political issues (including issues relating to compliance with domestic or international labor standards) and anti-American sentiment, which may result in adverse publicity or threatened or actual adverse consumer actions, including boycotts;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laws or regulations or other factors.</w:t>
      </w:r>
    </w:p>
    <w:p>
      <w:pPr>
        <w:spacing w:after="0" w:line="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goods that we import are sourced from third-party suppliers in China. Our ability to successfully import such materials may be adversely affected by U.S. and Canadian laws and changes in those laws. The Uyghur Forced Labor Prevention Act (“UFLPA”) imposes a presumptive ban on the import of goods to the U.S. that are made, wholly or in part, in the Xinjiang Uyghur Autonomous Region of China (“XUAR”) or by persons that participate in certain programs in the XUAR that entail the use of forced labor. U.S. Customs and Border Protection (“CBP”) has published both a list of entities that are known to utilize forced labor, and a list of commodities that are most at risk, such as poly-vinyl chloride, cotton, tomatoes and silica-based products. Although none of our Chinese suppliers are located in the XUAR, we do not currently have full visibility to the entirety of each supplier’s separate sub-tier supply chains to be able to ensure that the raw materials or other inputs they use to manufacture their goods are not produced in the XUAR. Materials we import into the U.S. could be held by the CBP based on a suspicion that inputs used in such materials originated from the XUAR or that they may have been produced by Chinese suppliers accused of participating in forced labor, pending our providing satisfactory evidence to the contrary. Among other consequences, such an outcome could result in negative publicity that harms our brand and reputation and could result in a delay or complete inability to import such materials, which could result in inventory shortages and an increase in supply chain compliance costs.</w:t>
      </w:r>
    </w:p>
    <w:p>
      <w:pPr>
        <w:spacing w:after="0" w:line="84"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also rely upon third-party transportation providers for substantially all of our product shipments, including shipments to and from our distribution centers to our stores and fulfillment centers, and to our customers. Our utilization of these delivery services for shipments is subject to risks, including increases in labor costs and fuel prices, which would increase our shipping costs, and associate strikes and inclement weather, which may impact our transportation providers’ ability to provide delivery services that adequately meet our shipping needs.</w:t>
      </w:r>
    </w:p>
    <w:p>
      <w:pPr>
        <w:spacing w:after="0" w:line="68"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Our ability, or perceived inability, to complete environmental, social and governance (“ESG”) initiatives may have a material adverse effect on our reputation.</w:t>
      </w:r>
    </w:p>
    <w:p>
      <w:pPr>
        <w:spacing w:after="0" w:line="6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Investors, other stakeholders, the general public and U.S. and foreign governmental and nongovernmental organizations have been focused on ESG initiatives, including with respect to climate change, greenhouse gas emissions, packaging and waste, diversity, equity and inclusion, worker pay and benefits, human rights, sustainable supply chain practices, animal health and welfare, deforestation and land, energy and water use. We maintain an ESG function to provide direction and coordinate ESG work throughout the Company. Increased scrutiny of ESG initiatives by public, regulatory, investor and other stakeholders, including U.S. and foreign governmental agencies, may put pressure on us to adjust our disclosures in these areas, and make adjustments to our commitments, targets, or goals and take actions to meet or address such adjustments, which could expose us to market, operational, regulatory, legal and execution costs or risks. Our business may also face increased scrutiny related to ESG activities, including from U.S. and foreign governmental agencies, and potentially lead to enforcement actions and litigation. Setting these targets and goals or expanding or adjusting our disclosure or our failure, or perceived failure, to meet or properly adjust such targets and goals could adversely affect our reputation and, as a result, our business, financial performance and growth.</w:t>
      </w:r>
    </w:p>
    <w:p>
      <w:pPr>
        <w:spacing w:after="0" w:line="8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number of manufacturing and distribution facilities located in the same vicinity, making our business susceptible to local and regional disruptions or adverse conditions.</w:t>
      </w:r>
    </w:p>
    <w:p>
      <w:pPr>
        <w:spacing w:after="0" w:line="5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achieve the necessary speed and agility in supply of our inventory, we rely heavily on third-party manufacturing facilities and our distribution facilities in close proximity to our headquarters in central Ohio. As a result of the geographic concentration of many of the manufacturing and distribution facilities that we rely upon, our operations are susceptible to local and regional factors, such as accidents, system failures, economic and weather conditions, natural disasters (including as may be exacerbated by climate change), demographic and population changes and other unforeseen events and circumstances. Any significant interruption in the operations of these facilities could lead to inventory issues, increased costs or interruptions to our operations, which could have a material adverse effect on our results of operations, financial condition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change in the relationship with our key vendors could have a material effect on our business.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rely on a limited number of vendors (including manufacturers) to supply our inventory. In 2024, our largest vendor supplied approximately 15% of our total merchandise purchases (on a dollar basis) and our largest five vendors in the aggregate supplied approximately 40% of our total merchandise purchases (on a dollar basis). Our business depends on developing and maintaining close relationships with our vendors and on our vendors’ ability or willingness to sell quality products to us at competitive prices and on other favorable terms. Many factors outside of our control may impact these relationships and the ability or willingness of these vendors to sell us products on favorable terms. For example, financial or operational difficulties that our vendors may face could increase the cost of the products we purchase from them or our ability to source products from them.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may be impacted by our vendors’ ability to manufacture and deliver products in a timely manner, meet quality standards and comply with applicable laws and regulations.</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purchase products from third-party vendors. Factors outside our control, such as production issues, shipping delays, quality problems, geopolitical conflicts and wars, outbreaks of disease, or natural disasters, could disrupt merchandise deliveries and result in lost sales, cancellation charges or excessive markdowns.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quality problems could result in product liability judgments or widespread product recalls that may negatively impact our sales and profitability for a period of time depending on product availability, reaction of competitors and consumer attitudes. Even if product liability claims are unfounded, unsuccessful or are not fully pursued, the negative publicity surrounding any assertions could adversely impact our reputation with existing and potential customers and our brand image.</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business could also suffer if our third-party vendors fail to comply with applicable laws and regulations. While our internal and vendor operating guidelines promote ethical business practices and our associates and third-party compliance auditors visit and monitor the operations of our third-party vendors, we do not control these vendors or their practices. Violations of labor, environmental or other laws by third-party vendors used by us or the divergence of a third-party vendor’s or partner’s labor or environmental practices from those generally accepted as ethical or appropriate could interrupt or otherwise disrupt the shipment of finished products to us or damage our reputation.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results of operations, financial condition and 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spin-off of Victoria’s Secret could result in substantial tax liability to us and our stockholders.</w:t>
      </w:r>
    </w:p>
    <w:p>
      <w:pPr>
        <w:spacing w:after="0" w:line="1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received an opinion of counsel to the effect that, for U.S. federal income tax purposes, the spin-off and certain related transactions qualify for tax-free treatment under certain sections of the Internal Revenue Code. However, the opinion relies on certain assumptions, representations and undertakings, including those relating to the past and future conduct of our business, and the opinion would not be valid if such assumptions, representations and undertakings were incorrect. Furthermore, the opinion is not binding on the Internal Revenue Service (“IRS”) or the courts. If, notwithstanding receipt of the opinion, the spin-off or certain related transactions are determined to be taxable, we would be subject to a substantial tax liability. In addition, if the spin-off is taxable, each holder of our common stock who received shares of Victoria’s Secret common stock in connection with the spin-off would generally be treated as receiving a taxable dividend in an amount equal to the fair market value of the shares received.</w:t>
      </w:r>
    </w:p>
    <w:p>
      <w:pPr>
        <w:spacing w:after="0" w:line="8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Even if the spin-off otherwise qualifies as a tax-free transaction, the distribution would be taxable to us (but not to our stockholders) in certain circumstances if future significant acquisitions of our stock or the stock of Victoria’s Secret are determined to be part of a plan or series of related transactions that included the spin-off. In this event, the resulting tax liability could be substantial. In connection with the spin-off, we entered into a Tax Matters Agreement with Victoria’s Secret, pursuant to which Victoria’s Secret agreed to not enter into any transaction that could cause the spin-off or any related transactions to be taxable to us without our consent and to indemnify us for any tax liability resulting from any such transaction. In addition, these potential tax liabilities may discourage, delay or prevent a change of control of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foreign currency exchange rates could impact our results of operations, financial condition and cash flows.</w:t>
      </w:r>
    </w:p>
    <w:p>
      <w:pPr>
        <w:spacing w:after="0" w:line="12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We are exposed to foreign currency exchange rate risk with respect to our sales, profits, assets and liabilities denominated in currencies other than the U.S. dollar. In addition, our royalty arrangements are calculated based on sales in local currency and, as such, we are exposed to foreign currency exchange rate fluctuations. Although we use foreign currency forward contracts to hedge certain foreign currency risks, these measures may not succeed in offsetting all of the short-term negative impacts of foreign currency rate movements on our business and results of operations, financial condition and cash flows.</w:t>
      </w:r>
    </w:p>
    <w:p>
      <w:pPr>
        <w:spacing w:after="0" w:line="3" w:lineRule="exact"/>
        <w:rPr>
          <w:sz w:val="20"/>
          <w:szCs w:val="20"/>
          <w:color w:val="auto"/>
        </w:rPr>
      </w:pPr>
    </w:p>
    <w:p>
      <w:pPr>
        <w:jc w:val="both"/>
        <w:ind w:right="380"/>
        <w:spacing w:after="0" w:line="255" w:lineRule="auto"/>
        <w:rPr>
          <w:sz w:val="20"/>
          <w:szCs w:val="20"/>
          <w:color w:val="auto"/>
        </w:rPr>
      </w:pPr>
      <w:r>
        <w:rPr>
          <w:rFonts w:ascii="Times New Roman" w:cs="Times New Roman" w:eastAsia="Times New Roman" w:hAnsi="Times New Roman"/>
          <w:sz w:val="18"/>
          <w:szCs w:val="18"/>
          <w:color w:val="auto"/>
        </w:rPr>
        <w:t>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affected by fluctuations in product input costs.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Product input costs, including freight, labor and raw materials, fluctuate subject to price volatility caused by any fluctuation in aggregate supply and demand or other external conditions, such as inflationary conditions, weather and climate conditions, geopolitical conflicts and wars, energy costs, natural events or disasters, taxes and tariffs (including as a result of trade disputes), industry demand, labor shortages, transportation issues, fuel costs, product recalls, governmental regulation and other factors, all of which are beyond our control and in many instances are unpredictable. These factors may result in an increase in our product input costs. We may not be able to, or may elect not to, fully pass these increases on to our customers which may adversely impact our profit margins. These risks could have a material adverse effect on our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affected by fluctuations in energy costs.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Energy costs have fluctuated in the past and may fluctuate in the future due to changes in factors beyond our control, such as weather and climate conditions or natural events or disasters, taxes and tariffs (including as a result of trade disputes), industry demand, high demand for renewable energy, inflationary conditions, labor shortages, transportation issues, fuel costs, geopolitical conflicts and wars, governmental regulation and other factors. These fluctuations may result in an increase in our transportation costs for distribution, utility costs for our retail stores, distribution and fulfillment centers and other Company locations and costs to purchase products from third-party manufacturers. A continual rise in energy costs could adversely affect consumer spending and demand for our products and increase our operating costs, both of which could have a material adverse effect on our results of operations, financial condition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impacted by our ability to adequately protect our assets from loss and theft.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assets are subject to loss, including those caused by illegal or unethical conduct by associates, customers, vendors, partners or unaffiliated third parties (including from organized retail crime). We experience events that cause inventory shrinkage. Our inventory shrinkage rates have increased in recent years and may continue to increase,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self-insure certain risks and may be impacted by unfavorable claims experience.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self-insured for various types of insurable risks including associate medical benefits, workers’ compensation, property, general liability and automobile, up to certain stop-loss limits. Claims are difficult to predict and may be volatile. Any adverse claims experience could have a material adverse effect on our results of operations, financial condition and cash flows.</w:t>
      </w:r>
    </w:p>
    <w:p>
      <w:pPr>
        <w:spacing w:after="0" w:line="6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We have undertaken a multi-year initiative to upgrade our digital and information technology systems and capabilities. We significantly rely on our, and our third-party service providers’, ability to successfully implement, upgrade and sustain information technology systems and to protect associated data and system availability.</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Following the substantial completion of our information technology separation from Victoria’s Secret in 2023, we have undertaken the IT Transformation Project, a multi-year project to significantly upgrade our digital and information technology systems and capabilities to, among other things, advance our data analytics capabilities, enhance our in-store and online customer experience, enable us to more effectively personalize our marketing, shopping and promotional experiences, enhance the security of and otherwise reduce risks associated with our IT systems, streamline our information technology operations and enable us to work more efficiently. We, together with our third-party service providers and vendors, maintain a complex ecosystem of information technology systems and environments that will be impacted by the IT Transformation Project. As with any significant information technology upgrade, the IT Transformation Project increases the risk of interruption of service, data loss and vulnerabilities, corruption of data, breach, failure of information technology systems to effectively communicate and other disruptions to our operations. Moreover, the IT Transformation Project could result in expenses and capital expenditures that substantially exceed the expenses and capital expenditures that we currently anticipate.</w:t>
      </w:r>
    </w:p>
    <w:p>
      <w:pPr>
        <w:spacing w:after="0" w:line="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success of our business depends, in part, on the secure and uninterrupted performance of our, and our third-party service providers’ and vendors’, information technology systems. Our information technology systems, as well as those of our service providers and vendors, are vulnerable to damage, interruption, service availability or breach from a variety of sources, including cyberattacks, ransomware attacks, deepfakes and other malicious uses of artificial intelligence, telecommunication and/or technology failures, malicious human acts, human errors and natural disasters. Moreover, despite maintaining comprehensive measures, some of our systems, e-commerce environments and servers and those of our service providers and vendors are potentially vulnerable to physical or electronic break-ins, malware (including, without limitation, ransomware), computer viruses and similar disruptive problems. Such incidents have disrupted, and could in the future further disrupt, our operations (whether directly or due to disruptions of our service providers’ and vendors’ operations) including our ability to timely ship and track product orders and project inventory requirements and lead to interruptions or delays in our supply chain. Additionally, these types of problems could result in an actual or perceived breach of confidential customer, merchandise, financial, associate or other important information (including personal information), which could result in damage to our reputation, costly litigation, customer complaints, negative publicity, breach notification obligations, regulatory or administrative sanctions, inquiries, orders or investigations, indemnity obligations, damages for contract breach or penalties for violations of applicable laws or regulations. The increased use of smartphones, tablets, mobile devices and data applications and services may also heighten these and other operational risks. Despite the precautions we have taken, unanticipated problems or events may nevertheless cause failures in, or unauthorized access to, our and our third-party service providers’ and vendors’ information technology systems. Sustained or repeated system disruptions that interrupt our ability to process orders and deliver products to the stores or directly to our customers, impact our ability to process transactions in our stores, impact our customers’ ability to access our websites and mobile applications in a timely manner or expose confidential customer, merchandise, financial, associate or other important information (including personal information), the risks of which may be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heightened as we execute on the IT Transformation Project, could have a material adverse effect on our results of operations, financial condition and cash flows.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use third-party service providers and vendors to store, transmit and otherwise process certain confidential customer, merchandise, financial, associate or other important information (including personal information) on our behalf, and our third-party service providers and vendors are subject to cybersecurity and privacy risks similar to us. Due to applicable laws and regulations or contractual obligations, we may be held responsible for any cybersecurity incidents or privacy violations attributed to our service providers or vendors as they relate to the information we share with them, information to which they are granted access, or information that they process for us to deliver services to our customers. Although we strive to contractually require these service providers and vendors to implement and maintain controls and a standard of security (such as implementing reasonable measures) and to comply with applicable law, we cannot control third parties and cannot guarantee that a security breach or privacy violation will not occur in connection with their systems and practices.</w:t>
      </w:r>
    </w:p>
    <w:p>
      <w:pPr>
        <w:spacing w:after="0" w:line="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compromise or breach of our data security, including the security of customer, associate, third-party or Company information, could have a material adverse effect on our reputation, results of operations, financial condition and cash flows.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operation of our business, we collect, use, transmit and otherwise process a large volume of personal and other confidential, proprietary and sensitive information. Information systems are susceptible to an increasing threat of continually evolving cybersecurity risks. Breaches or failures of security involving our information systems, including those provided, managed and supported by any of our third-party service providers, have occurred, and in the future may occur. Any significant compromise or breach of our data security, media reports about such an incident, whether accurate or not, or our failure to make adequate or timely disclosures to the public, regulatory agencies or law enforcement agencies following any such event, whether due to delayed discovery or a failure to follow existing protocols or regulations, could significantly damage our reputation with our customers, associates, investors and other third parties, cause the disclosure of personal, confidential, proprietary or sensitive customer, associate, third-party or Company information, cause interruptions to our operations and distraction to our management, cause our customers to stop shopping with us, inhibit our ability to attract new customers and result in significant legal, regulatory and financial liabilities and lost revenues. Compounding these risks is the complexity of our information systems, which are a collection of our and our third-party service providers’ systems.</w:t>
      </w:r>
    </w:p>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train our associates, have implemented systems, processes and security measures to protect our physical facilities and information technology systems against unauthorized access and prevent data loss, and have vetted our third-party service providers’ systems, processes and security measures, there is no guarantee that these procedures are adequate to safeguard against all data security threats to us or our third-party service providers. Despite these measures, we have been and may in the future be vulnerable to targeted or random attacks on our systems that could lead to security breaches, denial of service, vandalism, computer viruses, malware, ransomware, misplaced, corrupted or lost data, programming and/or human errors or similar events. Our systems and facilities (and the systems and facilities of our third-party service providers) are also subject to compromise from internal threats, such as theft, misuse, unauthorized access or other improper actions by associates, contractors and third-party service providers with otherwise legitimate access to our (or such third-party service providers’) systems, websites, mobile applications or facilities (which risks may be heightened as a result of our (or their) associates working from home). Furthermore, because the methods of cyberattack and deception change frequently, are increasingly complex and sophisticated and can originate from a wide variety of sources, including nation-state actors, despite our efforts to ensure the confidentiality, availability and integrity of our systems, websites and mobile applications, it is possible that we may not be able to anticipate, detect, appropriately react and respond to or implement effective preventative measures against all cybersecurity threats, and our third-party service providers may be subject to the same risks.</w:t>
      </w:r>
    </w:p>
    <w:p>
      <w:pPr>
        <w:spacing w:after="0" w:line="8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and may in the future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or may not be completed in a timely manner. The inability to implement, maintain and upgrade adequate safeguards could have a material adverse effect on our results of operations, financial condition and cash flows. Moreover, there could be public announcements regarding cybersecurity incidents and any steps we take to respond to or remediate such incidents, and if securities analysts or investors perceive these announcements to be negative, it could, among other things, have a substantial adverse effect on the price of our common stock.</w:t>
      </w:r>
    </w:p>
    <w:p>
      <w:pPr>
        <w:spacing w:after="0" w:line="8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While we currently maintain cybersecurity insurance, such insurance may not be sufficient in type or amount to cover us against claims related to breaches, violations of law, failures or other data security-related incidents, and we cannot be certain that cybersecurity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imposition of large deductible or co-insurance requirements, could have a material adverse effect on our results of operations, financial condition and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stock price has fluctuated and may continue to fluctuate substantially as a result of variations in our actual or projected performance or the financial performance of other companies in the retail or consumer product industries. Any guidance that we provide is based on goals that we believe are reasonably attainable at the time guidance is given. If, or when, we announce actual results that differ from those that have been forecasted by us, outside investment analysts or others, our stock price could be adversely affected. Investors who rely on these forecasts when making investment decisions with respect to our securities do so at their own risk.</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stock market in general has experienced extreme price and volume fluctuations that have often been unrelated or disproportionate to the operating performance of listed companies. In particular, our common stock may in the future be traded by short sellers which may put pressure on the supply and demand for our common stock, further influencing volatility in its market price. Public perception and other factors outside of our control may additionally impact the stock price of companies like us that garner a disproportionate degree of public attention, regardless of actual operating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pay quarterly dividends or repurchase our shares at intended levels, our reputation and stock price may be impacted.</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Quarterly cash dividends and share repurchase programs have historically been part of our capital allocation strategy. We are not required to declare dividends or make any share repurchases under our share repurchase programs in the future. For example, in 2020, we did not repurchase any of our shares, and we suspended our quarterly cash dividends due to the anticipated impact of the COVID-19 pandemic. Our Board will determine our future levels of dividend payments and share repurchase authorizations, if any, giving consideration to our levels of profit and cash flow, capital requirements, capital allocation strategy, current and forecasted liquidity and the restrictions placed upon us by our borrowing arrangements, as well as financial and other conditions which may be beyond our control. Any reduction, or failure, to pay dividends or repurchase our shares after we have announced our intention to do so may negatively impact our reputation, investor confidence in us and our stock price.</w:t>
      </w:r>
    </w:p>
    <w:p>
      <w:pPr>
        <w:spacing w:after="0" w:line="7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Shareholder activism could cause us to incur significant expense, impact the execution of our business strategy and have an adverse effect on our business.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Shareholder activism, which can take many forms and arise in a variety of situations, could result in substantial costs and divert our attention and resources from our business and our ability to execute our strategic plans. Additionally, such shareholder activism could give rise to perceived uncertainties as to our future, adversely affect our relationships with our associates, customers, service providers or other vendors and make it more difficult to attract and retain qualified personnel. Also, we may be required to incur significant fees and other expenses related to activist shareholder matters, including for third-party advisors. Our stock price could be subject to significant fluctuation or otherwise be adversely affected by the events, risks and uncertainties of any shareholder activism.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maintain our credit ratings could affect our ability to access capital and could increase our interest expense.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credit rating agencies periodically review our capital structure and the quality and stability of our earnings. A deterioration in our capital structure or the quality and stability of our earnings could result in a downgrade of our credit ratings. Any negative ratings actions could constrain the capital available to us or our industry and could limit our access to funding for our operations. We are dependent upon our ability to access capital at rates and on terms we determine to be attractive. If our ability to access capital becomes constrained, our interest costs may increase, we may not be able to fund future growth or we may not be able to meet some or all of our financial obligations, which could have a material adverse effect on our results of operations, financial condition and cash flows.</w:t>
      </w:r>
    </w:p>
    <w:p>
      <w:pPr>
        <w:spacing w:after="0" w:line="7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service or refinance our debt or maintain compliance with restrictive covenants in our debt instruments, including our asset-backed revolving credit facility.</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have substantial indebtedness. Our asset-backed revolving credit facility (the “ABL Facility”) contains a covenant and negative covenants that under certain circumstances require maintenance of a certain financial ratio and also, under certain conditions, restrict our ability to pay dividends, repurchase shares of our common stock and make other restricted payments as defined in the agreement. Our cash flow from operations provides the primary source of funds for our debt service payments. If our cash flow from operations declines, we may be unable to service or refinance our current debt. If we fail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comply with any covenant, including our financial covenant, it could result in an event of default and our lenders could terminate the commitments under our ABL Facility and make the entire debt incurred thereunder immediately due and payable, or we may be forced to sell assets, restructure our indebtedness or seek additional equity capital, which would dilute our stockholders’ interests.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laws and regulations:</w:t>
      </w:r>
    </w:p>
    <w:p>
      <w:pPr>
        <w:spacing w:after="0" w:line="117"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Changes in laws, regulations, standards, technology platform rules or other requirements relating to privacy and cybersecurity, or any actual or perceived failure by us to comply with such laws, regulations, rules or contractual or other obligations relating to data privacy and cybersecurity, could have a material adverse effect on our reputation, results of operations, financial condition and cash flows.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directives, industry standards, rules and regulations, as well as contractual obligations, relating to data privacy and cybersecurity (including the use of artificial intelligence) in the jurisdictions in which we operate and may in the future operate. The legal and regulatory environment related to data privacy and cybersecurity is increasingly rigorous and rapidly evolving, with new requirements, constantly changing requirements, and new or novel interpretations of existing requirements applicable to our business, and enforcement actions and litigation are likely to remain uncertain for the foreseeable future. These laws and regulations may be interpreted and applied differently over time and from jurisdiction to jurisdiction, and it is possible that the laws and regulations will be interpreted and applied in ways that may have a material adverse effect on our results of operations, financial condition and cash flows.</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U.S., data privacy and protection are regulated at federal, state and local levels. Various federal and state regulators, including governmental agencies like the SEC and the Federal Trade Commission, have adopted, or are considering adopting, laws and regulations concerning data privacy and cybersecurity and have prioritized data privacy and cybersecurity-related violations for enforcement actions. Certain state laws are, and in the future may continue to be, more stringent or broader in scope, or offer greater individual rights, with respect to personal information than federal, international or other state laws, and such laws may differ from each other, all of which complicates compliance efforts and increases risks to our business.</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These laws and regulations range from the “sectoral” variety (i.e., laws that govern specific practices, services or technologies) to omnibus laws (i.e., laws that comprehensively seek to govern all aspects of data processing practices). As an omnichannel retailer, we are subject to both.</w:t>
      </w:r>
    </w:p>
    <w:p>
      <w:pPr>
        <w:spacing w:after="0" w:line="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North America, we are subject to sectoral laws that impose different enforcement regimes, whether enforced by government agencies or class action and/or mass arbitration litigants, with fines and statutory damages that can result in significant exposure when applied to large customer segments. Illustrative of the sectoral variety are laws that govern telephonic communications (e.g., the Federal Telephone Consumer Protection Act), email communications (e.g., the Federal Controlling the Assault of Non-Solicited Pornography and Marketing Act and Canada’s Anti-Spam Legislation), the use of biometric technology (e.g., the Illinois Biometric Information Privacy Act), the printing of payment card numbers on certain transaction receipts (e.g., the Federal Fair and Accurate Credit Transactions Act), the use of call recordings (e.g., federal and state laws governing unlawful surveillance and consent for recordings), the collection of consumer information at retail point of sale (e.g., the California Song-Beverly Act), and the collection of driver’s license information (e.g., state laws governing the scanning of government identification).</w:t>
      </w:r>
    </w:p>
    <w:p>
      <w:pPr>
        <w:spacing w:after="0" w:line="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further subject to omnibus data privacy and protection laws. For example, the California Consumer Privacy Act, as amended by the California Privacy Rights Act (collectively, the “CCPA”), broadly governs data privacy practices, increases privacy rights for California residents and imposes obligations on companies that process their personal information, including certain sensitive personal information. Among other things, the CCPA requires covered companies to provide disclosures to California consumers and provide such consumers data protection and privacy rights, including the ability to opt out of certain disclosures of their personal information and the ability to access and delete personal information. The CCPA provides for civil penalties for violations, as well as a private right of action for certain data breaches that result in the loss of certain classifications of personal information. This private right of action may increase the likelihood of, and risks associated with, data breach litigation. Other states and countries have passed omnibus data privacy laws that are similar to the CCPA, further complicating the legal landscape, and similar bills are making their way through several state legislatures. In addition, laws in all 50 U.S. states require businesses to provide notice to consumers (and, in some cases, to regulators) of data breaches, which are when certain types of personal information have been accessed, impacted or acquired without authorization. State laws are changing rapidly, and there have been deliberations in the U.S. Congress regarding a new comprehensive federal data privacy law to which we would become subject if one were to be enacted. Such a law could add complexity, variation in requirements, restrictions and potential legal risk. Moreover, it could require additional investment of resources in compliance programs, impact strategies and the availability of previously useful data and result in increased compliance costs or changes in business practices and policies.</w:t>
      </w:r>
    </w:p>
    <w:p>
      <w:pPr>
        <w:spacing w:after="0" w:line="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While most of our international operations are conducted through franchise, license, wholesale and other distribution-related arrangements, we are also subject to certain international laws, regulations, rules and standards in certain international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jurisdictions and may be subject to additional international laws, regulations, rules and standards, whether existing or enacted in the future, that apply broadly to the collection, use, retention, security, disclosure, handling transfer and other processing of personal information. In Canada, we are subject to the Personal Information Protection and Electronic Documents Act (“PIPEDA”) as well as substantially similar provincial privacy laws (e.g., Quebec’s Law 25). These data privacy laws broadly govern the entire lifecycle of personal information, enumerating principles that govern accountability; purpose; consent; assessment; privacy by default; limitations on collection, use, disclosure and retention; accuracy; safeguards; transparency; data rights of access, correction and deletion; and complaint-handling. Certain of the laws also contain a mandatory breach notification regime. Canadian federal and provincial authorities and litigants enforce these laws. Privacy regulators have an express obligation to investigate complaints and have the authority to initiate investigations. Under PIPEDA, the Office of the Privacy Commissioner of Canada has the power to require an organization to enter into a compliance agreement and failure to comply may result in a court order or court proceedings. A complainant may also appeal to Federal Court, and the court has broad authority including awarding damages. Similarly, the European Union’s (“EU”) General Data Protection Regulation (“GDPR”) imposes strict data privacy and cybersecurity requirements for handling personal data. Further, the GDPR was transposed into U.K. law (“U.K. GDPR”) as supplemented by the U.K.’s Data Protection Act of 2018, which currently imposes the same obligations as the GDPR in most material respects. Additionally, under the GDPR, EU member states have enacted certain implementing legislation that adds to and/or further interprets the GDPR requirements and, depending on the extent and degree to which we conduct business in the European Economic Area (“EEA”) and the U.K., potentially extends our obligations and potential liability for failing to meet such obligations. The GDPR, together with national legislation, regulations and guidelines of the EEA states and the U.K. GDPR governing the processing of personal data, impose strict obligations and restrictions on the ability to collect, use, retain, protect, disclose, handle, transfer and otherwise process personal data, and other international jurisdictions are expected to pass similar laws that may include even more stringent requirements. Changes in such international laws or changes in our business strategy such as direct expansions into additional jurisdictions may cause us to incur additional compliance costs, increase our risks of being subject to lawsuits, complaints and/or regulatory investigations or fines, or restrict our ability to transfer personal data between and among countries and regions in which we operate or may in the future operate. Such international laws, and our compliance with such laws, could impact the manner in which we do business and the geographical location or segregation of our relevant operations and could adversely affect our results of operations, financial condition and cash flows.</w:t>
      </w:r>
    </w:p>
    <w:p>
      <w:pPr>
        <w:spacing w:after="0" w:line="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such as costs related to organizational changes, investing in and implementing additional data protection technologies and other safeguards and training associates and engaging third-party service providers, which are likely to increase over time. In addition, such requirements may require us to modify our data processing or cybersecurity practices and policies and distract management or divert resources from other initiatives and projects, all of which could have a material adverse effect on our results of operations, financial condition and cash flows. Any failure or perceived failure by us or our partners to comply with any applicable federal, state or similar foreign laws, regulations, standards or rules relating to data privacy and cybersecurity could result in damage to our reputation and our relationship with our customers, as well as proceedings or litigation by governmental agencies or customers, including class- action data-privacy and -protection litigation in certain jurisdictions, which could subject us to significant fines, sanctions, awards, penalties or judgments, any of which could have a material adverse effect on our results of operations, financial condition and cash flows.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our ability to comply with legal and regulatory requirements.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numerous legal and regulatory requirements. Our policies, procedures and internal controls are designed to comply with all applicable foreign and domestic laws and regulations, including those required by the Sarbanes-Oxley Act of 2002, the U.S. Foreign Corrupt Practices Act, the U.K. Bribery Act, the SEC and the New York Stock Exchange (“NYSE”), among others. Although we have put in place policies and procedures aimed at ensuring legal and regulatory compliance, our associates, subcontractors, manufacturers, other vendors, licensees, franchisees and other third parties could take actions that violate these laws and regulations. Any violations of such laws or regulations could have an adverse effect on our reputation, the market price of our common stock and our results of operations, financial condition and cash flows.</w:t>
      </w:r>
    </w:p>
    <w:p>
      <w:pPr>
        <w:spacing w:after="0" w:line="7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It can be difficult to comply with sometimes conflicting statutes or regulations in local, national or foreign jurisdictions as well as new or changing laws and regulations. Also, changes in such laws and regulations could make operating our business more expensive or require us to change the way we do business. For example, changes in product safety or other consumer protection laws could lead to increased costs for certain merchandise, increased research and development costs associated with product reformulations or new product lines, or additional labor costs associated with readying merchandise for sale. We operate stores in all 50 states, Canada and Puerto Rico, which requires us to comply with a myriad of provincial, state and local laws pertaining to all aspects of our business, including our associates and consumers. The trend for states and localities in the U.S. to legislate in the absence of national laws passed by the U.S. Congress has greatly increased the complexity of legal compliance for us. In addition, future domestic and international legislative and regulatory efforts to combat climate change or other environmental considerations could result in increased regulation and additional taxes and other expenses in a manner that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adversely affects our business, financial performance and growth. It may be difficult for us to comply with these laws, compliance may be costly and compliance and associated costs may negatively impact our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certain compliance or legal matters.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along with third parties we do business with, are subject to complex compliance and litigation risks. Actions filed against us from time to time include commercial, tort, intellectual property, product liability, tax, customer, employment, wage and hour, data privacy, securities, anti-corruption and other claims, including purported class action lawsuits and mass arbitration claims. The cost of defending against these types of claims against us or the ultimate resolution of such claims, whether by settlement or adverse court decision, may harm our business. Further, potential claimants may be encouraged to bring suits based on a settlement from us or adverse court decisions against us. We cannot currently assess the likely outcome of such suits, but if the outcome were negative, it could have a material adverse effect on our reputation, results of operations, financial condition and cash flows.</w:t>
      </w:r>
    </w:p>
    <w:p>
      <w:pPr>
        <w:spacing w:after="0" w:line="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addition, we may be impacted by litigation trends, including class action lawsuits involving consumers and stockholders, that could have a material adverse effect on our reputation, the market price of our common stock and our results of operations, financial condition and cash flows.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impacted by changes in taxation, trade and other regulatory requirements.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are subject to income tax in local, national and international jurisdictions. In addition, our products are subject to import and excise duties and/or sales or value-added taxes in many jurisdictions. We are also subject to the examination of our tax returns and other tax matters by the IRS and other tax authorities and governmental bodies. We regularly assess the likelihood of an adverse outcome resulting from these examinations to determine the adequacy of our provision for taxes. There can be no assurance as to the outcome of these examinations. Fluctuations in tax rates and duties, changes in tax legislation or regulation or adverse outcomes of these examinations could have a material adverse effect on our results of operations, financial condition and cash flows.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increased uncertainty with respect to international tax policy and trade relations between the U.S. and other countries. The uncertainty results from, among other things, executive actions or legislative priorities taken, set or under consideration, by the current U.S. presidential administration, major developments in tax policy or trade relations (including the imposition of unilateral tariffs on imported products), and Organization for Economic Cooperation and Development actions adopted in certain jurisdictions. These actions, legislation and developments and the response by foreign governments to these actions could have a material adverse effect on our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has developed an information security program to address material risks from cybersecurity threats and incidents, which is integrated within its overall enterprise risk management program. The program includes policies and procedures that identify how security measures and controls are developed, implemented and maintained. Under the information security program, the Company performs one or more cyber risk assessments each year based on recognized industry best practices and standards and cyber threat intelligence. The risk assessments, together with risk-based analysis and judgment, are used to determine security measures and controls to address identified risks. The Company considers the following factors, among others, during its risk and control implementation assessments: the likelihood and severity of the risk; the impact on the Company, the Company’s customers, associates and stockholders, and others if a risk materializes; the feasibility and cost of security measures and controls; and the impact of security measures and controls on operations and others.</w:t>
      </w:r>
    </w:p>
    <w:p>
      <w:pPr>
        <w:spacing w:after="0" w:line="7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information security program currently includes the following security measures and controls, which are deployed as the Company deems applicable:</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threat detection and response;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and access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privileged access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logging and monitoring involving the use of security information and event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multi-factor authentication;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firewalls and intrusion detection and prevention;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 application firewalls and bot security tools;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and patch management.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of the Company’s office-based associates and certain distribution and fulfillment center associates undergo mandatory security awareness training at the time of hiring and on an annual basis thereafter. The Company’s store-based associates receive ad hoc awareness communications and are provided with cybersecurity awareness materials as part of the store operating manual.</w:t>
      </w:r>
    </w:p>
    <w:p>
      <w:pPr>
        <w:spacing w:after="0" w:line="4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uses third-party security firms in different capacities to provide or operate certain security measures and controls and technology systems, including cloud-based platforms and services. For example, third parties are used to conduct assessments, such as vulnerability scans and penetration testing. The Company also uses a variety of processes designed to address cybersecurity threats and incidents related to the use of third-party technology and services, including pre-acquisition diligence, imposition of contractual obligations and performance monitoring.</w:t>
      </w:r>
    </w:p>
    <w:p>
      <w:pPr>
        <w:spacing w:after="0" w:line="5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part of the Company’s overall enterprise risk management program, the Company has developed business continuity and disaster recovery plans, which include measures designed to respond to potential disruptions to its information technology systems (or information technology systems of third parties on which it relies). The Company also maintains a written information security incident response plan and conducts tabletop exercises to enhance incident response preparedness. The Company is also a member of an industry cybersecurity intelligence and risk sharing organization.</w:t>
      </w:r>
    </w:p>
    <w:p>
      <w:pPr>
        <w:spacing w:after="0" w:line="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(or third parties on which it relies) may not be able to fully, continuously and effectively implement security measures and controls as designed or intended. As described above, the Company utilizes a risk-based approach and judgment to determine the security measures and controls to implement, and it is possible that the Company may not implement appropriate security measures and controls if management does not recognize, or underestimates, a particular risk. In addition, security measures and controls, no matter how well designed or implemented, may only partially mitigate, but not fully eliminate, risks. Cybersecurity threats and incidents, even when detected or foreseeable, may not always be immediately understood or acted upon by the Company (or by third parties on which it relies).</w:t>
      </w:r>
    </w:p>
    <w:p>
      <w:pPr>
        <w:spacing w:after="0" w:line="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like many retailers, relies upon third-party service providers, such as payment processors, network providers and application providers, that have faced risks from threat actors and cybercriminal groups that seek to steal payment card data, consumer data, and other sensitive information; disrupt critical information technology systems; and/or demand ransom payments. Although the Company has implemented security measures and controls designed to address these risks, if these risks were to materialize, such as in the event of a cybersecurity incident causing the networks of a third-party payment processor to not be operational, the impact to the Company could be material.</w:t>
      </w:r>
    </w:p>
    <w:p>
      <w:pPr>
        <w:spacing w:after="0" w:line="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not identified risks from cybersecurity threats, including as a result of any previous cybersecurity incidents, which have materially affected, or are reasonably likely to materially affect, the Company, including its business strategy, results of operations, or financial condition. However, the Company continues to face risks from cybersecurity threats and incidents that, if realized, may have such material effect. Despite its ongoing efforts, the Company cannot provide complete assurance that its information security program will be effective in detecting, preventing, or mitigating such cybersecurity risks. See also “We have undertaken a multi-year initiative to upgrade our digital and information technology systems and capabilities. We significantly rely on our, and our third-party service providers’, ability to successfully implement, upgrade and sustain information technology systems and to protect associated data and system availability” and “Any significant compromise or breach of our data security, including the security of customer, associate, third-party or Company information, could have a material adverse effect on our reputation, results of operations, financial condition and cash flows” in Item 1A. Risk Factors of this Annual Report on Form 10-K for a discussion of cybersecurity risks that could have a material impact on the Company, which sections should be read in conjunction with this Item 1C.</w:t>
      </w:r>
    </w:p>
    <w:p>
      <w:pPr>
        <w:spacing w:after="0" w:line="7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Company’s Chief Information Security Officer (“CISO”) is the member of the management team with primary responsibility for the development, operation and maintenance of the Company’s information security program. The CISO holds a master of science degree in information assurance and has over 20 years of cybersecurity experience with Fortune 500 financial, defense, consulting and retail companies. The Audit Committee oversees the Company’s information security program at the Board level. The Audit Committee, which is composed entirely of independent members of the Board, receives reports directly from the CISO at least three times per year regarding the Company’s information security program, including reports regarding items such as cybersecurity policies and practices, cybersecurity program resources, third-party assessments of the Company’s information security program, key risks related to the Company’s information security program and the Company’s security measures and controls.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described above, the Company maintains an information security incident response plan that includes processes and procedures for evaluating and escalating cybersecurity threats and incidents to, as determined to be appropriate, the Company’s executive management team and members of the Board. The initial impact level of each cybersecurity threat or incident is evaluated by a designated team of information security specialists using risk criteria that have been defined and approved by the Company’s executive management team and reviewed with the Audit Committee. If escalated, the threat or incident is evaluated by a cross-functional core and extended team, as applicable, of managers that includes the CISO and designated internal legal counsel with extensive cybersecurity experience, as well as identified associates from across the Company’s business and functions, as applicable. Cybersecurity threats and incidents are assigned incident impact levels based on the core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team’s determination of potential impact to the Company. The core team employs defined risk criteria to classify incidents and escalate incidents accordingly. Based on the severity classification assigned by the core team, incidents may be escalated to, as applicable, representatives of the Company’s executive management team (which includes the Disclosure Committee), the Chairs of the Board and the Audit Committee, other members of the Audit Committee and/or the full Board.</w:t>
      </w:r>
    </w:p>
    <w:p>
      <w:pPr>
        <w:spacing w:after="0" w:line="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an Enterprise Risk Management function that oversees the identification, prioritization and mitigation of the Company’s enterprise risks, and cybersecurity is a risk category addressed by that function. The Company uses governance, risk and compliance tools designed to assess, identify and manage its cybersecurity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Company-operated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location, use and size of our Company-operated distribution, fulfillment, office and product development facilities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37"/>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190"/>
        </w:trPr>
        <w:tc>
          <w:tcPr>
            <w:tcW w:w="4860" w:type="dxa"/>
            <w:vAlign w:val="bottom"/>
            <w:gridSpan w:val="2"/>
            <w:vMerge w:val="continue"/>
          </w:tcPr>
          <w:p>
            <w:pPr>
              <w:spacing w:after="0"/>
              <w:rPr>
                <w:sz w:val="16"/>
                <w:szCs w:val="16"/>
                <w:color w:val="auto"/>
              </w:rPr>
            </w:pPr>
          </w:p>
        </w:tc>
        <w:tc>
          <w:tcPr>
            <w:tcW w:w="490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Columbus, Ohio area</w:t>
            </w:r>
          </w:p>
        </w:tc>
        <w:tc>
          <w:tcPr>
            <w:tcW w:w="100" w:type="dxa"/>
            <w:vAlign w:val="bottom"/>
            <w:shd w:val="clear" w:color="auto" w:fill="CCEEFF"/>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distribution and fulfillment centers and shipping facilities</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4"/>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North America</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and product development/design</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own five office, distribution center and shipping facilities located in the Columbus, Ohio area comprising approximately 3.9 million square feet. In addition, we operate a 1.1 million square foot leased direct channel fulfillment center located near Columbus, Ohio.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lease various other office and product development/design locations in North America, primarily in New York.</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February 1, 2025, we operated 1,782 and 113 retail stores located in leased facilities throughout the U.S. and Canada, respectively. A substantial portion of our U.S. store leases generally have an initial term of ten years, while our Canadian store leases generally have initial terms of five to ten years. Our store leases expire at various dates between fiscal 2025 and fiscal 2035.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Operated Fulfillment and Distribution Centers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 2025, we utilized and leased five third-party operated direct channel fulfillment centers in North America, comprising approximately 2.8 million square feet. Prior to February 1, 2025, we exercised our contractual termination rights and gave notice of our intention to exit one of these facilities.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also utilize six third-party operated regional distribution centers in North America, comprising approximately 1.1 million square feet, that enable us to position inventory geographically closer to our customers.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Partner-operated Stores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2025, our partners operated 529 retail stores in more than 45 international countries.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the Company from time to time may include commercial, tort, intellectual property, tax, customer, employment, wage and hour, data privacy, securities, anti-corruption and other claims, including purported class action lawsuits. Although it is not possible to predict with certainty the eventual outcome of any litigation, in the opinion of management, our current legal proceedings are not expected to have a material adverse effect on our results of operations, financial condition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under the symbol “BBWI.” As of February 1, 2025, the Company had approximately 26,000 stockholders of record. This number excludes persons whose stock is held in nominee or street name by brokers.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paid a quarterly dividend of $0.20 per share during each quarter of 2024. Our Board will determine future dividends after giving consideration to our levels of profit and cash flow, capital requirements, current and forecasted liquidity, the restrictions placed upon us by our borrowing arrangements, the macroeconomic environment as well as financial and other conditions existing at the time. We use cash flow generated from operating and financing activities to fund our dividends. For additional discussion regarding our dividends, see “Liquidity and Capital Resources” included under Item 7. of this Annual Report on Form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following graph shows the changes, over the past five-year period, in the value of $100 invested at the closing stock price on February 1, 2020, including the reinvestment of dividends, in our common stock, the Standard &amp; Poor’s (“S&amp;P”) 500 Composite Stock Price Index and the S&amp;P 500 Consumer Discretionary Distribution &amp; Retail Index. The Company’s stock prices prior to August 3, 2021 have been adjusted to give effect to the Victoria’s Secret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5863590" cy="3883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our common stock during the fourth quarter of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3"/>
                <w:szCs w:val="13"/>
                <w:color w:val="auto"/>
              </w:rPr>
            </w:pPr>
          </w:p>
        </w:tc>
        <w:tc>
          <w:tcPr>
            <w:tcW w:w="182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1820" w:type="dxa"/>
            <w:vAlign w:val="bottom"/>
          </w:tcPr>
          <w:p>
            <w:pPr>
              <w:jc w:val="center"/>
              <w:ind w:right="81"/>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18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that May</w:t>
            </w: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Period</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1"/>
                <w:szCs w:val="11"/>
                <w:color w:val="auto"/>
              </w:rPr>
            </w:pPr>
          </w:p>
        </w:tc>
        <w:tc>
          <w:tcPr>
            <w:tcW w:w="1820" w:type="dxa"/>
            <w:vAlign w:val="bottom"/>
          </w:tcPr>
          <w:p>
            <w:pPr>
              <w:jc w:val="center"/>
              <w:ind w:right="81"/>
              <w:spacing w:after="0" w:line="135"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98"/>
        </w:trPr>
        <w:tc>
          <w:tcPr>
            <w:tcW w:w="4320" w:type="dxa"/>
            <w:vAlign w:val="bottom"/>
            <w:gridSpan w:val="2"/>
            <w:vMerge w:val="continue"/>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 (b)</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260" w:type="dxa"/>
            <w:vAlign w:val="bottom"/>
          </w:tcPr>
          <w:p>
            <w:pPr>
              <w:spacing w:after="0"/>
              <w:rPr>
                <w:sz w:val="17"/>
                <w:szCs w:val="17"/>
                <w:color w:val="auto"/>
              </w:rPr>
            </w:pPr>
          </w:p>
        </w:tc>
        <w:tc>
          <w:tcPr>
            <w:tcW w:w="18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Under the Programs (c)(d)</w:t>
            </w:r>
          </w:p>
        </w:tc>
        <w:tc>
          <w:tcPr>
            <w:tcW w:w="0" w:type="dxa"/>
            <w:vAlign w:val="bottom"/>
          </w:tcPr>
          <w:p>
            <w:pPr>
              <w:spacing w:after="0"/>
              <w:rPr>
                <w:sz w:val="1"/>
                <w:szCs w:val="1"/>
                <w:color w:val="auto"/>
              </w:rPr>
            </w:pPr>
          </w:p>
        </w:tc>
      </w:tr>
      <w:tr>
        <w:trPr>
          <w:trHeight w:val="195"/>
        </w:trPr>
        <w:tc>
          <w:tcPr>
            <w:tcW w:w="4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20" w:type="dxa"/>
            <w:vAlign w:val="bottom"/>
            <w:tcBorders>
              <w:top w:val="single" w:sz="8" w:color="auto"/>
            </w:tcBorders>
            <w:gridSpan w:val="3"/>
          </w:tcPr>
          <w:p>
            <w:pPr>
              <w:jc w:val="right"/>
              <w:ind w:right="14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174,541</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tcPr>
          <w:p>
            <w:pPr>
              <w:spacing w:after="0"/>
              <w:rPr>
                <w:sz w:val="19"/>
                <w:szCs w:val="19"/>
                <w:color w:val="auto"/>
              </w:rPr>
            </w:pPr>
          </w:p>
        </w:tc>
        <w:tc>
          <w:tcPr>
            <w:tcW w:w="18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153,933</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138,671</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2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580" w:right="160" w:hanging="572"/>
        <w:spacing w:after="0" w:line="250" w:lineRule="auto"/>
        <w:tabs>
          <w:tab w:leader="none" w:pos="5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with the remainder relating to shares in connection with tax payments due upon vesting of associate restricted share and performance share unit awards and the use of our stock to pay the exercise price on associate stock options.</w:t>
      </w:r>
    </w:p>
    <w:p>
      <w:pPr>
        <w:spacing w:after="0" w:line="1" w:lineRule="exact"/>
        <w:rPr>
          <w:rFonts w:ascii="Times New Roman" w:cs="Times New Roman" w:eastAsia="Times New Roman" w:hAnsi="Times New Roman"/>
          <w:sz w:val="18"/>
          <w:szCs w:val="18"/>
          <w:color w:val="auto"/>
        </w:rPr>
      </w:pPr>
    </w:p>
    <w:p>
      <w:pPr>
        <w:ind w:left="560" w:hanging="552"/>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580" w:right="800" w:hanging="572"/>
        <w:spacing w:after="0" w:line="250" w:lineRule="auto"/>
        <w:tabs>
          <w:tab w:leader="none" w:pos="57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share repurchase program information, see Note 13 to the Consolidated Financial Statements included in Item 8. Financial Statements and Supplementary Data.</w:t>
      </w:r>
    </w:p>
    <w:p>
      <w:pPr>
        <w:ind w:left="580" w:right="120" w:hanging="572"/>
        <w:spacing w:after="0" w:line="255" w:lineRule="auto"/>
        <w:tabs>
          <w:tab w:leader="none" w:pos="57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January 2025 amount represents the remaining amount available under the $500 million share repurchase program authorized by our Board in January 2024, which was subsequently cancelled upon announcement of the new $500 million share repurchase authorization approved by our Board in January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is based upon our Consolidated Financial Statements, which have been prepared in accordance with accounting principles generally accepted in the United States of America (“GAAP”) as codified in the Accounting Standards Codification (“ASC”). The following information should be read in conjunction with our financial statements and the related notes included in Item 8. Financial Statements and Supplementary Data.</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operating results are generally impacted by economic changes and, therefore, we monitor the retail environment using, among other things, certain key industry performance indicators including competitor performance and traffic data. These indicators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net sales, gross profit, operating income and other performance metrics, such as sales per average selling square foot and sales per average store, in assessing our performance.</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operations for 2024 compared to 2023 is presented below. A discussion regarding our financial condition and results of operations for 2023 compared to 2022 can be found under Item 7. of our Annual Report on Form 10-K for the year ended February 3, 2024, filed with the SEC on March 22,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2024, we were focused on our three key strategic priorities of accelerating top-line growth, enhancing operational excellence and efficiency, and strengthening our financial positioning and disciplined deployment of capital. During the year, we built momentum and established a strong foundation for long-term growth by successfully executing a number of key strategic initiatives;</w:t>
      </w:r>
    </w:p>
    <w:p>
      <w:pPr>
        <w:spacing w:after="0" w:line="68" w:lineRule="exact"/>
        <w:rPr>
          <w:sz w:val="20"/>
          <w:szCs w:val="20"/>
          <w:color w:val="auto"/>
        </w:rPr>
      </w:pPr>
    </w:p>
    <w:p>
      <w:pPr>
        <w:ind w:left="660" w:right="20" w:hanging="328"/>
        <w:spacing w:after="0" w:line="281" w:lineRule="auto"/>
        <w:tabs>
          <w:tab w:leader="none" w:pos="65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Launched collaborations with leading brands in pop culture, which allow us to deliver highly differentiated storytelling that generates brand awareness with existing and new customer and enhances our cultural relevancy;</w:t>
      </w:r>
    </w:p>
    <w:p>
      <w:pPr>
        <w:spacing w:after="0" w:line="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new product innovations such as Everyday Luxuries, our prestige-inspired line of fine fragrance mists, to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our active loyalty membership to approximately 39 million members as of February 1, 2025, deepening brand connectivity with our customers;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customer reach by growing category adjacencies such as Men’s, Hair, Lip and Laundry;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approximately $155 million of cost reductions as part of our cost optimization work, bringing our two-year total over $300 million, exceeding our initial targets of $200 million.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2024 Overview</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utilize the retail calendar for reporting. As such, the results for fiscal 2024 represent the 52-week period ended February 1, 2025, and the results for 2023 represent the 53-week period ended February 3, 2024.</w:t>
      </w:r>
    </w:p>
    <w:p>
      <w:pPr>
        <w:spacing w:after="0" w:line="40"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For 2024, Net Sales decreased $122 million, or 1.6%, to $7.307 billion, compared to 2023, and was negatively impacted by approximately 100 basis points due to the 53rd week in fiscal 2023. Total North American Net Sales declined $81 million compared to 2023, primarily due to the 53rd week in fiscal 2023, partially offset by new store growth. International Net Sales declined $41 million compared to 2023, primarily driven by a decline in wholesale shipments to our franchise partners affected by the war in the Middle East.</w:t>
      </w:r>
    </w:p>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2024, Operating Income decreased $19 million, or 1%, to $1.266 billion compared to 2023, and our Operating Income rate (expressed as a percentage of Net Sales) remained flat at 17.3%. Our Operating Income results were impacted by an increase in our Gross Profit rate, primarily driven by improvement in our merchandise margin rate, offset by General, Administrative and Store Operating Expenses deleveraging, primarily due to marketing investments and wage inflation.</w:t>
      </w:r>
    </w:p>
    <w:p>
      <w:pPr>
        <w:spacing w:after="0" w:line="72" w:lineRule="exact"/>
        <w:rPr>
          <w:sz w:val="20"/>
          <w:szCs w:val="20"/>
          <w:color w:val="auto"/>
        </w:rPr>
      </w:pPr>
    </w:p>
    <w:p>
      <w:pPr>
        <w:ind w:right="224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2024 financial performance, see “Results of Operations – 2024 Compared to 2023.” </w:t>
      </w:r>
      <w:r>
        <w:rPr>
          <w:rFonts w:ascii="Times New Roman" w:cs="Times New Roman" w:eastAsia="Times New Roman" w:hAnsi="Times New Roman"/>
          <w:sz w:val="18"/>
          <w:szCs w:val="18"/>
          <w:b w:val="1"/>
          <w:bCs w:val="1"/>
          <w:u w:val="single" w:color="auto"/>
          <w:color w:val="auto"/>
        </w:rPr>
        <w:t>Fiscal 2025 Outlook</w:t>
      </w:r>
    </w:p>
    <w:p>
      <w:pPr>
        <w:spacing w:after="0" w:line="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believe our strategy and actions position the Company to achieve sustainable, profitable growth and to drive long-term shareholder value. We believe our continued innovation across our core categories supported by compelling marketing and enhanced technology, building on innovation platforms we launched in 2024 and extending our reach through adjacencies and international expansion, will accelerate Net Sales growth. We anticipate continuing macroeconomic pressures and do not anticipate improvement in consumer sentiment with the continued challenging backdrop of economic uncertainty in 2025.</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two-year Fuel for Growth cost optimization program delivered over $300 million of cost savings, and as we enter 2025 we are maintaining a continuous improvement mindset to manage costs and enhance operational efficiencies. We are investing these savings back into the business, primarily in marketing investments to drive customer acquisition and technology to build foundational tools to enable more personalization and seamless customer experience, to drive long-term growth.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Financial Information</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Annual Report on Form 10-K, provided below are non-GAAP measures that present Net Income and Net Income per Diluted Share in 2024 and 2023 on an adjusted basis, which removes certain items. We believe that these items are not indicative of our ongoing operations due to their size and nature. We use adjusted financial information as key performance measures for the purpose of evaluating performance internally. These non-GAAP measures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definitions of adjusted financial information may differ from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tables below reconcile the GAAP financial measures to the non-GAAP financial measures: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11"/>
        </w:trPr>
        <w:tc>
          <w:tcPr>
            <w:tcW w:w="20" w:type="dxa"/>
            <w:vAlign w:val="bottom"/>
          </w:tcPr>
          <w:p>
            <w:pPr>
              <w:spacing w:after="0"/>
              <w:rPr>
                <w:sz w:val="24"/>
                <w:szCs w:val="24"/>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340" w:type="dxa"/>
            <w:vAlign w:val="bottom"/>
          </w:tcPr>
          <w:p>
            <w:pPr>
              <w:spacing w:after="0"/>
              <w:rPr>
                <w:sz w:val="24"/>
                <w:szCs w:val="24"/>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20" w:type="dxa"/>
            <w:vAlign w:val="bottom"/>
            <w:shd w:val="clear" w:color="auto" w:fill="CCEEFF"/>
          </w:tcPr>
          <w:p>
            <w:pPr>
              <w:spacing w:after="0"/>
              <w:rPr>
                <w:sz w:val="18"/>
                <w:szCs w:val="18"/>
                <w:color w:val="auto"/>
              </w:rPr>
            </w:pPr>
          </w:p>
        </w:tc>
        <w:tc>
          <w:tcPr>
            <w:tcW w:w="82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Net Income to Adjusted Net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Reported Net Income</w:t>
            </w:r>
          </w:p>
        </w:tc>
        <w:tc>
          <w:tcPr>
            <w:tcW w:w="340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Sales of Easton Investments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of Equity Method Investment (b)</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Debt (c)</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 Effect of Adjustments included in Other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from Valuation Allowance Release (d)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3"/>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82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Net Income per Diluted Share to Adjusted Net Income per Diluted Share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Borders>
              <w:top w:val="single" w:sz="8" w:color="auto"/>
            </w:tcBorders>
          </w:tcPr>
          <w:p>
            <w:pPr>
              <w:spacing w:after="0" w:line="20" w:lineRule="exact"/>
              <w:rPr>
                <w:sz w:val="1"/>
                <w:szCs w:val="1"/>
                <w:color w:val="auto"/>
              </w:rPr>
            </w:pPr>
          </w:p>
        </w:tc>
        <w:tc>
          <w:tcPr>
            <w:tcW w:w="28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Per Diluted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Sales of Easton Investments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Equity Method Investment (b)</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29"/>
        </w:trPr>
        <w:tc>
          <w:tcPr>
            <w:tcW w:w="20" w:type="dxa"/>
            <w:vAlign w:val="bottom"/>
          </w:tcPr>
          <w:p>
            <w:pPr>
              <w:spacing w:after="0"/>
              <w:rPr>
                <w:sz w:val="19"/>
                <w:szCs w:val="19"/>
                <w:color w:val="auto"/>
              </w:rPr>
            </w:pPr>
          </w:p>
        </w:tc>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 on Extinguishment of Debt (c)</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Adjustments included in Other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Tax Benefit from Valuation Allowance Release (d)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Per Diluted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660" w:right="80" w:hanging="652"/>
        <w:spacing w:after="0" w:line="266"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sold our investments in Easton Town Center and Easton Gateway, resulting in an aggregate pre-tax gain of $39 million (after-tax gain of $25 million), included in Other Income. For additional information, see Note 1 to the Consolidated Financial Statements included in Item 8. Financial Statements and Supplementary Data.</w:t>
      </w:r>
    </w:p>
    <w:p>
      <w:pPr>
        <w:spacing w:after="0" w:line="13" w:lineRule="exact"/>
        <w:rPr>
          <w:rFonts w:ascii="Times New Roman" w:cs="Times New Roman" w:eastAsia="Times New Roman" w:hAnsi="Times New Roman"/>
          <w:sz w:val="18"/>
          <w:szCs w:val="18"/>
          <w:color w:val="auto"/>
        </w:rPr>
      </w:pPr>
    </w:p>
    <w:p>
      <w:pPr>
        <w:ind w:left="660" w:right="660" w:hanging="652"/>
        <w:spacing w:after="0" w:line="281"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recognized a pre-tax impairment charge of $8 million (after-tax charge of $6 million), included in Other Income, related to an impairment charge on an equity method investment.</w:t>
      </w:r>
    </w:p>
    <w:p>
      <w:pPr>
        <w:spacing w:after="0" w:line="1" w:lineRule="exact"/>
        <w:rPr>
          <w:rFonts w:ascii="Times New Roman" w:cs="Times New Roman" w:eastAsia="Times New Roman" w:hAnsi="Times New Roman"/>
          <w:sz w:val="18"/>
          <w:szCs w:val="18"/>
          <w:color w:val="auto"/>
        </w:rPr>
      </w:pPr>
    </w:p>
    <w:p>
      <w:pPr>
        <w:ind w:left="660" w:right="480" w:hanging="652"/>
        <w:spacing w:after="0" w:line="266"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recognized pre-tax gains of $34 million (after-tax gains of $26 million), included in Other Income, related to the repurchase and extinguishment of outstanding notes. For additional information, see Note 10 to the Consolidated Financial Statements included in Item 8. Financial Statements and Supplementary Data.</w:t>
      </w:r>
    </w:p>
    <w:p>
      <w:pPr>
        <w:spacing w:after="0" w:line="13" w:lineRule="exact"/>
        <w:rPr>
          <w:rFonts w:ascii="Times New Roman" w:cs="Times New Roman" w:eastAsia="Times New Roman" w:hAnsi="Times New Roman"/>
          <w:sz w:val="18"/>
          <w:szCs w:val="18"/>
          <w:color w:val="auto"/>
        </w:rPr>
      </w:pPr>
    </w:p>
    <w:p>
      <w:pPr>
        <w:ind w:left="660" w:right="60" w:hanging="652"/>
        <w:spacing w:after="0" w:line="266"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recognized a $44 million tax benefit related to the release of a valuation allowance on a deferred tax asset. In 2023, we recognized a $112 million tax benefit related to the partial release of a valuation allowance on a deferred tax asset. For additional information, see Note 9 to the Consolidated Financial Statements included in Item 8. Financial Statements and Supplementary Data.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Company-operated Store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U.S. Company-operated store data for 2024 and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ind w:left="660" w:right="120" w:hanging="652"/>
        <w:spacing w:after="0" w:line="282"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selling square footage and store count,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Company-operated store data for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 w:type="dxa"/>
            <w:vAlign w:val="bottom"/>
          </w:tcPr>
          <w:p>
            <w:pPr>
              <w:spacing w:after="0"/>
              <w:rPr>
                <w:sz w:val="17"/>
                <w:szCs w:val="17"/>
                <w:color w:val="auto"/>
              </w:rPr>
            </w:pPr>
          </w:p>
        </w:tc>
        <w:tc>
          <w:tcPr>
            <w:tcW w:w="15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0" w:type="dxa"/>
            <w:vAlign w:val="bottom"/>
          </w:tcPr>
          <w:p>
            <w:pPr>
              <w:spacing w:after="0"/>
              <w:rPr>
                <w:sz w:val="1"/>
                <w:szCs w:val="1"/>
                <w:color w:val="auto"/>
              </w:rPr>
            </w:pPr>
          </w:p>
        </w:tc>
      </w:tr>
      <w:tr>
        <w:trPr>
          <w:trHeight w:val="23"/>
        </w:trPr>
        <w:tc>
          <w:tcPr>
            <w:tcW w:w="40" w:type="dxa"/>
            <w:vAlign w:val="bottom"/>
            <w:tcBorders>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The following table represents Company-operated store data for 2023:</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2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 w:type="dxa"/>
            <w:vAlign w:val="bottom"/>
          </w:tcPr>
          <w:p>
            <w:pPr>
              <w:spacing w:after="0"/>
              <w:rPr>
                <w:sz w:val="17"/>
                <w:szCs w:val="17"/>
                <w:color w:val="auto"/>
              </w:rPr>
            </w:pPr>
          </w:p>
        </w:tc>
        <w:tc>
          <w:tcPr>
            <w:tcW w:w="15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1,693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1,802</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Partner-operated Store Data</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represents partner-operated store data for 2024:</w:t>
            </w: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0" w:type="dxa"/>
            <w:vAlign w:val="bottom"/>
          </w:tcPr>
          <w:p>
            <w:pPr>
              <w:spacing w:after="0"/>
              <w:rPr>
                <w:sz w:val="17"/>
                <w:szCs w:val="17"/>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gridSpan w:val="3"/>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International - Travel Retail</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International (a)</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ind w:right="2680" w:firstLine="8"/>
        <w:spacing w:after="0" w:line="395" w:lineRule="auto"/>
        <w:tabs>
          <w:tab w:leader="none" w:pos="6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store locations only and does not include kiosks, shop-in-shops, gondola or beauty counter locations. The following table represents partner-operated store data for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Stores</w:t>
            </w:r>
          </w:p>
        </w:tc>
      </w:tr>
      <w:tr>
        <w:trPr>
          <w:trHeight w:val="203"/>
        </w:trPr>
        <w:tc>
          <w:tcPr>
            <w:tcW w:w="52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0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3"/>
        </w:trPr>
        <w:tc>
          <w:tcPr>
            <w:tcW w:w="5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Travel Retail</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5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International (a)</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store locations only and does not include kiosks, shop-in-shops, gondola or beauty counter locations.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Operations—2024 Compared to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2024 in comparison to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6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U.S. and Canada (a)</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 U.S. and Canada</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(b)</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3"/>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1"/>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fulfilled BOPIS orders.</w:t>
      </w:r>
    </w:p>
    <w:p>
      <w:pPr>
        <w:spacing w:after="0" w:line="6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royalties associated with franchised stores and wholesale sales.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2024, total Net Sales decreased $122 million to $7.307 billion, and was negatively impacted by approximately 100 basis points due to the 53rd week in fiscal 2023.</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Direct Net Sales decreased $108 million, or 6.8%, due to a decline in orders, which was primarily due to our customers continuing to select our BOPIS option (which is recognized as store Net Sales) and the 53rd week in 2023, partially offset by an increased average order size. International Net Sales decreased $41 million, or 11.8%, primarily driven by a decline in wholesale shipments to our franchise partners affected by the war in the Middle East. Stores Net Sales increased $27 million, which was effectively flat, primarily due to new store growth and the increase in BOPIS fulfilled orders offset by a decline in average dollar sales and the 53rd week in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For 2024, our Gross Profit decreased $2 million to $3.234 billion, and our Gross Profit rate (expressed as a percentage of Net Sales) increased to 44.3% from 43.6% in 2023. The Gross Profit rate increased primarily due to an increase in the merchandise margin rate, driven by cost saving initiatives, distribution productivity and international mix, partially offset by strategically planned promotional activities and our continued investment in product formulations and packaging innovation. Gross Profit dollars were effectively flat as the impact of lower Net Sales was offset by the increase in the merchandise margin rate.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Store 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for our General, Administrative and Store Operating Expenses for 2024 compared to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80" w:type="dxa"/>
            <w:vAlign w:val="bottom"/>
          </w:tcPr>
          <w:p>
            <w:pPr>
              <w:spacing w:after="0"/>
              <w:rPr>
                <w:sz w:val="2"/>
                <w:szCs w:val="2"/>
                <w:color w:val="auto"/>
              </w:rPr>
            </w:pPr>
          </w:p>
        </w:tc>
      </w:tr>
      <w:tr>
        <w:trPr>
          <w:trHeight w:val="190"/>
        </w:trPr>
        <w:tc>
          <w:tcPr>
            <w:tcW w:w="3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8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29"/>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636"/>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center"/>
              <w:ind w:left="636"/>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96"/>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3"/>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center"/>
              <w:ind w:left="636"/>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For 2024, our General, Administrative and Store Operating Expenses increased $17 million to $1.968 billion, and the rate (expressed as a percentage of Net Sales) increased to 26.9% from 26.3%. Increases in Marketing Expenses, primarily due to additional spend to drive customer acquisition, were mostly offset by decreases in General and Administrative Expenses, primarily due to discrete corporate expenses in the prior year and benefits of our cost optimization work. Our Selling Expenses increased primarily due to increases in store count and wage inflation, partially offset by the benefits of our cost optimization work and the 53rd week in fiscal 2023.</w:t>
      </w:r>
    </w:p>
    <w:p>
      <w:pPr>
        <w:spacing w:after="0" w:line="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increased primarily due to our investments in marketing and the increase in associate wages, partially offset by lapping discrete corporate expenses in the prior year and the benefits of our cost optimization work.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average daily borrowings and average borrowing rates for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daily borrowings (in millions)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4,273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4,695</w:t>
            </w:r>
          </w:p>
        </w:tc>
      </w:tr>
      <w:tr>
        <w:trPr>
          <w:trHeight w:val="23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borrowing rate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bl>
    <w:p>
      <w:pPr>
        <w:spacing w:after="0" w:line="17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2024, our Interest Expense decreased $33 million to $312 million due to lower average daily borrowings, which were driven by the repurchase and early extinguishment of outstanding notes, and the 53rd week in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2024, our Other Income was $74 million compared to $81 million for 2023. Included in 2024 is a $39 million pre-tax gain on sales of certain Easton investments in the second quarter and the recognition of a $10 million pre-tax loss on the repurchase and early extinguishment of outstanding notes. Included in 2023 is a $34 million pre-tax gain on the repurchase and early extinguishments of outstanding notes and an $8 million pre-tax impairment charge related to an equity method investment. The remaining difference in Other Income between the periods was primarily due to lower average invested cash balances and lower interest rates on invested cash in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2024, our effective tax rate was 22.4% compared to 13.9% in 2023. The 2024 rate was lower than our combined estimated federal and state statutory rate primarily due to the sales of Easton investments, which resulted in the release of a valuation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allowance on a deferred tax asset. The 2023 rate was lower than our combined estimated federal and state statutory rate primarily due to the recognition of the tax benefit related to the partial release of a valuation allowance on a deferred tax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discussion regarding our financial condition for 2023 compared to 2022 can be found under Item 7. of our Annual Report on Form 10-K for the year ended February 3, 2024, filed with the SEC on March 22,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future common stock and debt repurchases, and capital expenditures. Our cash provided from operations is impacted by our net income and working capital changes. Our net income is impacted by, among other things, sales volume, seasonal sales patterns, success of new product introductions and product and market expansions, profit margins, income taxes and inflationary pressures. Our sales are highest during the fourth quarter of the fiscal year due to seasonal and holiday-related sales patterns. Generally, our need for working capital peaks during the summer and fall months as inventory builds in anticipation of the holiday period. Our cash and cash equivalents held by foreign subsidiaries were $171 million as of February 1, 2025.</w:t>
      </w:r>
    </w:p>
    <w:p>
      <w:pPr>
        <w:spacing w:after="0" w:line="8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During 2024, we repurchased and extinguished $514 million principal amount of our outstanding senior notes for an aggregate price of $522 million. Additionally, we repurchased 10.425 million shares of our common stock for $400 million. We may, from time to time, repurchase, or otherwise retire, additional debt or shares of our common stock, as applicable.</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position, our cash flows generated from operations and our borrowing capacity under our ABL Facility will be sufficient to meet our liquidity needs, including capital expenditure requirements, for at least the next twelve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Leverage Ratio</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debt leverage ratio is defined as adjusted debt, which includes our long-term debt and total operating lease liabilities, divided by earnings before interest, taxes, depreciation, amortization and rent (“EBITDAR”). EBITDAR is calculated as operating income, which excludes interest and taxes, before depreciation, amortization and lease costs. Our debt leverage ratio is a non-GAAP financial measure which we believe is useful to analyze our capital structure. Our debt leverage ratio calculation may not be comparable to similarly-titled measures reported by other companies. Our debt leverage ratio should be evaluated in addition to, and not considered a substitute for, other GAAP financial measures.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debt leverage ratio as of, and for the years ended, February 1, 2025 and February 3,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3"/>
                <w:szCs w:val="13"/>
                <w:color w:val="auto"/>
              </w:rPr>
            </w:pPr>
          </w:p>
        </w:tc>
        <w:tc>
          <w:tcPr>
            <w:tcW w:w="12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4"/>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48"/>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EBITDAR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Leverage Ratio</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67"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Our free cash flow is defined as net cash provided by operating activities less capital expenditures. Free cash flow is a non-GAAP financial measure which we believe is useful to analyze our ability to generate cash. Our free cash flow calculation may not be comparable to similarly-titled measures reported by other companies. Our free cash flow calculation should be evaluated in addition to, and not considered a substitute for, other GAAP financial measures.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free cash flows for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(a)</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6"/>
              </w:rPr>
              <w:t>886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6"/>
              </w:rPr>
              <w:t>954</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color w:val="auto"/>
              </w:rPr>
              <w:t>(298)</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6"/>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6"/>
              </w:rPr>
              <w:t>656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2024 includes tax payments of $65 million related to the sales of our investments in Easton Town Center and Easton Gateway.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Consolidated Statements of Cash Flows for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Year</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for Financing Activities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160"/>
        <w:spacing w:after="0" w:line="232" w:lineRule="auto"/>
        <w:rPr>
          <w:sz w:val="20"/>
          <w:szCs w:val="20"/>
          <w:color w:val="auto"/>
        </w:rPr>
      </w:pPr>
      <w:r>
        <w:rPr>
          <w:rFonts w:ascii="Times New Roman" w:cs="Times New Roman" w:eastAsia="Times New Roman" w:hAnsi="Times New Roman"/>
          <w:sz w:val="18"/>
          <w:szCs w:val="18"/>
          <w:color w:val="auto"/>
        </w:rPr>
        <w:t>Net cash provided by operating activities in 2024 was $886 million, including net income of $798 million. Net income included depreciation of $282 million, a deferred income tax benefit of $112 million, share-based compensation expense of $40 million and an aggregate pre-tax gain on sales of certain Easton investments of $39 million. Other changes in assets and liabilities represent items that had a current period cash flow impact, such as changes in working capital. The most significant items in working capital were the $50 million decrease associated with Accounts Payable, Accrued Expenses and Other, the $26 million decrease associated with Inventory and the $23 million decrease associated with Income Taxes Payable.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in 2023 was $954 million, including net income of $878 million. Net income included depreciation of $269</w:t>
      </w:r>
    </w:p>
    <w:p>
      <w:pPr>
        <w:spacing w:after="0" w:line="221" w:lineRule="auto"/>
        <w:rPr>
          <w:sz w:val="20"/>
          <w:szCs w:val="20"/>
          <w:color w:val="auto"/>
        </w:rPr>
      </w:pPr>
      <w:r>
        <w:rPr>
          <w:rFonts w:ascii="Times New Roman" w:cs="Times New Roman" w:eastAsia="Times New Roman" w:hAnsi="Times New Roman"/>
          <w:sz w:val="18"/>
          <w:szCs w:val="18"/>
          <w:color w:val="auto"/>
        </w:rPr>
        <w:t>million, a deferred income tax benefit of $128 million, share-based compensation expense of $43 million and pre-tax gains on extinguishment of debt of</w:t>
      </w:r>
    </w:p>
    <w:p>
      <w:pPr>
        <w:spacing w:after="0" w:line="219" w:lineRule="auto"/>
        <w:rPr>
          <w:sz w:val="20"/>
          <w:szCs w:val="20"/>
          <w:color w:val="auto"/>
        </w:rPr>
      </w:pPr>
      <w:r>
        <w:rPr>
          <w:rFonts w:ascii="Times New Roman" w:cs="Times New Roman" w:eastAsia="Times New Roman" w:hAnsi="Times New Roman"/>
          <w:sz w:val="18"/>
          <w:szCs w:val="18"/>
          <w:color w:val="auto"/>
        </w:rPr>
        <w:t>$34 million. Other changes in assets and liabilities represent items that had a current period cash flow impact, such as changes in working capital. The most</w:t>
      </w:r>
    </w:p>
    <w:p>
      <w:pPr>
        <w:spacing w:after="0" w:line="235" w:lineRule="auto"/>
        <w:rPr>
          <w:sz w:val="20"/>
          <w:szCs w:val="20"/>
          <w:color w:val="auto"/>
        </w:rPr>
      </w:pPr>
      <w:r>
        <w:rPr>
          <w:rFonts w:ascii="Times New Roman" w:cs="Times New Roman" w:eastAsia="Times New Roman" w:hAnsi="Times New Roman"/>
          <w:sz w:val="18"/>
          <w:szCs w:val="18"/>
          <w:color w:val="auto"/>
        </w:rPr>
        <w:t>significant items in working capital were the $109 million decrease associated with Accounts Payable, Accrued Expenses and Other and the $34 million</w:t>
      </w:r>
    </w:p>
    <w:p>
      <w:pPr>
        <w:spacing w:after="0"/>
        <w:rPr>
          <w:sz w:val="20"/>
          <w:szCs w:val="20"/>
          <w:color w:val="auto"/>
        </w:rPr>
      </w:pPr>
      <w:r>
        <w:rPr>
          <w:rFonts w:ascii="Times New Roman" w:cs="Times New Roman" w:eastAsia="Times New Roman" w:hAnsi="Times New Roman"/>
          <w:sz w:val="18"/>
          <w:szCs w:val="18"/>
          <w:color w:val="auto"/>
        </w:rPr>
        <w:t>increase associated with Income Taxes Payable.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in 2024 was $162 million, primarily related to capital expenditures of $226 million, partially offset by aggregate cash proceeds, net of fees, of $40 million related to the sales of certain Easton investments. The capital expenditures included approximately $140 million related to new off-mall stores and remodels of existing stores, approximately $45 million for various IT projects, primarily to support the growth and profitability of our business, and approximately $25 million related to distribution and logistics capabilities.</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2023 was $286 million, primarily related to capital expenditures. The capital expenditures included approximately $155 million related to new off-mall stores and remodels of existing stores, approximately $85 million for various IT projects, primarily supporting the separation of our IT systems from Victoria’s Secret’s IT systems, and approximately $40 million related to distribution and logistics capabilities.</w:t>
      </w:r>
    </w:p>
    <w:p>
      <w:pPr>
        <w:spacing w:after="0" w:line="68" w:lineRule="exact"/>
        <w:rPr>
          <w:sz w:val="20"/>
          <w:szCs w:val="20"/>
          <w:color w:val="auto"/>
        </w:rPr>
      </w:pPr>
    </w:p>
    <w:p>
      <w:pPr>
        <w:ind w:right="780"/>
        <w:spacing w:after="0" w:line="375" w:lineRule="auto"/>
        <w:rPr>
          <w:sz w:val="20"/>
          <w:szCs w:val="20"/>
          <w:color w:val="auto"/>
        </w:rPr>
      </w:pPr>
      <w:r>
        <w:rPr>
          <w:rFonts w:ascii="Times New Roman" w:cs="Times New Roman" w:eastAsia="Times New Roman" w:hAnsi="Times New Roman"/>
          <w:sz w:val="18"/>
          <w:szCs w:val="18"/>
          <w:color w:val="auto"/>
        </w:rPr>
        <w:t xml:space="preserve">In 2025, we expect to invest between $250 million and $270 million in capital expenditures with a continued focus on real estate and technology. </w:t>
      </w:r>
      <w:r>
        <w:rPr>
          <w:rFonts w:ascii="Times New Roman" w:cs="Times New Roman" w:eastAsia="Times New Roman" w:hAnsi="Times New Roman"/>
          <w:sz w:val="18"/>
          <w:szCs w:val="18"/>
          <w:b w:val="1"/>
          <w:bCs w:val="1"/>
          <w:i w:val="1"/>
          <w:iCs w:val="1"/>
          <w:color w:val="auto"/>
        </w:rPr>
        <w:t>Financing Activities</w:t>
      </w:r>
    </w:p>
    <w:p>
      <w:pPr>
        <w:spacing w:after="0" w:line="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2024 was $1.132 billion, primarily consisting of $522 million for debt repurchases, $401 million for share repurchases, dividend payments of $0.80 per share, or $177 million, $17 million for payments on finance leases and tax payments of $16 million related to share-based awards.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2023 was $815 million, primarily consisting of $447 million for debt repurchases, dividend payments of $0.80 per share, or $182 million, $148 million for share repurchases, $15 million for payments on finance leases and tax payments of $11 million related to share-based awards.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Debt Repurchases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will determine share and debt repurchase authorizations,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share and debt repurchase programs. The timing and amount of any repurchases will be made at our discretion, taking into account a number of factors, including market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Share Repurchase Program</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February 2022, our Board authorized a $1.5 billion share repurchase program (the “February 2022 Program”). Under the February 2022 Program, we repurchased the following shares of our common stock during 2024 and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880" w:type="dxa"/>
            <w:vAlign w:val="bottom"/>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20" w:type="dxa"/>
            <w:vAlign w:val="bottom"/>
            <w:gridSpan w:val="4"/>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Average Stock Price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880" w:type="dxa"/>
            <w:vAlign w:val="bottom"/>
          </w:tcPr>
          <w:p>
            <w:pPr>
              <w:jc w:val="center"/>
              <w:ind w:left="804"/>
              <w:spacing w:after="0" w:line="127"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left="504"/>
              <w:spacing w:after="0" w:line="127"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80" w:type="dxa"/>
            <w:vAlign w:val="bottom"/>
            <w:tcBorders>
              <w:bottom w:val="single" w:sz="8" w:color="auto"/>
            </w:tcBorders>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8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188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842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February 2022 Program had no remaining authority as of May 4, 2024. There were share repurchases of $1 million reflected in Accounts Payable on the February 3, 2024 Consolidated Balance Sheet.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Share Repurchase Program</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January 2024, our Board authorized a $500 million share repurchase program (the “January 2024 Program”). Under the January 2024 Program, we repurchased the following shares of our common stock during 2024: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Stock Price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January 2024 Program had $139 million of remaining authority as of February 1, 2025. There were share repurchases of $1 million reflected in Accounts Payable on the February 1, 2025 Consolidated Balance Sheet.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Share Repurchase Program</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January 2025, our Board authorized a new $500 million share repurchase program (the “January 2025 Program”). On February 27, 2025, we cancelled the remaining $121 million authorization available under the January 2024 Program and began repurchasing shares under the January 2025 Program.</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Subsequent to February 1, 2025 through March 14, 2025, we repurchased an additional 1.5 million shares of our common stock for $53 million under the January 2024 and January 2025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Board will determine future dividends after giving consideration to our levels of profit and cash flow, capital requirements, current and forecasted liquidity, the restrictions placed upon us by our borrowing arrangements as well as financial and other conditions existing at the time. We use cash flow generated from operating and financing activities to fund our dividends.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the following dividends during 2024 and 2023:</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Dividends</w:t>
            </w:r>
          </w:p>
        </w:tc>
        <w:tc>
          <w:tcPr>
            <w:tcW w:w="240" w:type="dxa"/>
            <w:vAlign w:val="bottom"/>
          </w:tcPr>
          <w:p>
            <w:pPr>
              <w:spacing w:after="0"/>
              <w:rPr>
                <w:sz w:val="16"/>
                <w:szCs w:val="16"/>
                <w:color w:val="auto"/>
              </w:rPr>
            </w:pPr>
          </w:p>
        </w:tc>
        <w:tc>
          <w:tcPr>
            <w:tcW w:w="12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 Paid</w:t>
            </w:r>
          </w:p>
        </w:tc>
      </w:tr>
      <w:tr>
        <w:trPr>
          <w:trHeight w:val="23"/>
        </w:trPr>
        <w:tc>
          <w:tcPr>
            <w:tcW w:w="8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0"/>
        </w:trPr>
        <w:tc>
          <w:tcPr>
            <w:tcW w:w="8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4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8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45"/>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March 7, 2025, we paid our first quarter 2025 ordinary dividend of $0.20 per share to stockholders of record at the close of business on February 21,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balances, net of unamortized debt issuance costs and discounts, as of February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40" w:type="dxa"/>
            <w:vAlign w:val="bottom"/>
          </w:tcPr>
          <w:p>
            <w:pPr>
              <w:spacing w:after="0"/>
              <w:rPr>
                <w:sz w:val="13"/>
                <w:szCs w:val="13"/>
                <w:color w:val="auto"/>
              </w:rPr>
            </w:pPr>
          </w:p>
        </w:tc>
        <w:tc>
          <w:tcPr>
            <w:tcW w:w="11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82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auto"/>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$500 million, 9.375% Fixed Interest Rate Notes due July 2025 (“2025 Notes”)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$284 million, 6.694% Fixed Interest Rate Notes due January 2027 (“2027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2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$444 million, 5.250% Fixed Interest Rate Notes due February 2028 (“2028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$482 million, 7.500% Fixed Interest Rate Notes due June 2029 (“2029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2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$844 million, 6.625% Fixed Interest Rate Notes due October 2030 (“2030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30"/>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$802 million, 6.875% Fixed Interest Rate Notes due November 2035 (“2035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30"/>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$575 million, 6.750% Fixed Interest Rate Notes due July 2036 (“2036 Notes”)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189"/>
        </w:trPr>
        <w:tc>
          <w:tcPr>
            <w:tcW w:w="20" w:type="dxa"/>
            <w:vAlign w:val="bottom"/>
          </w:tcPr>
          <w:p>
            <w:pPr>
              <w:spacing w:after="0"/>
              <w:rPr>
                <w:sz w:val="16"/>
                <w:szCs w:val="16"/>
                <w:color w:val="auto"/>
              </w:rPr>
            </w:pPr>
          </w:p>
        </w:tc>
        <w:tc>
          <w:tcPr>
            <w:tcW w:w="82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$284 million, 6.950% Fixed Interest Rate Debentures due March 2033 (“2033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$201 million, 7.600% Fixed Interest Rate Notes due July 2037 (“2037 Notes”)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20" w:type="dxa"/>
            <w:vAlign w:val="bottom"/>
          </w:tcPr>
          <w:p>
            <w:pPr>
              <w:spacing w:after="0"/>
              <w:rPr>
                <w:sz w:val="19"/>
                <w:szCs w:val="19"/>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Notes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losses and gains on the extinguishment of debt include the write-offs of unamortized issuance costs and are included in Other Income in the Consolidated Statements of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Repurchases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first and second quarters of 2024, we repurchased in the open market and extinguished $200 million principal amount of our outstanding senior notes. The aggregate repurchase price for these notes was $202 million, resulting in pre-tax losses of $3 million, net of the write-off of unamortized issuance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2024, we completed a make-whole call to repurchase the remaining $314 million principal amount of our outstanding 2025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repurchase price for these notes was $320 million, resulting in a pre-tax loss of $7 million, net of the write-off of unamortized issuance costs.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Repurchases</w:t>
      </w:r>
    </w:p>
    <w:p>
      <w:pPr>
        <w:spacing w:after="0" w:line="11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During 2023, we repurchased in the open market and extinguished $485 million principal amount of our outstanding senior notes. The aggregate repurchase price for these notes was $447 million, resulting in pre-tax gains of $34 million, net of the write-off of unamortized issuance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the outstanding principal amounts of senior notes repurchased and extinguished during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 Notes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2035 Notes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2036 Notes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2037 Notes</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1"/>
        </w:trPr>
        <w:tc>
          <w:tcPr>
            <w:tcW w:w="8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Asset-backed Revolving Credit Facility</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and certain of our 100% owned subsidiaries guarantee and pledge collateral to secure our ABL Facility. The ABL Facility, which allows borrowings and letters of credit in U.S. dollars, has aggregate commitments of $750 million and an expiration date in August 2026.</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Availability under the ABL Facility is the lesser of (i) the borrowing base, determined primarily based on our eligible U.S. and Canadian credit card receivables, accounts receivable, inventory and eligible real property, or (ii) the aggregate commitment. If at any time the outstanding amount under the ABL Facility exceeds the lesser of (i) the borrowing base and (ii) the aggregate commitment, we are required to repay the outstanding amounts under the ABL Facility to the extent of such excess. As of February 1, 2025, our borrowing base was $553 million, and we had no borrowings outstanding under the ABL Facility.</w:t>
      </w:r>
    </w:p>
    <w:p>
      <w:pPr>
        <w:spacing w:after="0" w:line="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ABL Facility supports our letter of credit program. We had $11 million of outstanding letters of credit as of February 1, 2025 that reduced our availability under the ABL Facility. As of February 1, 2025, our availability under the ABL Facility was $542 million.</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February 1, 2025, the ABL Facility fees related to committed and unutilized amounts were 0.30% per annum, and the fees related to outstanding letters of credit were 1.25% per annum. In addition, the interest rate on outstanding U.S. dollar borrowings was the Term Secured Overnight Financing Rate plus 1.25% and a credit spread adjustment of 0.10% per annum.</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ABL Facility requires us to maintain a fixed charge coverage ratio of not less than 1.00 to 1.00 during an event of default or any period commencing on any day when specified excess availability is less than the greater of (i) $70 million or (ii) 10% of the maximum borrowing amount. As of February 1, 2025, we were not required to maintain this ratio.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February 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S&amp;P</w:t>
            </w:r>
          </w:p>
        </w:tc>
      </w:tr>
      <w:tr>
        <w:trPr>
          <w:trHeight w:val="23"/>
        </w:trPr>
        <w:tc>
          <w:tcPr>
            <w:tcW w:w="8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Guarantor Summarized Financial Information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Certain of our subsidiaries, which are listed on Exhibit 22 to this Annual Report on Form 10-K, have guaranteed our obligations under the 2027 Notes, 2028 Notes, 2029 Notes, 2030 Notes, 2035 Notes and 2036 Notes (collectively, the “Notes”).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Notes have been issued by Bath &amp; Body Works, Inc. (the “Parent Company”). The Notes are its senior unsecured obligations and rank equally in right of payment with all of our existing and future senior unsecured obligations, are senior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any of our future subordinated indebtedness, are effectively subordinated to all of our existing and future indebtedness that is secured by a lien and are structurally subordinated to all existing and future obligations of each of our subsidiaries that do not guarantee the Notes.</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Notes are fully and unconditionally guaranteed on a joint and several basis by certain of our wholly-owned subsidiaries, including certain subsidiaries that also guarantee our obligations under our ABL Facility (such guarantees, the “Guarantees”; and, such guaranteeing subsidiaries, the “Subsidiary Guarantors”). The Guarantees of the Subsidiary Guarantors are subject to release in limited circumstances only upon the occurrence of certain customary conditions. Each Guarantee is limited, by its terms, to an amount not to exceed the maximum amount that can be guaranteed by the applicable Subsidiary Guarantor subject to avoidance under applicable fraudulent conveyance provisions of U.S. and non-U.S. law.</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tables set forth summarized financial information for the Parent Company and the Subsidiary Guarantors on a combined basis after elimination of (i) intercompany transactions and balances among the Parent Company and the Subsidiary Guarantors and (ii) investments in and equity in the earnings of non-Guarantor subsidiaries.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1, 2025 SUMMARIZED BALANCE SHEET</w:t>
            </w:r>
          </w:p>
        </w:tc>
        <w:tc>
          <w:tcPr>
            <w:tcW w:w="1380" w:type="dxa"/>
            <w:vAlign w:val="bottom"/>
          </w:tcPr>
          <w:p>
            <w:pPr>
              <w:spacing w:after="0"/>
              <w:rPr>
                <w:sz w:val="23"/>
                <w:szCs w:val="23"/>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440" w:type="dxa"/>
            <w:vAlign w:val="bottom"/>
          </w:tcPr>
          <w:p>
            <w:pPr>
              <w:spacing w:after="0"/>
              <w:rPr>
                <w:sz w:val="2"/>
                <w:szCs w:val="2"/>
                <w:color w:val="auto"/>
              </w:rPr>
            </w:pPr>
          </w:p>
        </w:tc>
        <w:tc>
          <w:tcPr>
            <w:tcW w:w="8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40" w:type="dxa"/>
            <w:vAlign w:val="bottom"/>
            <w:shd w:val="clear" w:color="auto" w:fill="CCEEFF"/>
          </w:tcPr>
          <w:p>
            <w:pPr>
              <w:spacing w:after="0"/>
              <w:rPr>
                <w:sz w:val="19"/>
                <w:szCs w:val="19"/>
                <w:color w:val="auto"/>
              </w:rPr>
            </w:pPr>
          </w:p>
        </w:tc>
        <w:tc>
          <w:tcPr>
            <w:tcW w:w="822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 (a)</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r>
      <w:tr>
        <w:trPr>
          <w:trHeight w:val="229"/>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70"/>
        </w:trPr>
        <w:tc>
          <w:tcPr>
            <w:tcW w:w="440" w:type="dxa"/>
            <w:vAlign w:val="bottom"/>
          </w:tcPr>
          <w:p>
            <w:pPr>
              <w:spacing w:after="0"/>
              <w:rPr>
                <w:sz w:val="23"/>
                <w:szCs w:val="23"/>
                <w:color w:val="auto"/>
              </w:rPr>
            </w:pPr>
          </w:p>
        </w:tc>
        <w:tc>
          <w:tcPr>
            <w:tcW w:w="8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440" w:type="dxa"/>
            <w:vAlign w:val="bottom"/>
            <w:shd w:val="clear" w:color="auto" w:fill="CCEEFF"/>
          </w:tcPr>
          <w:p>
            <w:pPr>
              <w:spacing w:after="0"/>
              <w:rPr>
                <w:sz w:val="19"/>
                <w:szCs w:val="19"/>
                <w:color w:val="auto"/>
              </w:rPr>
            </w:pPr>
          </w:p>
        </w:tc>
        <w:tc>
          <w:tcPr>
            <w:tcW w:w="822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LIABILITIES</w:t>
            </w:r>
          </w:p>
        </w:tc>
        <w:tc>
          <w:tcPr>
            <w:tcW w:w="1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 (b)</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29"/>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w:t>
            </w:r>
          </w:p>
        </w:tc>
      </w:tr>
      <w:tr>
        <w:trPr>
          <w:trHeight w:val="365"/>
        </w:trPr>
        <w:tc>
          <w:tcPr>
            <w:tcW w:w="8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Includes amounts due from non-Guarantor subsidiaries of $572 million as of February 1, 2025.</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Includes amounts due to non-Guarantor subsidiaries of $1.421 billion as of February 1, 2025.</w:t>
            </w: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607"/>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 SUMMARIZED STATEMENT OF INCOME</w:t>
            </w:r>
          </w:p>
        </w:tc>
        <w:tc>
          <w:tcPr>
            <w:tcW w:w="1380" w:type="dxa"/>
            <w:vAlign w:val="bottom"/>
          </w:tcPr>
          <w:p>
            <w:pPr>
              <w:spacing w:after="0"/>
              <w:rPr>
                <w:sz w:val="24"/>
                <w:szCs w:val="24"/>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9"/>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(a)</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r>
      <w:tr>
        <w:trPr>
          <w:trHeight w:val="23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30"/>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30"/>
        </w:trPr>
        <w:tc>
          <w:tcPr>
            <w:tcW w:w="8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30"/>
        </w:trPr>
        <w:tc>
          <w:tcPr>
            <w:tcW w:w="8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w:t>
            </w:r>
          </w:p>
        </w:tc>
        <w:tc>
          <w:tcPr>
            <w:tcW w:w="1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bl>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63"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Sales of $189 million to non-Guarantor subsidiaries.</w:t>
      </w:r>
    </w:p>
    <w:p>
      <w:pPr>
        <w:spacing w:after="0" w:line="6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Net Loss of $15 million related to transactions with non-Guarantor subsidiaries.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contractual obligations, aggregated by type, including the maturity profile as of February 1,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240" w:type="dxa"/>
            <w:vAlign w:val="bottom"/>
          </w:tcPr>
          <w:p>
            <w:pPr>
              <w:spacing w:after="0"/>
              <w:rPr>
                <w:sz w:val="11"/>
                <w:szCs w:val="11"/>
                <w:color w:val="auto"/>
              </w:rPr>
            </w:pPr>
          </w:p>
        </w:tc>
        <w:tc>
          <w:tcPr>
            <w:tcW w:w="840" w:type="dxa"/>
            <w:vAlign w:val="bottom"/>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More</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 5</w:t>
            </w:r>
          </w:p>
        </w:tc>
        <w:tc>
          <w:tcPr>
            <w:tcW w:w="240" w:type="dxa"/>
            <w:vAlign w:val="bottom"/>
          </w:tcPr>
          <w:p>
            <w:pPr>
              <w:spacing w:after="0"/>
              <w:rPr>
                <w:sz w:val="12"/>
                <w:szCs w:val="12"/>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Lease Obligations (b)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(c)</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660" w:right="160" w:hanging="652"/>
        <w:spacing w:after="0" w:line="261" w:lineRule="auto"/>
        <w:tabs>
          <w:tab w:leader="none" w:pos="6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obligations relate to our principal and interest payments for outstanding notes and debentures. Interest payments have been estimated based on the coupon rate for fixed rate obligations. Interest obligations exclude amounts which have been accrued through February 1, 2025. For additional information, see Note 10 to the Consolidated Financial Statements included in Item 8. Financial Statements and Supplementary Data.</w:t>
      </w:r>
    </w:p>
    <w:p>
      <w:pPr>
        <w:spacing w:after="0" w:line="17" w:lineRule="exact"/>
        <w:rPr>
          <w:rFonts w:ascii="Times New Roman" w:cs="Times New Roman" w:eastAsia="Times New Roman" w:hAnsi="Times New Roman"/>
          <w:sz w:val="18"/>
          <w:szCs w:val="18"/>
          <w:color w:val="auto"/>
        </w:rPr>
      </w:pPr>
    </w:p>
    <w:p>
      <w:pPr>
        <w:ind w:left="660" w:right="180" w:hanging="652"/>
        <w:spacing w:after="0" w:line="281"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lease obligations primarily represent minimum payments due under operating lease agreements. For additional information, see Note 6 to the Consolidated Financial Statements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spacing w:after="0" w:line="13" w:lineRule="exact"/>
        <w:rPr>
          <w:rFonts w:ascii="Times New Roman" w:cs="Times New Roman" w:eastAsia="Times New Roman" w:hAnsi="Times New Roman"/>
          <w:sz w:val="18"/>
          <w:szCs w:val="18"/>
          <w:color w:val="auto"/>
        </w:rPr>
      </w:pPr>
    </w:p>
    <w:p>
      <w:pPr>
        <w:ind w:left="660" w:right="240" w:hanging="652"/>
        <w:spacing w:after="0" w:line="256"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include future estimated payments associated with unrecognized tax benefits. The “Less Than 1 Year” category includes $136 million of these tax items because it is reasonably possible that the amounts could change in the next 12 months due to audit settlements or resolution of uncertainties. In addition, we have a liability of $17 million related to the deemed repatriation tax on our undistributed foreign earnings resulting from the Tax Cuts and Jobs Act, expected to be paid in 2025. The remaining portion, totaling $36 million, is included in the “Other” category as it is not reasonably possible that the amounts could change in the next 12 months. For additional information, see Note 9 to the Consolidated Financial Statements in Item 8. Financial Statements and Supplementary Data.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Guarantees</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connection with the spin-off of Victoria’s Secret and the disposal of a certain other business, we had remaining contingent obligations of $232 million as of February 1, 2025 related to lease payments under the current terms of noncancelable leases, primarily related to office space, expiring at various dates through 2037. These obligations include minimum rent and additional payments covering taxes, common area costs and certain other expenses and relate to leases that commenced prior to the disposition of these businesses. Our reserves related to these obligations were not significant for any period presented.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that expands reportable segment disclosure requirements, primarily through enhanced disclosures about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expenses and information used to assess segment performance, and applies to companies with a single reportable segment. We adopted this standard in the fourth quarter of 2024. Refer to Note 15, “Segment Reporting,” to the Consolidated Financial Statements included in Item 8. Financial Statements and Supplementary Data for required disclosures.</w:t>
      </w:r>
    </w:p>
    <w:p>
      <w:pPr>
        <w:spacing w:after="0" w:line="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that requires enhanced income tax disclosures, primarily related to standardization and disaggregation of rate reconciliation categories and income taxes paid by jurisdiction. This standard is effective for fiscal years beginning after December 15, 2024, with early adoption permitted, and may be applied either prospectively or retrospectively. We are currently evaluating the impact of adopting this standard on our disclosures.</w:t>
      </w:r>
    </w:p>
    <w:p>
      <w:pPr>
        <w:spacing w:after="0" w:line="7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that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We are currently evaluating the impact of adopting this standard on our disclosures.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valuation of long-lived store assets, claims and contingencies, income taxes and revenue recognition. Management bases our estimates and judgments on historical experience and various other factors that are believed to be reasonable under the circumstances. Actual results may differ from these estimates. Management has discussed the development and selection of our critical accounting policies and estimates with the Audit Committee of our Board and believes the following assumptions and estimates are most significant to reporting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also record inventory loss adjustments for estimated physical inventory losses that have occurred since the date of the last physical inventory. These estimates are based on management’s analysis of historical results and current operating trends.</w:t>
      </w:r>
    </w:p>
    <w:p>
      <w:pPr>
        <w:spacing w:after="0" w:line="5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Management believes that the assumptions used in these estimates are reasonable and appropriate. A 10% increase or decrease in the inventory valuation adjustment would have impacted Net Income by approximately $2 million for 2024. A 10% increase or decrease in the estimated physical inventory loss adjustment would have impacted Net Income by approximately $2 million for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Store Assets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Long-lived store assets, which include leasehold improvements, store-related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we recognize a loss equal to the difference between the carrying value and the estimated fair value, determined by the estimated discounted future cash flows of the asset group. For operating lease assets, we determine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and Contingencies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various claims and contingencies related to lawsuits, taxes, insurance, regulatory and other matters arising out of the normal course of business. Our determination of the treatment of claims and contingencies in the Consolidated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Consolidated Financial Statements included in Item 8. Financial Statements and Supplementary Data.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our Consolidated Statements of Income in the period that includes the enactment date. A valuation allowance is recorded to reduce the carrying amounts of deferred tax assets if it is more likely than not that such assets will not be realized.</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determining the provision for income taxes and related accruals, deferred tax assets and liabilities. In determining our provision for income taxes, we consider permanent differences between book and tax income and statutory income tax rates. Our effective income tax rate is affected by items including changes in tax law, the tax jurisdiction of the Company’s operations and the level of earnings.</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 number of countries have enacted legislation to implement the Organization for Economic Cooperation and Development’s 15% global minimum tax regime (Pillar Two) with effect from January 1, 2024. These changes did not have a material impact on our effective tax rate, results of operations or financial position for 2024. We continue to evaluate the impacts of proposed and enacted legislation for the jurisdictions in which we operate.</w:t>
      </w:r>
    </w:p>
    <w:p>
      <w:pPr>
        <w:spacing w:after="0" w:line="66"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 xml:space="preserve">We follow the authoritative guidance included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contains a two-step approach to recognize and measure uncertain tax positions. The first step is to evaluate the tax position for recognition by determining if the available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spacing w:after="0" w:line="7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income tax returns, like those of most companies, are periodically audited by domestic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our established accrual, when the statute of limitations expires for the relevant taxing authority to examine the tax position or when more information becomes available.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recognize revenue based on the amount we expect to receive when control of the goods or services is transferred to our customer. We recognize sales upon customer receipt of merchandise, which for direct channel revenues reflects an estimate of shipments that have not yet been received by the customer based on shipping terms and historical delivery times. Our shipping and handling revenues are included in Net Sales with the related costs included in Costs of Goods Sold, Buying and Occupancy in the Consolidated Statements of Income. We also provide a reserve for projected merchandise returns based on historical experience. Net Sales exclude sales and other similar taxes collected from customers.</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offer a loyalty program that allows customers to earn points based on purchasing activity. As customers accumulate points and reach point thresholds, points are converted to rewards that may be used to purchase merchandise in stores or online. Points expire if a loyalty account is inactive for a certain period of time, while rewards expire if unused after approximately three months. We allocate revenue to points earned on qualifying purchases and defer recognition of revenue until the rewards are redeemed. The amount of revenue deferred is based on the relative stand-alone selling price method, which includes an estimate for points and rewards not expected to be redeemed based on historical experience.</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sell gift cards with no expiration dates to customers. We do not charge administrative fees on unused gift cards. We recognize revenue from gift cards when they are redeemed by the customer. In addition, we recognize revenue on unredeemed gift cards when the likelihood of the gift cards being redeemed is remote and there is no legal obligation to remit the unredeemed gift cards to relevant jurisdictions (gift card breakage). Gift card breakage revenue is recognized in proportion to, and over the same period as, actual gift card redemptions. We determine the gift card breakage rate based on historical redemption patterns. Gift card breakage revenue is included in Net Sales in the Consolidated Statements of Income.</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Canadian dollar denominated earnings are subject to exchange rate risk as substantially all our merchandise sold in Canada is sourced through U.S. dollar transactions. Although we utilize foreign currency forward contracts to partially offset risks associated with our operations in Canada, these measures may not succeed in offsetting all the short-term impact of foreign currency rate movements and generally may not be effective in offsetting the long-term impact of sustained shifts in foreign currency rates.</w:t>
      </w:r>
    </w:p>
    <w:p>
      <w:pPr>
        <w:spacing w:after="0" w:line="7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objectives of our investment activities are the preservation of principal, the maintenance of liquidity and the maximization of interest income while minimizing risk. Our investment portfolio is primarily composed of U.S. government obligations, U.S. Treasury and AAA-rated money market funds, commercial paper and bank deposits. Given the short-term nature and quality of investments in our portfolio, we do not believe there is any material risk to principal associated with increases or decreases in interest rates.</w:t>
      </w:r>
    </w:p>
    <w:p>
      <w:pPr>
        <w:spacing w:after="0" w:line="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All of our Long-term Debt as of February 1, 2025 has fixed interest rates. We will from time to time adjust our exposure to interest rate risk by entering into interest rate swap arrangements. Our exposure to interest rate changes is limited to the fair value of the debt issued, which would not have a material impact on our earnings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and derivative contracts with various major financial institutions. We monitor the relative credit standing of financial institutions with whom we transact and limit the amount of credit exposure with any one entity. Our investment portfolio is primarily composed of U.S. government obligations, U.S. Treasury and AAA-rated money market funds, commercial paper and bank deposits. We also periodically review the relative credit standing of franchise, license and wholesale partners and other entities to which we grant credit terms in the normal course of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outstanding Long-term Debt as of February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February 1, 2025</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February 3, 2024</w:t>
            </w:r>
          </w:p>
        </w:tc>
      </w:tr>
      <w:tr>
        <w:trPr>
          <w:trHeight w:val="193"/>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3"/>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20" w:type="dxa"/>
            <w:vAlign w:val="bottom"/>
          </w:tcPr>
          <w:p>
            <w:pPr>
              <w:spacing w:after="0"/>
              <w:rPr>
                <w:sz w:val="20"/>
                <w:szCs w:val="20"/>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3,986</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ind w:left="340" w:right="240" w:hanging="332"/>
        <w:spacing w:after="0" w:line="282" w:lineRule="auto"/>
        <w:tabs>
          <w:tab w:leader="none" w:pos="3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values are based on reported transaction prices and are not necessarily indicative of the amounts that we could realize in a current market exchange.</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February 1, 2025, we believe that the carrying values of our Accounts Receivable, Accounts Payable and Accrued Expenses approximate their fair values because of their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BATH &amp; BODY WORKS, INC.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0360" w:type="dxa"/>
            <w:vAlign w:val="bottom"/>
            <w:gridSpan w:val="10"/>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360" w:type="dxa"/>
            <w:vAlign w:val="bottom"/>
            <w:gridSpan w:val="10"/>
            <w:vMerge w:val="continue"/>
          </w:tcPr>
          <w:p>
            <w:pPr>
              <w:spacing w:after="0"/>
              <w:rPr>
                <w:sz w:val="14"/>
                <w:szCs w:val="14"/>
                <w:color w:val="auto"/>
              </w:rPr>
            </w:pP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Internal Control Over Financial Reporting</w:t>
            </w:r>
          </w:p>
        </w:tc>
        <w:tc>
          <w:tcPr>
            <w:tcW w:w="28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70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on Consolidated Financial Statements</w:t>
            </w:r>
          </w:p>
        </w:tc>
        <w:tc>
          <w:tcPr>
            <w:tcW w:w="3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(PCAOB ID: 42)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7"/>
        </w:trPr>
        <w:tc>
          <w:tcPr>
            <w:tcW w:w="10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6620" w:type="dxa"/>
            <w:vAlign w:val="bottom"/>
            <w:gridSpan w:val="4"/>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103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Total Equity (Deficit)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28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00" w:type="dxa"/>
            <w:vAlign w:val="bottom"/>
            <w:tcBorders>
              <w:top w:val="single" w:sz="8" w:color="0000FF"/>
            </w:tcBorders>
            <w:gridSpan w:val="2"/>
          </w:tcPr>
          <w:p>
            <w:pPr>
              <w:spacing w:after="0"/>
              <w:rPr>
                <w:sz w:val="18"/>
                <w:szCs w:val="18"/>
                <w:color w:val="auto"/>
              </w:rPr>
            </w:pPr>
          </w:p>
        </w:tc>
        <w:tc>
          <w:tcPr>
            <w:tcW w:w="6780" w:type="dxa"/>
            <w:vAlign w:val="bottom"/>
            <w:gridSpan w:val="5"/>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00" w:type="dxa"/>
            <w:vAlign w:val="bottom"/>
            <w:gridSpan w:val="6"/>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fiscal year ends on the Saturday nearest to January 31. Fiscal years are designated in the Consolidated Financial Statements and Notes by the calendar year in which the fiscal year commences. The results for fiscal 2024 refer to the 52-week period ended February 1, 2025, fiscal 2023 refers to 53-week period ended February 3, 2024 and fiscal 2022 refers to 52-week period ended January 28, 2023.</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Securities Exchange Act of 1934. The Company’s internal control system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February 1, 2025. In making this assessment, management used the criteria established in Internal Control-Integrated Framework issued by the Committee of Sponsoring Organizations of the Treadway Commission (2013 framework) (the COSO criteria).</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assessment and the COSO criteria, management believes that the Company maintained effective internal control over financial reporting as of February 1, 2025.</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Ernst &amp; Young LLP’s report appears on the following page and expresses an unqualified opinion on the effectiveness of the Company’s internal control over financial reporting as of February 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360" w:firstLine="3364"/>
        <w:spacing w:after="0" w:line="40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Bath &amp; Body Works,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We have audited Bath &amp; Body Works, Inc.’s internal control over financial reporting as of February 1, 2025, based on criteria established in Internal Control—Integrated Framework issued by the Committee of Sponsoring Organizations of the Treadway Commission (2013 framework) (the COSO criteria). In our opinion, Bath &amp; Body Works, Inc. (the Company) maintained, in all material respects, effective internal control over financial reporting as of February 1, 2025, based on the COSO criteria.</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February 1, 2025 and February 3, 2024, the related consolidated statements of income, comprehensive income, total equity (deficit) and cash flows for each of the three years in the period ended February 1, 2025, and the related notes and our report dated March 14, 2025 expressed an unqualified opinion thereon.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Bath &amp; Body Works, Inc.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19"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We have audited the accompanying consolidated balance sheets of Bath &amp; Body Works, Inc. (the Company) as of February 1, 2025 and February 3, 2024, the related consolidated statements of income, comprehensive income, total equity (deficit) and cash flows for each of the three years in the period ended February 1, 2025, and the related notes (collectively referred to as the “consolidated financial statements”). In our opinion, the consolidated financial statements present fairly, in all material respects, the financial position of the Company at February 1, 2025 and February 3, 2024, and the results of its operations and its cash flows for each of the three years in the period ended February 1, 2025, in conformity with U.S. generally accepted accounting principles.</w:t>
      </w:r>
    </w:p>
    <w:p>
      <w:pPr>
        <w:spacing w:after="0" w:line="7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February 1, 2025, based on criteria established in Internal Control—Integrated Framework issued by the Committee of Sponsoring Organizations of the Treadway Commission (2013 framework), and our report dated March 14, 2025 expressed an unqualified opinion thereon.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06"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06"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right="280"/>
        <w:spacing w:after="0" w:line="220" w:lineRule="auto"/>
        <w:rPr>
          <w:sz w:val="20"/>
          <w:szCs w:val="20"/>
          <w:color w:val="auto"/>
        </w:rPr>
      </w:pPr>
      <w:r>
        <w:rPr>
          <w:rFonts w:ascii="Times New Roman" w:cs="Times New Roman" w:eastAsia="Times New Roman" w:hAnsi="Times New Roman"/>
          <w:sz w:val="17"/>
          <w:szCs w:val="17"/>
          <w:i w:val="1"/>
          <w:iCs w:val="1"/>
          <w:color w:val="auto"/>
        </w:rPr>
        <w:t>How We Addressed the</w:t>
      </w:r>
    </w:p>
    <w:p>
      <w:pPr>
        <w:spacing w:after="0" w:line="1" w:lineRule="exact"/>
        <w:rPr>
          <w:sz w:val="20"/>
          <w:szCs w:val="20"/>
          <w:color w:val="auto"/>
        </w:rPr>
      </w:pPr>
    </w:p>
    <w:p>
      <w:pPr>
        <w:ind w:left="20" w:right="280"/>
        <w:spacing w:after="0" w:line="233" w:lineRule="auto"/>
        <w:rPr>
          <w:sz w:val="20"/>
          <w:szCs w:val="20"/>
          <w:color w:val="auto"/>
        </w:rPr>
      </w:pPr>
      <w:r>
        <w:rPr>
          <w:rFonts w:ascii="Times New Roman" w:cs="Times New Roman" w:eastAsia="Times New Roman" w:hAnsi="Times New Roman"/>
          <w:sz w:val="17"/>
          <w:szCs w:val="17"/>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Loyalty Program</w:t>
      </w:r>
    </w:p>
    <w:p>
      <w:pPr>
        <w:spacing w:after="0" w:line="94" w:lineRule="exact"/>
        <w:rPr>
          <w:sz w:val="20"/>
          <w:szCs w:val="20"/>
          <w:color w:val="auto"/>
        </w:rPr>
      </w:pPr>
    </w:p>
    <w:p>
      <w:pPr>
        <w:ind w:right="420"/>
        <w:spacing w:after="0" w:line="234" w:lineRule="auto"/>
        <w:rPr>
          <w:sz w:val="20"/>
          <w:szCs w:val="20"/>
          <w:color w:val="auto"/>
        </w:rPr>
      </w:pPr>
      <w:r>
        <w:rPr>
          <w:rFonts w:ascii="Times New Roman" w:cs="Times New Roman" w:eastAsia="Times New Roman" w:hAnsi="Times New Roman"/>
          <w:sz w:val="17"/>
          <w:szCs w:val="17"/>
          <w:color w:val="auto"/>
        </w:rPr>
        <w:t>The Company offers a loyalty program that enables customers the ability to earn points and redeem rewards. As described in Note 1 to the consolidated financial statements, the Company allocates revenue to points earned on qualifying purchases and defers recognition until the</w:t>
      </w:r>
    </w:p>
    <w:p>
      <w:pPr>
        <w:spacing w:after="0" w:line="1" w:lineRule="exact"/>
        <w:rPr>
          <w:sz w:val="20"/>
          <w:szCs w:val="20"/>
          <w:color w:val="auto"/>
        </w:rPr>
      </w:pPr>
    </w:p>
    <w:p>
      <w:pPr>
        <w:ind w:right="360"/>
        <w:spacing w:after="0" w:line="233" w:lineRule="auto"/>
        <w:rPr>
          <w:sz w:val="20"/>
          <w:szCs w:val="20"/>
          <w:color w:val="auto"/>
        </w:rPr>
      </w:pPr>
      <w:r>
        <w:rPr>
          <w:rFonts w:ascii="Times New Roman" w:cs="Times New Roman" w:eastAsia="Times New Roman" w:hAnsi="Times New Roman"/>
          <w:sz w:val="17"/>
          <w:szCs w:val="17"/>
          <w:color w:val="auto"/>
        </w:rPr>
        <w:t>rewards are redeemed. The amount of revenue deferred is based on the relative standalone selling price method, which includes an estimate for points and rewards not expected to be redeemed based on historical experience.</w:t>
      </w:r>
    </w:p>
    <w:p>
      <w:pPr>
        <w:spacing w:after="0" w:line="75"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17"/>
          <w:szCs w:val="17"/>
          <w:color w:val="auto"/>
        </w:rPr>
        <w:t>Auditing the Company’s estimate of loyalty deferred revenue was complex as the calculation involved management’s assumptions, such as the standalone selling price and expected redemption rate, which drive the revenue deferral.</w:t>
      </w:r>
    </w:p>
    <w:p>
      <w:pPr>
        <w:spacing w:after="0" w:line="190" w:lineRule="exact"/>
        <w:rPr>
          <w:sz w:val="20"/>
          <w:szCs w:val="20"/>
          <w:color w:val="auto"/>
        </w:rPr>
      </w:pPr>
    </w:p>
    <w:p>
      <w:pPr>
        <w:ind w:right="840"/>
        <w:spacing w:after="0" w:line="234"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the Company’s estimation process and controls supporting the measurement and recognition of the amount of loyalty revenue deferred. This included testing controls over</w:t>
      </w:r>
    </w:p>
    <w:p>
      <w:pPr>
        <w:spacing w:after="0" w:line="1" w:lineRule="exact"/>
        <w:rPr>
          <w:sz w:val="20"/>
          <w:szCs w:val="20"/>
          <w:color w:val="auto"/>
        </w:rPr>
      </w:pPr>
    </w:p>
    <w:p>
      <w:pPr>
        <w:ind w:right="860"/>
        <w:spacing w:after="0" w:line="233" w:lineRule="auto"/>
        <w:rPr>
          <w:sz w:val="20"/>
          <w:szCs w:val="20"/>
          <w:color w:val="auto"/>
        </w:rPr>
      </w:pPr>
      <w:r>
        <w:rPr>
          <w:rFonts w:ascii="Times New Roman" w:cs="Times New Roman" w:eastAsia="Times New Roman" w:hAnsi="Times New Roman"/>
          <w:sz w:val="17"/>
          <w:szCs w:val="17"/>
          <w:color w:val="auto"/>
        </w:rPr>
        <w:t>management’s review of the assumptions and other inputs used in the estimation and the completeness and accuracy of issuance and redemption data used in the calculation.</w:t>
      </w:r>
    </w:p>
    <w:p>
      <w:pPr>
        <w:spacing w:after="0" w:line="129" w:lineRule="exact"/>
        <w:rPr>
          <w:sz w:val="20"/>
          <w:szCs w:val="20"/>
          <w:color w:val="auto"/>
        </w:rPr>
      </w:pPr>
    </w:p>
    <w:p>
      <w:pPr>
        <w:ind w:right="320"/>
        <w:spacing w:after="0" w:line="218" w:lineRule="auto"/>
        <w:rPr>
          <w:sz w:val="20"/>
          <w:szCs w:val="20"/>
          <w:color w:val="auto"/>
        </w:rPr>
      </w:pPr>
      <w:r>
        <w:rPr>
          <w:rFonts w:ascii="Times New Roman" w:cs="Times New Roman" w:eastAsia="Times New Roman" w:hAnsi="Times New Roman"/>
          <w:sz w:val="17"/>
          <w:szCs w:val="17"/>
          <w:color w:val="auto"/>
        </w:rPr>
        <w:t>Our audit procedures included, among others, evaluating the methodology used, analyzing the significant assumptions discussed above, and testing the accuracy and completeness of the underlying data used in management’s calculation. To test the standalone selling price per</w:t>
      </w:r>
    </w:p>
    <w:p>
      <w:pPr>
        <w:spacing w:after="0" w:line="215" w:lineRule="auto"/>
        <w:rPr>
          <w:sz w:val="20"/>
          <w:szCs w:val="20"/>
          <w:color w:val="auto"/>
        </w:rPr>
      </w:pPr>
      <w:r>
        <w:rPr>
          <w:rFonts w:ascii="Times New Roman" w:cs="Times New Roman" w:eastAsia="Times New Roman" w:hAnsi="Times New Roman"/>
          <w:sz w:val="17"/>
          <w:szCs w:val="17"/>
          <w:color w:val="auto"/>
        </w:rPr>
        <w:t>reward, we validated that the price per reward was appropriate based on purchases by loyalty members. To audit the redemption rate, we</w:t>
      </w:r>
    </w:p>
    <w:p>
      <w:pPr>
        <w:spacing w:after="0" w:line="1" w:lineRule="exact"/>
        <w:rPr>
          <w:sz w:val="20"/>
          <w:szCs w:val="20"/>
          <w:color w:val="auto"/>
        </w:rPr>
      </w:pPr>
    </w:p>
    <w:p>
      <w:pPr>
        <w:ind w:right="620"/>
        <w:spacing w:after="0" w:line="207" w:lineRule="auto"/>
        <w:rPr>
          <w:sz w:val="20"/>
          <w:szCs w:val="20"/>
          <w:color w:val="auto"/>
        </w:rPr>
      </w:pPr>
      <w:r>
        <w:rPr>
          <w:rFonts w:ascii="Times New Roman" w:cs="Times New Roman" w:eastAsia="Times New Roman" w:hAnsi="Times New Roman"/>
          <w:sz w:val="17"/>
          <w:szCs w:val="17"/>
          <w:color w:val="auto"/>
        </w:rPr>
        <w:t>tested redemption activity and compared the results of that testing to the redemption rate used by management in its estimate. We also considered recent trends in redemption activity and the impact on the redemption rate. In addition, we performed sensitivity analyses of</w:t>
      </w:r>
    </w:p>
    <w:p>
      <w:pPr>
        <w:spacing w:after="0"/>
        <w:rPr>
          <w:sz w:val="20"/>
          <w:szCs w:val="20"/>
          <w:color w:val="auto"/>
        </w:rPr>
      </w:pPr>
      <w:r>
        <w:rPr>
          <w:rFonts w:ascii="Times New Roman" w:cs="Times New Roman" w:eastAsia="Times New Roman" w:hAnsi="Times New Roman"/>
          <w:sz w:val="17"/>
          <w:szCs w:val="17"/>
          <w:color w:val="auto"/>
        </w:rPr>
        <w:t>significant assumptions to evaluate the change in the deferral amounts.</w:t>
      </w:r>
    </w:p>
    <w:p>
      <w:pPr>
        <w:spacing w:after="0" w:line="200" w:lineRule="exact"/>
        <w:rPr>
          <w:sz w:val="20"/>
          <w:szCs w:val="20"/>
          <w:color w:val="auto"/>
        </w:rPr>
      </w:pPr>
    </w:p>
    <w:p>
      <w:pPr>
        <w:sectPr>
          <w:pgSz w:w="11900" w:h="16838" w:orient="portrait"/>
          <w:cols w:equalWidth="0" w:num="2">
            <w:col w:w="1260" w:space="80"/>
            <w:col w:w="9900"/>
          </w:cols>
          <w:pgMar w:left="320" w:top="118" w:right="3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Grandview Heights, Ohio</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14, 2025</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32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2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43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Basic Share</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6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Income per Basic Share</w:t>
            </w:r>
          </w:p>
        </w:tc>
        <w:tc>
          <w:tcPr>
            <w:tcW w:w="22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26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Income per Diluted Share</w:t>
            </w:r>
          </w:p>
        </w:tc>
        <w:tc>
          <w:tcPr>
            <w:tcW w:w="2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4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41"/>
        </w:trPr>
        <w:tc>
          <w:tcPr>
            <w:tcW w:w="4320" w:type="dxa"/>
            <w:vAlign w:val="bottom"/>
          </w:tcPr>
          <w:p>
            <w:pPr>
              <w:spacing w:after="0"/>
              <w:rPr>
                <w:sz w:val="24"/>
                <w:szCs w:val="24"/>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BATH &amp; BODY WORKS, INC.</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8540" w:type="dxa"/>
            <w:vAlign w:val="bottom"/>
            <w:gridSpan w:val="6"/>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4320" w:type="dxa"/>
            <w:vAlign w:val="bottom"/>
          </w:tcPr>
          <w:p>
            <w:pPr>
              <w:spacing w:after="0"/>
              <w:rPr>
                <w:sz w:val="20"/>
                <w:szCs w:val="20"/>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30"/>
        </w:trPr>
        <w:tc>
          <w:tcPr>
            <w:tcW w:w="4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320" w:type="dxa"/>
            <w:vAlign w:val="bottom"/>
          </w:tcPr>
          <w:p>
            <w:pPr>
              <w:spacing w:after="0"/>
              <w:rPr>
                <w:sz w:val="2"/>
                <w:szCs w:val="2"/>
                <w:color w:val="auto"/>
              </w:rPr>
            </w:pPr>
          </w:p>
        </w:tc>
        <w:tc>
          <w:tcPr>
            <w:tcW w:w="26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of Cash Flow Hedges to Earnings</w:t>
            </w:r>
          </w:p>
        </w:tc>
        <w:tc>
          <w:tcPr>
            <w:tcW w:w="2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3"/>
                <w:szCs w:val="13"/>
                <w:color w:val="auto"/>
              </w:rPr>
            </w:pPr>
          </w:p>
        </w:tc>
        <w:tc>
          <w:tcPr>
            <w:tcW w:w="12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8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81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Easton Assets Held for Sale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46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Stock—$1.00 par value; 10 shares authorized; none issued</w:t>
            </w: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Stock—$0.50 par value; 1,000 shares authorized; 231 and 240 shares issued; 216 and 225 shares</w:t>
            </w: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Treasury Stock, at Average Cost; 15 and 15 shares,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(Deficit)</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TOTAL EQUITY (DEFICIT)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240" w:type="dxa"/>
            <w:vAlign w:val="bottom"/>
          </w:tcPr>
          <w:p>
            <w:pPr>
              <w:spacing w:after="0"/>
              <w:rPr>
                <w:sz w:val="14"/>
                <w:szCs w:val="14"/>
                <w:color w:val="auto"/>
              </w:rPr>
            </w:pPr>
          </w:p>
        </w:tc>
        <w:tc>
          <w:tcPr>
            <w:tcW w:w="180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0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6"/>
                <w:szCs w:val="6"/>
                <w:color w:val="auto"/>
              </w:rPr>
            </w:pPr>
          </w:p>
        </w:tc>
        <w:tc>
          <w:tcPr>
            <w:tcW w:w="116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6"/>
                <w:szCs w:val="6"/>
                <w:color w:val="auto"/>
              </w:rPr>
            </w:pPr>
          </w:p>
        </w:tc>
        <w:tc>
          <w:tcPr>
            <w:tcW w:w="90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240" w:type="dxa"/>
            <w:vAlign w:val="bottom"/>
          </w:tcPr>
          <w:p>
            <w:pPr>
              <w:spacing w:after="0"/>
              <w:rPr>
                <w:sz w:val="2"/>
                <w:szCs w:val="2"/>
                <w:color w:val="auto"/>
              </w:rPr>
            </w:pPr>
          </w:p>
        </w:tc>
        <w:tc>
          <w:tcPr>
            <w:tcW w:w="76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w:t>
            </w: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line="20" w:lineRule="exact"/>
              <w:rPr>
                <w:sz w:val="1"/>
                <w:szCs w:val="1"/>
                <w:color w:val="auto"/>
              </w:rPr>
            </w:pPr>
          </w:p>
        </w:tc>
      </w:tr>
      <w:tr>
        <w:trPr>
          <w:trHeight w:val="149"/>
        </w:trPr>
        <w:tc>
          <w:tcPr>
            <w:tcW w:w="22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240" w:type="dxa"/>
            <w:vAlign w:val="bottom"/>
          </w:tcPr>
          <w:p>
            <w:pPr>
              <w:spacing w:after="0"/>
              <w:rPr>
                <w:sz w:val="17"/>
                <w:szCs w:val="17"/>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29, 2022</w:t>
            </w: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($0.80 per share)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46"/>
        </w:trPr>
        <w:tc>
          <w:tcPr>
            <w:tcW w:w="300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Accelerated Share Repurchase</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98"/>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Treasury Share Retirement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and Other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28, 2023</w:t>
            </w: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tcPr>
          <w:p>
            <w:pPr>
              <w:spacing w:after="0"/>
              <w:rPr>
                <w:sz w:val="16"/>
                <w:szCs w:val="16"/>
                <w:color w:val="auto"/>
              </w:rPr>
            </w:pPr>
          </w:p>
        </w:tc>
        <w:tc>
          <w:tcPr>
            <w:tcW w:w="620" w:type="dxa"/>
            <w:vAlign w:val="bottom"/>
            <w:tcBorders>
              <w:top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122</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(2,205)</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19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875</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($0.80 per share)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Treasury Share Retirement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and Other</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3, 2024</w:t>
            </w: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6"/>
                <w:szCs w:val="16"/>
                <w:color w:val="auto"/>
              </w:rPr>
            </w:pPr>
          </w:p>
        </w:tc>
        <w:tc>
          <w:tcPr>
            <w:tcW w:w="620" w:type="dxa"/>
            <w:vAlign w:val="bottom"/>
            <w:tcBorders>
              <w:top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120</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19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 ($0.80 per share)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9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Treasury Share Retirement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and Other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1, 2025</w:t>
            </w:r>
          </w:p>
        </w:tc>
        <w:tc>
          <w:tcPr>
            <w:tcW w:w="76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2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115</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9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18"/>
                <w:szCs w:val="18"/>
                <w:color w:val="auto"/>
              </w:rPr>
            </w:pPr>
          </w:p>
        </w:tc>
        <w:tc>
          <w:tcPr>
            <w:tcW w:w="880" w:type="dxa"/>
            <w:vAlign w:val="bottom"/>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6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of Long-lived Assets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6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Sales of Easton Investments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(Gain) on Extinguishment of Debt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Impairment of Equity Method Investment</w:t>
            </w: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6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6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9"/>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199"/>
        </w:trPr>
        <w:tc>
          <w:tcPr>
            <w:tcW w:w="6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Easton Investments, Net of Fees Paid</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8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199"/>
        </w:trPr>
        <w:tc>
          <w:tcPr>
            <w:tcW w:w="6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for Long-term Debt</w:t>
            </w:r>
          </w:p>
        </w:tc>
        <w:tc>
          <w:tcPr>
            <w:tcW w:w="860" w:type="dxa"/>
            <w:vAlign w:val="bottom"/>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Payments to Victoria’s Secret &amp; Co. related to Spin-Off</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Payments related to Share-based Awards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of Finance Lease Obligations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8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w:t>
            </w:r>
          </w:p>
        </w:tc>
      </w:tr>
      <w:tr>
        <w:trPr>
          <w:trHeight w:val="199"/>
        </w:trPr>
        <w:tc>
          <w:tcPr>
            <w:tcW w:w="6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8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0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8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1,979</w:t>
            </w:r>
          </w:p>
        </w:tc>
      </w:tr>
      <w:tr>
        <w:trPr>
          <w:trHeight w:val="234"/>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86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BATH &amp; BODY WORKS,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right="5500" w:firstLine="8"/>
        <w:spacing w:after="0" w:line="362" w:lineRule="auto"/>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Bath &amp; Body Works, Inc. (the “Company”) is a global omnichannel retailer focused on personal care and home fragrance. The Company sells merchandise through its retail stores in the United States of America (“U.S.”) and Canada, and through its websites and other channels, under the Bath &amp; Body Works®, White Barn® and other brand names. The Company’s international business is conducted through franchise, license and wholesale partners.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The Company utilizes the retail calendar for reporting. As a result, “2024” refers to the 52-week period ended February 1, 2025, “2023” refers to the 53-week period ended February 3, 2024 and “2022” refers to the 52-week period ended January 28,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significant intercompany balances and transactions have been eliminated in consolidation. 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all unconsolidated entities is included in Other Income in the Consolidated Statements of Income. The Company’s equity method investments are required to be reviewed for impairment when it is determined there may be an other-than-temporary loss in value.</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August 2, 2021, the Company completed the tax-free spin-off of its former Victoria’s Secret business, which included the Victoria’s Secret and PINK brands, into an independent publicly traded company (“Victoria’s Secret &amp; Co.”). Accordingly, the operating results of, and fees to separate, the Victoria’s Secret business were reported in Income from Discontinued Operations, Net of Tax in the Consolidated Statements of Income in prior periods. In 2022, the Company recorded a $6 million tax benefit, reported in Income from Discontinued Operations, Net of Tax, related to an adjustment to the previously recorded tax expense from the spin-off.</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less than 90 days. The Company’s Cash and Cash Equivalents are considered Level 1 fair value measurements as they are valued using unadjusted quoted prices in active markets for identical assets. The Company’s outstanding checks are included in Accounts Payable on the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and derivative contracts with various major financial institutions. The Company monitors the relative credit standing of financial institutions with whom it transacts and limits the amount of credit exposure with any one entity. The Company’s investment portfolio is primarily composed of U.S. government obligations, U.S. Treasury and AAA-rated money market funds, commercial paper and bank deposits.</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it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spacing w:after="0" w:line="6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also records inventory loss adjustments for estimated physical inventory losses that have occurred since the date of the last physical inventory. These estimates are based on management’s analysis of historical results and current operating trends.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Advertising and marketing costs are expensed at the time the promotion first appears in media, in the store or when the advertising is mailed. Advertising and marketing costs totaled $242 million for 2024, $180 million for 2023 and $166 million for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are recorded at cost and depreciation is computed on a straight-line basis using the following depreciable life ranges: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Category of Property and Equipment</w:t>
            </w:r>
          </w:p>
        </w:tc>
        <w:tc>
          <w:tcPr>
            <w:tcW w:w="140" w:type="dxa"/>
            <w:vAlign w:val="bottom"/>
          </w:tcPr>
          <w:p>
            <w:pPr>
              <w:spacing w:after="0"/>
              <w:rPr>
                <w:sz w:val="16"/>
                <w:szCs w:val="16"/>
                <w:color w:val="auto"/>
              </w:rPr>
            </w:pPr>
          </w:p>
        </w:tc>
        <w:tc>
          <w:tcPr>
            <w:tcW w:w="29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Depreciable Life Range</w:t>
            </w:r>
          </w:p>
        </w:tc>
      </w:tr>
      <w:tr>
        <w:trPr>
          <w:trHeight w:val="23"/>
        </w:trPr>
        <w:tc>
          <w:tcPr>
            <w:tcW w:w="8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Hardware and Software, including software developed for internal use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Store related assets</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Shorter of lease term or 10 years</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Non-store related building and site improvements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10 - 15 years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 years</w:t>
            </w:r>
          </w:p>
        </w:tc>
      </w:tr>
      <w:tr>
        <w:trPr>
          <w:trHeight w:val="23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17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Maintenance and repairs are charged to expense as incurred. Major renewals and betterments that extend useful lives are capitalized.</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Long-lived store assets, which include leasehold improvements, store-related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Arrangements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Costs incurred to implement cloud computing service arrangements hosted by third-party vendors are capitalized when incurred during the application development phase and amortized on a straight-line basis over the contractual term, plus any reasonably certain renewal periods, of the cloud computing arrangement. Capitalized amounts related to such arrangements are recorded within Other Current Assets and Other Assets on the Consolidated Balance Sheets and changes in cloud computing arrangement implementation costs are classified within Operating Activities in the Consolidated Statements of Cash Flows. Cloud computing assets and related amortization were not significant for any period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and Leasehold Improvements</w:t>
      </w:r>
    </w:p>
    <w:p>
      <w:pPr>
        <w:spacing w:after="0" w:line="12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Company leases retail space, office space, warehouse facilities, storage space, equipment and certain other items under operating leases. A substantial portion of the Company’s leases are operating leases for its stores, which generally have an initial term of 10 years. Annual store rent consists of a fixed minimum amount and/or variable rent based on a percentage of sales exceeding a stipulated amount. Store lease terms generally also require additional payments covering certain operating costs such as common area maintenance, utilities, insurance and taxes. Certain leases contain predetermined fixed escalations of minimum rentals or require periodic adjustments of minimum rentals depending on an index or rate. Additionally, certain leases contain incentives, such as construction allowances from landlords and/or rent abatements subsequent to taking possession of the leased property.</w:t>
      </w:r>
    </w:p>
    <w:p>
      <w:pPr>
        <w:spacing w:after="0" w:line="6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lease commencement, the Company recognizes an asset for the right to use the leased asset and a liability based on the present value of the unpaid fixed lease payments. Operating lease costs are recognized on a straight-line basis as lease expense over the lease term. Variable lease payments associated with the Company’s leases are recognized upon occurrence of the event or circumstance on which the payments are assessed. Short-term leases with an initial term of 12 months or less are not recorded on the balance sheet, and lease expense is recognized on a straight-line basis over the lease term. The Company uses its incremental borrowing rate, adjusted for collateral, to determine the present value of its unpaid lease payments.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store leases often include options to extend the initial term or to terminate the lease prior to the end of the initial term. The exercise of these options is typically at the sole discretion of the Company. These options are included in determining the initial lease term at lease commencement if the Company is reasonably certain to exercise the option. Additionally, the Company may operate stores for a period of time on a month-to-month basis after the expiration of the lease term.</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also has leasehold improvements which are amortized over the shorter of their estimated useful lives or the period from the date the assets are placed in service to the end of the initial lease term. Leasehold improvements made after the inception of the initial lease term are depreciated over the shorter of their estimated useful lives or the remaining lease term, including renewal periods, if reasonably assured.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 Goodwill and Trade Name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recorded Goodwill and Trade Name intangible assets resulting from business combinations that are recorded at cost.</w:t>
      </w:r>
    </w:p>
    <w:p>
      <w:pPr>
        <w:spacing w:after="0" w:line="11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Goodwill is reviewed for impairment at the reporting unit level each year in the fourth quarter and may be reviewed more frequently if certain events occur or circumstances change. The Company has the option to either first perform a qualitative assessment to determine whether it is more likely than not that a reporting unit’s fair value is less than its carrying value (including goodwill), or to proceed directly to the quantitative assessment which requires a comparison of a reporting unit’s fair value to its carrying value (including goodwill). If the Company determines that the fair value of a reporting unit is less than its carrying value, it recognizes an impairment charge equal to the difference, not to exceed the total amount of goodwill allocated to a reporting unit. The Company’s reporting units are determined in accordance with the provisions of Accounting Standards Codification (“ASC”) 350,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Bath &amp; Body Works Trade Name is an intangible asset with an indefinite life that is reviewed for impairment each year in the fourth quarter, and may be reviewed more frequently if certain events occur or circumstances change. The Company has the option to either first perform a qualitative assessment to determine whether it is more likely than not that the Trade Name is impaired, or to proceed directly to the quantitative assessment which requires a comparison of the fair value of the trade name to its carrying value. To determine if the fair value of the Trade Name is less than its carrying amount, the Company will estimate the fair value, usually determined by the relief from royalty method under the income approach, and compare that value with its carrying amount. If the carrying value of the Trade Name exceeds its fair value, the Company recognizes an impairment charge equal to the difference.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comprise substantially all of Accumulated Other Comprehensive Income in Shareholders’ Equity (Deficit). Accumulated foreign currency translation adjustments are reclassified to Net Income when realized upon sale or upon complete, or substantially complete, liquidation of the investment in the foreign entity.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Canadian dollar denominated earnings are subject to exchange rate risk as substantially all the Company’s merchandise sold in Canada is sourced through U.S. dollar transactions. The Company uses foreign currency forward contracts designated as cash flow hedges to mitigate this foreign currency exposure. Amounts are reclassified from Accumulated Other Comprehensive Income upon sale of the hedged merchandise to the customer. These gains and losses are recognized in Costs of Goods Sold, Buying and Occupancy in the Consolidated Statements of Income. All designated cash flow hedges are recorded on the Consolidated Balance Sheets at fair value. The fair value of designated cash flow hedges is not significant for any period presented. The Company does not use derivative financial instruments for trading purposes.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fourth quarter of 2024, the Company implemented a supply chain finance (“SCF”) program. Under the SCF program, the Company has an agreement with a third-party financial institution, whereby some of its suppliers have the opportunity to settle outstanding payment obligations early, at a discount, facilitated by the financial institution. The Company’s obligations to its suppliers, including amounts due and scheduled payment terms, are not impacted by suppliers’ participation in the arrangement and the Company provides no guarantees to any third parties under the SCF program. Amounts due under the SCF program are included in Accounts Payable in the Consolidated Balance Sheets and within Operating Activities in the Consolidated Statements of Cash Flows. The Company’s activity under the SCF program was not significant as of, and for the year ended, February 1, 2025.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Easton Investments</w:t>
      </w:r>
    </w:p>
    <w:p>
      <w:pPr>
        <w:spacing w:after="0" w:line="108"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The Company has land and other investments in Easton, a planned community in Columbus, Ohio, that integrates office, hotel, retail, residential and recreational space. As of February 1, 2025, certain of these investments met all of the required criteria for held for sale presentation, which requires assets to be reported at the lower of their carrying value or fair value less costs to sell. These investments, consisting primarily of undeveloped land, are reported at their carrying value, which was $96 million, and within Current Assets on the February 1, 2025 Consolidated Balance Sheet. The Company also had other Easton investments not presented as held for sale, with a carrying value of $26 million, reported in Other Assets on the February 1, 2025 Consolidated Balance Sheet.</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Previously included in the Company’s Easton investments were equity interests in Easton Town Center, LLC (“ETC”) and Easton Gateway, LLC (“EG”), entities that own and develop commercial entertainment and shopping centers. The Company’s investments in ETC and EG were accounted for using the equity method of accounting. On May 10, 2024, the Company sold its entire interest in the business associated with EG, and on August 1, 2024, the Company sold its entire interest in ETC. Net of fees, the Company recognized a pre-tax gain of $39 million, included in Other Income in the 2024 Consolidated Statement of Income, and received cash proceeds of $40 million, included in Investing Activities in the 2024 Consolidated Statement of Cash Flows, related to these sales.</w:t>
      </w:r>
    </w:p>
    <w:p>
      <w:pPr>
        <w:spacing w:after="0" w:line="66"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Company’s Easton investments totaled $120 million as of February 3, 2024, and are reported in Other Assets on the February 3, 2024 Consolidated Balance Sheet.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authoritative guidance included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7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market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660" w:right="320" w:hanging="328"/>
        <w:spacing w:after="0" w:line="26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market prices included in Level 1, such as quoted prices of similar assets and liabilities in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quoted prices for identical or similar assets and liabilities in markets that are not active; or other inputs that are observable or can be corroborated by observable market data.</w:t>
      </w:r>
    </w:p>
    <w:p>
      <w:pPr>
        <w:spacing w:after="0" w:line="11" w:lineRule="exact"/>
        <w:rPr>
          <w:rFonts w:ascii="Times New Roman" w:cs="Times New Roman" w:eastAsia="Times New Roman" w:hAnsi="Times New Roman"/>
          <w:sz w:val="18"/>
          <w:szCs w:val="18"/>
          <w:color w:val="auto"/>
        </w:rPr>
      </w:pPr>
    </w:p>
    <w:p>
      <w:pPr>
        <w:ind w:left="660" w:right="80" w:hanging="328"/>
        <w:spacing w:after="0" w:line="315" w:lineRule="auto"/>
        <w:tabs>
          <w:tab w:leader="none" w:pos="6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 Unobservable inputs that are supported by little or no market activity and that are significant to the fair value of the assets and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includes certain pricing models, discounted cash flow methodologies and similar techniques that use significant unobservable inputs.</w:t>
      </w:r>
    </w:p>
    <w:p>
      <w:pPr>
        <w:spacing w:after="0" w:line="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financial instruments, Property and Equipment, Net, Goodwill and its Trade Name in accordance with the provisions of ASC 820</w:t>
      </w:r>
      <w:r>
        <w:rPr>
          <w:rFonts w:ascii="Times New Roman" w:cs="Times New Roman" w:eastAsia="Times New Roman" w:hAnsi="Times New Roman"/>
          <w:sz w:val="18"/>
          <w:szCs w:val="18"/>
          <w:i w:val="1"/>
          <w:i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Consolidated Statements of Income in the period that includes the enactment date. A valuation allowance is recorded to reduce the carrying amounts of deferred tax assets if it is more likely than not that such assets will not be realized.</w:t>
      </w:r>
    </w:p>
    <w:p>
      <w:pPr>
        <w:spacing w:after="0" w:line="81"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determining the Company’s provision for income taxes, the Company considers permanent differences between book and tax income and statutory income tax rates. The Company’s effective income tax rate is affected by items including changes in tax law, the tax jurisdiction of the Company’s operations and the level of earnings.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 The Company’s policy is to include interest and penalties related to uncertain tax positions in income tax expense.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income tax returns, like those of most companies, are periodically audited by domestic and foreign tax authorities. These audits include questions regarding the Company’s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The Company includes its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Statements of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self-insured for medical, workers’ compensation, property, general liability and automobile liability up to certain stop-loss limits. Such costs are accrued based on known claims and an estimate of incurred but not reported (“IBNR”) claims. IBNR claims are estimated using historical claim information and actuarial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 represents the portion of equity interests of consolidated affiliates not owned by the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The Company recognizes all share-based payments to associates and directors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 As part of the Company’s determination of award fair value, it assesses the impact of material nonpublic information on the share price at the time of grant. There were no such fair value adjustments to awards granted in any period presented.</w:t>
      </w:r>
    </w:p>
    <w:p>
      <w:pPr>
        <w:spacing w:after="0" w:line="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Compensation cost is recognized over the service period for the fair value of awards that actually vest. Compensation expense for awards without a performance condition is recognized, net of estimated forfeitures, using a single award approach (each award is valued as one grant, irrespective of the number of vesting tranches). Compensation expense for awards with a performance condition is recognized, net of estimated forfeitures, using a multiple award approach (each vesting tranche is valued as one grant).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recognizes revenue based on the amount it expects to receive when control of the goods or services is transferred to the customer. The Company recognizes sales upon customer receipt of merchandise, which for direct channel revenues reflects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Consolidated Statements of Income. The Company also provides a reserve for projected merchandise returns based on historical experience. Net Sales exclude sales and other similar taxes collected from customers.</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offers a loyalty program that allows customers to earn points based on purchasing activity. As customers accumulate points and reach point thresholds, points are converted to rewards that may be used to purchase merchandise in stores or online. Points expire if a loyalty account is inactive for a certain period of time, while rewards expire if unused after approximately three months. The Company allocates revenue to points earned on qualifying purchases and defers recognition of revenue until the rewards are redeemed. The amount of revenue deferred is based on the relative stand-alone selling price method, which includes an estimate for points and rewards not expected to be redeemed based on historical experience.</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sells gift cards with no expiration dates to customers. The Company does not charge administrative fees on unused gift cards. The Company recognizes revenue from gift cards when they are redeemed by the customer. In addition, the Company recognizes revenue on unredeemed gift cards when the likelihood of the gift cards being redeemed is remote and there is no legal obligation to remit the unredeemed gift cards to relevant jurisdictions (gift card breakage). Gift card breakage revenue is recognized in proportion to, and over the same period as, actual gift card redemptions. The Company determines the gift card breakage rate based on historical redemption patterns. Gift card breakage revenue is included in Net Sales in the Consolidated Statements of Income.</w:t>
      </w:r>
    </w:p>
    <w:p>
      <w:pPr>
        <w:spacing w:after="0" w:line="7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Buying and Occupancy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Costs of Goods Sold include merchandise costs, net of discounts and allowances, freight and inventory shrinkage. The Company’s Buying and Occupancy Expenses primarily include; occupancy costs, including rent, common area maintenance, real estate taxes, utilities, maintenance, and fulfillment expenses; depreciation for the Company’s retail stores, warehouses, fulfillment facilities and equipment; and payroll, benefit costs and operating expenses for its buying departments and distribution network.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Store Operating Expenses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Company’s General, Administrative and Store Operating Expenses is comprised of Selling, Marketing, and General and Administrative expenses. Selling Expenses include payroll and benefit costs for the Company’s stores and other costs associated with operating stores and e-commerce sites. Marketing Expenses include costs associated with the Company’s marketing and advertising activities. General and Administrative Expenses include payroll and benefit costs for the Company’s administrative departments (including home office and corporate functions), general corporate expenses, and most of the Company’s technology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that expands reportable segment disclosure requirements, primarily through enhanced disclosures about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expenses and information used to assess segment performance, and applies to companies with a single reportable segment. The Company adopted this standard in the fourth quarter of 2024. Refer to Note 15, “Segment Reporting,” for the required disclosures.</w:t>
      </w:r>
    </w:p>
    <w:p>
      <w:pPr>
        <w:spacing w:after="0" w:line="7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that requires enhanced income tax disclosures, primarily related to standardization and disaggregation of rate reconciliation categories and income taxes paid by jurisdiction. This standard is effective for fiscal years beginning after December 15, 2024, with early adoption permitted, and may be applied either prospectively or retrospectively. The Company is currently evaluating the impact of adopting this standard on its disclosures.</w:t>
      </w:r>
    </w:p>
    <w:p>
      <w:pPr>
        <w:spacing w:after="0" w:line="72"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that requires disclosures of disaggregated information about certain prescribed expense categories within relevant income statement expense captions. This standard is effective for annual reporting of fiscal years beginning after December 15, 2026, and for interim periods in the following year, with early adoption permitted. This standard should be applied prospectively, with retrospective application permitted. The Company is currently evaluating the impact of adopting this standard on its disclosures.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$81 million as of February 1, 2025 and $84 million as of February 3, 2024. These accounts receivable primarily relate to amounts due from the Company’s franchise, license and wholesale partners. Under these arrangements, payment terms are typically 45 to 75 days.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points and rewards, and direct channel shipments not received by the customer, which are all impacted by seasonal and holiday-related sales patterns. Deferred revenue, which is recorded within Accrued Expenses and Other on the Consolidated Balance Sheets, was $197 million as of February 1, 2025 and $198 million as of February 3, 2024. The Company recognized $132 million as revenue in 2024 from amounts recorded as deferred revenue at the beginning of the Company’s fiscal year.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U.S. and Canada (a)</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 U.S. and Canada</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(b)</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w:t>
            </w:r>
          </w:p>
        </w:tc>
      </w:tr>
      <w:tr>
        <w:trPr>
          <w:trHeight w:val="20"/>
        </w:trPr>
        <w:tc>
          <w:tcPr>
            <w:tcW w:w="6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fulfilled buy online pick up in store orders.</w:t>
      </w:r>
    </w:p>
    <w:p>
      <w:pPr>
        <w:spacing w:after="0" w:line="6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royalties associated with franchised stores and wholesale sales.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Net Sales outside of the U.S. include sales from Company-operated stores and its e-commerce site in Canada, royalties associated with franchised stores and wholesale sales. Certain of these sales are subject to the impact of fluctuations in foreign currency. The Company’s Net Sales outside of the U.S. totaled $691 million in 2024, $723 million in 2023 and $707 million in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Per Share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Income per Basic Share is computed based on the weighted-average number of common shares outstanding. Net Income per Diluted Share includes the weighted-average effect of dilutive restricted share units, performance share units and stock options (collectively, “Dilutive Awards”) on the weighted-average common shares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Net Income per Basic and Diluted Share for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gridSpan w:val="2"/>
          </w:tcPr>
          <w:p>
            <w:pPr>
              <w:ind w:left="7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10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65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92"/>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These awards were excluded from the calculation of Net Income per Diluted Share because their inclusion would have been anti-dilutive.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February 1, 2025 and February 3,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8140" w:type="dxa"/>
            <w:vAlign w:val="bottom"/>
          </w:tcPr>
          <w:p>
            <w:pPr>
              <w:spacing w:after="0"/>
              <w:rPr>
                <w:sz w:val="17"/>
                <w:szCs w:val="17"/>
                <w:color w:val="auto"/>
              </w:rPr>
            </w:pPr>
          </w:p>
        </w:tc>
        <w:tc>
          <w:tcPr>
            <w:tcW w:w="11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7"/>
                <w:szCs w:val="17"/>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Long-lived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February 1, 2025 and February 3,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60" w:type="dxa"/>
            <w:vAlign w:val="bottom"/>
          </w:tcPr>
          <w:p>
            <w:pPr>
              <w:spacing w:after="0"/>
              <w:rPr>
                <w:sz w:val="13"/>
                <w:szCs w:val="13"/>
                <w:color w:val="auto"/>
              </w:rPr>
            </w:pPr>
          </w:p>
        </w:tc>
        <w:tc>
          <w:tcPr>
            <w:tcW w:w="11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Software and Equipment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1"/>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$282 million in 2024, $269 million in 2023 and $221 million in 2022.</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Company’s internationally-based long-lived assets, including operating lease assets, were $131 million as of February 1, 2025 and $138 million as of February 3,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lease cost for operating leases for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6"/>
        </w:trPr>
        <w:tc>
          <w:tcPr>
            <w:tcW w:w="20" w:type="dxa"/>
            <w:vAlign w:val="bottom"/>
            <w:shd w:val="clear" w:color="auto" w:fill="CCEEFF"/>
          </w:tcPr>
          <w:p>
            <w:pPr>
              <w:spacing w:after="0"/>
              <w:rPr>
                <w:sz w:val="20"/>
                <w:szCs w:val="20"/>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2"/>
        </w:trPr>
        <w:tc>
          <w:tcPr>
            <w:tcW w:w="7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future maturities of operating lease liabilities as of February 1, 2025:</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0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Interest</w:t>
            </w:r>
          </w:p>
        </w:tc>
        <w:tc>
          <w:tcPr>
            <w:tcW w:w="10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accounts for all fixed consideration in a lease as a single lease component. Therefore, the payments used to measure the lease liability include fixed minimum rentals along with fixed operating costs such as common area maintenance and utilities.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2025, the Company had additional operating lease commitments that have not yet commenced of $43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weighted-average remaining lease term and discount rate for operating lease liabilities as of February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18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90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1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5.8 %</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cash flow information related to the Company’s operating leases for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4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 (a)</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176"/>
        </w:trPr>
        <w:tc>
          <w:tcPr>
            <w:tcW w:w="6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Lease Assets obtained as a result of new or modified Lease Liabilities, net of</w:t>
            </w: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terminations</w:t>
            </w:r>
          </w:p>
        </w:tc>
        <w:tc>
          <w:tcPr>
            <w:tcW w:w="10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These payments are included within the Operating Activities section of the Consolidated Statements of 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leases certain fulfillment equipment under finance leases that expire at various dates through 2029. The Company records finance lease assets, net of accumulated amortization, in Property and Equipment, Net on the Consolidated Balance Sheets. Additionally, the Company records finance lease liabilities in Accrued Expenses and Other and Other Long-term Liabilities on the Consolidated Balance Sheets. Finance lease costs are comprised of the straight-line amortization of the lease asset and the accretion of interest expense under the effective interest method. The Company’s finance lease costs, assets and liabilities were not significant for any period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Goodwill was $628 million as of February 1, 2025 and February 3, 2024.</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performed its qualitative goodwill impairment assessments as of February 1, 2025 and February 3, 2024 and determined that it was not more likely than not that fair value was less than carrying value (including goodwill) as of both 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Name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Trade Name was $165 million as of February 1, 2025 and February 3, 2024.</w:t>
      </w:r>
    </w:p>
    <w:p>
      <w:pPr>
        <w:spacing w:after="0" w:line="11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performed its impairment assessments of the Trade Name as of February 1, 2025 and February 3, 2024, utilizing the relief from royalty method under the income approach, and determined that its fair value was greater than its carrying value as of both 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Assets and Liabilities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Other Current Assets as of February 1, 2025 and February 3, 2024:</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260" w:type="dxa"/>
            <w:vAlign w:val="bottom"/>
          </w:tcPr>
          <w:p>
            <w:pPr>
              <w:spacing w:after="0"/>
              <w:rPr>
                <w:sz w:val="16"/>
                <w:szCs w:val="16"/>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80" w:type="dxa"/>
            <w:vAlign w:val="bottom"/>
          </w:tcPr>
          <w:p>
            <w:pPr>
              <w:spacing w:after="0"/>
              <w:rPr>
                <w:sz w:val="16"/>
                <w:szCs w:val="16"/>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Assets</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February 1, 2025 and February 3, 2024: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8260" w:type="dxa"/>
            <w:vAlign w:val="bottom"/>
          </w:tcPr>
          <w:p>
            <w:pPr>
              <w:spacing w:after="0"/>
              <w:rPr>
                <w:sz w:val="17"/>
                <w:szCs w:val="17"/>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08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Current income tax expense represents the amounts expected to be reported on the Company’s income tax returns, and deferred tax expense or benefit represents the change in net deferred tax assets and liabilities. Deferred tax assets and liabilities are determined based on the difference between the financial statement and tax bases of assets and liabilities as measured by the enacted tax rates that will be in effect when these differences reverse. Valuation allowances are recorded as appropriate to reduce deferred tax assets to the amount considered likely to be realized.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the Company’s provision for income taxes for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non-U.S. component of pre-tax income, arising principally from overseas operations, was income of $66 million, $84 million and $94 million for 2024, 2023 and 2022,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between the statutory federal income tax rate and the effective tax rate for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20" w:type="dxa"/>
            <w:vAlign w:val="bottom"/>
            <w:gridSpan w:val="2"/>
          </w:tcPr>
          <w:p>
            <w:pPr>
              <w:ind w:left="68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4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Rate</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Non-U.S. Operations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7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0"/>
        </w:trPr>
        <w:tc>
          <w:tcPr>
            <w:tcW w:w="6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represent the future effects on income taxes resulting from temporary differences and carryforwards at the end of the respective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effect of temporary differences that cause deferred income taxes as of February 1, 2025 and February 3,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3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35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Carryforwards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
        </w:trPr>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February 1, 2025, the Company had loss carryforwards of $367 million, of which $248 million had an indefinite carryforward. The remainder of the U.S. and non-U.S. carryforwards, if unused, will expire at various dates from 2025 through 2040 and 2031 through 2041, respectively. For certain jurisdictions where the Company has determined that it is more likely than not that the loss carryforwards will not be realized, a valuation allowance has been provided on those loss carryforwards as well as other net deferred tax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payments were $351 million for 2024, $231 million for 2023 and $188 million for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9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for U.S. federal, state and non-U.S. tax jurisdictions for 2024, 2023 and 2022, without interest and penalties: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Beginning of the Fiscal Year</w:t>
            </w:r>
          </w:p>
        </w:tc>
        <w:tc>
          <w:tcPr>
            <w:tcW w:w="6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145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Unrecognized Tax Benefits for Prior Years</w:t>
            </w:r>
          </w:p>
        </w:tc>
        <w:tc>
          <w:tcPr>
            <w:tcW w:w="6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for Prior Years</w:t>
            </w: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Unrecognized Tax Benefits as a Result of Current Year Activity</w:t>
            </w:r>
          </w:p>
        </w:tc>
        <w:tc>
          <w:tcPr>
            <w:tcW w:w="6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Relating to Settlements with Taxing Authorities</w:t>
            </w:r>
          </w:p>
        </w:tc>
        <w:tc>
          <w:tcPr>
            <w:tcW w:w="6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as a Result of a Lapse of the Applicable Statute of Limitations</w:t>
            </w: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End of the Fiscal Year</w:t>
            </w: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149</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Of the total gross unrecognized tax benefits, approximately $91 million, $131 million and $135 million, at February 1, 2025, February 3, 2024, and January 28, 2023, respectively, represent the amount of unrecognized tax benefits that, if recognized, would favorably affect the effective income tax rate in future periods. These amounts are net of the offsetting tax effects from other tax jurisdictions.</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Of the total unrecognized tax benefits, it is reasonably possible that $111 million could change in the next 12 months due to audit settlements, expiration of statutes of limitations or other resolution of uncertainties. Due to the uncertain and complex application of tax regulations, it is possible that the ultimate resolution of audits may result in amounts which could be different from this estimate.</w:t>
      </w:r>
    </w:p>
    <w:p>
      <w:pPr>
        <w:spacing w:after="0" w:line="6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components of income tax expense. The Company recognized an income tax expense from interest and penalties of approximately $11 million for 2024, $9 million for 2023 and $2 million for 2022. The Company had accrued $30 million and $19 million for the payment of interest and penalties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as of February 1, 2025 and February 3, 2024, respectively. Accrued interest and penalties are included within Other Long-term Liabilities on the Consolidated Balance Sheets.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income tax returns in various states and in non-U.S. jurisdictions. The Company is a participant in the Compliance Assurance Process, which is a program made available by the Internal Revenue Service (“IRS”) to certain qualifying large taxpayers, under which participants work collaboratively with the IRS to identify and resolve potential tax issues through open, cooperative and transparent interaction prior to the annual filing of their federal income tax returns. The IRS is currently examining the Company’s 2020 to 2024 consolidated U.S. federal income tax returns.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also subject to various state and local income tax examinations for the years 2017 to 2023. Finally, the Company is subject to multiple non-U.S. tax jurisdiction examinations for the years 2012 to 2023. In some situations, the Company determines that it does not have a filing requirement in a particular tax jurisdiction. Where no return has been filed, no statute of limitations applies. Accordingly, if a tax jurisdiction reaches a conclusion that a filing requirement does exist, additional years may be reviewed by the tax authority. The Company believes it has appropriately accounted for uncertainties related to this issue.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and Borrowing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balances, net of unamortized debt issuance costs and discounts, as of February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February 3,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60" w:type="dxa"/>
            <w:vAlign w:val="bottom"/>
          </w:tcPr>
          <w:p>
            <w:pPr>
              <w:spacing w:after="0"/>
              <w:rPr>
                <w:sz w:val="13"/>
                <w:szCs w:val="13"/>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812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120" w:type="dxa"/>
            <w:vAlign w:val="bottom"/>
            <w:tcBorders>
              <w:top w:val="single" w:sz="8" w:color="auto"/>
            </w:tcBorders>
            <w:shd w:val="clear" w:color="auto" w:fill="CCEEFF"/>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$500 million, 9.375% Fixed Interest Rate Notes due July 2025 (“2025 Notes”)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$284 million, 6.694% Fixed Interest Rate Notes due January 2027 (“2027 Notes”)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20" w:type="dxa"/>
            <w:vAlign w:val="bottom"/>
          </w:tcPr>
          <w:p>
            <w:pPr>
              <w:spacing w:after="0"/>
              <w:rPr>
                <w:sz w:val="19"/>
                <w:szCs w:val="19"/>
                <w:color w:val="auto"/>
              </w:rPr>
            </w:pPr>
          </w:p>
        </w:tc>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$444 million, 5.250% Fixed Interest Rate Notes due February 2028 (“2028 Notes”)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$482 million, 7.500% Fixed Interest Rate Notes due June 2029 (“2029 Notes”)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20" w:type="dxa"/>
            <w:vAlign w:val="bottom"/>
          </w:tcPr>
          <w:p>
            <w:pPr>
              <w:spacing w:after="0"/>
              <w:rPr>
                <w:sz w:val="19"/>
                <w:szCs w:val="19"/>
                <w:color w:val="auto"/>
              </w:rPr>
            </w:pPr>
          </w:p>
        </w:tc>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$844 million, 6.625% Fixed Interest Rate Notes due October 2030 (“2030 Notes”)</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$802 million, 6.875% Fixed Interest Rate Notes due November 2035 (“2035 Notes”)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$575 million, 6.750% Fixed Interest Rate Notes due July 2036 (“2036 Notes”)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r>
      <w:tr>
        <w:trPr>
          <w:trHeight w:val="189"/>
        </w:trPr>
        <w:tc>
          <w:tcPr>
            <w:tcW w:w="20" w:type="dxa"/>
            <w:vAlign w:val="bottom"/>
          </w:tcPr>
          <w:p>
            <w:pPr>
              <w:spacing w:after="0"/>
              <w:rPr>
                <w:sz w:val="16"/>
                <w:szCs w:val="16"/>
                <w:color w:val="auto"/>
              </w:rPr>
            </w:pPr>
          </w:p>
        </w:tc>
        <w:tc>
          <w:tcPr>
            <w:tcW w:w="81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$284 million, 6.950% Fixed Interest Rate Debentures due March 2033 (“2033 Notes”)</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$201 million, 7.600% Fixed Interest Rate Notes due July 2037 (“2037 Notes”)</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20" w:type="dxa"/>
            <w:vAlign w:val="bottom"/>
          </w:tcPr>
          <w:p>
            <w:pPr>
              <w:spacing w:after="0"/>
              <w:rPr>
                <w:sz w:val="19"/>
                <w:szCs w:val="19"/>
                <w:color w:val="auto"/>
              </w:rPr>
            </w:pPr>
          </w:p>
        </w:tc>
        <w:tc>
          <w:tcPr>
            <w:tcW w:w="8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principal payments due on outstanding Long-term Debt in the next five fiscal years and the remaining years thereafter: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660" w:type="dxa"/>
            <w:vAlign w:val="bottom"/>
          </w:tcPr>
          <w:p>
            <w:pPr>
              <w:spacing w:after="0"/>
              <w:rPr>
                <w:sz w:val="18"/>
                <w:szCs w:val="18"/>
                <w:color w:val="auto"/>
              </w:rPr>
            </w:pPr>
          </w:p>
        </w:tc>
        <w:tc>
          <w:tcPr>
            <w:tcW w:w="12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40" w:type="dxa"/>
            <w:vAlign w:val="bottom"/>
            <w:shd w:val="clear" w:color="auto" w:fill="CCEEFF"/>
          </w:tcPr>
          <w:p>
            <w:pPr>
              <w:spacing w:after="0"/>
              <w:rPr>
                <w:sz w:val="19"/>
                <w:szCs w:val="19"/>
                <w:color w:val="auto"/>
              </w:rPr>
            </w:pPr>
          </w:p>
        </w:tc>
        <w:tc>
          <w:tcPr>
            <w:tcW w:w="4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4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40" w:type="dxa"/>
            <w:vAlign w:val="bottom"/>
            <w:shd w:val="clear" w:color="auto" w:fill="CCEEFF"/>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34"/>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$289 million in 2024, $346 million in 2023 and $339 million in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Notes</w:t>
      </w:r>
    </w:p>
    <w:p>
      <w:pPr>
        <w:spacing w:after="0" w:line="12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The losses and gains on the extinguishment of debt include the write-offs of unamortized issuance costs and are included in Other Income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Repurchases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first and second quarters of 2024, the Company repurchased in the open market and extinguished $200 million principal amount of the Company’s outstanding senior notes. The aggregate repurchase price for these notes was $202 million, resulting in pre-tax losses of $3 million, net of the write-off of unamortized issuance costs.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fourth quarter of 2024, the Company completed a make-whole call to repurchase the remaining $314 million principal amount of the Company’s outstanding 2025 Notes. The repurchase price for these notes was $320 million, resulting in a pre-tax loss of $7 million, net of the write-off of unamortized issuance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Repurchases</w:t>
      </w:r>
    </w:p>
    <w:p>
      <w:pPr>
        <w:spacing w:after="0" w:line="1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2023, the Company repurchased in the open market and extinguished $485 million principal amount of the Company’s outstanding senior notes. The aggregate repurchase price for these notes was $447 million, resulting in pre-tax gains of $34 million, net of the write-off of unamortized issuance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the outstanding principal amounts of senior notes repurchased and extinguished during 2024 and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Notes</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Notes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2033 Notes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2035 Notes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2036 Notes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2037 Notes</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0"/>
        </w:trPr>
        <w:tc>
          <w:tcPr>
            <w:tcW w:w="8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Asset-backed Revolving Credit Facility</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and certain of the Company’s 100% owned subsidiaries guarantee and pledge collateral to secure an asset-backed revolving credit facility (“ABL Facility”). The ABL Facility, which allows borrowings and letters of credit in U.S. dollars, has aggregate commitments of $750 million and an expiration date in August 2026.</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Availability under the ABL Facility is the lesser of (i) the borrowing base, determined primarily based on the Company’s eligible U.S. and Canadian credit card receivables, accounts receivable, inventory and eligible real property, or (ii) the aggregate commitment. If at any time the outstanding amount under the ABL Facility exceeds the lesser of (i) the borrowing base and (ii) the aggregate commitment, the Company is required to repay the outstanding amounts under the ABL Facility to the extent of such excess. As of February 1, 2025, the Company’s borrowing base was $553 million and it had no borrowings outstanding under the ABL Facility.</w:t>
      </w:r>
    </w:p>
    <w:p>
      <w:pPr>
        <w:spacing w:after="0" w:line="7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The ABL Facility supports the Company’s letter of credit program. The Company had $11 million of outstanding letters of credit as of February 1, 2025 that reduced its availability under the ABL Facility. As of February 1, 2025, the Company’s availability under the ABL Facility was $542 million.</w:t>
      </w:r>
    </w:p>
    <w:p>
      <w:pPr>
        <w:spacing w:after="0" w:line="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February 1, 2025, the ABL Facility fees related to committed and unutilized amounts were 0.30% per annum, and the fees related to outstanding letters of credit were 1.25% per annum. In addition, the interest rate on outstanding U.S. dollar borrowings was the Term Secured Overnight Financing Rate plus 1.25% and a credit spread adjustment of 0.10% per annum.</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ABL Facility requires the Company to maintain a fixed charge coverage ratio of not less than 1.00 to 1.00 during an event of default or any period commencing on any day when specified excess availability is less than the greater of (i) $70 million or (ii) 10% of the maximum borrowing amount. As of February 1, 2025, the Company was not required to maintain this ratio.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Long-term Debt as of February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February 3,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440" w:type="dxa"/>
            <w:vAlign w:val="bottom"/>
          </w:tcPr>
          <w:p>
            <w:pPr>
              <w:spacing w:after="0"/>
              <w:rPr>
                <w:sz w:val="13"/>
                <w:szCs w:val="13"/>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3,916</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24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3,986</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ind w:left="340" w:right="100" w:hanging="332"/>
        <w:spacing w:after="0" w:line="312" w:lineRule="auto"/>
        <w:tabs>
          <w:tab w:leader="none" w:pos="33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fair value of the Company’s Long-term Debt is based on reported transaction prices, which are considered Level 2 inputs in accordance with ASC 820. The estimates presented are not necessarily indicative of the amounts that the Company could realize in a current market exchange.</w:t>
      </w:r>
    </w:p>
    <w:p>
      <w:pPr>
        <w:spacing w:after="0" w:line="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values of the Company’s Accounts Receivable, Accounts Payable and Accrued Expenses approximate their fair values because of their short maturities.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regulatory and other matters arising in the ordinary course of business. Actions filed against the Company from time to time may include commercial, tort, intellectual property, tax, customer, employment, wage and hour, data privacy, securities, anti-corruption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spin-off of Victoria’s Secret &amp; Co. and the disposal of a certain other business, the Company had remaining contingent obligations of $232 million as of February 1, 2025 related to lease payments under the current terms of noncancelable leases, primarily related to office space, expiring at various dates through 2037. These obligations include minimum rent and additional payments covering taxes, common area costs and certain other expenses and relate to leases that commenced prior to the disposition of these businesses. The Company’s reserves related to these obligations were not significant for any period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Shareholders’ Equity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Share Repurchase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2022, the Company’s Board of Directors (the “Board”) authorized a $1.5 billion share repurchase program (the “February 2022 Program”).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February 2022 Program, the Company repurchased the following shares of its common stock during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880" w:type="dxa"/>
            <w:vAlign w:val="bottom"/>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20" w:type="dxa"/>
            <w:vAlign w:val="bottom"/>
            <w:gridSpan w:val="4"/>
            <w:vMerge w:val="restart"/>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Average Stock Price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880" w:type="dxa"/>
            <w:vAlign w:val="bottom"/>
          </w:tcPr>
          <w:p>
            <w:pPr>
              <w:jc w:val="center"/>
              <w:ind w:left="804"/>
              <w:spacing w:after="0" w:line="127"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left="504"/>
              <w:spacing w:after="0" w:line="127"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80" w:type="dxa"/>
            <w:vAlign w:val="bottom"/>
            <w:tcBorders>
              <w:bottom w:val="single" w:sz="8" w:color="auto"/>
            </w:tcBorders>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80" w:type="dxa"/>
            <w:vAlign w:val="bottom"/>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2022</w:t>
            </w:r>
          </w:p>
        </w:tc>
        <w:tc>
          <w:tcPr>
            <w:tcW w:w="188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8"/>
                <w:szCs w:val="18"/>
                <w:color w:val="auto"/>
              </w:rPr>
              <w:t>842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February 2022 Program had no remaining authority as of May 4, 2024. There were share repurchases of $1 million reflected in Accounts Payable on the February 3, 2024 Consolidated Balance Sheet.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Share Repurchase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2024, the Board authorized a $500 million share repurchase program (the “January 2024 Program”). Under the January 2024 Program,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repurchased the following shares of its common stock during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Stock Price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2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57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3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9,583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January 2024 Program had $139 million of remaining authority as of February 1, 2025. There were share repurchases of $1 million reflected in Accounts Payable on the February 1, 2025 Consolidated Balance Sheet.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Share Repurchase Program</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January 2025, the Board authorized a new $500 million share repurchase program (the “January 2025 Program”). On February 27, 2025, the Company cancelled the remaining $121 million authorization available under the January 2024 Program and began repurchasing shares under the January 2025 Program.</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Subsequent to February 1, 2025 through March 14, 2025, the Company repurchased an additional 1.5 million shares of its common stock for $53 million under the January 2024 and January 2025 Programs.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Retirement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Shares of common stock repurchased under the February 2022 and January 2024 Programs are retired and cancelled upon repurchase. As a result, the Company retired the 10.425 million shares repurchased during 2024, which resulted in reductions of $5 million in the par value of Common Stock, $34 million in Paid-in Capital and $361 million in Retained Earnings (Accumulated Deficit). The Company retired the 4.096 million shares repurchased during 2023, which resulted in reductions of $2 million in the par value of Common Stock, $14 million in Paid-in Capital and $133 million in Retained Earnings (Accumulated Deficit).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the following dividends during 2024, 2023 and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Dividends</w:t>
            </w:r>
          </w:p>
        </w:tc>
        <w:tc>
          <w:tcPr>
            <w:tcW w:w="240" w:type="dxa"/>
            <w:vAlign w:val="bottom"/>
          </w:tcPr>
          <w:p>
            <w:pPr>
              <w:spacing w:after="0"/>
              <w:rPr>
                <w:sz w:val="16"/>
                <w:szCs w:val="16"/>
                <w:color w:val="auto"/>
              </w:rPr>
            </w:pPr>
          </w:p>
        </w:tc>
        <w:tc>
          <w:tcPr>
            <w:tcW w:w="126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 Paid</w:t>
            </w:r>
          </w:p>
        </w:tc>
      </w:tr>
      <w:tr>
        <w:trPr>
          <w:trHeight w:val="23"/>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8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8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 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8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March 7, 2025, the Company paid its first quarter 2025 ordinary dividend of $0.20 per share to stockholders of record at the close of business on February 21, 2025.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860" w:firstLine="8"/>
        <w:spacing w:after="0" w:line="354" w:lineRule="auto"/>
        <w:tabs>
          <w:tab w:leader="none" w:pos="27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b w:val="1"/>
          <w:bCs w:val="1"/>
          <w:i w:val="1"/>
          <w:iCs w:val="1"/>
          <w:color w:val="auto"/>
        </w:rPr>
        <w:t>Plan Summary</w:t>
      </w:r>
    </w:p>
    <w:p>
      <w:pPr>
        <w:spacing w:after="0" w:line="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2020, the Company’s stockholders approved the 2020 Stock Option and Performance Incentive Plan (“2020 Plan”). The 2020 Plan replaced the 2015 Stock Option and Performance Incentive Plan (together with the 2020 Plan, the “Plans”). The Plans provide for the grant of incentive stock options, non-qualified stock options, stock appreciation rights, restricted stock units, restricted stock, performance share units and unrestricted shares. Historically, the Company granted stock options at a price equal to the fair market value of the stock on the date of grant. Stock options have a maximum term of 10 years. Stock options and restricted stock units generally vest over three-to-five-years. Performance share units generally cliff vest at the end of a three-year performance period based upon the Company’s achievement of pre-established goals over the performance period.</w:t>
      </w:r>
    </w:p>
    <w:p>
      <w:pPr>
        <w:spacing w:after="0" w:line="6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Under the Plans, 206 million options, restricted and unrestricted shares have been authorized to be granted to associates and directors. There were 12 million shares of common stock available for future issuance under the Plans as of February 1,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Statement Impacts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Share-based Compensation Expense included in the Consolidated Statements of Income for 2024,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There was no incremental tax expense associated with share-based compensation in 2024 and $1 million for 2023. The tax benefit associated with recognized share-based compensation expense was $7 million for 2022.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Share Units</w:t>
      </w:r>
    </w:p>
    <w:p>
      <w:pPr>
        <w:spacing w:after="0" w:line="9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restricted stock unit and performance share unit activity on a combined basis for the year ended February 1,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5"/>
        </w:trPr>
        <w:tc>
          <w:tcPr>
            <w:tcW w:w="744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195"/>
        </w:trPr>
        <w:tc>
          <w:tcPr>
            <w:tcW w:w="7440" w:type="dxa"/>
            <w:vAlign w:val="bottom"/>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February 3, 2024</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February 1, 2025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fair value of restricted stock unit and performance share unit awards is generally based on the market value of the Company’s common stock on the grant date adjusted for anticipated dividend yields. The weighted-average estimated fair value of awards granted was $44.65 per share for 2024, $35.93 per share for 2023 and $44.73 per share for 2022.</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total intrinsic value of awards that vested was $50 million for 2024, $31 million for 2023 and $88 million for 2022. The Company’s total fair value at grant date of awards that vested was $48 million for 2024 and $36 million for 2023 and 2022.</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benefits realized from tax deductions associated with awards that vested were $8 million for 2024, $6 million for 2023 and $14 million for 2022.</w:t>
      </w:r>
    </w:p>
    <w:p>
      <w:pPr>
        <w:spacing w:after="0" w:line="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February 1, 2025, there was $36 million of total unrecognized compensation cost, net of estimated forfeitures, related to unvested restricted stock and performance share units. This cost is expected to be recognized over a weighted-average period of 1.5 years.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managed at the consolidated level and therefore operates and reports as a single segment. The Company’s Chief Executive Officer is its Chief Operating Decision Maker (“CODM”), and the measure of profitability included in the financial information regularly provided to the CODM is total Company Operating Income. The Company’s CODM assesses Operating Income performance in comparison to forecasts and historical results to make decisions on the reinvestment of profits into the business and capital allocation strategies.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significant segment expenses that are regularly provided to the CODM in 2024, 2023, and 2022:</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Buying and Occupancy</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Expenses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Expenses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1"/>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color w:val="auto"/>
        </w:rPr>
        <w:t xml:space="preserve">As a single reportable segment entity, the other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can be found in the Company’s Consolidated Financial Statements and the Notes thereto, including the Company’s measure of segment assets, which is total consolidated assets.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Chief Financial Officer, to allow timely decisions regarding required disclosure.</w:t>
      </w:r>
    </w:p>
    <w:p>
      <w:pPr>
        <w:spacing w:after="0" w:line="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Management’s Report on Internal Control Over Financial Reporting as of February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is set forth in Item 8. Financial Statements and Supplementary Data.</w:t>
      </w:r>
    </w:p>
    <w:p>
      <w:pPr>
        <w:spacing w:after="0" w:line="23"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Attestation Report of the Registered Public Accounting Firm</w:t>
      </w:r>
      <w:r>
        <w:rPr>
          <w:rFonts w:ascii="Times New Roman" w:cs="Times New Roman" w:eastAsia="Times New Roman" w:hAnsi="Times New Roman"/>
          <w:sz w:val="18"/>
          <w:szCs w:val="18"/>
          <w:color w:val="auto"/>
        </w:rPr>
        <w:t>. The Report of Independent Registered Public Accounting Firm on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of February 1, 2025 is set forth in Item 8. Financial Statements and Supplementary Data.</w:t>
      </w:r>
    </w:p>
    <w:p>
      <w:pPr>
        <w:spacing w:after="0" w:line="37" w:lineRule="exact"/>
        <w:rPr>
          <w:sz w:val="20"/>
          <w:szCs w:val="20"/>
          <w:color w:val="auto"/>
        </w:rPr>
      </w:pPr>
    </w:p>
    <w:p>
      <w:pPr>
        <w:jc w:val="both"/>
        <w:ind w:right="98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fourth quarter 2024 that have materially affected, or are reasonably likely to materially affect, our internal control over financial reporting.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(as such terms are defined in Item 408(c) of Regulation S-K) during the fourth quarter of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AND EXECUTIVE OFFICERS AND CORPORATE GOVERNANCE.</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Information required by Item 10 regarding our directors, executive officers and corporate governance is included in our Proxy Statement related to our 2025 Annual Meeting of Stockholders and is incorporated herein by reference. Information regarding compliance with Section 16(A) of the Exchange Act is included in our Proxy Statement related to our 2025 Annual Meeting of Stockholders and is incorporated herein by reference.</w:t>
      </w:r>
    </w:p>
    <w:p>
      <w:pPr>
        <w:spacing w:after="0" w:line="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 written Code of Conduct that applies to members of the Company’s board of directors and associates, including the Company’s Chief Executive Officer (Principal Executive Officer) and Chief Financial Officer (Principal Financial and Accounting Officer). The Code of Conduct is available on the Company’s website at </w:t>
      </w:r>
      <w:r>
        <w:rPr>
          <w:rFonts w:ascii="Times New Roman" w:cs="Times New Roman" w:eastAsia="Times New Roman" w:hAnsi="Times New Roman"/>
          <w:sz w:val="18"/>
          <w:szCs w:val="18"/>
          <w:i w:val="1"/>
          <w:iCs w:val="1"/>
          <w:color w:val="auto"/>
        </w:rPr>
        <w:t>www.bbwinc.com</w:t>
      </w:r>
      <w:r>
        <w:rPr>
          <w:rFonts w:ascii="Times New Roman" w:cs="Times New Roman" w:eastAsia="Times New Roman" w:hAnsi="Times New Roman"/>
          <w:sz w:val="18"/>
          <w:szCs w:val="18"/>
          <w:color w:val="auto"/>
        </w:rPr>
        <w:t xml:space="preserve"> (accessible by clicking on the “Investors” link on the main page followed by the “Governance” and “Committee Charters and Governance Materials” links), and a printed copy will be delivered free of charge on request by writing to the Corporate Secretary of the Company at Three Limited Parkway, Columbus, Ohio 43230, c/o Chief Legal Officer. Any amendments to, or waivers from, a provision of the Company’s Code of Conduct that applies to the Company’s Principal Executive Officer and Principal Financial and Accounting Officer and that relates to any element of the code of ethics enumerated in paragraph (b) of Item 406 of Regulation S-K shall be disclosed by posting such information on the Company’s website at </w:t>
      </w:r>
      <w:r>
        <w:rPr>
          <w:rFonts w:ascii="Times New Roman" w:cs="Times New Roman" w:eastAsia="Times New Roman" w:hAnsi="Times New Roman"/>
          <w:sz w:val="18"/>
          <w:szCs w:val="18"/>
          <w:i w:val="1"/>
          <w:iCs w:val="1"/>
          <w:color w:val="auto"/>
        </w:rPr>
        <w:t>www.bbwinc.com</w:t>
      </w:r>
      <w:r>
        <w:rPr>
          <w:rFonts w:ascii="Times New Roman" w:cs="Times New Roman" w:eastAsia="Times New Roman" w:hAnsi="Times New Roman"/>
          <w:sz w:val="18"/>
          <w:szCs w:val="18"/>
          <w:color w:val="auto"/>
        </w:rPr>
        <w:t>.</w:t>
      </w:r>
    </w:p>
    <w:p>
      <w:pPr>
        <w:spacing w:after="0" w:line="4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 has an Insider Trading Policy governing all transactions in the Company’s securities by members of the Company’s board of directors and associates (including officers), as well as any other person designated by the Chief Legal Officer or Chief Financial Officer. The Insider Trading Policy is reasonably designed to promote compliance with insider trading laws, rules and regulations, and applicable listing standards. For more information, please refer to the Insider Trading Policy listed on Exhibit 19 to this Annual Report on Form 10-K, or to disclosure included in our Proxy Statement related to our 2025 Annual Meeting of Stockholders that is incorporated herein by reference.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required by Item 11 regarding executive compensation is included in our Proxy Statement related to our 2025 Annual Meeting of Stockholders and is incorporated herein by reference.</w:t>
      </w:r>
    </w:p>
    <w:p>
      <w:pPr>
        <w:spacing w:after="0" w:line="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Information required by Item 12 regarding the security ownership of certain beneficial owners and management is included in our Proxy Statement related to our 2025 Annual Meeting of Stockholders and is incorporated herein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and exercise price information about the Company’s equity compensation plans as of February 1,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2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(c) Number of securities</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Number of securities to be</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gridSpan w:val="2"/>
          </w:tcPr>
          <w:p>
            <w:pPr>
              <w:jc w:val="center"/>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46"/>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320" w:type="dxa"/>
            <w:vAlign w:val="bottom"/>
            <w:gridSpan w:val="3"/>
            <w:vMerge w:val="restart"/>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(b) Weighted-average exercise</w:t>
            </w:r>
          </w:p>
        </w:tc>
        <w:tc>
          <w:tcPr>
            <w:tcW w:w="2320" w:type="dxa"/>
            <w:vAlign w:val="bottom"/>
            <w:gridSpan w:val="2"/>
          </w:tcPr>
          <w:p>
            <w:pPr>
              <w:jc w:val="center"/>
              <w:ind w:right="290"/>
              <w:spacing w:after="0" w:line="146"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37"/>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38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2320" w:type="dxa"/>
            <w:vAlign w:val="bottom"/>
            <w:gridSpan w:val="2"/>
          </w:tcPr>
          <w:p>
            <w:pPr>
              <w:jc w:val="center"/>
              <w:ind w:right="290"/>
              <w:spacing w:after="0" w:line="137"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46"/>
        </w:trPr>
        <w:tc>
          <w:tcPr>
            <w:tcW w:w="4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20" w:type="dxa"/>
            <w:vAlign w:val="bottom"/>
            <w:gridSpan w:val="2"/>
          </w:tcPr>
          <w:p>
            <w:pPr>
              <w:jc w:val="center"/>
              <w:ind w:right="31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320" w:type="dxa"/>
            <w:vAlign w:val="bottom"/>
            <w:gridSpan w:val="3"/>
          </w:tcPr>
          <w:p>
            <w:pPr>
              <w:jc w:val="center"/>
              <w:ind w:right="290"/>
              <w:spacing w:after="0" w:line="146"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2320" w:type="dxa"/>
            <w:vAlign w:val="bottom"/>
            <w:gridSpan w:val="2"/>
          </w:tcPr>
          <w:p>
            <w:pPr>
              <w:jc w:val="center"/>
              <w:ind w:right="29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reflected in column</w:t>
            </w:r>
          </w:p>
        </w:tc>
        <w:tc>
          <w:tcPr>
            <w:tcW w:w="0" w:type="dxa"/>
            <w:vAlign w:val="bottom"/>
          </w:tcPr>
          <w:p>
            <w:pPr>
              <w:spacing w:after="0"/>
              <w:rPr>
                <w:sz w:val="1"/>
                <w:szCs w:val="1"/>
                <w:color w:val="auto"/>
              </w:rPr>
            </w:pPr>
          </w:p>
        </w:tc>
      </w:tr>
      <w:tr>
        <w:trPr>
          <w:trHeight w:val="198"/>
        </w:trPr>
        <w:tc>
          <w:tcPr>
            <w:tcW w:w="4280" w:type="dxa"/>
            <w:vAlign w:val="bottom"/>
            <w:gridSpan w:val="2"/>
            <w:vMerge w:val="continue"/>
          </w:tcPr>
          <w:p>
            <w:pPr>
              <w:spacing w:after="0"/>
              <w:rPr>
                <w:sz w:val="17"/>
                <w:szCs w:val="17"/>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2"/>
          </w:tcPr>
          <w:p>
            <w:pPr>
              <w:jc w:val="center"/>
              <w:ind w:right="53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32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228"/>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2,531,247</w:t>
            </w: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(2)</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14,123,644</w:t>
            </w: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(3)</w:t>
            </w:r>
          </w:p>
        </w:tc>
        <w:tc>
          <w:tcPr>
            <w:tcW w:w="0" w:type="dxa"/>
            <w:vAlign w:val="bottom"/>
          </w:tcPr>
          <w:p>
            <w:pPr>
              <w:spacing w:after="0"/>
              <w:rPr>
                <w:sz w:val="1"/>
                <w:szCs w:val="1"/>
                <w:color w:val="auto"/>
              </w:rPr>
            </w:pPr>
          </w:p>
        </w:tc>
      </w:tr>
      <w:tr>
        <w:trPr>
          <w:trHeight w:val="184"/>
        </w:trPr>
        <w:tc>
          <w:tcPr>
            <w:tcW w:w="42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2,531,247</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14,123,644</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7" w:lineRule="exact"/>
        <w:rPr>
          <w:sz w:val="20"/>
          <w:szCs w:val="20"/>
          <w:color w:val="auto"/>
        </w:rPr>
      </w:pPr>
    </w:p>
    <w:p>
      <w:pPr>
        <w:ind w:left="340" w:right="500" w:hanging="332"/>
        <w:spacing w:after="0" w:line="257"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plans: the 2020 Stock Option and Performance Incentive Plan (the “2020 Plan”); the 2015 Stock Option and Performance Incentive Plan (the “2015 Plan”); and the 2011 Stock Option and Performance Incentive Plan (the “2011 Plan”). There are no shares remaining available for grant under the 2015 Plan or the 2011 Plan.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weighted-average exercise price for stock options only.</w:t>
      </w:r>
    </w:p>
    <w:p>
      <w:pPr>
        <w:spacing w:after="0" w:line="9" w:lineRule="exact"/>
        <w:rPr>
          <w:rFonts w:ascii="Times New Roman" w:cs="Times New Roman" w:eastAsia="Times New Roman" w:hAnsi="Times New Roman"/>
          <w:sz w:val="18"/>
          <w:szCs w:val="18"/>
          <w:color w:val="auto"/>
        </w:rPr>
      </w:pPr>
    </w:p>
    <w:p>
      <w:pPr>
        <w:ind w:left="340" w:right="640" w:hanging="332"/>
        <w:spacing w:after="0" w:line="260" w:lineRule="auto"/>
        <w:tabs>
          <w:tab w:leader="none" w:pos="3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remaining available for future issuance for each of the following plans: the 2020 Plan (11,872,839) and the Associate Stock Purchase Plan (2,250,805).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Information required by Item 13 regarding certain relationships and related transactions is included in our Proxy Statement related to our 2025 Annual Meeting of Stockholders and is incorporated herein by reference.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8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Information required by Item 14 regarding principal accountant fees and services is included in our Proxy Statement related to our 2025 Annual Meeting of Stockholders and is incorporated herein by reference.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48" w:lineRule="exact"/>
        <w:rPr>
          <w:sz w:val="20"/>
          <w:szCs w:val="20"/>
          <w:color w:val="auto"/>
        </w:rPr>
      </w:pPr>
    </w:p>
    <w:p>
      <w:pPr>
        <w:ind w:left="420" w:hanging="394"/>
        <w:spacing w:after="0"/>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Consolidated Financial Statements</w:t>
      </w:r>
    </w:p>
    <w:p>
      <w:pPr>
        <w:spacing w:after="0" w:line="77" w:lineRule="exact"/>
        <w:rPr>
          <w:sz w:val="20"/>
          <w:szCs w:val="20"/>
          <w:color w:val="auto"/>
        </w:rPr>
      </w:pPr>
    </w:p>
    <w:p>
      <w:pPr>
        <w:ind w:left="820" w:right="1020"/>
        <w:spacing w:after="0" w:line="237" w:lineRule="auto"/>
        <w:rPr>
          <w:sz w:val="20"/>
          <w:szCs w:val="20"/>
          <w:color w:val="auto"/>
        </w:rPr>
      </w:pPr>
      <w:r>
        <w:rPr>
          <w:rFonts w:ascii="Times New Roman" w:cs="Times New Roman" w:eastAsia="Times New Roman" w:hAnsi="Times New Roman"/>
          <w:sz w:val="18"/>
          <w:szCs w:val="18"/>
          <w:color w:val="auto"/>
        </w:rPr>
        <w:t>The following consolidated financial statements of Bath &amp; Body Works, Inc. are filed as part of this report under Item 8. Financial Statements and Supplementary Data:</w:t>
      </w:r>
    </w:p>
    <w:p>
      <w:pPr>
        <w:spacing w:after="0" w:line="6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u w:val="single" w:color="auto"/>
          <w:color w:val="0000FF"/>
        </w:rPr>
        <w:t>Management’s Report on Internal Control Over Financial Reporting</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on Internal Control Over Financial Reporting</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u w:val="single" w:color="auto"/>
          <w:color w:val="0000FF"/>
        </w:rPr>
        <w:t>Report of Independent Registered Public Accounting Firm on Consolidated Financial Statements</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u w:val="single" w:color="auto"/>
          <w:color w:val="0000FF"/>
        </w:rPr>
        <w:t>Consolidated Balance Sheets</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Total Equity (Deficit)</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77" w:lineRule="exact"/>
        <w:rPr>
          <w:sz w:val="20"/>
          <w:szCs w:val="20"/>
          <w:color w:val="auto"/>
        </w:rPr>
      </w:pPr>
    </w:p>
    <w:p>
      <w:pPr>
        <w:ind w:left="820" w:hanging="4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76" w:lineRule="exact"/>
        <w:rPr>
          <w:rFonts w:ascii="Times New Roman" w:cs="Times New Roman" w:eastAsia="Times New Roman" w:hAnsi="Times New Roman"/>
          <w:sz w:val="18"/>
          <w:szCs w:val="18"/>
          <w:color w:val="auto"/>
        </w:rPr>
      </w:pPr>
    </w:p>
    <w:p>
      <w:pPr>
        <w:ind w:left="820" w:right="3580"/>
        <w:spacing w:after="0" w:line="23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are not applicable or because the information required to be set forth therein either is not material or is included in the financial statements or notes thereto.</w:t>
      </w:r>
    </w:p>
    <w:p>
      <w:pPr>
        <w:spacing w:after="0" w:line="104" w:lineRule="exact"/>
        <w:rPr>
          <w:rFonts w:ascii="Times New Roman" w:cs="Times New Roman" w:eastAsia="Times New Roman" w:hAnsi="Times New Roman"/>
          <w:sz w:val="18"/>
          <w:szCs w:val="18"/>
          <w:color w:val="auto"/>
        </w:rPr>
      </w:pPr>
    </w:p>
    <w:p>
      <w:pPr>
        <w:ind w:left="820" w:hanging="403"/>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77" w:lineRule="exact"/>
        <w:rPr>
          <w:sz w:val="20"/>
          <w:szCs w:val="20"/>
          <w:color w:val="auto"/>
        </w:rPr>
      </w:pPr>
    </w:p>
    <w:p>
      <w:pPr>
        <w:ind w:left="1900" w:hanging="1078"/>
        <w:spacing w:after="0"/>
        <w:tabs>
          <w:tab w:leader="none" w:pos="1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3.1</w:t>
            </w:r>
          </w:p>
        </w:tc>
        <w:tc>
          <w:tcPr>
            <w:tcW w:w="9140" w:type="dxa"/>
            <w:vAlign w:val="bottom"/>
            <w:gridSpan w:val="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Amended and Restated Certificate of Incorporation of the Company (incorporated by reference to Exhibit 3.1 to the</w:t>
              </w:r>
            </w:hyperlink>
          </w:p>
        </w:tc>
      </w:tr>
      <w:tr>
        <w:trPr>
          <w:trHeight w:val="155"/>
        </w:trPr>
        <w:tc>
          <w:tcPr>
            <w:tcW w:w="1080" w:type="dxa"/>
            <w:vAlign w:val="bottom"/>
          </w:tcPr>
          <w:p>
            <w:pPr>
              <w:spacing w:after="0"/>
              <w:rPr>
                <w:sz w:val="13"/>
                <w:szCs w:val="13"/>
                <w:color w:val="auto"/>
              </w:rPr>
            </w:pPr>
          </w:p>
        </w:tc>
        <w:tc>
          <w:tcPr>
            <w:tcW w:w="834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Company’s Current Report on Form 8-K, dated May 20, 2020), as amended by the Certificate of Amendment of the</w:t>
              </w:r>
            </w:hyperlink>
          </w:p>
        </w:tc>
        <w:tc>
          <w:tcPr>
            <w:tcW w:w="800" w:type="dxa"/>
            <w:vAlign w:val="bottom"/>
            <w:gridSpan w:val="4"/>
          </w:tcPr>
          <w:p>
            <w:pPr>
              <w:ind w:left="40"/>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Amended</w:t>
              </w:r>
            </w:hyperlink>
          </w:p>
        </w:tc>
      </w:tr>
      <w:tr>
        <w:trPr>
          <w:trHeight w:val="169"/>
        </w:trPr>
        <w:tc>
          <w:tcPr>
            <w:tcW w:w="1080" w:type="dxa"/>
            <w:vAlign w:val="bottom"/>
          </w:tcPr>
          <w:p>
            <w:pPr>
              <w:spacing w:after="0"/>
              <w:rPr>
                <w:sz w:val="14"/>
                <w:szCs w:val="14"/>
                <w:color w:val="auto"/>
              </w:rPr>
            </w:pPr>
          </w:p>
        </w:tc>
        <w:tc>
          <w:tcPr>
            <w:tcW w:w="9080" w:type="dxa"/>
            <w:vAlign w:val="bottom"/>
            <w:tcBorders>
              <w:top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and Restated Certificate of Incorporation of the Company (incorporated by reference to Exhibit 3.1 to the Company’s Current</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080" w:type="dxa"/>
            <w:vAlign w:val="bottom"/>
          </w:tcPr>
          <w:p>
            <w:pPr>
              <w:spacing w:after="0"/>
              <w:rPr>
                <w:sz w:val="13"/>
                <w:szCs w:val="13"/>
                <w:color w:val="auto"/>
              </w:rPr>
            </w:pPr>
          </w:p>
        </w:tc>
        <w:tc>
          <w:tcPr>
            <w:tcW w:w="904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Report on Form 8-K dated August 3, 2021).</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3.2</w:t>
            </w:r>
          </w:p>
        </w:tc>
        <w:tc>
          <w:tcPr>
            <w:tcW w:w="9140" w:type="dxa"/>
            <w:vAlign w:val="bottom"/>
            <w:gridSpan w:val="7"/>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Amended and Restated Bylaws of the Company (incorporated by reference to Exhibit 3.1 to the Company’s Current Report on</w:t>
              </w:r>
            </w:hyperlink>
          </w:p>
        </w:tc>
      </w:tr>
      <w:tr>
        <w:trPr>
          <w:trHeight w:val="156"/>
        </w:trPr>
        <w:tc>
          <w:tcPr>
            <w:tcW w:w="1080" w:type="dxa"/>
            <w:vAlign w:val="bottom"/>
          </w:tcPr>
          <w:p>
            <w:pPr>
              <w:spacing w:after="0"/>
              <w:rPr>
                <w:sz w:val="13"/>
                <w:szCs w:val="13"/>
                <w:color w:val="auto"/>
              </w:rPr>
            </w:pPr>
          </w:p>
        </w:tc>
        <w:tc>
          <w:tcPr>
            <w:tcW w:w="91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8-K dated June 27, 2024).</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1900" w:hanging="1078"/>
        <w:spacing w:after="0"/>
        <w:tabs>
          <w:tab w:leader="none" w:pos="1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Security 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4.1</w:t>
            </w:r>
          </w:p>
        </w:tc>
        <w:tc>
          <w:tcPr>
            <w:tcW w:w="9340" w:type="dxa"/>
            <w:vAlign w:val="bottom"/>
            <w:gridSpan w:val="17"/>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Conformed copy of the Indenture dated as of March 15, 1988 between the Company and The Bank of New York, incorporated</w:t>
              </w:r>
            </w:hyperlink>
          </w:p>
        </w:tc>
      </w:tr>
      <w:tr>
        <w:trPr>
          <w:trHeight w:val="156"/>
        </w:trPr>
        <w:tc>
          <w:tcPr>
            <w:tcW w:w="1900" w:type="dxa"/>
            <w:vAlign w:val="bottom"/>
          </w:tcPr>
          <w:p>
            <w:pPr>
              <w:spacing w:after="0"/>
              <w:rPr>
                <w:sz w:val="13"/>
                <w:szCs w:val="13"/>
                <w:color w:val="auto"/>
              </w:rPr>
            </w:pPr>
          </w:p>
        </w:tc>
        <w:tc>
          <w:tcPr>
            <w:tcW w:w="91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by reference to Exhibit 4.1 to the Company’s Registration Statement on Form S-3 (File No. 333-105484) filed on May 22,</w:t>
              </w:r>
            </w:hyperlink>
          </w:p>
        </w:tc>
        <w:tc>
          <w:tcPr>
            <w:tcW w:w="240" w:type="dxa"/>
            <w:vAlign w:val="bottom"/>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3"/>
              </w:rPr>
            </w:pPr>
            <w:hyperlink r:id="rId84">
              <w:r>
                <w:rPr>
                  <w:rFonts w:ascii="Times New Roman" w:cs="Times New Roman" w:eastAsia="Times New Roman" w:hAnsi="Times New Roman"/>
                  <w:sz w:val="18"/>
                  <w:szCs w:val="18"/>
                  <w:color w:val="0000FF"/>
                  <w:w w:val="93"/>
                </w:rPr>
                <w:t>2003.</w:t>
              </w:r>
            </w:hyperlink>
          </w:p>
        </w:tc>
        <w:tc>
          <w:tcPr>
            <w:tcW w:w="206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27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64"/>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4.2</w:t>
            </w:r>
          </w:p>
        </w:tc>
        <w:tc>
          <w:tcPr>
            <w:tcW w:w="9340" w:type="dxa"/>
            <w:vAlign w:val="bottom"/>
            <w:gridSpan w:val="17"/>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First Supplemental Indenture dated as of May 31, 2005 among the Company, The Bank of New York and The Bank of New</w:t>
              </w:r>
            </w:hyperlink>
          </w:p>
        </w:tc>
      </w:tr>
      <w:tr>
        <w:trPr>
          <w:trHeight w:val="155"/>
        </w:trPr>
        <w:tc>
          <w:tcPr>
            <w:tcW w:w="1900" w:type="dxa"/>
            <w:vAlign w:val="bottom"/>
          </w:tcPr>
          <w:p>
            <w:pPr>
              <w:spacing w:after="0"/>
              <w:rPr>
                <w:sz w:val="13"/>
                <w:szCs w:val="13"/>
                <w:color w:val="auto"/>
              </w:rPr>
            </w:pPr>
          </w:p>
        </w:tc>
        <w:tc>
          <w:tcPr>
            <w:tcW w:w="89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York Trust Company, N.A., incorporated by reference to Exhibit 4.1.2 to the Company’s Registration Statement on Form S-</w:t>
              </w:r>
            </w:hyperlink>
          </w:p>
        </w:tc>
        <w:tc>
          <w:tcPr>
            <w:tcW w:w="100" w:type="dxa"/>
            <w:vAlign w:val="bottom"/>
            <w:gridSpan w:val="2"/>
          </w:tcPr>
          <w:p>
            <w:pPr>
              <w:jc w:val="right"/>
              <w:ind w:right="20"/>
              <w:spacing w:after="0" w:line="155" w:lineRule="exact"/>
              <w:rPr>
                <w:rFonts w:ascii="Times New Roman" w:cs="Times New Roman" w:eastAsia="Times New Roman" w:hAnsi="Times New Roman"/>
                <w:sz w:val="16"/>
                <w:szCs w:val="16"/>
                <w:color w:val="0000FF"/>
                <w:w w:val="74"/>
              </w:rPr>
            </w:pPr>
            <w:hyperlink r:id="rId85">
              <w:r>
                <w:rPr>
                  <w:rFonts w:ascii="Times New Roman" w:cs="Times New Roman" w:eastAsia="Times New Roman" w:hAnsi="Times New Roman"/>
                  <w:sz w:val="16"/>
                  <w:szCs w:val="16"/>
                  <w:color w:val="0000FF"/>
                  <w:w w:val="74"/>
                </w:rPr>
                <w:t>3</w:t>
              </w:r>
            </w:hyperlink>
          </w:p>
        </w:tc>
        <w:tc>
          <w:tcPr>
            <w:tcW w:w="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900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(Reg. No. 333-125561) filed on June 6, 2005.</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r>
      <w:tr>
        <w:trPr>
          <w:trHeight w:val="20"/>
        </w:trPr>
        <w:tc>
          <w:tcPr>
            <w:tcW w:w="190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64"/>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4.3</w:t>
            </w:r>
          </w:p>
        </w:tc>
        <w:tc>
          <w:tcPr>
            <w:tcW w:w="9340" w:type="dxa"/>
            <w:vAlign w:val="bottom"/>
            <w:gridSpan w:val="17"/>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Second Supplemental Indenture dated as of July 17, 2007 between the Company and The Bank of New York Trust Company,</w:t>
              </w:r>
            </w:hyperlink>
          </w:p>
        </w:tc>
      </w:tr>
      <w:tr>
        <w:trPr>
          <w:trHeight w:val="155"/>
        </w:trPr>
        <w:tc>
          <w:tcPr>
            <w:tcW w:w="1900" w:type="dxa"/>
            <w:vAlign w:val="bottom"/>
          </w:tcPr>
          <w:p>
            <w:pPr>
              <w:spacing w:after="0"/>
              <w:rPr>
                <w:sz w:val="13"/>
                <w:szCs w:val="13"/>
                <w:color w:val="auto"/>
              </w:rPr>
            </w:pPr>
          </w:p>
        </w:tc>
        <w:tc>
          <w:tcPr>
            <w:tcW w:w="90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N.A., incorporated by reference to Exhibit 4.1.3 to the Company’s Registration Statement on Form S-3 (Reg. No. 333-</w:t>
              </w:r>
            </w:hyperlink>
          </w:p>
        </w:tc>
        <w:tc>
          <w:tcPr>
            <w:tcW w:w="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146420) filed on October 1, 2007.</w:t>
              </w:r>
            </w:hyperlink>
          </w:p>
        </w:tc>
        <w:tc>
          <w:tcPr>
            <w:tcW w:w="6080" w:type="dxa"/>
            <w:vAlign w:val="bottom"/>
            <w:tcBorders>
              <w:top w:val="single" w:sz="8" w:color="0000FF"/>
            </w:tcBorders>
            <w:gridSpan w:val="5"/>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260" w:type="dxa"/>
            <w:vAlign w:val="bottom"/>
            <w:gridSpan w:val="2"/>
          </w:tcPr>
          <w:p>
            <w:pPr>
              <w:spacing w:after="0"/>
              <w:rPr>
                <w:sz w:val="14"/>
                <w:szCs w:val="14"/>
                <w:color w:val="auto"/>
              </w:rPr>
            </w:pPr>
          </w:p>
        </w:tc>
      </w:tr>
      <w:tr>
        <w:trPr>
          <w:trHeight w:val="264"/>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4.4</w:t>
            </w:r>
          </w:p>
        </w:tc>
        <w:tc>
          <w:tcPr>
            <w:tcW w:w="9340" w:type="dxa"/>
            <w:vAlign w:val="bottom"/>
            <w:gridSpan w:val="17"/>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Seventh Supplemental Indenture dated as of March 22, 2013 among the Company, the guarantors named therein and The</w:t>
              </w:r>
            </w:hyperlink>
          </w:p>
        </w:tc>
      </w:tr>
      <w:tr>
        <w:trPr>
          <w:trHeight w:val="155"/>
        </w:trPr>
        <w:tc>
          <w:tcPr>
            <w:tcW w:w="190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7"/>
              </w:rPr>
            </w:pPr>
            <w:hyperlink r:id="rId87">
              <w:r>
                <w:rPr>
                  <w:rFonts w:ascii="Times New Roman" w:cs="Times New Roman" w:eastAsia="Times New Roman" w:hAnsi="Times New Roman"/>
                  <w:sz w:val="18"/>
                  <w:szCs w:val="18"/>
                  <w:color w:val="0000FF"/>
                  <w:w w:val="97"/>
                </w:rPr>
                <w:t>Bank of New York Mellon Trust Company, N.A., incorporated by reference to Exhibit 4.1.8 to the Company’s Registration</w:t>
              </w:r>
            </w:hyperlink>
          </w:p>
        </w:tc>
        <w:tc>
          <w:tcPr>
            <w:tcW w:w="8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220" w:type="dxa"/>
            <w:vAlign w:val="bottom"/>
            <w:gridSpan w:val="4"/>
          </w:tcPr>
          <w:p>
            <w:pPr>
              <w:spacing w:after="0"/>
              <w:rPr>
                <w:sz w:val="13"/>
                <w:szCs w:val="13"/>
                <w:color w:val="auto"/>
              </w:rPr>
            </w:pPr>
          </w:p>
        </w:tc>
        <w:tc>
          <w:tcPr>
            <w:tcW w:w="260" w:type="dxa"/>
            <w:vAlign w:val="bottom"/>
            <w:gridSpan w:val="2"/>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8860" w:type="dxa"/>
            <w:vAlign w:val="bottom"/>
            <w:gridSpan w:val="11"/>
          </w:tcPr>
          <w:p>
            <w:pPr>
              <w:spacing w:after="0" w:line="16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Statement on Form S-3 (Reg. No. 333-191968) filed on October 29, 2013.</w:t>
              </w:r>
            </w:hyperlink>
          </w:p>
        </w:tc>
        <w:tc>
          <w:tcPr>
            <w:tcW w:w="220" w:type="dxa"/>
            <w:vAlign w:val="bottom"/>
            <w:gridSpan w:val="4"/>
          </w:tcPr>
          <w:p>
            <w:pPr>
              <w:spacing w:after="0"/>
              <w:rPr>
                <w:sz w:val="14"/>
                <w:szCs w:val="14"/>
                <w:color w:val="auto"/>
              </w:rPr>
            </w:pPr>
          </w:p>
        </w:tc>
        <w:tc>
          <w:tcPr>
            <w:tcW w:w="260" w:type="dxa"/>
            <w:vAlign w:val="bottom"/>
            <w:gridSpan w:val="2"/>
          </w:tcPr>
          <w:p>
            <w:pPr>
              <w:spacing w:after="0"/>
              <w:rPr>
                <w:sz w:val="14"/>
                <w:szCs w:val="14"/>
                <w:color w:val="auto"/>
              </w:rPr>
            </w:pPr>
          </w:p>
        </w:tc>
      </w:tr>
      <w:tr>
        <w:trPr>
          <w:trHeight w:val="20"/>
        </w:trPr>
        <w:tc>
          <w:tcPr>
            <w:tcW w:w="1900" w:type="dxa"/>
            <w:vAlign w:val="bottom"/>
          </w:tcPr>
          <w:p>
            <w:pPr>
              <w:spacing w:after="0" w:line="20" w:lineRule="exact"/>
              <w:rPr>
                <w:sz w:val="1"/>
                <w:szCs w:val="1"/>
                <w:color w:val="auto"/>
              </w:rPr>
            </w:pPr>
          </w:p>
        </w:tc>
        <w:tc>
          <w:tcPr>
            <w:tcW w:w="4240" w:type="dxa"/>
            <w:vAlign w:val="bottom"/>
            <w:gridSpan w:val="4"/>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64"/>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4.5</w:t>
            </w:r>
          </w:p>
        </w:tc>
        <w:tc>
          <w:tcPr>
            <w:tcW w:w="9340" w:type="dxa"/>
            <w:vAlign w:val="bottom"/>
            <w:gridSpan w:val="17"/>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Twelfth Supplemental Indenture dated as of August 2, 2021 among the Company, the guarantors named therein and The Bank</w:t>
              </w:r>
            </w:hyperlink>
          </w:p>
        </w:tc>
      </w:tr>
      <w:tr>
        <w:trPr>
          <w:trHeight w:val="155"/>
        </w:trPr>
        <w:tc>
          <w:tcPr>
            <w:tcW w:w="1900" w:type="dxa"/>
            <w:vAlign w:val="bottom"/>
          </w:tcPr>
          <w:p>
            <w:pPr>
              <w:spacing w:after="0"/>
              <w:rPr>
                <w:sz w:val="13"/>
                <w:szCs w:val="13"/>
                <w:color w:val="auto"/>
              </w:rPr>
            </w:pPr>
          </w:p>
        </w:tc>
        <w:tc>
          <w:tcPr>
            <w:tcW w:w="90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of New York Mellon Trust Company, N.A., as trustee, incorporated by reference to Exhibit 4.26 to the Company’s Annual</w:t>
              </w:r>
            </w:hyperlink>
          </w:p>
        </w:tc>
        <w:tc>
          <w:tcPr>
            <w:tcW w:w="260" w:type="dxa"/>
            <w:vAlign w:val="bottom"/>
            <w:gridSpan w:val="2"/>
          </w:tcPr>
          <w:p>
            <w:pPr>
              <w:spacing w:after="0"/>
              <w:rPr>
                <w:sz w:val="13"/>
                <w:szCs w:val="13"/>
                <w:color w:val="auto"/>
              </w:rPr>
            </w:pPr>
          </w:p>
        </w:tc>
      </w:tr>
      <w:tr>
        <w:trPr>
          <w:trHeight w:val="169"/>
        </w:trPr>
        <w:tc>
          <w:tcPr>
            <w:tcW w:w="190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Report on Form 10-K for the year ended January 29, 2022.</w:t>
              </w:r>
            </w:hyperlink>
          </w:p>
        </w:tc>
        <w:tc>
          <w:tcPr>
            <w:tcW w:w="4560" w:type="dxa"/>
            <w:vAlign w:val="bottom"/>
            <w:tcBorders>
              <w:top w:val="single" w:sz="8" w:color="0000FF"/>
            </w:tcBorders>
            <w:gridSpan w:val="6"/>
          </w:tcPr>
          <w:p>
            <w:pPr>
              <w:spacing w:after="0"/>
              <w:rPr>
                <w:sz w:val="14"/>
                <w:szCs w:val="14"/>
                <w:color w:val="auto"/>
              </w:rPr>
            </w:pPr>
          </w:p>
        </w:tc>
        <w:tc>
          <w:tcPr>
            <w:tcW w:w="540" w:type="dxa"/>
            <w:vAlign w:val="bottom"/>
            <w:gridSpan w:val="7"/>
          </w:tcPr>
          <w:p>
            <w:pPr>
              <w:spacing w:after="0"/>
              <w:rPr>
                <w:sz w:val="14"/>
                <w:szCs w:val="14"/>
                <w:color w:val="auto"/>
              </w:rPr>
            </w:pPr>
          </w:p>
        </w:tc>
      </w:tr>
      <w:tr>
        <w:trPr>
          <w:trHeight w:val="263"/>
        </w:trPr>
        <w:tc>
          <w:tcPr>
            <w:tcW w:w="19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4.6</w:t>
            </w:r>
          </w:p>
        </w:tc>
        <w:tc>
          <w:tcPr>
            <w:tcW w:w="9340" w:type="dxa"/>
            <w:vAlign w:val="bottom"/>
            <w:gridSpan w:val="17"/>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Indenture dated as of February 19, 2003 between the Company and The Bank of New York, incorporated by reference to</w:t>
              </w:r>
            </w:hyperlink>
          </w:p>
        </w:tc>
      </w:tr>
      <w:tr>
        <w:trPr>
          <w:trHeight w:val="155"/>
        </w:trPr>
        <w:tc>
          <w:tcPr>
            <w:tcW w:w="1900" w:type="dxa"/>
            <w:vAlign w:val="bottom"/>
          </w:tcPr>
          <w:p>
            <w:pPr>
              <w:spacing w:after="0"/>
              <w:rPr>
                <w:sz w:val="13"/>
                <w:szCs w:val="13"/>
                <w:color w:val="auto"/>
              </w:rPr>
            </w:pPr>
          </w:p>
        </w:tc>
        <w:tc>
          <w:tcPr>
            <w:tcW w:w="870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Exhibit 4 to the Company’s Registration Statement on Form S-4 (Reg. No. 333-104633) filed on April 18, 2003.</w:t>
              </w:r>
            </w:hyperlink>
          </w:p>
        </w:tc>
        <w:tc>
          <w:tcPr>
            <w:tcW w:w="640" w:type="dxa"/>
            <w:vAlign w:val="bottom"/>
            <w:gridSpan w:val="9"/>
          </w:tcPr>
          <w:p>
            <w:pPr>
              <w:spacing w:after="0"/>
              <w:rPr>
                <w:sz w:val="13"/>
                <w:szCs w:val="13"/>
                <w:color w:val="auto"/>
              </w:rPr>
            </w:pPr>
          </w:p>
        </w:tc>
      </w:tr>
      <w:tr>
        <w:trPr>
          <w:trHeight w:val="952"/>
        </w:trPr>
        <w:tc>
          <w:tcPr>
            <w:tcW w:w="1900" w:type="dxa"/>
            <w:vAlign w:val="bottom"/>
          </w:tcPr>
          <w:p>
            <w:pPr>
              <w:spacing w:after="0"/>
              <w:rPr>
                <w:sz w:val="24"/>
                <w:szCs w:val="24"/>
                <w:color w:val="auto"/>
              </w:rPr>
            </w:pPr>
          </w:p>
        </w:tc>
        <w:tc>
          <w:tcPr>
            <w:tcW w:w="4240" w:type="dxa"/>
            <w:vAlign w:val="bottom"/>
            <w:tcBorders>
              <w:top w:val="single" w:sz="8" w:color="0000FF"/>
            </w:tcBorders>
            <w:gridSpan w:val="4"/>
          </w:tcPr>
          <w:p>
            <w:pPr>
              <w:ind w:left="3640"/>
              <w:spacing w:after="0"/>
              <w:rPr>
                <w:sz w:val="20"/>
                <w:szCs w:val="20"/>
                <w:color w:val="auto"/>
              </w:rPr>
            </w:pPr>
            <w:r>
              <w:rPr>
                <w:rFonts w:ascii="Times New Roman" w:cs="Times New Roman" w:eastAsia="Times New Roman" w:hAnsi="Times New Roman"/>
                <w:sz w:val="18"/>
                <w:szCs w:val="18"/>
                <w:color w:val="auto"/>
              </w:rPr>
              <w:t>66</w:t>
            </w:r>
          </w:p>
        </w:tc>
        <w:tc>
          <w:tcPr>
            <w:tcW w:w="1100" w:type="dxa"/>
            <w:vAlign w:val="bottom"/>
            <w:tcBorders>
              <w:top w:val="single" w:sz="8" w:color="0000FF"/>
            </w:tcBorders>
          </w:tcPr>
          <w:p>
            <w:pPr>
              <w:spacing w:after="0"/>
              <w:rPr>
                <w:sz w:val="24"/>
                <w:szCs w:val="24"/>
                <w:color w:val="auto"/>
              </w:rPr>
            </w:pPr>
          </w:p>
        </w:tc>
        <w:tc>
          <w:tcPr>
            <w:tcW w:w="27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First Supplemental Indenture dated as of August 2, 2021 among the Company, the guarantors named therein and The Bank of</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908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New York Mellon Trust Company, N.A., as trustee, incorporated by reference to Exhibit 4.27 to the Company’s Annual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Report on Form 10-K for the year ended January 29, 2022.</w:t>
              </w:r>
            </w:hyperlink>
          </w:p>
        </w:tc>
        <w:tc>
          <w:tcPr>
            <w:tcW w:w="436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Indenture dated as of October 30, 2015 among the Company, the guarantors named therein and The Bank of New York</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85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Mellon Trust Company, N.A., as trustee, incorporated by reference to Exhibit 4.1 to the Company’s Current Report on</w:t>
              </w:r>
            </w:hyperlink>
          </w:p>
        </w:tc>
        <w:tc>
          <w:tcPr>
            <w:tcW w:w="620" w:type="dxa"/>
            <w:vAlign w:val="bottom"/>
            <w:gridSpan w:val="24"/>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8-K dated November 3, 2015.</w:t>
              </w:r>
            </w:hyperlink>
          </w:p>
        </w:tc>
        <w:tc>
          <w:tcPr>
            <w:tcW w:w="68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First Supplemental Indenture dated as of August 2, 2021 among the Company, the guarantors named therein and The Bank of</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908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New York Mellon Trust Company, N.A., as trustee, incorporated by reference to Exhibit 4.28 to the Company’s Annual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Report on Form 10-K for the year ended January 29, 2022.</w:t>
              </w:r>
            </w:hyperlink>
          </w:p>
        </w:tc>
        <w:tc>
          <w:tcPr>
            <w:tcW w:w="436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Indenture, dated as of June 16, 2016, between the Company and U.S. Bank National Association, as trustee, incorporated by</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666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reference to Exhibit 4.1 to the Company’s Current Report on Form 8-K dated June 16, 2016.</w:t>
              </w:r>
            </w:hyperlink>
          </w:p>
        </w:tc>
        <w:tc>
          <w:tcPr>
            <w:tcW w:w="23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First Supplemental Indenture dated as of June 16, 2016 among the Company, the guarantors named therein and U.S. Bank</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87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National Association, as trustee, incorporated by reference to Exhibit 4.2 to the Company’s Current Report on Form 8-K</w:t>
              </w:r>
            </w:hyperlink>
          </w:p>
        </w:tc>
        <w:tc>
          <w:tcPr>
            <w:tcW w:w="400" w:type="dxa"/>
            <w:vAlign w:val="bottom"/>
            <w:gridSpan w:val="20"/>
          </w:tcPr>
          <w:p>
            <w:pPr>
              <w:jc w:val="center"/>
              <w:ind w:right="60"/>
              <w:spacing w:after="0" w:line="156" w:lineRule="exact"/>
              <w:rPr>
                <w:rFonts w:ascii="Times New Roman" w:cs="Times New Roman" w:eastAsia="Times New Roman" w:hAnsi="Times New Roman"/>
                <w:sz w:val="18"/>
                <w:szCs w:val="18"/>
                <w:color w:val="0000FF"/>
                <w:w w:val="87"/>
              </w:rPr>
            </w:pPr>
            <w:hyperlink r:id="rId96">
              <w:r>
                <w:rPr>
                  <w:rFonts w:ascii="Times New Roman" w:cs="Times New Roman" w:eastAsia="Times New Roman" w:hAnsi="Times New Roman"/>
                  <w:sz w:val="18"/>
                  <w:szCs w:val="18"/>
                  <w:color w:val="0000FF"/>
                  <w:w w:val="87"/>
                </w:rPr>
                <w:t>dated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June 16, 2016.</w:t>
              </w:r>
            </w:hyperlink>
          </w:p>
        </w:tc>
        <w:tc>
          <w:tcPr>
            <w:tcW w:w="8100" w:type="dxa"/>
            <w:vAlign w:val="bottom"/>
            <w:tcBorders>
              <w:top w:val="single" w:sz="8" w:color="0000FF"/>
            </w:tcBorders>
            <w:gridSpan w:val="4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Second Supplemental Indenture dated as of January 23, 2018 among the Company, the guarantors named therein and U.S.</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88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Bank National Association, as trustee, incorporated by reference to Exhibit 4.2 to the Company’s Current Report on Form</w:t>
              </w:r>
            </w:hyperlink>
          </w:p>
        </w:tc>
        <w:tc>
          <w:tcPr>
            <w:tcW w:w="380" w:type="dxa"/>
            <w:vAlign w:val="bottom"/>
            <w:gridSpan w:val="19"/>
          </w:tcPr>
          <w:p>
            <w:pPr>
              <w:jc w:val="center"/>
              <w:ind w:right="60"/>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8-K</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dated January 23, 2018.</w:t>
              </w:r>
            </w:hyperlink>
          </w:p>
        </w:tc>
        <w:tc>
          <w:tcPr>
            <w:tcW w:w="7420" w:type="dxa"/>
            <w:vAlign w:val="bottom"/>
            <w:tcBorders>
              <w:top w:val="single" w:sz="8" w:color="0000FF"/>
            </w:tcBorders>
            <w:gridSpan w:val="3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Third Supplemental Indenture dated as of June 20, 2019 among the Company, the guarantors named therein and U.S. Bank</w:t>
              </w:r>
            </w:hyperlink>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886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National Association, as trustee, incorporated by reference to Exhibit 4.2 to the Company’s Current Report on Form 8-K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080" w:type="dxa"/>
            <w:vAlign w:val="bottom"/>
          </w:tcPr>
          <w:p>
            <w:pPr>
              <w:spacing w:after="0"/>
              <w:rPr>
                <w:sz w:val="11"/>
                <w:szCs w:val="11"/>
                <w:color w:val="auto"/>
              </w:rPr>
            </w:pPr>
          </w:p>
        </w:tc>
        <w:tc>
          <w:tcPr>
            <w:tcW w:w="6500" w:type="dxa"/>
            <w:vAlign w:val="bottom"/>
            <w:tcBorders>
              <w:top w:val="single" w:sz="8" w:color="0000FF"/>
            </w:tcBorders>
            <w:gridSpan w:val="17"/>
          </w:tcPr>
          <w:p>
            <w:pPr>
              <w:spacing w:after="0" w:line="136" w:lineRule="exact"/>
              <w:rPr>
                <w:rFonts w:ascii="Times New Roman" w:cs="Times New Roman" w:eastAsia="Times New Roman" w:hAnsi="Times New Roman"/>
                <w:sz w:val="15"/>
                <w:szCs w:val="15"/>
                <w:color w:val="0000FF"/>
              </w:rPr>
            </w:pPr>
            <w:hyperlink r:id="rId98">
              <w:r>
                <w:rPr>
                  <w:rFonts w:ascii="Times New Roman" w:cs="Times New Roman" w:eastAsia="Times New Roman" w:hAnsi="Times New Roman"/>
                  <w:sz w:val="15"/>
                  <w:szCs w:val="15"/>
                  <w:color w:val="0000FF"/>
                </w:rPr>
                <w:t>dated June 24, 2019.</w:t>
              </w:r>
            </w:hyperlink>
          </w:p>
        </w:tc>
        <w:tc>
          <w:tcPr>
            <w:tcW w:w="160" w:type="dxa"/>
            <w:vAlign w:val="bottom"/>
            <w:tcBorders>
              <w:top w:val="single" w:sz="8" w:color="0000FF"/>
            </w:tcBorders>
          </w:tcPr>
          <w:p>
            <w:pPr>
              <w:spacing w:after="0"/>
              <w:rPr>
                <w:sz w:val="11"/>
                <w:szCs w:val="11"/>
                <w:color w:val="auto"/>
              </w:rPr>
            </w:pPr>
          </w:p>
        </w:tc>
        <w:tc>
          <w:tcPr>
            <w:tcW w:w="17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Fourth Supplemental Indenture dated as of June 30, 2019 among the Company, the guarantors named therein and U.S. Bank</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894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National Association, as trustee, incorporated by reference to Exhibit 4.1 to the Company’s Quarterly Report on Form 10-Q</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89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 the quarter ended August 3, 2019.</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4.15</w:t>
            </w:r>
          </w:p>
        </w:tc>
        <w:tc>
          <w:tcPr>
            <w:tcW w:w="58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80" w:type="dxa"/>
            <w:vAlign w:val="bottom"/>
            <w:vMerge w:val="continue"/>
          </w:tcPr>
          <w:p>
            <w:pPr>
              <w:spacing w:after="0"/>
              <w:rPr>
                <w:sz w:val="24"/>
                <w:szCs w:val="24"/>
                <w:color w:val="auto"/>
              </w:rPr>
            </w:pPr>
          </w:p>
        </w:tc>
        <w:tc>
          <w:tcPr>
            <w:tcW w:w="9180" w:type="dxa"/>
            <w:vAlign w:val="bottom"/>
            <w:gridSpan w:val="46"/>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Fifth Supplemental Indenture dated as of August 2, 2021 among the Company, the guarantors named therein and U.S. Bank</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90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National Association, as trustee, incorporated by reference to Exhibit 4.29 to the Company’s Annual Report on Form 10-K</w:t>
              </w:r>
            </w:hyperlink>
          </w:p>
        </w:tc>
        <w:tc>
          <w:tcPr>
            <w:tcW w:w="280" w:type="dxa"/>
            <w:vAlign w:val="bottom"/>
            <w:gridSpan w:val="14"/>
          </w:tcPr>
          <w:p>
            <w:pPr>
              <w:jc w:val="right"/>
              <w:ind w:right="80"/>
              <w:spacing w:after="0" w:line="182" w:lineRule="exact"/>
              <w:rPr>
                <w:rFonts w:ascii="Times New Roman" w:cs="Times New Roman" w:eastAsia="Times New Roman" w:hAnsi="Times New Roman"/>
                <w:sz w:val="18"/>
                <w:szCs w:val="18"/>
                <w:color w:val="0000FF"/>
                <w:w w:val="85"/>
              </w:rPr>
            </w:pPr>
            <w:hyperlink r:id="rId100">
              <w:r>
                <w:rPr>
                  <w:rFonts w:ascii="Times New Roman" w:cs="Times New Roman" w:eastAsia="Times New Roman" w:hAnsi="Times New Roman"/>
                  <w:sz w:val="18"/>
                  <w:szCs w:val="18"/>
                  <w:color w:val="0000FF"/>
                  <w:w w:val="85"/>
                </w:rPr>
                <w:t>for</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00">
              <w:r>
                <w:rPr>
                  <w:rFonts w:ascii="Times New Roman" w:cs="Times New Roman" w:eastAsia="Times New Roman" w:hAnsi="Times New Roman"/>
                  <w:sz w:val="18"/>
                  <w:szCs w:val="18"/>
                  <w:color w:val="0000FF"/>
                  <w:w w:val="99"/>
                </w:rPr>
                <w:t>the year ended January 29, 2022.</w:t>
              </w:r>
            </w:hyperlink>
          </w:p>
        </w:tc>
        <w:tc>
          <w:tcPr>
            <w:tcW w:w="6740" w:type="dxa"/>
            <w:vAlign w:val="bottom"/>
            <w:tcBorders>
              <w:top w:val="single" w:sz="8" w:color="0000FF"/>
            </w:tcBorders>
            <w:gridSpan w:val="3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Indenture dated as of June 18, 2018 among the Company, the guarantors named therein and U.S. Bank National Association,</w:t>
              </w:r>
            </w:hyperlink>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900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as trustee, incorporated by reference to Exhibit 4.25 to the Company’s Registration Statement on Form S-4 (Reg. No. 333-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4980" w:type="dxa"/>
            <w:vAlign w:val="bottom"/>
            <w:tcBorders>
              <w:top w:val="single" w:sz="8" w:color="0000FF"/>
            </w:tcBorders>
            <w:gridSpan w:val="15"/>
          </w:tcPr>
          <w:p>
            <w:pPr>
              <w:spacing w:after="0" w:line="136" w:lineRule="exact"/>
              <w:rPr>
                <w:rFonts w:ascii="Times New Roman" w:cs="Times New Roman" w:eastAsia="Times New Roman" w:hAnsi="Times New Roman"/>
                <w:sz w:val="15"/>
                <w:szCs w:val="15"/>
                <w:color w:val="0000FF"/>
              </w:rPr>
            </w:pPr>
            <w:hyperlink r:id="rId101">
              <w:r>
                <w:rPr>
                  <w:rFonts w:ascii="Times New Roman" w:cs="Times New Roman" w:eastAsia="Times New Roman" w:hAnsi="Times New Roman"/>
                  <w:sz w:val="15"/>
                  <w:szCs w:val="15"/>
                  <w:color w:val="0000FF"/>
                </w:rPr>
                <w:t>227288) filed on September 11, 2018.</w:t>
              </w:r>
            </w:hyperlink>
          </w:p>
        </w:tc>
        <w:tc>
          <w:tcPr>
            <w:tcW w:w="640" w:type="dxa"/>
            <w:vAlign w:val="bottom"/>
            <w:tcBorders>
              <w:top w:val="single" w:sz="8" w:color="0000FF"/>
            </w:tcBorders>
          </w:tcPr>
          <w:p>
            <w:pPr>
              <w:spacing w:after="0"/>
              <w:rPr>
                <w:sz w:val="11"/>
                <w:szCs w:val="11"/>
                <w:color w:val="auto"/>
              </w:rPr>
            </w:pPr>
          </w:p>
        </w:tc>
        <w:tc>
          <w:tcPr>
            <w:tcW w:w="8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7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888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Supplemental Indenture No. 1 dated as of June 29, 2018 among the Company, the guarantors named therein and U.S. Bank</w:t>
              </w:r>
            </w:hyperlink>
          </w:p>
        </w:tc>
        <w:tc>
          <w:tcPr>
            <w:tcW w:w="3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9180" w:type="dxa"/>
            <w:vAlign w:val="bottom"/>
            <w:gridSpan w:val="46"/>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National Association, as trustee, incorporated by reference to Exhibit 4.26 to the Company’s Registration Statement on Form</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66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S-4 (Reg. No. 333-227288) filed on September 11, 2018.</w:t>
              </w:r>
            </w:hyperlink>
          </w:p>
        </w:tc>
        <w:tc>
          <w:tcPr>
            <w:tcW w:w="17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4"/>
          </w:tcPr>
          <w:p>
            <w:pPr>
              <w:spacing w:after="0"/>
              <w:rPr>
                <w:sz w:val="13"/>
                <w:szCs w:val="13"/>
                <w:color w:val="auto"/>
              </w:rPr>
            </w:pPr>
          </w:p>
        </w:tc>
        <w:tc>
          <w:tcPr>
            <w:tcW w:w="140" w:type="dxa"/>
            <w:vAlign w:val="bottom"/>
            <w:tcBorders>
              <w:top w:val="single" w:sz="8" w:color="0000FF"/>
            </w:tcBorders>
            <w:gridSpan w:val="4"/>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gridSpan w:val="7"/>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4.18</w:t>
            </w:r>
          </w:p>
        </w:tc>
        <w:tc>
          <w:tcPr>
            <w:tcW w:w="58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vMerge w:val="continue"/>
          </w:tcPr>
          <w:p>
            <w:pPr>
              <w:spacing w:after="0"/>
              <w:rPr>
                <w:sz w:val="24"/>
                <w:szCs w:val="24"/>
                <w:color w:val="auto"/>
              </w:rPr>
            </w:pPr>
          </w:p>
        </w:tc>
        <w:tc>
          <w:tcPr>
            <w:tcW w:w="9180" w:type="dxa"/>
            <w:vAlign w:val="bottom"/>
            <w:gridSpan w:val="4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Second Supplemental Indenture dated as of August 2, 2021 among the Company, the guarantors named therein and U.S. Bank</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9100" w:type="dxa"/>
            <w:vAlign w:val="bottom"/>
            <w:tcBorders>
              <w:top w:val="single" w:sz="8" w:color="0000FF"/>
            </w:tcBorders>
            <w:gridSpan w:val="42"/>
          </w:tcPr>
          <w:p>
            <w:pPr>
              <w:spacing w:after="0" w:line="182"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National Association, as trustee, incorporated by reference to Exhibit 4.30 to the Company’s Annual Report on Form 10-K for</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the year ended January 29, 2022.</w:t>
              </w:r>
            </w:hyperlink>
          </w:p>
        </w:tc>
        <w:tc>
          <w:tcPr>
            <w:tcW w:w="6740" w:type="dxa"/>
            <w:vAlign w:val="bottom"/>
            <w:tcBorders>
              <w:top w:val="single" w:sz="8" w:color="0000FF"/>
            </w:tcBorders>
            <w:gridSpan w:val="3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Indenture dated as of September 30, 2020 among the Company, the guarantors named therein and U.S. Bank National</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84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Association, as trustee, incorporated by reference to Exhibit 4.1 to the Company’s Current Report on Form 8-K dated</w:t>
              </w:r>
            </w:hyperlink>
          </w:p>
        </w:tc>
        <w:tc>
          <w:tcPr>
            <w:tcW w:w="220" w:type="dxa"/>
            <w:vAlign w:val="bottom"/>
            <w:gridSpan w:val="4"/>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September 30, 2020.</w:t>
              </w:r>
            </w:hyperlink>
          </w:p>
        </w:tc>
        <w:tc>
          <w:tcPr>
            <w:tcW w:w="6940" w:type="dxa"/>
            <w:vAlign w:val="bottom"/>
            <w:tcBorders>
              <w:top w:val="single" w:sz="8" w:color="0000FF"/>
            </w:tcBorders>
            <w:gridSpan w:val="16"/>
          </w:tcPr>
          <w:p>
            <w:pPr>
              <w:spacing w:after="0"/>
              <w:rPr>
                <w:sz w:val="13"/>
                <w:szCs w:val="13"/>
                <w:color w:val="auto"/>
              </w:rPr>
            </w:pPr>
          </w:p>
        </w:tc>
        <w:tc>
          <w:tcPr>
            <w:tcW w:w="260" w:type="dxa"/>
            <w:vAlign w:val="bottom"/>
            <w:gridSpan w:val="5"/>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First Supplemental Indenture dated as of August 2, 2021 among the Company, the guarantors named therein and U.S. Bank</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888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National Association, as trustee, incorporated by reference to Exhibit 4.33 to the Company’s Annual Report on Form 10-K</w:t>
              </w:r>
            </w:hyperlink>
          </w:p>
        </w:tc>
        <w:tc>
          <w:tcPr>
            <w:tcW w:w="300" w:type="dxa"/>
            <w:vAlign w:val="bottom"/>
            <w:gridSpan w:val="15"/>
          </w:tcPr>
          <w:p>
            <w:pPr>
              <w:jc w:val="right"/>
              <w:ind w:right="80"/>
              <w:spacing w:after="0" w:line="182" w:lineRule="exact"/>
              <w:rPr>
                <w:rFonts w:ascii="Times New Roman" w:cs="Times New Roman" w:eastAsia="Times New Roman" w:hAnsi="Times New Roman"/>
                <w:sz w:val="18"/>
                <w:szCs w:val="18"/>
                <w:color w:val="0000FF"/>
                <w:w w:val="95"/>
              </w:rPr>
            </w:pPr>
            <w:hyperlink r:id="rId105">
              <w:r>
                <w:rPr>
                  <w:rFonts w:ascii="Times New Roman" w:cs="Times New Roman" w:eastAsia="Times New Roman" w:hAnsi="Times New Roman"/>
                  <w:sz w:val="18"/>
                  <w:szCs w:val="18"/>
                  <w:color w:val="0000FF"/>
                  <w:w w:val="95"/>
                </w:rPr>
                <w:t>for</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23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05">
              <w:r>
                <w:rPr>
                  <w:rFonts w:ascii="Times New Roman" w:cs="Times New Roman" w:eastAsia="Times New Roman" w:hAnsi="Times New Roman"/>
                  <w:sz w:val="18"/>
                  <w:szCs w:val="18"/>
                  <w:color w:val="0000FF"/>
                  <w:w w:val="99"/>
                </w:rPr>
                <w:t>the year ended January 29, 2022.</w:t>
              </w:r>
            </w:hyperlink>
          </w:p>
        </w:tc>
        <w:tc>
          <w:tcPr>
            <w:tcW w:w="6740" w:type="dxa"/>
            <w:vAlign w:val="bottom"/>
            <w:tcBorders>
              <w:top w:val="single" w:sz="8" w:color="0000FF"/>
            </w:tcBorders>
            <w:gridSpan w:val="36"/>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Second Supplemental Indenture dated as of November 17, 2021 among the Company, the guarantors named therein and U.S.</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9020" w:type="dxa"/>
            <w:vAlign w:val="bottom"/>
            <w:tcBorders>
              <w:top w:val="single" w:sz="8" w:color="0000FF"/>
            </w:tcBorders>
            <w:gridSpan w:val="38"/>
          </w:tcPr>
          <w:p>
            <w:pPr>
              <w:spacing w:after="0" w:line="18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Bank National Association, as trustee, incorporated by reference to Exhibit 4.36 to the Company’s Annual Report on Form</w:t>
              </w:r>
            </w:hyperlink>
          </w:p>
        </w:tc>
        <w:tc>
          <w:tcPr>
            <w:tcW w:w="20" w:type="dxa"/>
            <w:vAlign w:val="bottom"/>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8840" w:type="dxa"/>
            <w:vAlign w:val="bottom"/>
            <w:tcBorders>
              <w:top w:val="single" w:sz="8" w:color="0000FF"/>
            </w:tcBorders>
            <w:gridSpan w:val="29"/>
          </w:tcPr>
          <w:p>
            <w:pPr>
              <w:spacing w:after="0" w:line="182"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10-K for the year ended January 29, 2022.</w:t>
              </w:r>
            </w:hyperlink>
          </w:p>
        </w:tc>
        <w:tc>
          <w:tcPr>
            <w:tcW w:w="200" w:type="dxa"/>
            <w:vAlign w:val="bottom"/>
            <w:gridSpan w:val="10"/>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3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Description of the Registrant’s Securities</w:t>
            </w:r>
          </w:p>
        </w:tc>
        <w:tc>
          <w:tcPr>
            <w:tcW w:w="6140" w:type="dxa"/>
            <w:vAlign w:val="bottom"/>
            <w:gridSpan w:val="3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29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6220" w:type="dxa"/>
            <w:vAlign w:val="bottom"/>
            <w:gridSpan w:val="36"/>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Form of Indemnification Agreement between the Company and the directors and executive officers of the Company,</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84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incorporated by reference to Exhibit 10.1 to the Company’s Annual Report on Form 10-K for the year ended January</w:t>
              </w:r>
            </w:hyperlink>
          </w:p>
        </w:tc>
        <w:tc>
          <w:tcPr>
            <w:tcW w:w="300" w:type="dxa"/>
            <w:vAlign w:val="bottom"/>
            <w:tcBorders>
              <w:bottom w:val="single" w:sz="8" w:color="0000FF"/>
            </w:tcBorders>
            <w:gridSpan w:val="6"/>
          </w:tcPr>
          <w:p>
            <w:pPr>
              <w:jc w:val="right"/>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28,</w:t>
              </w:r>
            </w:hyperlink>
          </w:p>
        </w:tc>
        <w:tc>
          <w:tcPr>
            <w:tcW w:w="340" w:type="dxa"/>
            <w:vAlign w:val="bottom"/>
            <w:gridSpan w:val="1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07">
              <w:r>
                <w:rPr>
                  <w:rFonts w:ascii="Times New Roman" w:cs="Times New Roman" w:eastAsia="Times New Roman" w:hAnsi="Times New Roman"/>
                  <w:sz w:val="18"/>
                  <w:szCs w:val="18"/>
                  <w:color w:val="0000FF"/>
                  <w:w w:val="95"/>
                </w:rPr>
                <w:t>2023.**</w:t>
              </w:r>
            </w:hyperlink>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2011 Stock Option and Performance Incentive Plan incorporated by reference to Exhibit 10.25 to the Company’s Annual</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48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Report on Form 10-K for the fiscal year ended January 28, 2012.**</w:t>
              </w:r>
            </w:hyperlink>
          </w:p>
        </w:tc>
        <w:tc>
          <w:tcPr>
            <w:tcW w:w="3840" w:type="dxa"/>
            <w:vAlign w:val="bottom"/>
            <w:tcBorders>
              <w:top w:val="single" w:sz="8" w:color="0000FF"/>
            </w:tcBorders>
            <w:gridSpan w:val="11"/>
          </w:tcPr>
          <w:p>
            <w:pPr>
              <w:spacing w:after="0"/>
              <w:rPr>
                <w:sz w:val="13"/>
                <w:szCs w:val="13"/>
                <w:color w:val="auto"/>
              </w:rPr>
            </w:pPr>
          </w:p>
        </w:tc>
        <w:tc>
          <w:tcPr>
            <w:tcW w:w="340" w:type="dxa"/>
            <w:vAlign w:val="bottom"/>
            <w:gridSpan w:val="14"/>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180" w:type="dxa"/>
            <w:vAlign w:val="bottom"/>
            <w:gridSpan w:val="46"/>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2015 Stock Option and Performance Incentive Plan, incorporated by reference to Exhibit 99.1 to the Company’s Registration</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904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Statement on Form S-8 (Reg. No. 333-206787) filed on September 4, 2015.**</w:t>
              </w:r>
            </w:hyperlink>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118" w:right="5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10.4</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2015 Stock Option and Performance Incentive Plan Terms and Conditions of Stock Option Grant, incorporated by reference to</w:t>
              </w:r>
            </w:hyperlink>
          </w:p>
        </w:tc>
      </w:tr>
      <w:tr>
        <w:trPr>
          <w:trHeight w:val="156"/>
        </w:trPr>
        <w:tc>
          <w:tcPr>
            <w:tcW w:w="1900" w:type="dxa"/>
            <w:vAlign w:val="bottom"/>
          </w:tcPr>
          <w:p>
            <w:pPr>
              <w:spacing w:after="0"/>
              <w:rPr>
                <w:sz w:val="13"/>
                <w:szCs w:val="13"/>
                <w:color w:val="auto"/>
              </w:rPr>
            </w:pPr>
          </w:p>
        </w:tc>
        <w:tc>
          <w:tcPr>
            <w:tcW w:w="74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Exhibit 10.2 to the Company’s Quarterly Report on Form 10-Q for the quarter ended August 1, 2015.**</w:t>
              </w:r>
            </w:hyperlink>
          </w:p>
        </w:tc>
        <w:tc>
          <w:tcPr>
            <w:tcW w:w="164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9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10.5</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2020 Stock Option and Performance Incentive Plan, incorporated by reference to Appendix C to the Company’s Proxy</w:t>
              </w:r>
            </w:hyperlink>
          </w:p>
        </w:tc>
      </w:tr>
      <w:tr>
        <w:trPr>
          <w:trHeight w:val="136"/>
        </w:trPr>
        <w:tc>
          <w:tcPr>
            <w:tcW w:w="1900" w:type="dxa"/>
            <w:vAlign w:val="bottom"/>
          </w:tcPr>
          <w:p>
            <w:pPr>
              <w:spacing w:after="0"/>
              <w:rPr>
                <w:sz w:val="11"/>
                <w:szCs w:val="11"/>
                <w:color w:val="auto"/>
              </w:rPr>
            </w:pPr>
          </w:p>
        </w:tc>
        <w:tc>
          <w:tcPr>
            <w:tcW w:w="2400" w:type="dxa"/>
            <w:vAlign w:val="bottom"/>
            <w:tcBorders>
              <w:top w:val="single" w:sz="8" w:color="0000FF"/>
              <w:bottom w:val="single" w:sz="8" w:color="0000FF"/>
            </w:tcBorders>
            <w:gridSpan w:val="7"/>
          </w:tcPr>
          <w:p>
            <w:pPr>
              <w:spacing w:after="0" w:line="136" w:lineRule="exact"/>
              <w:rPr>
                <w:rFonts w:ascii="Times New Roman" w:cs="Times New Roman" w:eastAsia="Times New Roman" w:hAnsi="Times New Roman"/>
                <w:sz w:val="15"/>
                <w:szCs w:val="15"/>
                <w:color w:val="0000FF"/>
              </w:rPr>
            </w:pPr>
            <w:hyperlink r:id="rId112">
              <w:r>
                <w:rPr>
                  <w:rFonts w:ascii="Times New Roman" w:cs="Times New Roman" w:eastAsia="Times New Roman" w:hAnsi="Times New Roman"/>
                  <w:sz w:val="15"/>
                  <w:szCs w:val="15"/>
                  <w:color w:val="0000FF"/>
                </w:rPr>
                <w:t>Statement dated April 2, 2020.**</w:t>
              </w:r>
            </w:hyperlink>
          </w:p>
        </w:tc>
        <w:tc>
          <w:tcPr>
            <w:tcW w:w="5600" w:type="dxa"/>
            <w:vAlign w:val="bottom"/>
            <w:tcBorders>
              <w:top w:val="single" w:sz="8" w:color="0000FF"/>
            </w:tcBorders>
            <w:gridSpan w:val="9"/>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10.6</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2020 Stock Option and Performance Incentive Plan Restricted Share Unit Award Agreement (Form of Associate Award),</w:t>
              </w:r>
            </w:hyperlink>
          </w:p>
        </w:tc>
      </w:tr>
      <w:tr>
        <w:trPr>
          <w:trHeight w:val="156"/>
        </w:trPr>
        <w:tc>
          <w:tcPr>
            <w:tcW w:w="190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incorporated by reference to Exhibit 10.1 to the Company’s Quarterly Report on Form 10-Q for the quarter ended May 1,</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58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13">
              <w:r>
                <w:rPr>
                  <w:rFonts w:ascii="Times New Roman" w:cs="Times New Roman" w:eastAsia="Times New Roman" w:hAnsi="Times New Roman"/>
                  <w:sz w:val="18"/>
                  <w:szCs w:val="18"/>
                  <w:color w:val="0000FF"/>
                  <w:w w:val="95"/>
                </w:rPr>
                <w:t>2021.**</w:t>
              </w:r>
            </w:hyperlink>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10.7</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2020 Stock Option and Performance Incentive Plan Performance Share Unit Award Agreement, incorporated by reference to</w:t>
              </w:r>
            </w:hyperlink>
          </w:p>
        </w:tc>
      </w:tr>
      <w:tr>
        <w:trPr>
          <w:trHeight w:val="155"/>
        </w:trPr>
        <w:tc>
          <w:tcPr>
            <w:tcW w:w="1900" w:type="dxa"/>
            <w:vAlign w:val="bottom"/>
          </w:tcPr>
          <w:p>
            <w:pPr>
              <w:spacing w:after="0"/>
              <w:rPr>
                <w:sz w:val="13"/>
                <w:szCs w:val="13"/>
                <w:color w:val="auto"/>
              </w:rPr>
            </w:pPr>
          </w:p>
        </w:tc>
        <w:tc>
          <w:tcPr>
            <w:tcW w:w="900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Exhibit 10.2 to the Company’s Quarterly Report on Form 10-Q for the quarter ended May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10.8</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2020 Stock Option and Performance Incentive Plan Stock Option Award Agreement, incorporated by reference to Exhibit</w:t>
              </w:r>
            </w:hyperlink>
          </w:p>
        </w:tc>
      </w:tr>
      <w:tr>
        <w:trPr>
          <w:trHeight w:val="155"/>
        </w:trPr>
        <w:tc>
          <w:tcPr>
            <w:tcW w:w="1900" w:type="dxa"/>
            <w:vAlign w:val="bottom"/>
          </w:tcPr>
          <w:p>
            <w:pPr>
              <w:spacing w:after="0"/>
              <w:rPr>
                <w:sz w:val="13"/>
                <w:szCs w:val="13"/>
                <w:color w:val="auto"/>
              </w:rPr>
            </w:pPr>
          </w:p>
        </w:tc>
        <w:tc>
          <w:tcPr>
            <w:tcW w:w="87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the Company’s Quarterly Report on Form 10-Q for the quarter ended May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10.9</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2020 Stock Option and Performance Incentive Plan Restricted Share Unit Award Agreement between the Company and Sarah</w:t>
              </w:r>
            </w:hyperlink>
          </w:p>
        </w:tc>
      </w:tr>
      <w:tr>
        <w:trPr>
          <w:trHeight w:val="155"/>
        </w:trPr>
        <w:tc>
          <w:tcPr>
            <w:tcW w:w="1900" w:type="dxa"/>
            <w:vAlign w:val="bottom"/>
          </w:tcPr>
          <w:p>
            <w:pPr>
              <w:spacing w:after="0"/>
              <w:rPr>
                <w:sz w:val="13"/>
                <w:szCs w:val="13"/>
                <w:color w:val="auto"/>
              </w:rPr>
            </w:pPr>
          </w:p>
        </w:tc>
        <w:tc>
          <w:tcPr>
            <w:tcW w:w="908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Nash, dated as of March 11, 2022, incorporated by reference to Exhibit 10.1 to the Company’s Current Report on Form 8-K</w:t>
              </w:r>
            </w:hyperlink>
          </w:p>
        </w:tc>
        <w:tc>
          <w:tcPr>
            <w:tcW w:w="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dated March 11, 2022.**</w:t>
              </w:r>
            </w:hyperlink>
          </w:p>
        </w:tc>
        <w:tc>
          <w:tcPr>
            <w:tcW w:w="716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r>
      <w:tr>
        <w:trPr>
          <w:trHeight w:val="318"/>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10.10</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2020 Stock Option and Performance Incentive Plan Restricted Share Unit Award Agreement (Form of Director Award</w:t>
              </w:r>
            </w:hyperlink>
          </w:p>
        </w:tc>
      </w:tr>
      <w:tr>
        <w:trPr>
          <w:trHeight w:val="156"/>
        </w:trPr>
        <w:tc>
          <w:tcPr>
            <w:tcW w:w="1900" w:type="dxa"/>
            <w:vAlign w:val="bottom"/>
          </w:tcPr>
          <w:p>
            <w:pPr>
              <w:spacing w:after="0"/>
              <w:rPr>
                <w:sz w:val="13"/>
                <w:szCs w:val="13"/>
                <w:color w:val="auto"/>
              </w:rPr>
            </w:pPr>
          </w:p>
        </w:tc>
        <w:tc>
          <w:tcPr>
            <w:tcW w:w="85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Agreement), incorporated by reference to Exhibit 10.11 to the Company’s Annual Report on Form 10-K for the year</w:t>
              </w:r>
            </w:hyperlink>
          </w:p>
        </w:tc>
        <w:tc>
          <w:tcPr>
            <w:tcW w:w="820" w:type="dxa"/>
            <w:vAlign w:val="bottom"/>
            <w:gridSpan w:val="23"/>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ended</w:t>
              </w:r>
            </w:hyperlink>
          </w:p>
        </w:tc>
      </w:tr>
      <w:tr>
        <w:trPr>
          <w:trHeight w:val="156"/>
        </w:trPr>
        <w:tc>
          <w:tcPr>
            <w:tcW w:w="1900" w:type="dxa"/>
            <w:vAlign w:val="bottom"/>
          </w:tcPr>
          <w:p>
            <w:pPr>
              <w:spacing w:after="0"/>
              <w:rPr>
                <w:sz w:val="13"/>
                <w:szCs w:val="13"/>
                <w:color w:val="auto"/>
              </w:rPr>
            </w:pPr>
          </w:p>
        </w:tc>
        <w:tc>
          <w:tcPr>
            <w:tcW w:w="89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January 28,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10.11</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Amended and Restated 2015 Cash Incentive Compensation Performance Plan, incorporated by reference to Exhibit 10.1 to the</w:t>
              </w:r>
            </w:hyperlink>
          </w:p>
        </w:tc>
      </w:tr>
      <w:tr>
        <w:trPr>
          <w:trHeight w:val="156"/>
        </w:trPr>
        <w:tc>
          <w:tcPr>
            <w:tcW w:w="190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Company’s Quarterly Report on Form 10-Q for the quarter ended October 29, 2022.**</w:t>
              </w:r>
            </w:hyperlink>
          </w:p>
        </w:tc>
        <w:tc>
          <w:tcPr>
            <w:tcW w:w="2900" w:type="dxa"/>
            <w:vAlign w:val="bottom"/>
            <w:tcBorders>
              <w:top w:val="single" w:sz="8" w:color="0000FF"/>
            </w:tcBorders>
            <w:gridSpan w:val="32"/>
          </w:tcPr>
          <w:p>
            <w:pPr>
              <w:spacing w:after="0"/>
              <w:rPr>
                <w:sz w:val="13"/>
                <w:szCs w:val="13"/>
                <w:color w:val="auto"/>
              </w:rPr>
            </w:pPr>
          </w:p>
        </w:tc>
        <w:tc>
          <w:tcPr>
            <w:tcW w:w="20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10.12</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Cash Incentive Compensation Performance Plan incorporated by reference to Exhibit 10.12 to the Company’s Annual Report</w:t>
              </w:r>
            </w:hyperlink>
          </w:p>
        </w:tc>
      </w:tr>
      <w:tr>
        <w:trPr>
          <w:trHeight w:val="156"/>
        </w:trPr>
        <w:tc>
          <w:tcPr>
            <w:tcW w:w="190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on Form 10-K for the year ended February 3, 2024**</w:t>
              </w:r>
            </w:hyperlink>
          </w:p>
        </w:tc>
        <w:tc>
          <w:tcPr>
            <w:tcW w:w="518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10.13</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Associate Stock Purchase Plan, incorporated by reference to Exhibit 10.1 to the Company’s Current Report on Form 8-K</w:t>
              </w:r>
            </w:hyperlink>
          </w:p>
        </w:tc>
      </w:tr>
      <w:tr>
        <w:trPr>
          <w:trHeight w:val="156"/>
        </w:trPr>
        <w:tc>
          <w:tcPr>
            <w:tcW w:w="1900" w:type="dxa"/>
            <w:vAlign w:val="bottom"/>
          </w:tcPr>
          <w:p>
            <w:pPr>
              <w:spacing w:after="0"/>
              <w:rPr>
                <w:sz w:val="13"/>
                <w:szCs w:val="13"/>
                <w:color w:val="auto"/>
              </w:rPr>
            </w:pPr>
          </w:p>
        </w:tc>
        <w:tc>
          <w:tcPr>
            <w:tcW w:w="87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dated May 13, 2022.**</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10.14</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Offer Letter between the Company and Gina Boswell, dated as of November 1, 2022, incorporated by reference to Exhibit</w:t>
              </w:r>
            </w:hyperlink>
          </w:p>
        </w:tc>
      </w:tr>
      <w:tr>
        <w:trPr>
          <w:trHeight w:val="155"/>
        </w:trPr>
        <w:tc>
          <w:tcPr>
            <w:tcW w:w="190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14</w:t>
              </w:r>
              <w:r>
                <w:rPr>
                  <w:rFonts w:ascii="Times New Roman" w:cs="Times New Roman" w:eastAsia="Times New Roman" w:hAnsi="Times New Roman"/>
                  <w:sz w:val="18"/>
                  <w:szCs w:val="18"/>
                  <w:color w:val="0000FF"/>
                  <w:w w:val="99"/>
                </w:rPr>
                <w:t xml:space="preserve"> to the Company’s Annual Report on Form 10-K for the year ended January 28, 2023.**</w:t>
              </w:r>
            </w:hyperlink>
          </w:p>
        </w:tc>
        <w:tc>
          <w:tcPr>
            <w:tcW w:w="20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10.15</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Confidentiality, Non-Competition and Intellectual Property Agreement between the Company and Gina Boswell, dated as of</w:t>
              </w:r>
            </w:hyperlink>
          </w:p>
        </w:tc>
      </w:tr>
      <w:tr>
        <w:trPr>
          <w:trHeight w:val="155"/>
        </w:trPr>
        <w:tc>
          <w:tcPr>
            <w:tcW w:w="1900" w:type="dxa"/>
            <w:vAlign w:val="bottom"/>
          </w:tcPr>
          <w:p>
            <w:pPr>
              <w:spacing w:after="0"/>
              <w:rPr>
                <w:sz w:val="13"/>
                <w:szCs w:val="13"/>
                <w:color w:val="auto"/>
              </w:rPr>
            </w:pPr>
          </w:p>
        </w:tc>
        <w:tc>
          <w:tcPr>
            <w:tcW w:w="898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December 1, 2022, incorporated by reference to Exhibit 10.15 to the Company’s Annual Report on Form 10-K for the year</w:t>
              </w:r>
            </w:hyperlink>
          </w:p>
        </w:tc>
        <w:tc>
          <w:tcPr>
            <w:tcW w:w="60" w:type="dxa"/>
            <w:vAlign w:val="bottom"/>
            <w:gridSpan w:val="3"/>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ended January 28, 2023.**</w:t>
              </w:r>
            </w:hyperlink>
          </w:p>
        </w:tc>
        <w:tc>
          <w:tcPr>
            <w:tcW w:w="694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10.16</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Executive Severance Agreement between the Company and Gina Boswell, dated as of December 1, 2022, incorporated by</w:t>
              </w:r>
            </w:hyperlink>
          </w:p>
        </w:tc>
      </w:tr>
      <w:tr>
        <w:trPr>
          <w:trHeight w:val="155"/>
        </w:trPr>
        <w:tc>
          <w:tcPr>
            <w:tcW w:w="190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reference to Exhibit 10.16 to the Company’s Annual Report on Form 10-K for the year ended January 28, 2023.**</w:t>
              </w:r>
            </w:hyperlink>
          </w:p>
        </w:tc>
        <w:tc>
          <w:tcPr>
            <w:tcW w:w="580" w:type="dxa"/>
            <w:vAlign w:val="bottom"/>
            <w:tcBorders>
              <w:top w:val="single" w:sz="8" w:color="0000FF"/>
            </w:tcBorders>
            <w:gridSpan w:val="10"/>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10.17</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Offer Letter between the Company and Eva Boratto, dated as of July 18, 2023, incorporated by reference to Exhibit 10.3 to</w:t>
              </w:r>
            </w:hyperlink>
          </w:p>
        </w:tc>
      </w:tr>
      <w:tr>
        <w:trPr>
          <w:trHeight w:val="155"/>
        </w:trPr>
        <w:tc>
          <w:tcPr>
            <w:tcW w:w="1900" w:type="dxa"/>
            <w:vAlign w:val="bottom"/>
          </w:tcPr>
          <w:p>
            <w:pPr>
              <w:spacing w:after="0"/>
              <w:rPr>
                <w:sz w:val="13"/>
                <w:szCs w:val="13"/>
                <w:color w:val="auto"/>
              </w:rPr>
            </w:pPr>
          </w:p>
        </w:tc>
        <w:tc>
          <w:tcPr>
            <w:tcW w:w="89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the Company’s Quarterly Report on Form 10-Q for the quarter ended July 29, 2023.**</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4540" w:type="dxa"/>
            <w:vAlign w:val="bottom"/>
            <w:gridSpan w:val="5"/>
            <w:shd w:val="clear" w:color="auto" w:fill="0000FF"/>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10.18</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Confidentiality, Non-Competition and Intellectual Property Agreement between the Company and Eva Boratto, dated as of</w:t>
              </w:r>
            </w:hyperlink>
          </w:p>
        </w:tc>
      </w:tr>
      <w:tr>
        <w:trPr>
          <w:trHeight w:val="155"/>
        </w:trPr>
        <w:tc>
          <w:tcPr>
            <w:tcW w:w="190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August 1, 2023, incorporated by reference to Exhibit 10.4 to the Company’s Quarterly Report on Form 10-Q for the quarter</w:t>
              </w:r>
            </w:hyperlink>
          </w:p>
        </w:tc>
        <w:tc>
          <w:tcPr>
            <w:tcW w:w="80" w:type="dxa"/>
            <w:vAlign w:val="bottom"/>
            <w:tcBorders>
              <w:bottom w:val="single" w:sz="8" w:color="0000FF"/>
            </w:tcBorders>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168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ended July 29, 2023.**</w:t>
              </w:r>
            </w:hyperlink>
          </w:p>
        </w:tc>
        <w:tc>
          <w:tcPr>
            <w:tcW w:w="7260" w:type="dxa"/>
            <w:vAlign w:val="bottom"/>
            <w:gridSpan w:val="30"/>
          </w:tcPr>
          <w:p>
            <w:pPr>
              <w:spacing w:after="0"/>
              <w:rPr>
                <w:sz w:val="13"/>
                <w:szCs w:val="13"/>
                <w:color w:val="auto"/>
              </w:rPr>
            </w:pPr>
          </w:p>
        </w:tc>
        <w:tc>
          <w:tcPr>
            <w:tcW w:w="100" w:type="dxa"/>
            <w:vAlign w:val="bottom"/>
            <w:gridSpan w:val="5"/>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10.19</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Executive Severance Agreement between the Company and Eva Boratto, dated as of August 1, 2023, incorporated by</w:t>
              </w:r>
            </w:hyperlink>
          </w:p>
        </w:tc>
      </w:tr>
      <w:tr>
        <w:trPr>
          <w:trHeight w:val="155"/>
        </w:trPr>
        <w:tc>
          <w:tcPr>
            <w:tcW w:w="1900" w:type="dxa"/>
            <w:vAlign w:val="bottom"/>
          </w:tcPr>
          <w:p>
            <w:pPr>
              <w:spacing w:after="0"/>
              <w:rPr>
                <w:sz w:val="13"/>
                <w:szCs w:val="13"/>
                <w:color w:val="auto"/>
              </w:rPr>
            </w:pPr>
          </w:p>
        </w:tc>
        <w:tc>
          <w:tcPr>
            <w:tcW w:w="84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reference to Exhibit 10.5 to the Company’s Quarterly Report on Form 10-Q for the quarter ended July 29, 2023.**</w:t>
              </w:r>
            </w:hyperlink>
          </w:p>
        </w:tc>
        <w:tc>
          <w:tcPr>
            <w:tcW w:w="3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2"/>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10.20</w:t>
            </w:r>
          </w:p>
        </w:tc>
        <w:tc>
          <w:tcPr>
            <w:tcW w:w="822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Executive Employment Agreement between Bath and Body Works, LLC and Deon Riley, dated February 4, 2021,</w:t>
              </w:r>
            </w:hyperlink>
          </w:p>
        </w:tc>
        <w:tc>
          <w:tcPr>
            <w:tcW w:w="20" w:type="dxa"/>
            <w:vAlign w:val="bottom"/>
            <w:tcBorders>
              <w:top w:val="single" w:sz="8" w:color="0000FF"/>
            </w:tcBorders>
          </w:tcPr>
          <w:p>
            <w:pPr>
              <w:spacing w:after="0"/>
              <w:rPr>
                <w:sz w:val="24"/>
                <w:szCs w:val="24"/>
                <w:color w:val="auto"/>
              </w:rPr>
            </w:pPr>
          </w:p>
        </w:tc>
        <w:tc>
          <w:tcPr>
            <w:tcW w:w="1100" w:type="dxa"/>
            <w:vAlign w:val="bottom"/>
            <w:gridSpan w:val="25"/>
          </w:tcPr>
          <w:p>
            <w:pPr>
              <w:spacing w:after="0"/>
              <w:rPr>
                <w:sz w:val="24"/>
                <w:szCs w:val="24"/>
                <w:color w:val="auto"/>
              </w:rPr>
            </w:pPr>
          </w:p>
        </w:tc>
      </w:tr>
      <w:tr>
        <w:trPr>
          <w:trHeight w:val="155"/>
        </w:trPr>
        <w:tc>
          <w:tcPr>
            <w:tcW w:w="1900" w:type="dxa"/>
            <w:vAlign w:val="bottom"/>
          </w:tcPr>
          <w:p>
            <w:pPr>
              <w:spacing w:after="0"/>
              <w:rPr>
                <w:sz w:val="13"/>
                <w:szCs w:val="13"/>
                <w:color w:val="auto"/>
              </w:rPr>
            </w:pPr>
          </w:p>
        </w:tc>
        <w:tc>
          <w:tcPr>
            <w:tcW w:w="9340" w:type="dxa"/>
            <w:vAlign w:val="bottom"/>
            <w:gridSpan w:val="4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incorporated by reference to Exhibit 10.26 to the Company’s Annual Report on Form 10-K for the year ended January 30,</w:t>
              </w:r>
            </w:hyperlink>
          </w:p>
        </w:tc>
      </w:tr>
      <w:tr>
        <w:trPr>
          <w:trHeight w:val="155"/>
        </w:trPr>
        <w:tc>
          <w:tcPr>
            <w:tcW w:w="190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27">
              <w:r>
                <w:rPr>
                  <w:rFonts w:ascii="Times New Roman" w:cs="Times New Roman" w:eastAsia="Times New Roman" w:hAnsi="Times New Roman"/>
                  <w:sz w:val="18"/>
                  <w:szCs w:val="18"/>
                  <w:color w:val="0000FF"/>
                  <w:w w:val="95"/>
                </w:rPr>
                <w:t>2021.**</w:t>
              </w:r>
            </w:hyperlink>
          </w:p>
        </w:tc>
        <w:tc>
          <w:tcPr>
            <w:tcW w:w="8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2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10.21</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Confidentiality, Non-Competition and Intellectual Property Agreement between the Company and Deon Riley, dated as of</w:t>
              </w:r>
            </w:hyperlink>
          </w:p>
        </w:tc>
      </w:tr>
      <w:tr>
        <w:trPr>
          <w:trHeight w:val="155"/>
        </w:trPr>
        <w:tc>
          <w:tcPr>
            <w:tcW w:w="1900" w:type="dxa"/>
            <w:vAlign w:val="bottom"/>
          </w:tcPr>
          <w:p>
            <w:pPr>
              <w:spacing w:after="0"/>
              <w:rPr>
                <w:sz w:val="13"/>
                <w:szCs w:val="13"/>
                <w:color w:val="auto"/>
              </w:rPr>
            </w:pPr>
          </w:p>
        </w:tc>
        <w:tc>
          <w:tcPr>
            <w:tcW w:w="880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December 7, 2020, incorporated by reference to Exhibit 10.22 to the Company’s Annual Report on Form 10-K for the year</w:t>
              </w:r>
            </w:hyperlink>
          </w:p>
        </w:tc>
        <w:tc>
          <w:tcPr>
            <w:tcW w:w="240" w:type="dxa"/>
            <w:vAlign w:val="bottom"/>
            <w:gridSpan w:val="12"/>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ended January 28, 2023.**</w:t>
              </w:r>
            </w:hyperlink>
          </w:p>
        </w:tc>
        <w:tc>
          <w:tcPr>
            <w:tcW w:w="6940" w:type="dxa"/>
            <w:vAlign w:val="bottom"/>
            <w:tcBorders>
              <w:top w:val="single" w:sz="8" w:color="0000FF"/>
            </w:tcBorders>
            <w:gridSpan w:val="25"/>
          </w:tcPr>
          <w:p>
            <w:pPr>
              <w:spacing w:after="0"/>
              <w:rPr>
                <w:sz w:val="13"/>
                <w:szCs w:val="13"/>
                <w:color w:val="auto"/>
              </w:rPr>
            </w:pPr>
          </w:p>
        </w:tc>
        <w:tc>
          <w:tcPr>
            <w:tcW w:w="160" w:type="dxa"/>
            <w:vAlign w:val="bottom"/>
            <w:gridSpan w:val="8"/>
          </w:tcPr>
          <w:p>
            <w:pPr>
              <w:spacing w:after="0"/>
              <w:rPr>
                <w:sz w:val="13"/>
                <w:szCs w:val="13"/>
                <w:color w:val="auto"/>
              </w:rPr>
            </w:pPr>
          </w:p>
        </w:tc>
        <w:tc>
          <w:tcPr>
            <w:tcW w:w="300" w:type="dxa"/>
            <w:vAlign w:val="bottom"/>
            <w:gridSpan w:val="4"/>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10.22</w:t>
            </w:r>
          </w:p>
        </w:tc>
        <w:tc>
          <w:tcPr>
            <w:tcW w:w="9340" w:type="dxa"/>
            <w:vAlign w:val="bottom"/>
            <w:gridSpan w:val="43"/>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Executive Severance Agreement between the Company and Deon Riley, dated as of May 13, 2022, incorporated by reference</w:t>
              </w:r>
            </w:hyperlink>
          </w:p>
        </w:tc>
      </w:tr>
      <w:tr>
        <w:trPr>
          <w:trHeight w:val="155"/>
        </w:trPr>
        <w:tc>
          <w:tcPr>
            <w:tcW w:w="1900" w:type="dxa"/>
            <w:vAlign w:val="bottom"/>
          </w:tcPr>
          <w:p>
            <w:pPr>
              <w:spacing w:after="0"/>
              <w:rPr>
                <w:sz w:val="13"/>
                <w:szCs w:val="13"/>
                <w:color w:val="auto"/>
              </w:rPr>
            </w:pPr>
          </w:p>
        </w:tc>
        <w:tc>
          <w:tcPr>
            <w:tcW w:w="904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to Exhibit 10.4 to the Company’s Quarterly Report on Form 10-Q for the quarter ended July 30, 2022.**</w:t>
              </w:r>
            </w:hyperlink>
          </w:p>
        </w:tc>
        <w:tc>
          <w:tcPr>
            <w:tcW w:w="300" w:type="dxa"/>
            <w:vAlign w:val="bottom"/>
            <w:gridSpan w:val="4"/>
          </w:tcPr>
          <w:p>
            <w:pPr>
              <w:spacing w:after="0"/>
              <w:rPr>
                <w:sz w:val="13"/>
                <w:szCs w:val="13"/>
                <w:color w:val="auto"/>
              </w:rPr>
            </w:pPr>
          </w:p>
        </w:tc>
      </w:tr>
      <w:tr>
        <w:trPr>
          <w:trHeight w:val="938"/>
        </w:trPr>
        <w:tc>
          <w:tcPr>
            <w:tcW w:w="1900" w:type="dxa"/>
            <w:vAlign w:val="bottom"/>
          </w:tcPr>
          <w:p>
            <w:pPr>
              <w:spacing w:after="0"/>
              <w:rPr>
                <w:sz w:val="24"/>
                <w:szCs w:val="24"/>
                <w:color w:val="auto"/>
              </w:rPr>
            </w:pPr>
          </w:p>
        </w:tc>
        <w:tc>
          <w:tcPr>
            <w:tcW w:w="3840" w:type="dxa"/>
            <w:vAlign w:val="bottom"/>
            <w:tcBorders>
              <w:top w:val="single" w:sz="8" w:color="0000FF"/>
            </w:tcBorders>
            <w:gridSpan w:val="8"/>
          </w:tcPr>
          <w:p>
            <w:pPr>
              <w:ind w:left="3640"/>
              <w:spacing w:after="0"/>
              <w:rPr>
                <w:sz w:val="20"/>
                <w:szCs w:val="20"/>
                <w:color w:val="auto"/>
              </w:rPr>
            </w:pPr>
            <w:r>
              <w:rPr>
                <w:rFonts w:ascii="Times New Roman" w:cs="Times New Roman" w:eastAsia="Times New Roman" w:hAnsi="Times New Roman"/>
                <w:sz w:val="18"/>
                <w:szCs w:val="18"/>
                <w:color w:val="auto"/>
                <w:w w:val="99"/>
              </w:rPr>
              <w:t>68</w:t>
            </w:r>
          </w:p>
        </w:tc>
        <w:tc>
          <w:tcPr>
            <w:tcW w:w="2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10.23</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Executive Retention Agreement between the Company and Deon Riley, dated as of May 13, 2022, incorporated by reference</w:t>
              </w:r>
            </w:hyperlink>
          </w:p>
        </w:tc>
      </w:tr>
      <w:tr>
        <w:trPr>
          <w:trHeight w:val="156"/>
        </w:trPr>
        <w:tc>
          <w:tcPr>
            <w:tcW w:w="190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to Exhibit 10.7 to the Company’s Quarterly Report on Form 10-Q for the quarter ended July 30, 2022.**</w:t>
              </w:r>
            </w:hyperlink>
          </w:p>
        </w:tc>
        <w:tc>
          <w:tcPr>
            <w:tcW w:w="14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10.24</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Executive Employment Agreement between Bath &amp; Body Works, LLC and Julie Rosen, dated as of February 3, 2021,</w:t>
              </w:r>
            </w:hyperlink>
          </w:p>
        </w:tc>
      </w:tr>
      <w:tr>
        <w:trPr>
          <w:trHeight w:val="156"/>
        </w:trPr>
        <w:tc>
          <w:tcPr>
            <w:tcW w:w="1900" w:type="dxa"/>
            <w:vAlign w:val="bottom"/>
          </w:tcPr>
          <w:p>
            <w:pPr>
              <w:spacing w:after="0"/>
              <w:rPr>
                <w:sz w:val="13"/>
                <w:szCs w:val="13"/>
                <w:color w:val="auto"/>
              </w:rPr>
            </w:pPr>
          </w:p>
        </w:tc>
        <w:tc>
          <w:tcPr>
            <w:tcW w:w="85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incorporated by reference to Exhibit 10.25 to the Company’s Annual Report on Form 10-K for the year ended January</w:t>
              </w:r>
            </w:hyperlink>
          </w:p>
        </w:tc>
        <w:tc>
          <w:tcPr>
            <w:tcW w:w="320" w:type="dxa"/>
            <w:vAlign w:val="bottom"/>
            <w:gridSpan w:val="7"/>
          </w:tcPr>
          <w:p>
            <w:pPr>
              <w:jc w:val="right"/>
              <w:ind w:right="40"/>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30,</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5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33">
              <w:r>
                <w:rPr>
                  <w:rFonts w:ascii="Times New Roman" w:cs="Times New Roman" w:eastAsia="Times New Roman" w:hAnsi="Times New Roman"/>
                  <w:sz w:val="18"/>
                  <w:szCs w:val="18"/>
                  <w:color w:val="0000FF"/>
                  <w:w w:val="95"/>
                </w:rPr>
                <w:t>2021.**</w:t>
              </w:r>
            </w:hyperlink>
          </w:p>
        </w:tc>
        <w:tc>
          <w:tcPr>
            <w:tcW w:w="8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10.25</w:t>
            </w:r>
          </w:p>
        </w:tc>
        <w:tc>
          <w:tcPr>
            <w:tcW w:w="88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Confidentiality, Non-Competition and Intellectual Property Agreement between the Company and Julie Rosen, dated as of</w:t>
              </w:r>
            </w:hyperlink>
          </w:p>
        </w:tc>
        <w:tc>
          <w:tcPr>
            <w:tcW w:w="520" w:type="dxa"/>
            <w:vAlign w:val="bottom"/>
            <w:gridSpan w:val="17"/>
          </w:tcPr>
          <w:p>
            <w:pPr>
              <w:spacing w:after="0"/>
              <w:rPr>
                <w:sz w:val="24"/>
                <w:szCs w:val="24"/>
                <w:color w:val="auto"/>
              </w:rPr>
            </w:pPr>
          </w:p>
        </w:tc>
      </w:tr>
      <w:tr>
        <w:trPr>
          <w:trHeight w:val="156"/>
        </w:trPr>
        <w:tc>
          <w:tcPr>
            <w:tcW w:w="1900" w:type="dxa"/>
            <w:vAlign w:val="bottom"/>
          </w:tcPr>
          <w:p>
            <w:pPr>
              <w:spacing w:after="0"/>
              <w:rPr>
                <w:sz w:val="13"/>
                <w:szCs w:val="13"/>
                <w:color w:val="auto"/>
              </w:rPr>
            </w:pPr>
          </w:p>
        </w:tc>
        <w:tc>
          <w:tcPr>
            <w:tcW w:w="9340" w:type="dxa"/>
            <w:vAlign w:val="bottom"/>
            <w:gridSpan w:val="36"/>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July 23, 2020, incorporated by reference to Exhibit 10.26 to the Company’s Annual Report on Form 10-K for the year ended</w:t>
              </w:r>
            </w:hyperlink>
          </w:p>
        </w:tc>
      </w:tr>
      <w:tr>
        <w:trPr>
          <w:trHeight w:val="156"/>
        </w:trPr>
        <w:tc>
          <w:tcPr>
            <w:tcW w:w="1900" w:type="dxa"/>
            <w:vAlign w:val="bottom"/>
          </w:tcPr>
          <w:p>
            <w:pPr>
              <w:spacing w:after="0"/>
              <w:rPr>
                <w:sz w:val="13"/>
                <w:szCs w:val="13"/>
                <w:color w:val="auto"/>
              </w:rPr>
            </w:pPr>
          </w:p>
        </w:tc>
        <w:tc>
          <w:tcPr>
            <w:tcW w:w="89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January 28,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10.26</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Executive Severance Agreement between the Company and Julie Rosen, dated as of May 13, 2022, incorporated by reference</w:t>
              </w:r>
            </w:hyperlink>
          </w:p>
        </w:tc>
      </w:tr>
      <w:tr>
        <w:trPr>
          <w:trHeight w:val="156"/>
        </w:trPr>
        <w:tc>
          <w:tcPr>
            <w:tcW w:w="190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to Exhibit 10.5 to the Company’s Quarterly Report on Form 10-Q for the quarter ended July 30, 2022.**</w:t>
              </w:r>
            </w:hyperlink>
          </w:p>
        </w:tc>
        <w:tc>
          <w:tcPr>
            <w:tcW w:w="15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10.27</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Executive Retention Agreement between the Company and Julie Rosen, dated as of May 13, 2022, incorporated by reference</w:t>
              </w:r>
            </w:hyperlink>
          </w:p>
        </w:tc>
      </w:tr>
      <w:tr>
        <w:trPr>
          <w:trHeight w:val="156"/>
        </w:trPr>
        <w:tc>
          <w:tcPr>
            <w:tcW w:w="1900" w:type="dxa"/>
            <w:vAlign w:val="bottom"/>
          </w:tcPr>
          <w:p>
            <w:pPr>
              <w:spacing w:after="0"/>
              <w:rPr>
                <w:sz w:val="13"/>
                <w:szCs w:val="13"/>
                <w:color w:val="auto"/>
              </w:rPr>
            </w:pPr>
          </w:p>
        </w:tc>
        <w:tc>
          <w:tcPr>
            <w:tcW w:w="75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to Exhibit 10.8 to the Company’s Quarterly Report on Form 10-Q for the quarter ended July 30, 2022.**</w:t>
              </w:r>
            </w:hyperlink>
          </w:p>
        </w:tc>
        <w:tc>
          <w:tcPr>
            <w:tcW w:w="152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10.28</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Offer Letter between the Company and Michael Wu, dated as of April 19, 2021, incorporated by reference to Exhibit 10.30 to</w:t>
              </w:r>
            </w:hyperlink>
          </w:p>
        </w:tc>
      </w:tr>
      <w:tr>
        <w:trPr>
          <w:trHeight w:val="156"/>
        </w:trPr>
        <w:tc>
          <w:tcPr>
            <w:tcW w:w="1900" w:type="dxa"/>
            <w:vAlign w:val="bottom"/>
          </w:tcPr>
          <w:p>
            <w:pPr>
              <w:spacing w:after="0"/>
              <w:rPr>
                <w:sz w:val="13"/>
                <w:szCs w:val="13"/>
                <w:color w:val="auto"/>
              </w:rPr>
            </w:pPr>
          </w:p>
        </w:tc>
        <w:tc>
          <w:tcPr>
            <w:tcW w:w="914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the Company’s Annual Report on Form 10-K for the year ended January 28,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10.29</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Confidentiality, Non-Competition and Intellectual Property Agreement between the Company and Michael Wu, dated as of</w:t>
              </w:r>
            </w:hyperlink>
          </w:p>
        </w:tc>
      </w:tr>
      <w:tr>
        <w:trPr>
          <w:trHeight w:val="20"/>
        </w:trPr>
        <w:tc>
          <w:tcPr>
            <w:tcW w:w="190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6"/>
        </w:trPr>
        <w:tc>
          <w:tcPr>
            <w:tcW w:w="1900" w:type="dxa"/>
            <w:vAlign w:val="bottom"/>
          </w:tcPr>
          <w:p>
            <w:pPr>
              <w:spacing w:after="0"/>
              <w:rPr>
                <w:sz w:val="13"/>
                <w:szCs w:val="13"/>
                <w:color w:val="auto"/>
              </w:rPr>
            </w:pPr>
          </w:p>
        </w:tc>
        <w:tc>
          <w:tcPr>
            <w:tcW w:w="9340" w:type="dxa"/>
            <w:vAlign w:val="bottom"/>
            <w:gridSpan w:val="3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April 19, 2021, incorporated by reference to Exhibit 10.29 to the Company’s Annual Report on Form 10-K for the year ended</w:t>
              </w:r>
            </w:hyperlink>
          </w:p>
        </w:tc>
      </w:tr>
      <w:tr>
        <w:trPr>
          <w:trHeight w:val="155"/>
        </w:trPr>
        <w:tc>
          <w:tcPr>
            <w:tcW w:w="1900" w:type="dxa"/>
            <w:vAlign w:val="bottom"/>
          </w:tcPr>
          <w:p>
            <w:pPr>
              <w:spacing w:after="0"/>
              <w:rPr>
                <w:sz w:val="13"/>
                <w:szCs w:val="13"/>
                <w:color w:val="auto"/>
              </w:rPr>
            </w:pPr>
          </w:p>
        </w:tc>
        <w:tc>
          <w:tcPr>
            <w:tcW w:w="91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January 28, 2023.**</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10.30</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Executive Severance Agreement between the Company and Michael Wu, dated as of May 13, 2022, incorporated by reference</w:t>
              </w:r>
            </w:hyperlink>
          </w:p>
        </w:tc>
      </w:tr>
      <w:tr>
        <w:trPr>
          <w:trHeight w:val="155"/>
        </w:trPr>
        <w:tc>
          <w:tcPr>
            <w:tcW w:w="190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to Exhibit 10.31 to the Company’s Annual Report on Form 10-K for the year ended January 28, 2023.**</w:t>
              </w:r>
            </w:hyperlink>
          </w:p>
        </w:tc>
        <w:tc>
          <w:tcPr>
            <w:tcW w:w="166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10.31</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Executive Retention Agreement between the Company and Michael Wu, dated as of May 13, 2022, incorporated by reference</w:t>
              </w:r>
            </w:hyperlink>
          </w:p>
        </w:tc>
      </w:tr>
      <w:tr>
        <w:trPr>
          <w:trHeight w:val="155"/>
        </w:trPr>
        <w:tc>
          <w:tcPr>
            <w:tcW w:w="190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to Exhibit 10.32 to the Company’s Annual Report on Form 10-K for the year ended January 28, 2023.**</w:t>
              </w:r>
            </w:hyperlink>
          </w:p>
        </w:tc>
        <w:tc>
          <w:tcPr>
            <w:tcW w:w="164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10.32</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Confidentiality, Non-Competition and Intellectual Property Agreement between the Company and Wendy Arlin, dated as of</w:t>
              </w:r>
            </w:hyperlink>
          </w:p>
        </w:tc>
      </w:tr>
      <w:tr>
        <w:trPr>
          <w:trHeight w:val="155"/>
        </w:trPr>
        <w:tc>
          <w:tcPr>
            <w:tcW w:w="190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May 12, 2021, incorporated by reference to Exhibit 10.18 to the Company’s Annual Report on Form 10-K for the year ended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9040" w:type="dxa"/>
            <w:vAlign w:val="bottom"/>
            <w:gridSpan w:val="27"/>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January 28, 2023.**</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10.33</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Executive Severance Agreement between the Company and Wendy Arlin, dated as of May 13, 2022, incorporated by</w:t>
              </w:r>
            </w:hyperlink>
          </w:p>
        </w:tc>
      </w:tr>
      <w:tr>
        <w:trPr>
          <w:trHeight w:val="155"/>
        </w:trPr>
        <w:tc>
          <w:tcPr>
            <w:tcW w:w="1900" w:type="dxa"/>
            <w:vAlign w:val="bottom"/>
          </w:tcPr>
          <w:p>
            <w:pPr>
              <w:spacing w:after="0"/>
              <w:rPr>
                <w:sz w:val="13"/>
                <w:szCs w:val="13"/>
                <w:color w:val="auto"/>
              </w:rPr>
            </w:pPr>
          </w:p>
        </w:tc>
        <w:tc>
          <w:tcPr>
            <w:tcW w:w="84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reference to Exhibit 10.3 to the Company’s Quarterly Report on Form 10-Q for the quarter ended July 30, 2022.**</w:t>
              </w:r>
            </w:hyperlink>
          </w:p>
        </w:tc>
        <w:tc>
          <w:tcPr>
            <w:tcW w:w="1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10.34</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Executive Retention Agreement between the Company and Wendy Arlin, dated as of May 13, 2022, incorporated by reference</w:t>
              </w:r>
            </w:hyperlink>
          </w:p>
        </w:tc>
      </w:tr>
      <w:tr>
        <w:trPr>
          <w:trHeight w:val="155"/>
        </w:trPr>
        <w:tc>
          <w:tcPr>
            <w:tcW w:w="1900" w:type="dxa"/>
            <w:vAlign w:val="bottom"/>
          </w:tcPr>
          <w:p>
            <w:pPr>
              <w:spacing w:after="0"/>
              <w:rPr>
                <w:sz w:val="13"/>
                <w:szCs w:val="13"/>
                <w:color w:val="auto"/>
              </w:rPr>
            </w:pPr>
          </w:p>
        </w:tc>
        <w:tc>
          <w:tcPr>
            <w:tcW w:w="92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to Exhibit 10.6 to the Company’s Quarterly Report on Form 10-Q for the quarter ended July 30, 2022.**</w:t>
              </w:r>
            </w:hyperlink>
          </w:p>
        </w:tc>
        <w:tc>
          <w:tcPr>
            <w:tcW w:w="14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10.35</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Letter Agreement between the Company and Wendy Arlin, effective as of June 7, 2023, incorporated by reference to Exhibit</w:t>
              </w:r>
            </w:hyperlink>
          </w:p>
        </w:tc>
      </w:tr>
      <w:tr>
        <w:trPr>
          <w:trHeight w:val="155"/>
        </w:trPr>
        <w:tc>
          <w:tcPr>
            <w:tcW w:w="1900" w:type="dxa"/>
            <w:vAlign w:val="bottom"/>
          </w:tcPr>
          <w:p>
            <w:pPr>
              <w:spacing w:after="0"/>
              <w:rPr>
                <w:sz w:val="13"/>
                <w:szCs w:val="13"/>
                <w:color w:val="auto"/>
              </w:rPr>
            </w:pPr>
          </w:p>
        </w:tc>
        <w:tc>
          <w:tcPr>
            <w:tcW w:w="90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to the Company’s Quarterly Report on Form 10-Q for the quarter ended July 29, 2023.**</w:t>
              </w:r>
            </w:hyperlink>
          </w:p>
        </w:tc>
        <w:tc>
          <w:tcPr>
            <w:tcW w:w="80" w:type="dxa"/>
            <w:vAlign w:val="bottom"/>
            <w:gridSpan w:val="4"/>
          </w:tcPr>
          <w:p>
            <w:pPr>
              <w:spacing w:after="0"/>
              <w:rPr>
                <w:sz w:val="13"/>
                <w:szCs w:val="13"/>
                <w:color w:val="auto"/>
              </w:rPr>
            </w:pPr>
          </w:p>
        </w:tc>
        <w:tc>
          <w:tcPr>
            <w:tcW w:w="260" w:type="dxa"/>
            <w:vAlign w:val="bottom"/>
            <w:gridSpan w:val="7"/>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10.36</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Third Amended and Restated Master Aircraft Time Sharing Agreement between L Brands Service Company, LLC and Gina</w:t>
              </w:r>
            </w:hyperlink>
          </w:p>
        </w:tc>
      </w:tr>
      <w:tr>
        <w:trPr>
          <w:trHeight w:val="155"/>
        </w:trPr>
        <w:tc>
          <w:tcPr>
            <w:tcW w:w="1900" w:type="dxa"/>
            <w:vAlign w:val="bottom"/>
          </w:tcPr>
          <w:p>
            <w:pPr>
              <w:spacing w:after="0"/>
              <w:rPr>
                <w:sz w:val="13"/>
                <w:szCs w:val="13"/>
                <w:color w:val="auto"/>
              </w:rPr>
            </w:pPr>
          </w:p>
        </w:tc>
        <w:tc>
          <w:tcPr>
            <w:tcW w:w="89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Boswell, effective as of August 14, 2023, incorporated by reference to Exhibit 10.36 to the Company’s Annual Report on</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60" w:type="dxa"/>
            <w:vAlign w:val="bottom"/>
            <w:gridSpan w:val="7"/>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Form 10-K for the year ended February 3, 2024.**</w:t>
              </w:r>
            </w:hyperlink>
          </w:p>
        </w:tc>
        <w:tc>
          <w:tcPr>
            <w:tcW w:w="50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260" w:type="dxa"/>
            <w:vAlign w:val="bottom"/>
            <w:gridSpan w:val="7"/>
          </w:tcPr>
          <w:p>
            <w:pPr>
              <w:spacing w:after="0"/>
              <w:rPr>
                <w:sz w:val="13"/>
                <w:szCs w:val="13"/>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10.37</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Separation and Distribution Agreement between the Company and Victoria’s Secret &amp; Co., dated as of August 2, 2021,</w:t>
              </w:r>
            </w:hyperlink>
          </w:p>
        </w:tc>
      </w:tr>
      <w:tr>
        <w:trPr>
          <w:trHeight w:val="155"/>
        </w:trPr>
        <w:tc>
          <w:tcPr>
            <w:tcW w:w="1900" w:type="dxa"/>
            <w:vAlign w:val="bottom"/>
          </w:tcPr>
          <w:p>
            <w:pPr>
              <w:spacing w:after="0"/>
              <w:rPr>
                <w:sz w:val="13"/>
                <w:szCs w:val="13"/>
                <w:color w:val="auto"/>
              </w:rPr>
            </w:pPr>
          </w:p>
        </w:tc>
        <w:tc>
          <w:tcPr>
            <w:tcW w:w="858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incorporated by reference to Exhibit 2.1 to the Company’s Current Report on Form 8-K dated August 3, 2021.***</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260" w:type="dxa"/>
            <w:vAlign w:val="bottom"/>
            <w:gridSpan w:val="7"/>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560" w:type="dxa"/>
            <w:vAlign w:val="bottom"/>
            <w:gridSpan w:val="6"/>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10.38</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L Brands to VS Transition Services Agreement between the Company and Victoria’s Secret &amp; Co., dated as of August 2,</w:t>
              </w:r>
            </w:hyperlink>
          </w:p>
        </w:tc>
      </w:tr>
      <w:tr>
        <w:trPr>
          <w:trHeight w:val="155"/>
        </w:trPr>
        <w:tc>
          <w:tcPr>
            <w:tcW w:w="190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2021, incorporated by reference to Exhibit 10.1 to the Company’s Current Report on Form 8-K dated August 3, 2021.***</w:t>
              </w:r>
            </w:hyperlink>
          </w:p>
        </w:tc>
        <w:tc>
          <w:tcPr>
            <w:tcW w:w="40" w:type="dxa"/>
            <w:vAlign w:val="bottom"/>
            <w:tcBorders>
              <w:bottom w:val="single" w:sz="8" w:color="0000FF"/>
            </w:tcBorders>
            <w:gridSpan w:val="2"/>
          </w:tcPr>
          <w:p>
            <w:pPr>
              <w:spacing w:after="0"/>
              <w:rPr>
                <w:sz w:val="13"/>
                <w:szCs w:val="13"/>
                <w:color w:val="auto"/>
              </w:rPr>
            </w:pPr>
          </w:p>
        </w:tc>
        <w:tc>
          <w:tcPr>
            <w:tcW w:w="200" w:type="dxa"/>
            <w:vAlign w:val="bottom"/>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260" w:type="dxa"/>
            <w:vAlign w:val="bottom"/>
            <w:gridSpan w:val="7"/>
          </w:tcPr>
          <w:p>
            <w:pPr>
              <w:spacing w:after="0"/>
              <w:rPr>
                <w:sz w:val="13"/>
                <w:szCs w:val="13"/>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10.39</w:t>
            </w:r>
          </w:p>
        </w:tc>
        <w:tc>
          <w:tcPr>
            <w:tcW w:w="87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Amendment No. 1 to L Brands to VS Transition Services Agreement between the Company and Victoria’s Secret &amp; Co.,</w:t>
              </w:r>
            </w:hyperlink>
          </w:p>
        </w:tc>
        <w:tc>
          <w:tcPr>
            <w:tcW w:w="640" w:type="dxa"/>
            <w:vAlign w:val="bottom"/>
            <w:gridSpan w:val="22"/>
          </w:tcPr>
          <w:p>
            <w:pPr>
              <w:spacing w:after="0"/>
              <w:rPr>
                <w:sz w:val="24"/>
                <w:szCs w:val="24"/>
                <w:color w:val="auto"/>
              </w:rPr>
            </w:pPr>
          </w:p>
        </w:tc>
      </w:tr>
      <w:tr>
        <w:trPr>
          <w:trHeight w:val="155"/>
        </w:trPr>
        <w:tc>
          <w:tcPr>
            <w:tcW w:w="1900" w:type="dxa"/>
            <w:vAlign w:val="bottom"/>
          </w:tcPr>
          <w:p>
            <w:pPr>
              <w:spacing w:after="0"/>
              <w:rPr>
                <w:sz w:val="13"/>
                <w:szCs w:val="13"/>
                <w:color w:val="auto"/>
              </w:rPr>
            </w:pPr>
          </w:p>
        </w:tc>
        <w:tc>
          <w:tcPr>
            <w:tcW w:w="9340" w:type="dxa"/>
            <w:vAlign w:val="bottom"/>
            <w:gridSpan w:val="36"/>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dated as of July 20, 2022, incorporated by reference to Exhibit 10.9 to the Company’s Quarterly Report on Form 10-Q for the</w:t>
              </w:r>
            </w:hyperlink>
          </w:p>
        </w:tc>
      </w:tr>
      <w:tr>
        <w:trPr>
          <w:trHeight w:val="155"/>
        </w:trPr>
        <w:tc>
          <w:tcPr>
            <w:tcW w:w="1900" w:type="dxa"/>
            <w:vAlign w:val="bottom"/>
          </w:tcPr>
          <w:p>
            <w:pPr>
              <w:spacing w:after="0"/>
              <w:rPr>
                <w:sz w:val="13"/>
                <w:szCs w:val="13"/>
                <w:color w:val="auto"/>
              </w:rPr>
            </w:pPr>
          </w:p>
        </w:tc>
        <w:tc>
          <w:tcPr>
            <w:tcW w:w="90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quarter ended July 30, 2022.***</w:t>
              </w:r>
            </w:hyperlink>
          </w:p>
        </w:tc>
        <w:tc>
          <w:tcPr>
            <w:tcW w:w="260" w:type="dxa"/>
            <w:vAlign w:val="bottom"/>
            <w:gridSpan w:val="7"/>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320" w:type="dxa"/>
            <w:vAlign w:val="bottom"/>
            <w:gridSpan w:val="19"/>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10.40</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Amendment No. 2 to L Brands to VS Transition Services Agreement between the Company and Victoria’s Secret &amp; Co.,</w:t>
              </w:r>
            </w:hyperlink>
          </w:p>
        </w:tc>
      </w:tr>
      <w:tr>
        <w:trPr>
          <w:trHeight w:val="155"/>
        </w:trPr>
        <w:tc>
          <w:tcPr>
            <w:tcW w:w="1900" w:type="dxa"/>
            <w:vAlign w:val="bottom"/>
          </w:tcPr>
          <w:p>
            <w:pPr>
              <w:spacing w:after="0"/>
              <w:rPr>
                <w:sz w:val="13"/>
                <w:szCs w:val="13"/>
                <w:color w:val="auto"/>
              </w:rPr>
            </w:pPr>
          </w:p>
        </w:tc>
        <w:tc>
          <w:tcPr>
            <w:tcW w:w="87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dated as of January 23, 2023, incorporated by reference to Exhibit 10.39 to the Company’s Annual Report on Form 10-K</w:t>
              </w:r>
            </w:hyperlink>
          </w:p>
        </w:tc>
        <w:tc>
          <w:tcPr>
            <w:tcW w:w="640" w:type="dxa"/>
            <w:vAlign w:val="bottom"/>
            <w:gridSpan w:val="22"/>
          </w:tcPr>
          <w:p>
            <w:pPr>
              <w:ind w:left="60"/>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w:t>
              </w:r>
            </w:hyperlink>
          </w:p>
        </w:tc>
      </w:tr>
      <w:tr>
        <w:trPr>
          <w:trHeight w:val="155"/>
        </w:trPr>
        <w:tc>
          <w:tcPr>
            <w:tcW w:w="1900" w:type="dxa"/>
            <w:vAlign w:val="bottom"/>
          </w:tcPr>
          <w:p>
            <w:pPr>
              <w:spacing w:after="0"/>
              <w:rPr>
                <w:sz w:val="13"/>
                <w:szCs w:val="13"/>
                <w:color w:val="auto"/>
              </w:rPr>
            </w:pPr>
          </w:p>
        </w:tc>
        <w:tc>
          <w:tcPr>
            <w:tcW w:w="89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the year ended January 28, 2023.***</w:t>
              </w:r>
            </w:hyperlink>
          </w:p>
        </w:tc>
        <w:tc>
          <w:tcPr>
            <w:tcW w:w="380" w:type="dxa"/>
            <w:vAlign w:val="bottom"/>
            <w:gridSpan w:val="13"/>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6700" w:type="dxa"/>
            <w:vAlign w:val="bottom"/>
            <w:gridSpan w:val="32"/>
          </w:tcPr>
          <w:p>
            <w:pPr>
              <w:spacing w:after="0" w:line="20" w:lineRule="exact"/>
              <w:rPr>
                <w:sz w:val="1"/>
                <w:szCs w:val="1"/>
                <w:color w:val="auto"/>
              </w:rPr>
            </w:pPr>
          </w:p>
        </w:tc>
      </w:tr>
      <w:tr>
        <w:trPr>
          <w:trHeight w:val="277"/>
        </w:trPr>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10.41</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VS to L Brands Transition Services Agreement between the Company and Victoria’s Secret &amp; Co., dated as of August 2,</w:t>
              </w:r>
            </w:hyperlink>
          </w:p>
        </w:tc>
      </w:tr>
      <w:tr>
        <w:trPr>
          <w:trHeight w:val="155"/>
        </w:trPr>
        <w:tc>
          <w:tcPr>
            <w:tcW w:w="1900" w:type="dxa"/>
            <w:vAlign w:val="bottom"/>
          </w:tcPr>
          <w:p>
            <w:pPr>
              <w:spacing w:after="0"/>
              <w:rPr>
                <w:sz w:val="13"/>
                <w:szCs w:val="13"/>
                <w:color w:val="auto"/>
              </w:rPr>
            </w:pPr>
          </w:p>
        </w:tc>
        <w:tc>
          <w:tcPr>
            <w:tcW w:w="87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2021, incorporated by reference to Exhibit 10.2 to the Company’s Current Report on Form 8-K dated August 3, 2021.***</w:t>
              </w:r>
            </w:hyperlink>
          </w:p>
        </w:tc>
        <w:tc>
          <w:tcPr>
            <w:tcW w:w="620" w:type="dxa"/>
            <w:vAlign w:val="bottom"/>
            <w:gridSpan w:val="21"/>
          </w:tcPr>
          <w:p>
            <w:pPr>
              <w:spacing w:after="0"/>
              <w:rPr>
                <w:sz w:val="13"/>
                <w:szCs w:val="13"/>
                <w:color w:val="auto"/>
              </w:rPr>
            </w:pPr>
          </w:p>
        </w:tc>
      </w:tr>
      <w:tr>
        <w:trPr>
          <w:trHeight w:val="884"/>
        </w:trPr>
        <w:tc>
          <w:tcPr>
            <w:tcW w:w="1900" w:type="dxa"/>
            <w:vAlign w:val="bottom"/>
          </w:tcPr>
          <w:p>
            <w:pPr>
              <w:spacing w:after="0"/>
              <w:rPr>
                <w:sz w:val="24"/>
                <w:szCs w:val="24"/>
                <w:color w:val="auto"/>
              </w:rPr>
            </w:pPr>
          </w:p>
        </w:tc>
        <w:tc>
          <w:tcPr>
            <w:tcW w:w="6120" w:type="dxa"/>
            <w:vAlign w:val="bottom"/>
            <w:tcBorders>
              <w:top w:val="single" w:sz="8" w:color="0000FF"/>
            </w:tcBorders>
            <w:gridSpan w:val="6"/>
          </w:tcPr>
          <w:p>
            <w:pPr>
              <w:ind w:left="3640"/>
              <w:spacing w:after="0"/>
              <w:rPr>
                <w:sz w:val="20"/>
                <w:szCs w:val="20"/>
                <w:color w:val="auto"/>
              </w:rPr>
            </w:pPr>
            <w:r>
              <w:rPr>
                <w:rFonts w:ascii="Times New Roman" w:cs="Times New Roman" w:eastAsia="Times New Roman" w:hAnsi="Times New Roman"/>
                <w:sz w:val="18"/>
                <w:szCs w:val="18"/>
                <w:color w:val="auto"/>
              </w:rPr>
              <w:t>69</w:t>
            </w:r>
          </w:p>
        </w:tc>
        <w:tc>
          <w:tcPr>
            <w:tcW w:w="6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10.42</w:t>
            </w:r>
          </w:p>
        </w:tc>
        <w:tc>
          <w:tcPr>
            <w:tcW w:w="9120" w:type="dxa"/>
            <w:vAlign w:val="bottom"/>
            <w:gridSpan w:val="1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Amendment No. 1 to VS to L Brands Transition Services Agreement between the Company and Victoria’s Secret &amp; Co.,</w:t>
              </w:r>
            </w:hyperlink>
          </w:p>
        </w:tc>
      </w:tr>
      <w:tr>
        <w:trPr>
          <w:trHeight w:val="156"/>
        </w:trPr>
        <w:tc>
          <w:tcPr>
            <w:tcW w:w="1080" w:type="dxa"/>
            <w:vAlign w:val="bottom"/>
          </w:tcPr>
          <w:p>
            <w:pPr>
              <w:spacing w:after="0"/>
              <w:rPr>
                <w:sz w:val="13"/>
                <w:szCs w:val="13"/>
                <w:color w:val="auto"/>
              </w:rPr>
            </w:pPr>
          </w:p>
        </w:tc>
        <w:tc>
          <w:tcPr>
            <w:tcW w:w="87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dated as of July 20, 2022, incorporated by reference to Exhibit 10.10 to the Company’s Quarterly Report on Form 10-Q</w:t>
              </w:r>
            </w:hyperlink>
          </w:p>
        </w:tc>
        <w:tc>
          <w:tcPr>
            <w:tcW w:w="420" w:type="dxa"/>
            <w:vAlign w:val="bottom"/>
            <w:gridSpan w:val="9"/>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w:t>
              </w:r>
            </w:hyperlink>
          </w:p>
        </w:tc>
      </w:tr>
      <w:tr>
        <w:trPr>
          <w:trHeight w:val="156"/>
        </w:trPr>
        <w:tc>
          <w:tcPr>
            <w:tcW w:w="1080" w:type="dxa"/>
            <w:vAlign w:val="bottom"/>
          </w:tcPr>
          <w:p>
            <w:pPr>
              <w:spacing w:after="0"/>
              <w:rPr>
                <w:sz w:val="13"/>
                <w:szCs w:val="13"/>
                <w:color w:val="auto"/>
              </w:rPr>
            </w:pPr>
          </w:p>
        </w:tc>
        <w:tc>
          <w:tcPr>
            <w:tcW w:w="88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the quarter ended July 30, 2022.***</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10.43</w:t>
            </w:r>
          </w:p>
        </w:tc>
        <w:tc>
          <w:tcPr>
            <w:tcW w:w="9120" w:type="dxa"/>
            <w:vAlign w:val="bottom"/>
            <w:gridSpan w:val="1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Amendment No. 2 to VS to L Brands Transition Services Agreement between the Company and Victoria’s Secret &amp; Co.,</w:t>
              </w:r>
            </w:hyperlink>
          </w:p>
        </w:tc>
      </w:tr>
      <w:tr>
        <w:trPr>
          <w:trHeight w:val="156"/>
        </w:trPr>
        <w:tc>
          <w:tcPr>
            <w:tcW w:w="1080" w:type="dxa"/>
            <w:vAlign w:val="bottom"/>
          </w:tcPr>
          <w:p>
            <w:pPr>
              <w:spacing w:after="0"/>
              <w:rPr>
                <w:sz w:val="13"/>
                <w:szCs w:val="13"/>
                <w:color w:val="auto"/>
              </w:rPr>
            </w:pPr>
          </w:p>
        </w:tc>
        <w:tc>
          <w:tcPr>
            <w:tcW w:w="87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dated as of January 23, 2023, incorporated by reference to Exhibit 10.42 to the Company’s Annual Report on Form 10-K</w:t>
              </w:r>
            </w:hyperlink>
          </w:p>
        </w:tc>
        <w:tc>
          <w:tcPr>
            <w:tcW w:w="420" w:type="dxa"/>
            <w:vAlign w:val="bottom"/>
            <w:gridSpan w:val="9"/>
          </w:tcPr>
          <w:p>
            <w:pPr>
              <w:ind w:left="60"/>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w:t>
              </w:r>
            </w:hyperlink>
          </w:p>
        </w:tc>
      </w:tr>
      <w:tr>
        <w:trPr>
          <w:trHeight w:val="156"/>
        </w:trPr>
        <w:tc>
          <w:tcPr>
            <w:tcW w:w="1080" w:type="dxa"/>
            <w:vAlign w:val="bottom"/>
          </w:tcPr>
          <w:p>
            <w:pPr>
              <w:spacing w:after="0"/>
              <w:rPr>
                <w:sz w:val="13"/>
                <w:szCs w:val="13"/>
                <w:color w:val="auto"/>
              </w:rPr>
            </w:pPr>
          </w:p>
        </w:tc>
        <w:tc>
          <w:tcPr>
            <w:tcW w:w="89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the year ended January 28, 2023.***</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10.44</w:t>
            </w:r>
          </w:p>
        </w:tc>
        <w:tc>
          <w:tcPr>
            <w:tcW w:w="87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Amendment No. 3 to VS to L Brands Transition Services Agreement between the Company and Victoria’s Secret &amp; Co.,</w:t>
              </w:r>
            </w:hyperlink>
          </w:p>
        </w:tc>
        <w:tc>
          <w:tcPr>
            <w:tcW w:w="420" w:type="dxa"/>
            <w:vAlign w:val="bottom"/>
            <w:gridSpan w:val="9"/>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9120" w:type="dxa"/>
            <w:vAlign w:val="bottom"/>
            <w:gridSpan w:val="18"/>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dated as of July 21, 2023, incorporated by reference to Exhibit 10.2 to the Company’s Quarterly Report on Form 10-Q for the</w:t>
              </w:r>
            </w:hyperlink>
          </w:p>
        </w:tc>
      </w:tr>
      <w:tr>
        <w:trPr>
          <w:trHeight w:val="155"/>
        </w:trPr>
        <w:tc>
          <w:tcPr>
            <w:tcW w:w="1080" w:type="dxa"/>
            <w:vAlign w:val="bottom"/>
          </w:tcPr>
          <w:p>
            <w:pPr>
              <w:spacing w:after="0"/>
              <w:rPr>
                <w:sz w:val="13"/>
                <w:szCs w:val="13"/>
                <w:color w:val="auto"/>
              </w:rPr>
            </w:pPr>
          </w:p>
        </w:tc>
        <w:tc>
          <w:tcPr>
            <w:tcW w:w="90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quarter ended July 29, 2023.***</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10.45</w:t>
            </w:r>
          </w:p>
        </w:tc>
        <w:tc>
          <w:tcPr>
            <w:tcW w:w="9120" w:type="dxa"/>
            <w:vAlign w:val="bottom"/>
            <w:gridSpan w:val="1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Tax Matters Agreement between the Company and Victoria’s Secret &amp; Co., dated as of August 2, 2021, incorporated by</w:t>
              </w:r>
            </w:hyperlink>
          </w:p>
        </w:tc>
      </w:tr>
      <w:tr>
        <w:trPr>
          <w:trHeight w:val="155"/>
        </w:trPr>
        <w:tc>
          <w:tcPr>
            <w:tcW w:w="1080" w:type="dxa"/>
            <w:vAlign w:val="bottom"/>
          </w:tcPr>
          <w:p>
            <w:pPr>
              <w:spacing w:after="0"/>
              <w:rPr>
                <w:sz w:val="13"/>
                <w:szCs w:val="13"/>
                <w:color w:val="auto"/>
              </w:rPr>
            </w:pPr>
          </w:p>
        </w:tc>
        <w:tc>
          <w:tcPr>
            <w:tcW w:w="864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reference to Exhibit 10.3 to the Company’s Current Report on Form 8-K dated August 3, 2021.</w:t>
              </w:r>
            </w:hyperlink>
          </w:p>
        </w:tc>
        <w:tc>
          <w:tcPr>
            <w:tcW w:w="1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4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10.46</w:t>
            </w:r>
          </w:p>
        </w:tc>
        <w:tc>
          <w:tcPr>
            <w:tcW w:w="9120" w:type="dxa"/>
            <w:vAlign w:val="bottom"/>
            <w:gridSpan w:val="18"/>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Employee Matters Agreement between the Company and Victoria’s Secret &amp; Co., dated as of August 2, 2021, incorporated by</w:t>
              </w:r>
            </w:hyperlink>
          </w:p>
        </w:tc>
      </w:tr>
      <w:tr>
        <w:trPr>
          <w:trHeight w:val="155"/>
        </w:trPr>
        <w:tc>
          <w:tcPr>
            <w:tcW w:w="108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reference to Exhibit 10.4 to the Company’s Current Report on Form 8-K dated August 3, 2021.***</w:t>
              </w:r>
            </w:hyperlink>
          </w:p>
        </w:tc>
        <w:tc>
          <w:tcPr>
            <w:tcW w:w="198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10.47</w:t>
            </w:r>
          </w:p>
        </w:tc>
        <w:tc>
          <w:tcPr>
            <w:tcW w:w="9120" w:type="dxa"/>
            <w:vAlign w:val="bottom"/>
            <w:gridSpan w:val="1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Domestic Transportation Services Agreement between Mast Logistics Services, LLC and Victoria’s Secret &amp; Co., dated as of</w:t>
              </w:r>
            </w:hyperlink>
          </w:p>
        </w:tc>
      </w:tr>
      <w:tr>
        <w:trPr>
          <w:trHeight w:val="155"/>
        </w:trPr>
        <w:tc>
          <w:tcPr>
            <w:tcW w:w="1080" w:type="dxa"/>
            <w:vAlign w:val="bottom"/>
          </w:tcPr>
          <w:p>
            <w:pPr>
              <w:spacing w:after="0"/>
              <w:rPr>
                <w:sz w:val="13"/>
                <w:szCs w:val="13"/>
                <w:color w:val="auto"/>
              </w:rPr>
            </w:pPr>
          </w:p>
        </w:tc>
        <w:tc>
          <w:tcPr>
            <w:tcW w:w="9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August 2, 2021, incorporated by reference to Exhibit 10.5 to the Company’s Current Report on Form 8-K dated August 3,</w:t>
              </w:r>
            </w:hyperlink>
          </w:p>
        </w:tc>
        <w:tc>
          <w:tcPr>
            <w:tcW w:w="100" w:type="dxa"/>
            <w:vAlign w:val="bottom"/>
            <w:gridSpan w:val="3"/>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58">
              <w:r>
                <w:rPr>
                  <w:rFonts w:ascii="Times New Roman" w:cs="Times New Roman" w:eastAsia="Times New Roman" w:hAnsi="Times New Roman"/>
                  <w:sz w:val="18"/>
                  <w:szCs w:val="18"/>
                  <w:color w:val="0000FF"/>
                  <w:w w:val="93"/>
                </w:rPr>
                <w:t>2021.</w:t>
              </w:r>
            </w:hyperlink>
          </w:p>
        </w:tc>
        <w:tc>
          <w:tcPr>
            <w:tcW w:w="19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10.48</w:t>
            </w:r>
          </w:p>
        </w:tc>
        <w:tc>
          <w:tcPr>
            <w:tcW w:w="82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Amendment No. 1 to the Amended and Restated Revolving Credit Agreement among the Company, the borrowing</w:t>
              </w:r>
            </w:hyperlink>
          </w:p>
        </w:tc>
        <w:tc>
          <w:tcPr>
            <w:tcW w:w="840" w:type="dxa"/>
            <w:vAlign w:val="bottom"/>
            <w:gridSpan w:val="11"/>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9120" w:type="dxa"/>
            <w:vAlign w:val="bottom"/>
            <w:gridSpan w:val="18"/>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subsidiaries party thereto, the lenders party thereto and JPMorgan Chase Bank, N.A., dated as of June 9, 2023, incorporated</w:t>
              </w:r>
            </w:hyperlink>
          </w:p>
        </w:tc>
      </w:tr>
      <w:tr>
        <w:trPr>
          <w:trHeight w:val="156"/>
        </w:trPr>
        <w:tc>
          <w:tcPr>
            <w:tcW w:w="1080" w:type="dxa"/>
            <w:vAlign w:val="bottom"/>
          </w:tcPr>
          <w:p>
            <w:pPr>
              <w:spacing w:after="0"/>
              <w:rPr>
                <w:sz w:val="13"/>
                <w:szCs w:val="13"/>
                <w:color w:val="auto"/>
              </w:rPr>
            </w:pPr>
          </w:p>
        </w:tc>
        <w:tc>
          <w:tcPr>
            <w:tcW w:w="89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by reference to Exhibit 10.1 to the Company’s Quarterly Report on Form 10-Q for the quarter ended July 29, 2023.</w:t>
              </w:r>
            </w:hyperlink>
          </w:p>
        </w:tc>
        <w:tc>
          <w:tcPr>
            <w:tcW w:w="10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6840" w:type="dxa"/>
            <w:vAlign w:val="bottom"/>
            <w:tcBorders>
              <w:right w:val="single" w:sz="8" w:color="0000FF"/>
            </w:tcBorders>
            <w:gridSpan w:val="5"/>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77"/>
        </w:trPr>
        <w:tc>
          <w:tcPr>
            <w:tcW w:w="1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93"/>
              </w:rPr>
              <w:t>10.49</w:t>
            </w:r>
          </w:p>
        </w:tc>
        <w:tc>
          <w:tcPr>
            <w:tcW w:w="9120" w:type="dxa"/>
            <w:vAlign w:val="bottom"/>
            <w:gridSpan w:val="1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Letter Agreement between the Registrant and Julie Rosen, dated October 21, 2024, incorporated by reference to Exhibit 10.1</w:t>
              </w:r>
            </w:hyperlink>
          </w:p>
        </w:tc>
      </w:tr>
      <w:tr>
        <w:trPr>
          <w:trHeight w:val="156"/>
        </w:trPr>
        <w:tc>
          <w:tcPr>
            <w:tcW w:w="108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to the Company’s Quarterly Report on Form 10-Q for the quarter ended November 2, 2024.**</w:t>
              </w:r>
            </w:hyperlink>
          </w:p>
        </w:tc>
        <w:tc>
          <w:tcPr>
            <w:tcW w:w="2160" w:type="dxa"/>
            <w:vAlign w:val="bottom"/>
            <w:tcBorders>
              <w:top w:val="single" w:sz="8" w:color="0000FF"/>
            </w:tcBorders>
            <w:gridSpan w:val="9"/>
          </w:tcPr>
          <w:p>
            <w:pPr>
              <w:spacing w:after="0"/>
              <w:rPr>
                <w:sz w:val="13"/>
                <w:szCs w:val="13"/>
                <w:color w:val="auto"/>
              </w:rPr>
            </w:pPr>
          </w:p>
        </w:tc>
        <w:tc>
          <w:tcPr>
            <w:tcW w:w="120" w:type="dxa"/>
            <w:vAlign w:val="bottom"/>
            <w:gridSpan w:val="4"/>
          </w:tcPr>
          <w:p>
            <w:pPr>
              <w:spacing w:after="0"/>
              <w:rPr>
                <w:sz w:val="13"/>
                <w:szCs w:val="13"/>
                <w:color w:val="auto"/>
              </w:rPr>
            </w:pPr>
          </w:p>
        </w:tc>
      </w:tr>
    </w:tbl>
    <w:p>
      <w:pPr>
        <w:spacing w:after="0" w:line="90" w:lineRule="exact"/>
        <w:rPr>
          <w:sz w:val="20"/>
          <w:szCs w:val="20"/>
          <w:color w:val="auto"/>
        </w:rPr>
      </w:pPr>
    </w:p>
    <w:p>
      <w:pPr>
        <w:ind w:left="1900" w:hanging="1078"/>
        <w:spacing w:after="0"/>
        <w:tabs>
          <w:tab w:leader="none" w:pos="1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Bath and Body Works Insider Trading Policy</w:t>
      </w:r>
    </w:p>
    <w:p>
      <w:pPr>
        <w:spacing w:after="0" w:line="77" w:lineRule="exact"/>
        <w:rPr>
          <w:sz w:val="20"/>
          <w:szCs w:val="20"/>
          <w:color w:val="auto"/>
        </w:rPr>
      </w:pPr>
    </w:p>
    <w:p>
      <w:pPr>
        <w:ind w:left="1900" w:hanging="1078"/>
        <w:spacing w:after="0"/>
        <w:tabs>
          <w:tab w:leader="none" w:pos="1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Registrant.</w:t>
      </w:r>
    </w:p>
    <w:p>
      <w:pPr>
        <w:spacing w:after="0" w:line="76" w:lineRule="exact"/>
        <w:rPr>
          <w:rFonts w:ascii="Times New Roman" w:cs="Times New Roman" w:eastAsia="Times New Roman" w:hAnsi="Times New Roman"/>
          <w:sz w:val="18"/>
          <w:szCs w:val="18"/>
          <w:color w:val="auto"/>
        </w:rPr>
      </w:pPr>
    </w:p>
    <w:p>
      <w:pPr>
        <w:ind w:left="1900" w:hanging="1078"/>
        <w:spacing w:after="0"/>
        <w:tabs>
          <w:tab w:leader="none" w:pos="1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Guarantor Subsidiaries.</w:t>
      </w:r>
    </w:p>
    <w:p>
      <w:pPr>
        <w:spacing w:after="0" w:line="77" w:lineRule="exact"/>
        <w:rPr>
          <w:sz w:val="20"/>
          <w:szCs w:val="20"/>
          <w:color w:val="auto"/>
        </w:rPr>
      </w:pPr>
    </w:p>
    <w:p>
      <w:pPr>
        <w:ind w:left="820"/>
        <w:spacing w:after="0"/>
        <w:tabs>
          <w:tab w:leader="none" w:pos="18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Ernst &amp; Young LLP.</w:t>
      </w:r>
    </w:p>
    <w:p>
      <w:pPr>
        <w:spacing w:after="0" w:line="77" w:lineRule="exact"/>
        <w:rPr>
          <w:sz w:val="20"/>
          <w:szCs w:val="20"/>
          <w:color w:val="auto"/>
        </w:rPr>
      </w:pPr>
    </w:p>
    <w:p>
      <w:pPr>
        <w:ind w:left="1900" w:hanging="1078"/>
        <w:spacing w:after="0"/>
        <w:tabs>
          <w:tab w:leader="none" w:pos="1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Powers of Attorney.</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31.1</w:t>
            </w:r>
          </w:p>
        </w:tc>
        <w:tc>
          <w:tcPr>
            <w:tcW w:w="2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Section 302 Certification of CEO.</w:t>
            </w:r>
          </w:p>
        </w:tc>
      </w:tr>
      <w:tr>
        <w:trPr>
          <w:trHeight w:val="263"/>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31.2</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Section 302 Certification of CFO.</w:t>
            </w:r>
          </w:p>
        </w:tc>
      </w:tr>
      <w:tr>
        <w:trPr>
          <w:trHeight w:val="20"/>
        </w:trPr>
        <w:tc>
          <w:tcPr>
            <w:tcW w:w="108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6" w:lineRule="exact"/>
        <w:rPr>
          <w:sz w:val="20"/>
          <w:szCs w:val="20"/>
          <w:color w:val="auto"/>
        </w:rPr>
      </w:pPr>
    </w:p>
    <w:p>
      <w:pPr>
        <w:ind w:left="1900" w:hanging="1078"/>
        <w:spacing w:after="0"/>
        <w:tabs>
          <w:tab w:leader="none" w:pos="1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Section 906 Certification (by CEO and CFO).</w:t>
      </w:r>
    </w:p>
    <w:p>
      <w:pPr>
        <w:spacing w:after="0" w:line="77" w:lineRule="exact"/>
        <w:rPr>
          <w:sz w:val="20"/>
          <w:szCs w:val="20"/>
          <w:color w:val="auto"/>
        </w:rPr>
      </w:pPr>
    </w:p>
    <w:p>
      <w:pPr>
        <w:ind w:left="1900" w:right="180" w:hanging="1078"/>
        <w:spacing w:after="0" w:line="237" w:lineRule="auto"/>
        <w:tabs>
          <w:tab w:leader="none" w:pos="1900" w:val="left"/>
        </w:tabs>
        <w:numPr>
          <w:ilvl w:val="0"/>
          <w:numId w:val="37"/>
        </w:numPr>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Financial Restatement Compensation Recoupment Policy incorporated by reference to Exhibit 97 to the Company’s Annual</w:t>
        </w:r>
      </w:hyperlink>
      <w:r>
        <w:rPr>
          <w:rFonts w:ascii="Times New Roman" w:cs="Times New Roman" w:eastAsia="Times New Roman" w:hAnsi="Times New Roman"/>
          <w:sz w:val="18"/>
          <w:szCs w:val="18"/>
          <w:u w:val="single" w:color="auto"/>
          <w:color w:val="0000FF"/>
        </w:rPr>
        <w:t xml:space="preserve"> </w:t>
      </w:r>
      <w:hyperlink r:id="rId161">
        <w:r>
          <w:rPr>
            <w:rFonts w:ascii="Times New Roman" w:cs="Times New Roman" w:eastAsia="Times New Roman" w:hAnsi="Times New Roman"/>
            <w:sz w:val="18"/>
            <w:szCs w:val="18"/>
            <w:u w:val="single" w:color="auto"/>
            <w:color w:val="0000FF"/>
          </w:rPr>
          <w:t>Report on Form 10-K for the year ended February 3, 2024.</w:t>
        </w:r>
      </w:hyperlink>
    </w:p>
    <w:p>
      <w:pPr>
        <w:spacing w:after="0" w:line="37" w:lineRule="exact"/>
        <w:rPr>
          <w:rFonts w:ascii="Times New Roman" w:cs="Times New Roman" w:eastAsia="Times New Roman" w:hAnsi="Times New Roman"/>
          <w:sz w:val="18"/>
          <w:szCs w:val="18"/>
          <w:color w:val="auto"/>
        </w:rPr>
      </w:pPr>
    </w:p>
    <w:tbl>
      <w:tblPr>
        <w:tblLayout w:type="fixed"/>
        <w:tblInd w:w="8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w:t>
            </w:r>
          </w:p>
        </w:tc>
      </w:tr>
      <w:tr>
        <w:trPr>
          <w:trHeight w:val="234"/>
        </w:trPr>
        <w:tc>
          <w:tcPr>
            <w:tcW w:w="880" w:type="dxa"/>
            <w:vAlign w:val="bottom"/>
          </w:tcPr>
          <w:p>
            <w:pPr>
              <w:spacing w:after="0"/>
              <w:rPr>
                <w:sz w:val="20"/>
                <w:szCs w:val="20"/>
                <w:color w:val="auto"/>
              </w:rPr>
            </w:pP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rFonts w:ascii="Times New Roman" w:cs="Times New Roman" w:eastAsia="Times New Roman" w:hAnsi="Times New Roman"/>
          <w:sz w:val="18"/>
          <w:szCs w:val="18"/>
          <w:color w:val="auto"/>
        </w:rPr>
      </w:pPr>
    </w:p>
    <w:p>
      <w:pPr>
        <w:ind w:left="1900" w:hanging="1078"/>
        <w:spacing w:after="0"/>
        <w:tabs>
          <w:tab w:leader="none" w:pos="1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w:t>
      </w:r>
    </w:p>
    <w:p>
      <w:pPr>
        <w:spacing w:after="0" w:line="200" w:lineRule="exact"/>
        <w:rPr>
          <w:rFonts w:ascii="Times New Roman" w:cs="Times New Roman" w:eastAsia="Times New Roman" w:hAnsi="Times New Roman"/>
          <w:sz w:val="18"/>
          <w:szCs w:val="18"/>
          <w:color w:val="auto"/>
        </w:rPr>
      </w:pPr>
    </w:p>
    <w:p>
      <w:pPr>
        <w:spacing w:after="0" w:line="363" w:lineRule="exact"/>
        <w:rPr>
          <w:rFonts w:ascii="Times New Roman" w:cs="Times New Roman" w:eastAsia="Times New Roman" w:hAnsi="Times New Roman"/>
          <w:sz w:val="18"/>
          <w:szCs w:val="18"/>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8" w:right="5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80" w:hanging="654"/>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management contracts or compensatory plans or arrangements.</w:t>
      </w:r>
    </w:p>
    <w:p>
      <w:pPr>
        <w:spacing w:after="0" w:line="27" w:lineRule="exact"/>
        <w:rPr>
          <w:rFonts w:ascii="Times New Roman" w:cs="Times New Roman" w:eastAsia="Times New Roman" w:hAnsi="Times New Roman"/>
          <w:sz w:val="18"/>
          <w:szCs w:val="18"/>
          <w:color w:val="auto"/>
        </w:rPr>
      </w:pPr>
    </w:p>
    <w:p>
      <w:pPr>
        <w:ind w:left="680" w:hanging="654"/>
        <w:spacing w:after="0" w:line="234"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10" w:lineRule="exact"/>
        <w:rPr>
          <w:sz w:val="20"/>
          <w:szCs w:val="20"/>
          <w:color w:val="auto"/>
        </w:rPr>
      </w:pPr>
    </w:p>
    <w:p>
      <w:pPr>
        <w:ind w:left="680" w:hanging="654"/>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exhibits to this report are listed in section (a)(3) of Item 15 above.</w:t>
      </w:r>
    </w:p>
    <w:p>
      <w:pPr>
        <w:spacing w:after="0" w:line="23" w:lineRule="exact"/>
        <w:rPr>
          <w:sz w:val="20"/>
          <w:szCs w:val="20"/>
          <w:color w:val="auto"/>
        </w:rPr>
      </w:pPr>
    </w:p>
    <w:p>
      <w:pPr>
        <w:ind w:left="680" w:hanging="654"/>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l5(d)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2025</w:t>
      </w:r>
    </w:p>
    <w:p>
      <w:pPr>
        <w:spacing w:after="0" w:line="13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color w:val="auto"/>
        </w:rPr>
        <w:t>BATH &amp; BODY WORKS, INC. (Registrant)</w:t>
      </w:r>
    </w:p>
    <w:p>
      <w:pPr>
        <w:spacing w:after="0" w:line="75" w:lineRule="exact"/>
        <w:rPr>
          <w:sz w:val="20"/>
          <w:szCs w:val="20"/>
          <w:color w:val="auto"/>
        </w:rPr>
      </w:pPr>
    </w:p>
    <w:p>
      <w:pPr>
        <w:ind w:left="5340"/>
        <w:spacing w:after="0"/>
        <w:tabs>
          <w:tab w:leader="none" w:pos="6200" w:val="left"/>
          <w:tab w:leader="none" w:pos="65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15875</wp:posOffset>
            </wp:positionV>
            <wp:extent cx="31718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4">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1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7"/>
          <w:szCs w:val="17"/>
          <w:color w:val="auto"/>
        </w:rPr>
        <w:t>Eva C. Boratto</w:t>
      </w:r>
    </w:p>
    <w:p>
      <w:pPr>
        <w:ind w:left="62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14, 2025: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740" w:type="dxa"/>
            <w:vAlign w:val="bottom"/>
          </w:tcPr>
          <w:p>
            <w:pPr>
              <w:spacing w:after="0"/>
              <w:rPr>
                <w:sz w:val="13"/>
                <w:szCs w:val="13"/>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00"/>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2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GINA R. BOSWELL</w:t>
            </w:r>
          </w:p>
        </w:tc>
        <w:tc>
          <w:tcPr>
            <w:tcW w:w="600" w:type="dxa"/>
            <w:vAlign w:val="bottom"/>
            <w:tcBorders>
              <w:top w:val="single" w:sz="8" w:color="auto"/>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 and Chief Executive Officer</w:t>
            </w:r>
          </w:p>
        </w:tc>
        <w:tc>
          <w:tcPr>
            <w:tcW w:w="28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214"/>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Gina R. Boswell</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266"/>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EVA C. BORATTO</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4"/>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Eva C. Boratto</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97"/>
              </w:rPr>
              <w:t>(Principal Financial Officer and Principal Accounting Officer)</w:t>
            </w: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SARAH E. NASH*</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Chair of the Board of Directors</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Sarah E. Nash</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8"/>
        </w:trPr>
        <w:tc>
          <w:tcPr>
            <w:tcW w:w="55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/s/ ALESSANDRO BOGLIOLO*</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Alessandro Bogliolo</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LUCY O. BRADY*</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Lucy O. Brady</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FRANCIS A. HONDAL*</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Francis A. Hondal</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DANIELLE M. LEE*</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Danielle M. Lee</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8"/>
        </w:trPr>
        <w:tc>
          <w:tcPr>
            <w:tcW w:w="55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7"/>
                <w:szCs w:val="17"/>
                <w:color w:val="auto"/>
              </w:rPr>
              <w:t>/s/ JUAN RAJLIN*</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Juan Rajlin</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STEPHEN D. STEINOUR*</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Stephen D. Steinour</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JAMES K. SYMANCYK*</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James K. Symancyk</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8"/>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5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7"/>
                <w:szCs w:val="17"/>
                <w:color w:val="auto"/>
              </w:rPr>
              <w:t>STEVEN E. VOSKUIL*</w:t>
            </w:r>
          </w:p>
        </w:tc>
        <w:tc>
          <w:tcPr>
            <w:tcW w:w="42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55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Steven E. Voskuil</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103" w:lineRule="exact"/>
        <w:rPr>
          <w:sz w:val="20"/>
          <w:szCs w:val="20"/>
          <w:color w:val="auto"/>
        </w:rPr>
      </w:pPr>
    </w:p>
    <w:p>
      <w:pPr>
        <w:ind w:left="560" w:right="460" w:hanging="534"/>
        <w:spacing w:after="0" w:line="233" w:lineRule="auto"/>
        <w:tabs>
          <w:tab w:leader="none" w:pos="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undersigned, by signing her name hereto, does hereby sign this report on behalf of each of the above-indicated directors of the registrant pursuant to powers of attorney executed by such directors.</w:t>
      </w:r>
    </w:p>
    <w:p>
      <w:pPr>
        <w:spacing w:after="0" w:line="122" w:lineRule="exact"/>
        <w:rPr>
          <w:sz w:val="20"/>
          <w:szCs w:val="20"/>
          <w:color w:val="auto"/>
        </w:rPr>
      </w:pPr>
    </w:p>
    <w:p>
      <w:pPr>
        <w:ind w:left="20"/>
        <w:spacing w:after="0"/>
        <w:tabs>
          <w:tab w:leader="none" w:pos="540" w:val="left"/>
          <w:tab w:leader="none" w:pos="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6776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5">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Eva C. Boratto</w:t>
      </w:r>
    </w:p>
    <w:p>
      <w:pPr>
        <w:ind w:left="560"/>
        <w:spacing w:after="0"/>
        <w:rPr>
          <w:sz w:val="20"/>
          <w:szCs w:val="20"/>
          <w:color w:val="auto"/>
        </w:rPr>
      </w:pPr>
      <w:r>
        <w:rPr>
          <w:rFonts w:ascii="Times New Roman" w:cs="Times New Roman" w:eastAsia="Times New Roman" w:hAnsi="Times New Roman"/>
          <w:sz w:val="17"/>
          <w:szCs w:val="17"/>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80"/>
          </w:cols>
          <w:pgMar w:left="320" w:top="118" w:right="39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4.22</w:t>
      </w:r>
    </w:p>
    <w:p>
      <w:pPr>
        <w:spacing w:after="0" w:line="200" w:lineRule="exact"/>
        <w:rPr>
          <w:sz w:val="20"/>
          <w:szCs w:val="20"/>
          <w:color w:val="auto"/>
        </w:rPr>
      </w:pPr>
    </w:p>
    <w:p>
      <w:pPr>
        <w:spacing w:after="0" w:line="29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DESCRIPTION OF THE REGISTRANT’S SECURITIES</w:t>
      </w:r>
    </w:p>
    <w:p>
      <w:pPr>
        <w:spacing w:after="0" w:line="3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b w:val="1"/>
          <w:bCs w:val="1"/>
          <w:color w:val="auto"/>
        </w:rPr>
        <w:t>REGISTERED PURSUANT TO SECTION 12 OF THE SECURITIES</w:t>
      </w:r>
    </w:p>
    <w:p>
      <w:pPr>
        <w:spacing w:after="0" w:line="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30" w:lineRule="exact"/>
        <w:rPr>
          <w:sz w:val="20"/>
          <w:szCs w:val="20"/>
          <w:color w:val="auto"/>
        </w:rPr>
      </w:pPr>
    </w:p>
    <w:p>
      <w:pPr>
        <w:ind w:right="20"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The following is a summary of the material terms of our securities registered under Section 12 of the Securities Exchange Act of 1934, as amended (the “Exchange Act”). The following description of the terms of our common stock is not meant to be complete and is qualified by reference to our restated certificate of incorporation (“certificate of incorporation”) and our amended and restated bylaws (“bylaws”), each of which is incorporated by reference as an exhibit to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of which this exhibit is a part. We encourage you to read our certificate of incorporation, our bylaws and the applicable provisions of the Delaware General Corporation Law for additional information.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Under our certificate of incorporation, our authorized capital stock consists of one billion shares of common stock with $0.50 par value and 10 million shares of preferred stock with $1.00 par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outstanding shares of common stock are, and any shares of common stock issued will be, duly authorized, validly issued, fully paid and nonassessable. There are no restrictions on the alienability of shares of our common stock, and there are no sinking fund provisions for the redemption or purchase of shares of our common stock. The rights of holders of shares of our common stock will be subject to, and may be adversely affected by, the rights of holders of any shares of preferred stock that our Board of Directors may authorize and issue in the future, and may be modified by amendments to our certificate of incorporation and Delaware corporate law.</w:t>
      </w:r>
    </w:p>
    <w:p>
      <w:pPr>
        <w:spacing w:after="0" w:line="143" w:lineRule="exact"/>
        <w:rPr>
          <w:sz w:val="20"/>
          <w:szCs w:val="20"/>
          <w:color w:val="auto"/>
        </w:rPr>
      </w:pPr>
    </w:p>
    <w:p>
      <w:pPr>
        <w:ind w:left="180" w:right="4440" w:firstLine="162"/>
        <w:spacing w:after="0" w:line="461" w:lineRule="auto"/>
        <w:rPr>
          <w:sz w:val="20"/>
          <w:szCs w:val="20"/>
          <w:color w:val="auto"/>
        </w:rPr>
      </w:pPr>
      <w:r>
        <w:rPr>
          <w:rFonts w:ascii="Times New Roman" w:cs="Times New Roman" w:eastAsia="Times New Roman" w:hAnsi="Times New Roman"/>
          <w:sz w:val="18"/>
          <w:szCs w:val="18"/>
          <w:color w:val="auto"/>
        </w:rPr>
        <w:t xml:space="preserve">Our common stock is listed on the New York Stock Exchange under the symbol “BBWI.” </w:t>
      </w:r>
      <w:r>
        <w:rPr>
          <w:rFonts w:ascii="Times New Roman" w:cs="Times New Roman" w:eastAsia="Times New Roman" w:hAnsi="Times New Roman"/>
          <w:sz w:val="18"/>
          <w:szCs w:val="18"/>
          <w:b w:val="1"/>
          <w:bCs w:val="1"/>
          <w:i w:val="1"/>
          <w:iCs w:val="1"/>
          <w:color w:val="auto"/>
        </w:rPr>
        <w:t>Voting Rights</w:t>
      </w:r>
    </w:p>
    <w:p>
      <w:pPr>
        <w:spacing w:after="0" w:line="1"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of record on the applicable record date on all matters submitted to a vote of stockholders. Holders of common stock do not have cumulative voting rights.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8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Subject to the rights of holders of any shares of preferred stock which may at the time be outstanding, holders of common stock are entitled to receive dividends as may be declared from time to time by our Board of Directors out of funds legally available therefor.</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or Dissolution</w:t>
      </w:r>
    </w:p>
    <w:p>
      <w:pPr>
        <w:spacing w:after="0" w:line="189"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In the event of liquidation or dissolution, each share of common stock is entitled to share pro rata in any distribution of our assets after payment or providing for the payment of liabilities and the liquidation preference of any outstanding preferred stock. Holders of our common stock have no preferential, preemptive, conversion or redemption rights.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Under our certificate of incorporation, without further stockholder action, our Board of Directors is authorized to provide for the issuance of up to ten million shares of preferred stock without any further approval from our stockholders. Preferred stock may be issued in one or more series, with such designations of titles, number of shares to comprise each series, dividend rates, any redemption provisions, special or relative rights in the event of liquidation, dissolution or winding-up of Bath &amp; Body Works, Inc., any sinking fund provisions, any conversion provisions, any voting rights and any other preferences, rights and limitations as shall be set forth as and when established by our Board of Directors.</w:t>
      </w:r>
    </w:p>
    <w:p>
      <w:pPr>
        <w:spacing w:after="0" w:line="143"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Acting under this authority, our Board of Directors could create and issue a series of preferred stock with rights, preferences and limitations, and adopt a stockholder rights plan having the effect of, discriminating against an existing or</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887" w:right="339" w:bottom="1440" w:gutter="0" w:footer="0" w:header="0"/>
          <w:type w:val="continuous"/>
        </w:sectPr>
      </w:pPr>
    </w:p>
    <w:bookmarkStart w:id="75" w:name="page76"/>
    <w:bookmarkEnd w:id="75"/>
    <w:p>
      <w:pPr>
        <w:ind w:right="80"/>
        <w:spacing w:after="0" w:line="256" w:lineRule="auto"/>
        <w:rPr>
          <w:sz w:val="20"/>
          <w:szCs w:val="20"/>
          <w:color w:val="auto"/>
        </w:rPr>
      </w:pPr>
      <w:r>
        <w:rPr>
          <w:rFonts w:ascii="Times New Roman" w:cs="Times New Roman" w:eastAsia="Times New Roman" w:hAnsi="Times New Roman"/>
          <w:sz w:val="18"/>
          <w:szCs w:val="18"/>
          <w:color w:val="auto"/>
        </w:rPr>
        <w:t>prospective holder of securities as a result of such stockholder beneficially owning or commencing a tender offer for a substantial amount of our common stock. One of the effects of authorized but unissued and unreserved shares of preferred stock may be to render more difficult or discourage an attempt by a potential acquirer to obtain control of Bath &amp; Body Works, Inc. by means of a merger, tender offer, proxy contest or otherwise, and thereby protect the continuity of our management. The issuance of such shares of preferred stock may have the effect of delaying, deferring or preventing a change in control of Bath &amp; Body Works, Inc. without any further action by our stockholders. We have no present intention to adopt a stockholder rights plan, but could do so without stockholder approval at any future time.</w:t>
      </w:r>
    </w:p>
    <w:p>
      <w:pPr>
        <w:spacing w:after="0" w:line="147"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shares of any series of preferred stock will be, when issued, fully paid and nonassessable and the holders will have no preemptive rights in connection with the preferred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Board Nominations</w:t>
      </w:r>
    </w:p>
    <w:p>
      <w:pPr>
        <w:spacing w:after="0" w:line="18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Our bylaws provide that the number of directors will be fixed from time to time pursuant to a resolution adopted by a majority of the Board of Directors but must consist of not less than six or more than fifteen directors.</w:t>
      </w:r>
    </w:p>
    <w:p>
      <w:pPr>
        <w:spacing w:after="0" w:line="13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Nominations for the election of directors may be made by the Board of Directors or by any stockholder entitled to vote for the election of directors. Any such nomination of a person for election at our annual meeting, if not made by the Board of Directors, must be made by notice in writing to our Secretary and must contain the information required by and adhere to the procedures within our bylaws. Such notice must be delivered or mailed and received at our principal executive offices, not less than 90 days nor more than 120 days prior to the first anniversary of the preceding year’s annual meeting of stockholders; provided that in the event that the date of the annual meeting is advanced more than 30 days prior to such anniversary date or delayed more than 60 days after such anniversary date, then such notice must be received no later than the later of 70 days prior to the meeting or the 10th day following the day on which public announcement of the date of the meeting was made. Pursuant to our proxy access bylaw, up to 20 stockholders owning 3% or more of the outstanding shares of our common stock continuously for at least three years may nominate the greater of two directors or up to 20% of our Board of Directors (rounded down to the nearest whole number), and include those nominees in our proxy materials. Notice of stockholder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stockholders for the immediately preceding annual meeting of stockholders.</w:t>
      </w:r>
    </w:p>
    <w:p>
      <w:pPr>
        <w:spacing w:after="0" w:line="1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holders of preferred stock may be granted the right to elect a specific number of directors without any vote of the holders of shares of our common stock.</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Amendments to Our Bylaws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certificate of incorporation grants our Board of Directors the authority to amend our bylaws without a stockholder vote.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Certain Business Combinations and Transactions</w:t>
      </w:r>
    </w:p>
    <w:p>
      <w:pPr>
        <w:spacing w:after="0" w:line="20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certain business combinations with any entity that beneficially owns 20% or more of the outstanding shares of our common stock and any outstanding shares of preferred stock entitled to vote on each matter on which the holders of record of our common stock shall be entitled to vote (the “Voting Shares”) (such entity, an “Interested Person”) will require for its approval the affirmative vote of at least a majority of the Voting Shares held by stockholders other than the Interested Person.</w:t>
      </w:r>
    </w:p>
    <w:p>
      <w:pPr>
        <w:spacing w:after="0" w:line="13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This provision does not apply if two-thirds of the Continuing Directors (as defined below) approved either the business combination or the acquisition of the Voting Shares which caused the Interested Person to own 20% or more of the Voting Shares. This provision also does not apply to any business combination where two-thirds of the Continuing Directors determine the consideration per share to be received by holders of the Voting Shares in connection with the business combination to be not less than the highest price per share paid by the Interested Person in acquiring the Voting Shares.</w:t>
      </w:r>
    </w:p>
    <w:p>
      <w:pPr>
        <w:spacing w:after="0" w:line="139"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term “Continuing Director” means a director who was a member of our Board of Directors immediately prior to the time that such Interested Person became an Interested Person, or a director who was elected or appointed to fill a vacancy after the date that such Interested Person became an Interested Person by a majority of the then-current Continuing Directors.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891" w:right="379" w:bottom="1440" w:gutter="0" w:footer="0" w:header="0"/>
        </w:sectPr>
      </w:pPr>
    </w:p>
    <w:bookmarkStart w:id="76" w:name="page77"/>
    <w:bookmarkEnd w:id="7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 Statute</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Section 203 of the Delaware General Corporation Law is applicable to us and restricts certain transactions and “business combinations” between a corporation and a 15% stockholder for a period of three years after the date of the transaction in which the stockholder acquires 15% or more of the company’s outstanding voting stock unless the business combination is approved in a prescribed manner. A “business combination” includes mergers, asset sales and other transactions resulting in a financial benefit to the interested stockholder.</w:t>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Registrar and Transfer Agent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register of holders of our shares of common stock is maintained by American Stock Transfer, who serves as registrar and transfer agent.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887" w:right="37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23495</wp:posOffset>
            </wp:positionV>
            <wp:extent cx="3780155"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6">
                      <a:extLst>
                        <a:ext uri="{28A0092B-C50C-407E-A947-70E740481C1C}"/>
                      </a:extLst>
                    </a:blip>
                    <a:srcRect/>
                    <a:stretch>
                      <a:fillRect/>
                    </a:stretch>
                  </pic:blipFill>
                  <pic:spPr bwMode="auto">
                    <a:xfrm>
                      <a:off x="0" y="0"/>
                      <a:ext cx="37801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BATH &amp; BODY WORKS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INSIDER TRADING POLICY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3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Bath &amp; Body Works, Inc.’s (the “Company”) values are at the heart of everything we do, and as associates we know it matters how we play the game. Doing what is right means following our beliefs – and the rules – even when no one is watching. One of the rules outlined in our Code of Conduct is a prohibition against insider trading.</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Insider trading is often defined as improper trading in the securities of a company with knowledge of material information concerning that company that is not generally available to other investors. It’s a practice that violates federal and state securities laws and can result in significant civil and criminal penalties. In light of the severity of the possible sanctions, both to you and to the Company, the Company has</w:t>
      </w:r>
    </w:p>
    <w:p>
      <w:pPr>
        <w:spacing w:after="0" w:line="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established this Insider Trading Policy (the “Policy”) to help associates and members of our Board of Directors avoid inadvertent violations of the law.</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You are responsible for complying with securities laws and this Policy. If you have questions about this Policy, please contact the Chief Legal Officer (ChiefLegalOfficer@bbw.com) or Global Ethics &amp; Compliance (EthicsandCompliance@bbw.com).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POLICY</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Federal and state securities laws prohibit any person who is aware of material, non-public information about a company from trading the securities of that company. These laws also prohibit a person from disclosing or tipping material, non-public information to other persons who may trade on the basis of that information. Violation of these laws subjects a person to personal liability and potential civil and criminal penalties.</w:t>
      </w:r>
    </w:p>
    <w:p>
      <w:pPr>
        <w:spacing w:after="0" w:line="20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“Material” information about a company is information that a reasonable investor would find important in determining whether or not to trade a security, or the disclosure of which could be reasonably expected to affect the market price of the company’s securities. It is not possible to identify all information that would be deemed material; however, the following types of information would normally be considered to be material:</w:t>
      </w:r>
    </w:p>
    <w:p>
      <w:pPr>
        <w:spacing w:after="0" w:line="201" w:lineRule="exact"/>
        <w:rPr>
          <w:sz w:val="20"/>
          <w:szCs w:val="20"/>
          <w:color w:val="auto"/>
        </w:rPr>
      </w:pPr>
    </w:p>
    <w:p>
      <w:pPr>
        <w:ind w:left="660" w:right="20" w:hanging="328"/>
        <w:spacing w:after="0" w:line="23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Projections of future earnings, sales and margins and other earnings-related guidance (and actual performance compared to such projections)</w:t>
      </w:r>
    </w:p>
    <w:p>
      <w:pPr>
        <w:ind w:left="660" w:hanging="328"/>
        <w:spacing w:after="0" w:line="23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Pending or proposed mergers, acquisitions, tender offers, joint ventures or other significant strategic transactions</w:t>
      </w:r>
    </w:p>
    <w:p>
      <w:pPr>
        <w:ind w:left="660" w:hanging="328"/>
        <w:spacing w:after="0" w:line="23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Pending or proposed acquisitions or dispositions of significant assets</w:t>
      </w:r>
    </w:p>
    <w:p>
      <w:pPr>
        <w:ind w:left="660" w:hanging="328"/>
        <w:spacing w:after="0" w:line="23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senior management or the Board of Directors of the Company</w:t>
      </w:r>
    </w:p>
    <w:p>
      <w:pPr>
        <w:ind w:left="660" w:hanging="328"/>
        <w:spacing w:after="0" w:line="23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threatened litigation or government investigations or major developments in such matters</w:t>
      </w:r>
    </w:p>
    <w:p>
      <w:pPr>
        <w:ind w:left="660" w:hanging="328"/>
        <w:spacing w:after="0" w:line="23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cybersecurity incidents impacting data or Company operations and the remediation status of such incidents</w:t>
      </w:r>
    </w:p>
    <w:p>
      <w:pPr>
        <w:ind w:left="660" w:hanging="328"/>
        <w:spacing w:after="0" w:line="23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potential significant operational disruption and the remediation status of such disruption</w:t>
      </w:r>
    </w:p>
    <w:p>
      <w:pPr>
        <w:ind w:left="660" w:hanging="328"/>
        <w:spacing w:after="0" w:line="234"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products or discoveries, or developments regarding customers, suppliers or other business partners (e.g., acquisition or loss of a key contract)</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restatements of the Company’s financial statements</w:t>
      </w:r>
    </w:p>
    <w:p>
      <w:pPr>
        <w:ind w:left="660" w:hanging="328"/>
        <w:spacing w:after="0" w:line="23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auditors or auditor notification that the Company may no longer rely on an auditor’s audit report</w:t>
      </w:r>
    </w:p>
    <w:p>
      <w:pPr>
        <w:ind w:left="660" w:right="20" w:hanging="328"/>
        <w:spacing w:after="0" w:line="250"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dividend policy, declarations of stock splits, repurchases of Company stock or debt, or public or private sales of additional securities</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Information is “non-public” if it has not been broadly disseminated to the general public through a report filed with the Securities and Exchange Commission (“SEC”) or through major newswire services, national news services or financial news.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PERSONS SUBJECT TO THIS POLICY</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60"/>
        <w:spacing w:after="0"/>
        <w:rPr>
          <w:sz w:val="20"/>
          <w:szCs w:val="20"/>
          <w:color w:val="auto"/>
        </w:rPr>
      </w:pPr>
      <w:r>
        <w:rPr>
          <w:rFonts w:ascii="Arial" w:cs="Arial" w:eastAsia="Arial" w:hAnsi="Arial"/>
          <w:sz w:val="21"/>
          <w:szCs w:val="21"/>
          <w:i w:val="1"/>
          <w:iCs w:val="1"/>
          <w:color w:val="auto"/>
        </w:rPr>
        <w:t>Updated October 2023</w:t>
      </w:r>
    </w:p>
    <w:p>
      <w:pPr>
        <w:sectPr>
          <w:pgSz w:w="11900" w:h="16838" w:orient="portrait"/>
          <w:cols w:equalWidth="0" w:num="1">
            <w:col w:w="11240"/>
          </w:cols>
          <w:pgMar w:left="320" w:top="1412" w:right="339" w:bottom="1440" w:gutter="0" w:footer="0" w:header="0"/>
          <w:type w:val="continuous"/>
        </w:sectPr>
      </w:pPr>
    </w:p>
    <w:bookmarkStart w:id="78" w:name="page79"/>
    <w:bookmarkEnd w:id="78"/>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Policy applies to all members of the Company’s Board of Directors and Company “Associates” (as defined below). For purposes of this Policy, the term “Associates” refers to all employees and officers of the Company. In addition, this Policy applies to other persons designated by the Chief Legal Officer or Chief Financial Officer who, from time to time, may receive material, non-public information about the Company.</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Policy also applies to family members sharing your household, other persons sharing your household and any person or entity whose transactions in Company securities are subject to your direct or indirect influence or control.</w:t>
      </w:r>
    </w:p>
    <w:p>
      <w:pPr>
        <w:spacing w:after="0" w:line="18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Certain individuals, such as “Section 16 Insiders” and “Insider Associates” (as defined below), are more likely than others to have material, non-public information about the Company. As such, these individuals are subject to additional restrictions as described below.</w:t>
      </w:r>
    </w:p>
    <w:p>
      <w:pPr>
        <w:spacing w:after="0" w:line="16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i w:val="1"/>
          <w:iCs w:val="1"/>
          <w:color w:val="auto"/>
        </w:rPr>
        <w:t>Section 16 Insiders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16 Insiders are subject to the reporting and liability provisions of Section 16 of the Securities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of 1934, as amended (the “Exchange Act”), and the rules promulgated thereunder. Section 16 Insiders will be notified by the Chief Legal Officer of their obligations under Section 16.</w:t>
      </w:r>
    </w:p>
    <w:p>
      <w:pPr>
        <w:spacing w:after="0" w:line="196" w:lineRule="exact"/>
        <w:rPr>
          <w:sz w:val="20"/>
          <w:szCs w:val="20"/>
          <w:color w:val="auto"/>
        </w:rPr>
      </w:pPr>
    </w:p>
    <w:p>
      <w:pPr>
        <w:jc w:val="both"/>
        <w:ind w:left="660" w:right="20"/>
        <w:spacing w:after="0" w:line="271" w:lineRule="auto"/>
        <w:rPr>
          <w:sz w:val="20"/>
          <w:szCs w:val="20"/>
          <w:color w:val="auto"/>
        </w:rPr>
      </w:pPr>
      <w:r>
        <w:rPr>
          <w:rFonts w:ascii="Arial" w:cs="Arial" w:eastAsia="Arial" w:hAnsi="Arial"/>
          <w:sz w:val="18"/>
          <w:szCs w:val="18"/>
          <w:i w:val="1"/>
          <w:iCs w:val="1"/>
          <w:color w:val="auto"/>
        </w:rPr>
        <w:t>Insider Associates</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the Company will identify other persons, who have frequent or special access to material, non-public information concerning the Company (“Insider Associates”) as part of the normal course of their job duties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 of this Policy, Section 16 Insiders and Insider Associates are collectively referred to in this Policy as “Insiders”.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Policy continues to apply to you even after termination of your service to the Company for so long as you possess material, non-public information about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APPLICABILITY TO TRANSACTIONS INVOLVING COMPANY SECURITIES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Policy applies to all transactions in the Company’s securities, such as common stock and any other securities issued by the Company, including debt instruments (e.g., bonds), preferred stock and convertible debentures, as well as derivative securities relating to the Company’s stock, whether or not issued by the Company, such as warrants and publicly-traded options. For the purposes of this Policy, the term “trade” refers to any transaction in the Company’s securities.</w:t>
      </w:r>
    </w:p>
    <w:p>
      <w:pPr>
        <w:spacing w:after="0" w:line="18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Exercising a stock option granted by the Company and holding the shares issued under such stock option is not</w:t>
      </w:r>
      <w:r>
        <w:rPr>
          <w:rFonts w:ascii="Arial" w:cs="Arial" w:eastAsia="Arial" w:hAnsi="Arial"/>
          <w:sz w:val="18"/>
          <w:szCs w:val="18"/>
          <w:i w:val="1"/>
          <w:iCs w:val="1"/>
          <w:color w:val="auto"/>
        </w:rPr>
        <w:t xml:space="preserve"> </w:t>
      </w:r>
      <w:r>
        <w:rPr>
          <w:rFonts w:ascii="Arial" w:cs="Arial" w:eastAsia="Arial" w:hAnsi="Arial"/>
          <w:sz w:val="18"/>
          <w:szCs w:val="18"/>
          <w:color w:val="auto"/>
        </w:rPr>
        <w:t>deemed a purchase transaction subject to the trading restrictions and prohibitions in this Policy. However, the subsequent sale of shares issued under the option is subject to the trading restrictions and prohibitions under this Policy.</w:t>
      </w:r>
    </w:p>
    <w:p>
      <w:pPr>
        <w:spacing w:after="0" w:line="196"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i w:val="1"/>
          <w:iCs w:val="1"/>
          <w:color w:val="auto"/>
        </w:rPr>
        <w:t>Associate Plans</w:t>
      </w:r>
      <w:r>
        <w:rPr>
          <w:rFonts w:ascii="Arial" w:cs="Arial" w:eastAsia="Arial" w:hAnsi="Arial"/>
          <w:sz w:val="18"/>
          <w:szCs w:val="18"/>
          <w:color w:val="auto"/>
        </w:rPr>
        <w:t>. The trading restrictions and prohibitions in this Policy do not apply to periodic contributions by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Associates to an associate stock purchase plan or other associate benefit plan (e.g., a pension plan or 401(k) plan) that is used to purchase Company securities pursuant to the Associate’s advance instruction. However, no Associate may establish or alter such Associate’s instructions regarding the level of withholding or the purchase of Company securities in such plans while in possession of material, non-public information about the Company. Any sale of securities acquired under such plans is subject to the prohibitions and restrictions of this Policy.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SPECIAL AND PROHIBITED ACTIVITIES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directors and Associates are prohibited from trading Company securities while in possession of material, non-public information about the Company, nor may they advise others to trade, or communicate the information to anyone else until such time as the information has been publicly disseminated. Directors and Associates may not:</w:t>
      </w:r>
    </w:p>
    <w:p>
      <w:pPr>
        <w:spacing w:after="0" w:line="182" w:lineRule="exact"/>
        <w:rPr>
          <w:sz w:val="20"/>
          <w:szCs w:val="20"/>
          <w:color w:val="auto"/>
        </w:rPr>
      </w:pPr>
    </w:p>
    <w:p>
      <w:pPr>
        <w:ind w:left="660" w:right="20" w:hanging="328"/>
        <w:spacing w:after="0" w:line="271"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Buy or sell Company securities while in possession of material, non-public information related to the Company, except pursuant to a trading plan approved by the Chief Legal Officer that complies with Rule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60"/>
        <w:spacing w:after="0"/>
        <w:rPr>
          <w:sz w:val="20"/>
          <w:szCs w:val="20"/>
          <w:color w:val="auto"/>
        </w:rPr>
      </w:pPr>
      <w:r>
        <w:rPr>
          <w:rFonts w:ascii="Arial" w:cs="Arial" w:eastAsia="Arial" w:hAnsi="Arial"/>
          <w:sz w:val="21"/>
          <w:szCs w:val="21"/>
          <w:i w:val="1"/>
          <w:iCs w:val="1"/>
          <w:color w:val="auto"/>
        </w:rPr>
        <w:t>Updated October 2023</w:t>
      </w:r>
    </w:p>
    <w:p>
      <w:pPr>
        <w:sectPr>
          <w:pgSz w:w="11900" w:h="16838" w:orient="portrait"/>
          <w:cols w:equalWidth="0" w:num="1">
            <w:col w:w="11240"/>
          </w:cols>
          <w:pgMar w:left="320" w:top="1440" w:right="339" w:bottom="1440" w:gutter="0" w:footer="0" w:header="0"/>
        </w:sectPr>
      </w:pPr>
    </w:p>
    <w:bookmarkStart w:id="79" w:name="page80"/>
    <w:bookmarkEnd w:id="79"/>
    <w:p>
      <w:pPr>
        <w:ind w:left="660"/>
        <w:spacing w:after="0" w:line="245" w:lineRule="auto"/>
        <w:rPr>
          <w:sz w:val="20"/>
          <w:szCs w:val="20"/>
          <w:color w:val="auto"/>
        </w:rPr>
      </w:pPr>
      <w:r>
        <w:rPr>
          <w:rFonts w:ascii="Arial" w:cs="Arial" w:eastAsia="Arial" w:hAnsi="Arial"/>
          <w:sz w:val="18"/>
          <w:szCs w:val="18"/>
          <w:color w:val="auto"/>
        </w:rPr>
        <w:t>10b5-1 promulgated under the Exchange Act (see Exhibit A for the “Guidelines for Establishing Rule 10b5-1 Trading Plans”). Loans, pledges, gifts, charitable donations and other contributions of Company securities are also subject to this Policy.</w:t>
      </w:r>
    </w:p>
    <w:p>
      <w:pPr>
        <w:ind w:left="660" w:hanging="328"/>
        <w:spacing w:after="0" w:line="235"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Engage in any other action to take personal advantage of the information; or</w:t>
      </w: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Communicate the information to others outside the Company, including family members, friends and significant others.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Associates and directors in possession of material, non-public information related to another company learned as a result of their relationship with the Company may not trade in the securities of such other company, express an opinion as to the desirability of trading the securities of such other company, or otherwise use such information for personal gain.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Prohibited Transactions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has determined that there may be a heightened legal risk or the appearance of improper or inappropriate conduct if Insiders engage in certain types of transactions as outlined below. Therefore, Insiders are prohibited from engaging in any such transactions.</w:t>
      </w:r>
    </w:p>
    <w:p>
      <w:pPr>
        <w:spacing w:after="0" w:line="181"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i w:val="1"/>
          <w:iCs w:val="1"/>
          <w:color w:val="auto"/>
        </w:rPr>
        <w:t>Short Sales</w:t>
      </w:r>
      <w:r>
        <w:rPr>
          <w:rFonts w:ascii="Arial" w:cs="Arial" w:eastAsia="Arial" w:hAnsi="Arial"/>
          <w:sz w:val="18"/>
          <w:szCs w:val="18"/>
          <w:color w:val="auto"/>
        </w:rPr>
        <w:t>. A short sale is a sale of a security by an investor who does not actually own the stock. Short sales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indicate an expectation on the part of the seller that the market value of the securities will decline. Short sales may reduce an Insider’s incentive to improve the Company’s performance. For these reasons, the Company prohibits short sales of the Company’s securities. In addition, Section 16 of the Exchange Act expressly prohibits Section 16 Insiders from engaging in short sales.</w:t>
      </w:r>
    </w:p>
    <w:p>
      <w:pPr>
        <w:spacing w:after="0" w:line="203"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i w:val="1"/>
          <w:iCs w:val="1"/>
          <w:color w:val="auto"/>
        </w:rPr>
        <w:t>Publicly-traded Options</w:t>
      </w:r>
      <w:r>
        <w:rPr>
          <w:rFonts w:ascii="Arial" w:cs="Arial" w:eastAsia="Arial" w:hAnsi="Arial"/>
          <w:sz w:val="18"/>
          <w:szCs w:val="18"/>
          <w:color w:val="auto"/>
        </w:rPr>
        <w:t>. Publicly-traded options are contracts that allow an investor to make a bet on the short-term movement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 price. Options are speculative in nature, and their use by Insiders can create the appearance of impropriety or that the Insider is focused on short-term performance at the expense of the Company’s long-term objectives. Accordingly, transactions by Insiders in publicly-traded put options, call options or other derivatives of the Company’s securities are prohibited by this Policy. (Options positions arising from certain types of hedging transactions are governed by the next paragraph below.)</w:t>
      </w:r>
    </w:p>
    <w:p>
      <w:pPr>
        <w:spacing w:after="0" w:line="190"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i w:val="1"/>
          <w:iCs w:val="1"/>
          <w:color w:val="auto"/>
        </w:rPr>
        <w:t>Hedging or Monetization Transactions</w:t>
      </w:r>
      <w:r>
        <w:rPr>
          <w:rFonts w:ascii="Arial" w:cs="Arial" w:eastAsia="Arial" w:hAnsi="Arial"/>
          <w:sz w:val="18"/>
          <w:szCs w:val="18"/>
          <w:color w:val="auto"/>
        </w:rPr>
        <w:t>. Hedging or monetization transactions can be accomplished through a number of possible</w:t>
      </w:r>
      <w:r>
        <w:rPr>
          <w:rFonts w:ascii="Arial" w:cs="Arial" w:eastAsia="Arial" w:hAnsi="Arial"/>
          <w:sz w:val="18"/>
          <w:szCs w:val="18"/>
          <w:i w:val="1"/>
          <w:iCs w:val="1"/>
          <w:color w:val="auto"/>
        </w:rPr>
        <w:t xml:space="preserve"> </w:t>
      </w:r>
      <w:r>
        <w:rPr>
          <w:rFonts w:ascii="Arial" w:cs="Arial" w:eastAsia="Arial" w:hAnsi="Arial"/>
          <w:sz w:val="18"/>
          <w:szCs w:val="18"/>
          <w:color w:val="auto"/>
        </w:rPr>
        <w:t>mechanisms, including the use of financial instruments such as prepaid variable forwards, equity swaps and collars. Such hedging and monetization transactions allow an owner of securities to lock in much of the value of such owner’s stock holdings, often in exchange for all or part of the potential upside appreciation of the stock. When that occurs, the Insider may no longer have the same objectives as the Company’s other shareholders. Accordingly, the Company prohibits hedging and monetization transactions in the Company’s securities.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Requiring Pre-Clearance</w:t>
      </w:r>
    </w:p>
    <w:p>
      <w:pPr>
        <w:spacing w:after="0" w:line="239"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i w:val="1"/>
          <w:iCs w:val="1"/>
          <w:color w:val="auto"/>
        </w:rPr>
        <w:t>Margin Accounts and Pledges</w:t>
      </w:r>
      <w:r>
        <w:rPr>
          <w:rFonts w:ascii="Arial" w:cs="Arial" w:eastAsia="Arial" w:hAnsi="Arial"/>
          <w:sz w:val="18"/>
          <w:szCs w:val="18"/>
          <w:color w:val="auto"/>
        </w:rPr>
        <w:t>. Insiders are not permitted to use Company securities as collateral for a margin account or to secure a</w:t>
      </w:r>
      <w:r>
        <w:rPr>
          <w:rFonts w:ascii="Arial" w:cs="Arial" w:eastAsia="Arial" w:hAnsi="Arial"/>
          <w:sz w:val="18"/>
          <w:szCs w:val="18"/>
          <w:i w:val="1"/>
          <w:iCs w:val="1"/>
          <w:color w:val="auto"/>
        </w:rPr>
        <w:t xml:space="preserve"> </w:t>
      </w:r>
      <w:r>
        <w:rPr>
          <w:rFonts w:ascii="Arial" w:cs="Arial" w:eastAsia="Arial" w:hAnsi="Arial"/>
          <w:sz w:val="18"/>
          <w:szCs w:val="18"/>
          <w:color w:val="auto"/>
        </w:rPr>
        <w:t>loan unless approved in advance by the Chief Legal Officer. Please be aware, however, that a margin or foreclosure sale of Company securities occurring at a time when you are aware of material, non-public information may be deemed unlawful. You should exercise caution when pledging Company securities as collateral.</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Gifting</w:t>
      </w:r>
      <w:r>
        <w:rPr>
          <w:rFonts w:ascii="Arial" w:cs="Arial" w:eastAsia="Arial" w:hAnsi="Arial"/>
          <w:sz w:val="18"/>
          <w:szCs w:val="18"/>
          <w:color w:val="auto"/>
        </w:rPr>
        <w:t>. Generally, bona fide gifts of Company securities are not considered to be sales under securities laws; however, such</w:t>
      </w:r>
    </w:p>
    <w:p>
      <w:pPr>
        <w:spacing w:after="0" w:line="14"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transactions are subject to this Policy. Accordingly, an Insider who wants to gift Company securities during a closed Trading Window (as defined below) may only do so when the Insider is not aware of material, non-public information. Section 16 Insiders who want to</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gift Company securities at any time must first pre-clear such transactions with the Chief Legal Officer.</w:t>
      </w:r>
    </w:p>
    <w:p>
      <w:pPr>
        <w:spacing w:after="0" w:line="221"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i w:val="1"/>
          <w:iCs w:val="1"/>
          <w:color w:val="auto"/>
        </w:rPr>
        <w:t>Standing and Limit Orders</w:t>
      </w:r>
      <w:r>
        <w:rPr>
          <w:rFonts w:ascii="Arial" w:cs="Arial" w:eastAsia="Arial" w:hAnsi="Arial"/>
          <w:sz w:val="18"/>
          <w:szCs w:val="18"/>
          <w:color w:val="auto"/>
        </w:rPr>
        <w:t>. Standing and limit orders (except standing and limit orders under a trading plan approved by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Legal Officer that complies with Rule 10b5-1 promulgated under the Exchange Act) create heightened risks for insider trading violations similar to the use of margin accounts. There is no control over the timing of purchases or sales that result from standing instructions to a broker,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Updated October 2023</w:t>
      </w:r>
    </w:p>
    <w:p>
      <w:pPr>
        <w:sectPr>
          <w:pgSz w:w="11900" w:h="16838" w:orient="portrait"/>
          <w:cols w:equalWidth="0" w:num="1">
            <w:col w:w="11240"/>
          </w:cols>
          <w:pgMar w:left="320" w:top="1403" w:right="339" w:bottom="1440" w:gutter="0" w:footer="0" w:header="0"/>
        </w:sectPr>
      </w:pPr>
    </w:p>
    <w:bookmarkStart w:id="80" w:name="page81"/>
    <w:bookmarkEnd w:id="80"/>
    <w:p>
      <w:pPr>
        <w:jc w:val="both"/>
        <w:ind w:left="660"/>
        <w:spacing w:after="0" w:line="244" w:lineRule="auto"/>
        <w:rPr>
          <w:sz w:val="20"/>
          <w:szCs w:val="20"/>
          <w:color w:val="auto"/>
        </w:rPr>
      </w:pPr>
      <w:r>
        <w:rPr>
          <w:rFonts w:ascii="Arial" w:cs="Arial" w:eastAsia="Arial" w:hAnsi="Arial"/>
          <w:sz w:val="18"/>
          <w:szCs w:val="18"/>
          <w:color w:val="auto"/>
        </w:rPr>
        <w:t>and as a result, the broker could execute a transaction when an Associate is in possession of material, non-public information or when the Trading Window is closed. The Company therefore discourages placing a standing or limit order on the Company’s securities. If a person subject to this Policy determines that they must use a standing or limit order, the order should be limited to a short duration and should otherwise comply with the restrictions and procedures outlined below. A person subject to this Policy must also pre-clear any standing or limit order with the Chief Legal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SELECTIVE DISCLOSURE OF MATERIAL, NON-PUBLIC INFORMATION</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is required under federal securities laws to avoid selective disclosure of material, non-public information. Accordingly, the Company has procedures for disclosing material, non-public information in such a manner as to ensure the broadest possible public</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dissemination. Directors and Associates, therefore, may not disclose material, non-public information to anyone outside of the Company, including family and friends, unless authorized to do so and such disclosure is in accordance with established procedure. Any inquiries from non-Associates regarding material, non-public information about the Company should be referred to Investor Relations (InvestorRelations@bbw.com).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TRADING RESTRICTIONS APPLICABLE TO INSIDERS</w:t>
      </w:r>
    </w:p>
    <w:p>
      <w:pPr>
        <w:spacing w:after="0" w:line="239"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i w:val="1"/>
          <w:iCs w:val="1"/>
          <w:color w:val="auto"/>
        </w:rPr>
        <w:t>Trading Windows</w:t>
      </w:r>
      <w:r>
        <w:rPr>
          <w:rFonts w:ascii="Arial" w:cs="Arial" w:eastAsia="Arial" w:hAnsi="Arial"/>
          <w:sz w:val="18"/>
          <w:szCs w:val="18"/>
          <w:color w:val="auto"/>
        </w:rPr>
        <w:t>. Insiders are prohibited from trading Company securities except during an open trading window (each, a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Window”). Even when a Trading Window is open, Insiders (and other persons subject to this Policy) are prohibited from trading, gifting or transferring Company securities while in possession of material, non-public information. From time to time, the Company may impose special blackout periods during which Insiders, and potentially a larger group of Associates, are prohibited from trading Company securities even though the Trading Window might otherwise be open. The Chief Legal Officer will advise Insiders of the commencement and termination of Trading Windows. These trading restrictions do not apply to trades made under a Rule 10b5-1</w:t>
      </w:r>
    </w:p>
    <w:p>
      <w:pPr>
        <w:spacing w:after="0" w:line="1"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trading plan established during an open Trading Window and approved by the Chief Legal Officer. Trading in the Company's securities during an open Trading Window should not be considered a “safe harbor,” and all Insiders must use good judgment at all</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times.</w:t>
      </w:r>
    </w:p>
    <w:p>
      <w:pPr>
        <w:spacing w:after="0" w:line="221" w:lineRule="exact"/>
        <w:rPr>
          <w:sz w:val="20"/>
          <w:szCs w:val="20"/>
          <w:color w:val="auto"/>
        </w:rPr>
      </w:pPr>
    </w:p>
    <w:p>
      <w:pPr>
        <w:jc w:val="both"/>
        <w:ind w:left="660"/>
        <w:spacing w:after="0" w:line="244" w:lineRule="auto"/>
        <w:rPr>
          <w:sz w:val="20"/>
          <w:szCs w:val="20"/>
          <w:color w:val="auto"/>
        </w:rPr>
      </w:pPr>
      <w:r>
        <w:rPr>
          <w:rFonts w:ascii="Arial" w:cs="Arial" w:eastAsia="Arial" w:hAnsi="Arial"/>
          <w:sz w:val="18"/>
          <w:szCs w:val="18"/>
          <w:i w:val="1"/>
          <w:iCs w:val="1"/>
          <w:color w:val="auto"/>
        </w:rPr>
        <w:t>Pre-Clearance</w:t>
      </w:r>
      <w:r>
        <w:rPr>
          <w:rFonts w:ascii="Arial" w:cs="Arial" w:eastAsia="Arial" w:hAnsi="Arial"/>
          <w:sz w:val="18"/>
          <w:szCs w:val="18"/>
          <w:color w:val="auto"/>
        </w:rPr>
        <w:t>. To reduce the chances of trading while a material event is on the horizon and to facilitate compliance with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laws, Section 16 Insiders must pre-clear their transactions in Company securities (including gifts) with the Chief Legal Officer, even during an open Trading Window. Pre-clearance must be requested before the planned execution of the transactions, and Section 16 Insiders must trade within two trading days of receiving pre-clearance. If the Section 16 Insider does not trade during this period, he or she must repeat the process and again seek pre-clearance.</w:t>
      </w:r>
    </w:p>
    <w:p>
      <w:pPr>
        <w:spacing w:after="0" w:line="203" w:lineRule="exact"/>
        <w:rPr>
          <w:sz w:val="20"/>
          <w:szCs w:val="20"/>
          <w:color w:val="auto"/>
        </w:rPr>
      </w:pPr>
    </w:p>
    <w:p>
      <w:pPr>
        <w:jc w:val="both"/>
        <w:ind w:left="660"/>
        <w:spacing w:after="0" w:line="247" w:lineRule="auto"/>
        <w:rPr>
          <w:sz w:val="20"/>
          <w:szCs w:val="20"/>
          <w:color w:val="auto"/>
        </w:rPr>
      </w:pPr>
      <w:r>
        <w:rPr>
          <w:rFonts w:ascii="Arial" w:cs="Arial" w:eastAsia="Arial" w:hAnsi="Arial"/>
          <w:sz w:val="18"/>
          <w:szCs w:val="18"/>
          <w:i w:val="1"/>
          <w:iCs w:val="1"/>
          <w:color w:val="auto"/>
        </w:rPr>
        <w:t>Transactions Reporting</w:t>
      </w:r>
      <w:r>
        <w:rPr>
          <w:rFonts w:ascii="Arial" w:cs="Arial" w:eastAsia="Arial" w:hAnsi="Arial"/>
          <w:sz w:val="18"/>
          <w:szCs w:val="18"/>
          <w:color w:val="auto"/>
        </w:rPr>
        <w:t>. To facilitate timely and appropriate disclosures required pursuant to Section 16 of the Exchange Act,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16 Insiders must report all acquisitions and dispositions of the Company’s equity securities to the Chief Legal Officer or his or her delegate, whether or not issued by the Company, including purchases, sales, bona fide gifts, and transfers, within one business day of execution.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Profits from the Purchase and Sale of Securities Within Six Months</w:t>
      </w:r>
      <w:r>
        <w:rPr>
          <w:rFonts w:ascii="Arial" w:cs="Arial" w:eastAsia="Arial" w:hAnsi="Arial"/>
          <w:sz w:val="18"/>
          <w:szCs w:val="18"/>
          <w:color w:val="auto"/>
        </w:rPr>
        <w:t>. For the purpose of preventing the unfair use of information that</w:t>
      </w:r>
    </w:p>
    <w:p>
      <w:pPr>
        <w:spacing w:after="0" w:line="14"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color w:val="auto"/>
        </w:rPr>
        <w:t>may have been obtained by a Section 16 Insider by reason of his or her relationship to the Company, Section 16 Insiders are prohibited from generating profits from any purchase and sale or sale and purchase of the Company’s equity securities within a six-</w:t>
      </w:r>
    </w:p>
    <w:p>
      <w:pPr>
        <w:spacing w:after="0" w:line="2" w:lineRule="exact"/>
        <w:rPr>
          <w:sz w:val="20"/>
          <w:szCs w:val="20"/>
          <w:color w:val="auto"/>
        </w:rPr>
      </w:pPr>
    </w:p>
    <w:p>
      <w:pPr>
        <w:jc w:val="both"/>
        <w:ind w:left="660"/>
        <w:spacing w:after="0" w:line="242" w:lineRule="auto"/>
        <w:rPr>
          <w:sz w:val="20"/>
          <w:szCs w:val="20"/>
          <w:color w:val="auto"/>
        </w:rPr>
      </w:pPr>
      <w:r>
        <w:rPr>
          <w:rFonts w:ascii="Arial" w:cs="Arial" w:eastAsia="Arial" w:hAnsi="Arial"/>
          <w:sz w:val="18"/>
          <w:szCs w:val="18"/>
          <w:color w:val="auto"/>
        </w:rPr>
        <w:t>month period. Any such profits will be required to be surrendered to the Company in accordance with Section 16 of the Exchange Act. Under limited circumstances, a transaction may be exempted from this prohibition. Contact the Chief Legal Officer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VIOLATIONS</w:t>
      </w:r>
    </w:p>
    <w:p>
      <w:pPr>
        <w:spacing w:after="0" w:line="2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Penalties for violations of the antifraud provisions of federal and state securities laws are severe, both for the individuals involved in the unlawful conduct and their employers. Even if a person did not benefit personally from the violation, he or she could be subject to sanctions. Penalties include, but are not limited to, civil injunctions, disgorgement of profits, monetary penalties up to triple the profits gained or losses avoided, or criminal penalties including prison sentences. Associates should be aware that any violation of this Policy may also result in termination of employment. Anyone in doubt about the application of this Policy should consult with the Chief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060"/>
        <w:spacing w:after="0"/>
        <w:rPr>
          <w:sz w:val="20"/>
          <w:szCs w:val="20"/>
          <w:color w:val="auto"/>
        </w:rPr>
      </w:pPr>
      <w:r>
        <w:rPr>
          <w:rFonts w:ascii="Arial" w:cs="Arial" w:eastAsia="Arial" w:hAnsi="Arial"/>
          <w:sz w:val="21"/>
          <w:szCs w:val="21"/>
          <w:i w:val="1"/>
          <w:iCs w:val="1"/>
          <w:color w:val="auto"/>
        </w:rPr>
        <w:t>Updated October 2023</w:t>
      </w:r>
    </w:p>
    <w:p>
      <w:pPr>
        <w:sectPr>
          <w:pgSz w:w="11900" w:h="16838" w:orient="portrait"/>
          <w:cols w:equalWidth="0" w:num="1">
            <w:col w:w="11240"/>
          </w:cols>
          <w:pgMar w:left="320" w:top="1403" w:right="339" w:bottom="1440" w:gutter="0" w:footer="0" w:header="0"/>
        </w:sectPr>
      </w:pPr>
    </w:p>
    <w:bookmarkStart w:id="81" w:name="page82"/>
    <w:bookmarkEnd w:id="81"/>
    <w:p>
      <w:pPr>
        <w:spacing w:after="0" w:line="271" w:lineRule="auto"/>
        <w:rPr>
          <w:sz w:val="20"/>
          <w:szCs w:val="20"/>
          <w:color w:val="auto"/>
        </w:rPr>
      </w:pPr>
      <w:r>
        <w:rPr>
          <w:rFonts w:ascii="Arial" w:cs="Arial" w:eastAsia="Arial" w:hAnsi="Arial"/>
          <w:sz w:val="18"/>
          <w:szCs w:val="18"/>
          <w:color w:val="auto"/>
        </w:rPr>
        <w:t>Legal Officer before proceeding with any transaction involving the Company’s securities, and before disclosing any information related to the Company. You must report any violations of this Policy immediately to the Chief Legal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Chief Legal Officer is responsible for:</w:t>
      </w:r>
    </w:p>
    <w:p>
      <w:pPr>
        <w:spacing w:after="0" w:line="23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Administering this Policy and monitoring and enforcing compliance with this Policy’s provisions and procedures;</w:t>
      </w:r>
    </w:p>
    <w:p>
      <w:pPr>
        <w:spacing w:after="0" w:line="13" w:lineRule="exact"/>
        <w:rPr>
          <w:rFonts w:ascii="Arial" w:cs="Arial" w:eastAsia="Arial" w:hAnsi="Arial"/>
          <w:sz w:val="18"/>
          <w:szCs w:val="18"/>
          <w:color w:val="auto"/>
        </w:rPr>
      </w:pPr>
    </w:p>
    <w:p>
      <w:pPr>
        <w:ind w:left="660" w:right="20" w:hanging="328"/>
        <w:spacing w:after="0" w:line="226"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Responding to all inquiries relating to this Policy and its provisions, including requests to review and approve Rule 10b5-1 trading plans prior to adoption;</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Designating and announcing special Trading Windows during which Insiders may trade Company securities or establish a Rule 10b5-1 trading plan;</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Ensuring that copies of this Policy and other appropriate materials are provided or otherwise made available to current and new directors and Associates and such other persons designated as Insiders;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Revising this Policy as necessary to reflect changes in federal or state insider trading laws or best practice; and</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Maintaining the accuracy of the Section 16 Insiders list and the list of Insider Associates.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Updated October 2023</w:t>
      </w:r>
    </w:p>
    <w:p>
      <w:pPr>
        <w:sectPr>
          <w:pgSz w:w="11900" w:h="16838" w:orient="portrait"/>
          <w:cols w:equalWidth="0" w:num="1">
            <w:col w:w="11240"/>
          </w:cols>
          <w:pgMar w:left="320" w:top="1403" w:right="339" w:bottom="1440" w:gutter="0" w:footer="0" w:header="0"/>
        </w:sectPr>
      </w:pPr>
    </w:p>
    <w:bookmarkStart w:id="82" w:name="page83"/>
    <w:bookmarkEnd w:id="82"/>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GUIDELINES FOR ESTABLISHING RULE 10b5-1 TRADING PLANS</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Rule 10b5-1 trading plans allow corporate insiders the flexibility to trade company securities in compliance with SEC regulations and without consideration for the limitations of a company’s insider trading policy. Rule 10b5-1 allows Insiders greater opportunity to trade their Company shares, including during periods when the Trading Window is closed. Your trading plan must:</w:t>
      </w:r>
    </w:p>
    <w:p>
      <w:pPr>
        <w:spacing w:after="0" w:line="19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established at a time when you are not in possession of material, non-public information related to the Company;</w:t>
      </w:r>
    </w:p>
    <w:p>
      <w:pPr>
        <w:spacing w:after="0" w:line="13"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established only during an open Trading Window;</w:t>
      </w:r>
    </w:p>
    <w:p>
      <w:pPr>
        <w:ind w:left="660" w:hanging="328"/>
        <w:spacing w:after="0" w:line="234"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for the suspension of transactions under the trading plan in the event the Company should, in its sole discretion, determine that such a suspension is necessary and advisable;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approved by the Chief Legal Officer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 addition, when adopting a Rule 10b5-1 trading plan, the trading plan must be in writing and must:</w:t>
      </w:r>
    </w:p>
    <w:p>
      <w:pPr>
        <w:spacing w:after="0" w:line="239" w:lineRule="exact"/>
        <w:rPr>
          <w:sz w:val="20"/>
          <w:szCs w:val="20"/>
          <w:color w:val="auto"/>
        </w:rPr>
      </w:pPr>
    </w:p>
    <w:p>
      <w:pPr>
        <w:ind w:left="660" w:hanging="328"/>
        <w:spacing w:after="0" w:line="245"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specify the amount of securities to be traded, the price at which the securities are to be traded and the date the securities are to be traded;</w:t>
      </w:r>
    </w:p>
    <w:p>
      <w:pPr>
        <w:ind w:left="660" w:hanging="328"/>
        <w:spacing w:after="0" w:line="234"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 a written formula or algorithm, or computer program, for determining the amount of securities to be traded, the price at which the securities are to be traded and the date the securities are to be traded; or</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delegate to another person sole discretion to determine the amount, price and date of the trades to be made, provided that person is not aware of material, non-public information related to the Company.</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Review and approval of a Rule 10b5-1 trading plan by the Chief Legal Officer before adoption of the trading plan does not mean that the Chief Legal Officer assumes any liability or responsibility if the Insider or other entity or person fails to comply with the trading plan or the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Your written trading plan must include the following representations:</w:t>
      </w:r>
    </w:p>
    <w:p>
      <w:pPr>
        <w:spacing w:after="0" w:line="239"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are not aware of material, non-public information related to the Company as of the date the trading plan is established;</w:t>
      </w:r>
    </w:p>
    <w:p>
      <w:pPr>
        <w:spacing w:after="0" w:line="13"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are entering into the trading plan in good faith and not as a plan or scheme to evade the antifraud provisions of federal or state securities laws;</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acknowledge that (i) you have no authority, influence or control over any actions by the broker or other third party directing the trading plan, (ii) you will not attempt to exercise any authority, influence or control over that broker or other third party directing the trading plan, and (iii) the broker or other third party will not seek advice from you with regard to the manner in which it acts under the terms of the trading plan;</w:t>
      </w:r>
    </w:p>
    <w:p>
      <w:pPr>
        <w:spacing w:after="0" w:line="2"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agree not to enter into corresponding or hedging trades with respect to the securities covered by the trading plan for the duration of the trading plan;</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agree to not alter or deviate from the terms of the trading plan, or terminate the trading plan, without prior approval from the Chief Legal Officer;</w:t>
      </w:r>
    </w:p>
    <w:p>
      <w:pPr>
        <w:spacing w:after="0" w:line="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agree to timely make all filings required under the Securities Act of 1933, as amended (“1933 Act”), and the Exchange Act;</w:t>
      </w:r>
    </w:p>
    <w:p>
      <w:pPr>
        <w:jc w:val="both"/>
        <w:ind w:left="660" w:hanging="328"/>
        <w:spacing w:after="0" w:line="234"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acknowledge that the Company may, in its sole discretion, make public announcements regarding the trading plan in its press releases and other public filings with the SEC, including information related to the existence or adoption of the trading plan, and, to the extent required under applicable law, information as to the timing of the trades, and amount and price of the securities traded; and</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agree that you and your broker will take any steps necessary to ensure your compliance with Rule 144 under the 1933 Act and Section 16(b) under the Exchange Act.</w:t>
      </w:r>
    </w:p>
    <w:p>
      <w:pPr>
        <w:spacing w:after="0" w:line="19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directors and officers who are designated “Section 16 Insiders”, SEC rules impose a “cooling off” period such that no trades may be initiated under a trading plan until the later of (i) 90 days after adopting or modifying the plan and (ii) two business days after the release of the Company’s final results on Form 10-Q or Form 10-K for the fiscal quarter in which the plan was adopted (not to exceed 120 days after adoption). For all other Associates, 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Updated October 2023</w:t>
      </w:r>
    </w:p>
    <w:p>
      <w:pPr>
        <w:sectPr>
          <w:pgSz w:w="11900" w:h="16838" w:orient="portrait"/>
          <w:cols w:equalWidth="0" w:num="1">
            <w:col w:w="11240"/>
          </w:cols>
          <w:pgMar w:left="320" w:top="14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30-day cooling off period after adopting or modifying a plan is required under SEC rules before trading may commence.</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Subject to limited exceptions under the SEC’s rules, SEC rules also prohibit an Associate from putting in place more than one trading plan at a time. Multiple plans are permissible only under one of the following three scenarios:</w:t>
      </w:r>
    </w:p>
    <w:p>
      <w:pPr>
        <w:spacing w:after="0" w:line="181" w:lineRule="exact"/>
        <w:rPr>
          <w:sz w:val="20"/>
          <w:szCs w:val="20"/>
          <w:color w:val="auto"/>
        </w:rPr>
      </w:pPr>
    </w:p>
    <w:p>
      <w:pPr>
        <w:ind w:left="660" w:hanging="328"/>
        <w:spacing w:after="0" w:line="245"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may maintain two plans if one of them is a successor trading plan under which trades are not scheduled to begin until completion or expiration of the predecessor plan.</w:t>
      </w:r>
    </w:p>
    <w:p>
      <w:pPr>
        <w:ind w:left="660" w:hanging="328"/>
        <w:spacing w:after="0" w:line="226"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may use “sell to cover” arrangements that authorize the sale of only enough securities to cover tax withholding obligations arising upon vesting of Company compensatory awards.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 may have contracts with more than one securities broker to execute trades arising under a single trading plan.</w:t>
      </w:r>
    </w:p>
    <w:p>
      <w:pPr>
        <w:spacing w:after="0" w:line="22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Any modification or change to the amount, price or timing of the purchase or sale under a trading plan is generally a termination of such plan and the adoption of a new plan according to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Updated October 2023</w:t>
      </w:r>
    </w:p>
    <w:p>
      <w:pPr>
        <w:sectPr>
          <w:pgSz w:w="11900" w:h="16838" w:orient="portrait"/>
          <w:cols w:equalWidth="0" w:num="1">
            <w:col w:w="11240"/>
          </w:cols>
          <w:pgMar w:left="320" w:top="1403" w:right="339" w:bottom="1440" w:gutter="0" w:footer="0" w:header="0"/>
        </w:sectPr>
      </w:pPr>
    </w:p>
    <w:bookmarkStart w:id="84" w:name="page85"/>
    <w:bookmarkEnd w:id="84"/>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 OF BATH &amp; BODY WORKS INSIDER TRADING POLICY</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 acknowledge that I have received and read the Bath &amp; Body Works Insider Trading Policy (the “Policy”). I certify that I understand the Policy and agree to comply with its provisions and restrictions. I understand that failure to comply with the Policy may subject me to disciplinary actions, including but not limited to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479425</wp:posOffset>
            </wp:positionV>
            <wp:extent cx="26917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403225</wp:posOffset>
            </wp:positionV>
            <wp:extent cx="23488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412115</wp:posOffset>
            </wp:positionV>
            <wp:extent cx="26917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9">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RETURN TO:</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Legal Officer</w:t>
      </w:r>
    </w:p>
    <w:p>
      <w:pPr>
        <w:ind w:left="4660"/>
        <w:spacing w:after="0" w:line="219" w:lineRule="auto"/>
        <w:rPr>
          <w:sz w:val="20"/>
          <w:szCs w:val="20"/>
          <w:color w:val="auto"/>
        </w:rPr>
      </w:pPr>
      <w:r>
        <w:rPr>
          <w:rFonts w:ascii="Arial" w:cs="Arial" w:eastAsia="Arial" w:hAnsi="Arial"/>
          <w:sz w:val="18"/>
          <w:szCs w:val="18"/>
          <w:color w:val="auto"/>
        </w:rPr>
        <w:t>Bath &amp; Body Works, Inc.</w:t>
      </w:r>
    </w:p>
    <w:p>
      <w:pPr>
        <w:jc w:val="center"/>
        <w:spacing w:after="0" w:line="234" w:lineRule="auto"/>
        <w:rPr>
          <w:sz w:val="20"/>
          <w:szCs w:val="20"/>
          <w:color w:val="auto"/>
        </w:rPr>
      </w:pPr>
      <w:r>
        <w:rPr>
          <w:rFonts w:ascii="Arial" w:cs="Arial" w:eastAsia="Arial" w:hAnsi="Arial"/>
          <w:sz w:val="18"/>
          <w:szCs w:val="18"/>
          <w:color w:val="auto"/>
        </w:rPr>
        <w:t>Three Limited Parkway</w:t>
      </w:r>
    </w:p>
    <w:p>
      <w:pPr>
        <w:jc w:val="center"/>
        <w:spacing w:after="0" w:line="235" w:lineRule="auto"/>
        <w:rPr>
          <w:sz w:val="20"/>
          <w:szCs w:val="20"/>
          <w:color w:val="auto"/>
        </w:rPr>
      </w:pPr>
      <w:r>
        <w:rPr>
          <w:rFonts w:ascii="Arial" w:cs="Arial" w:eastAsia="Arial" w:hAnsi="Arial"/>
          <w:sz w:val="18"/>
          <w:szCs w:val="18"/>
          <w:color w:val="auto"/>
        </w:rPr>
        <w:t>Columbus, OH 43230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ChiefLegalOfficer@bbw.com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60"/>
        <w:spacing w:after="0"/>
        <w:rPr>
          <w:sz w:val="20"/>
          <w:szCs w:val="20"/>
          <w:color w:val="auto"/>
        </w:rPr>
      </w:pPr>
      <w:r>
        <w:rPr>
          <w:rFonts w:ascii="Arial" w:cs="Arial" w:eastAsia="Arial" w:hAnsi="Arial"/>
          <w:sz w:val="21"/>
          <w:szCs w:val="21"/>
          <w:i w:val="1"/>
          <w:iCs w:val="1"/>
          <w:color w:val="auto"/>
        </w:rPr>
        <w:t>Updated October 2023</w:t>
      </w:r>
    </w:p>
    <w:p>
      <w:pPr>
        <w:sectPr>
          <w:pgSz w:w="11900" w:h="16838" w:orient="portrait"/>
          <w:cols w:equalWidth="0" w:num="1">
            <w:col w:w="11240"/>
          </w:cols>
          <w:pgMar w:left="320" w:top="1440" w:right="339" w:bottom="1440" w:gutter="0" w:footer="0" w:header="0"/>
          <w:type w:val="continuous"/>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486"/>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 (a)</w:t>
            </w:r>
          </w:p>
        </w:tc>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auto"/>
            </w:tcBorders>
            <w:vMerge w:val="continue"/>
          </w:tcPr>
          <w:p>
            <w:pPr>
              <w:spacing w:after="0"/>
              <w:rPr>
                <w:sz w:val="21"/>
                <w:szCs w:val="21"/>
                <w:color w:val="auto"/>
              </w:rPr>
            </w:pPr>
          </w:p>
        </w:tc>
        <w:tc>
          <w:tcPr>
            <w:tcW w:w="51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Brand Management, Inc.</w:t>
            </w: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Direct, Inc.</w:t>
            </w:r>
          </w:p>
        </w:tc>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 &amp; Body Works, LLC</w:t>
            </w:r>
          </w:p>
        </w:tc>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beautyAvenues, LLC</w:t>
            </w:r>
          </w:p>
        </w:tc>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Beauty Specialty Holding, LLC</w:t>
            </w:r>
          </w:p>
        </w:tc>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 Brands Holdings LP</w:t>
            </w:r>
          </w:p>
        </w:tc>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Alberta</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Brands (Overseas), Inc.</w:t>
            </w:r>
          </w:p>
        </w:tc>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 Brands Service Company, LLC</w:t>
            </w:r>
          </w:p>
        </w:tc>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 (Overseas) Holdings S.à.r.l.</w:t>
            </w:r>
          </w:p>
        </w:tc>
        <w:tc>
          <w:tcPr>
            <w:tcW w:w="5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Luxembourg</w:t>
            </w:r>
          </w:p>
        </w:tc>
        <w:tc>
          <w:tcPr>
            <w:tcW w:w="0" w:type="dxa"/>
            <w:vAlign w:val="bottom"/>
          </w:tcPr>
          <w:p>
            <w:pPr>
              <w:spacing w:after="0"/>
              <w:rPr>
                <w:sz w:val="1"/>
                <w:szCs w:val="1"/>
                <w:color w:val="auto"/>
              </w:rPr>
            </w:pPr>
          </w:p>
        </w:tc>
      </w:tr>
      <w:tr>
        <w:trPr>
          <w:trHeight w:val="257"/>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PCAB Corp.</w:t>
            </w:r>
          </w:p>
        </w:tc>
        <w:tc>
          <w:tcPr>
            <w:tcW w:w="5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PCAB Switzerland GmbH.</w:t>
            </w:r>
          </w:p>
        </w:tc>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Store Operations, Inc.</w:t>
            </w:r>
          </w:p>
        </w:tc>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00" w:right="520" w:hanging="292"/>
        <w:spacing w:after="0" w:line="282" w:lineRule="auto"/>
        <w:tabs>
          <w:tab w:leader="none" w:pos="3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certain subsidiaries are omitted because such unnamed subsidiaries, considered in the aggregate as a single subsidiary, would not constitute a significant subsidiary as of February 1, 2025.</w:t>
      </w:r>
    </w:p>
    <w:p>
      <w:pPr>
        <w:sectPr>
          <w:pgSz w:w="11900" w:h="16838" w:orient="portrait"/>
          <w:cols w:equalWidth="0" w:num="1">
            <w:col w:w="11200"/>
          </w:cols>
          <w:pgMar w:left="360" w:top="137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2027 Notes, 2028 Notes, 2029 Notes, 2030 Notes, 2035 Notes and 2036 Notes are jointly and severally guaranteed on a full and unconditional basis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Bath &amp; Body Works, Inc. (incorporated in Delaware) and the following 100% owned subsidiaries of Bath &amp; Body Works, Inc. as of February 1, 2025:</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4360" w:type="dxa"/>
            <w:vAlign w:val="bottom"/>
          </w:tcPr>
          <w:p>
            <w:pPr>
              <w:jc w:val="center"/>
              <w:ind w:left="295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176"/>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4360" w:type="dxa"/>
            <w:vAlign w:val="bottom"/>
          </w:tcPr>
          <w:p>
            <w:pPr>
              <w:jc w:val="center"/>
              <w:ind w:left="2970"/>
              <w:spacing w:after="0" w:line="176" w:lineRule="exact"/>
              <w:rPr>
                <w:sz w:val="20"/>
                <w:szCs w:val="20"/>
                <w:color w:val="auto"/>
              </w:rPr>
            </w:pPr>
            <w:r>
              <w:rPr>
                <w:rFonts w:ascii="Times New Roman" w:cs="Times New Roman" w:eastAsia="Times New Roman" w:hAnsi="Times New Roman"/>
                <w:sz w:val="18"/>
                <w:szCs w:val="18"/>
                <w:b w:val="1"/>
                <w:bCs w:val="1"/>
                <w:color w:val="auto"/>
              </w:rPr>
              <w:t>Incorporation or</w:t>
            </w:r>
          </w:p>
        </w:tc>
        <w:tc>
          <w:tcPr>
            <w:tcW w:w="0" w:type="dxa"/>
            <w:vAlign w:val="bottom"/>
          </w:tcPr>
          <w:p>
            <w:pPr>
              <w:spacing w:after="0"/>
              <w:rPr>
                <w:sz w:val="1"/>
                <w:szCs w:val="1"/>
                <w:color w:val="auto"/>
              </w:rPr>
            </w:pPr>
          </w:p>
        </w:tc>
      </w:tr>
      <w:tr>
        <w:trPr>
          <w:trHeight w:val="238"/>
        </w:trPr>
        <w:tc>
          <w:tcPr>
            <w:tcW w:w="6380" w:type="dxa"/>
            <w:vAlign w:val="bottom"/>
            <w:vMerge w:val="continue"/>
          </w:tcPr>
          <w:p>
            <w:pPr>
              <w:spacing w:after="0"/>
              <w:rPr>
                <w:sz w:val="20"/>
                <w:szCs w:val="20"/>
                <w:color w:val="auto"/>
              </w:rPr>
            </w:pP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Bath &amp; Body Works, LLC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Bath &amp; Body Works Brand Management, Inc.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Bath &amp; Body Works Direct, Inc.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beautyAvenues, LLC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Beauty Specialty Holding, LLC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 Brands Service Company, LLC</w:t>
            </w:r>
          </w:p>
        </w:tc>
        <w:tc>
          <w:tcPr>
            <w:tcW w:w="4360" w:type="dxa"/>
            <w:vAlign w:val="bottom"/>
          </w:tcPr>
          <w:p>
            <w:pPr>
              <w:jc w:val="center"/>
              <w:ind w:left="297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ASR No. 333-263720) of Bath &amp; Body Works, Inc.,</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333-265379) pertaining to the Bath &amp; Body Works, Inc. Associate Stock Purchase Plan,</w:t>
      </w:r>
    </w:p>
    <w:p>
      <w:pPr>
        <w:spacing w:after="0" w:line="3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333-251226) pertaining to the L Brands, Inc. 2020 Stock Option and Performance Incentive Plan,</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333-206787) pertaining to the L Brands, Inc. 2015 Stock Option and Performance Incentive Plan, and</w:t>
      </w:r>
    </w:p>
    <w:p>
      <w:pPr>
        <w:spacing w:after="0" w:line="4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333-176588) pertaining to the Limited Brands, Inc. 2011 Stock Option and Performance Plan;</w:t>
      </w:r>
    </w:p>
    <w:p>
      <w:pPr>
        <w:spacing w:after="0" w:line="2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of our reports dated March 14, 2025, with respect to the consolidated financial statements of Bath &amp; Body Works, Inc. and the effectiveness of internal control over financial reporting of Bath &amp; Body Works, Inc. included in this Annual Report (Form 10-K) of Bath &amp; Body Works, Inc. for the year ended February 1, 2025.</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240"/>
          </w:cols>
          <w:pgMar w:left="320" w:top="88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BATH AND BODY WORKS, INC.</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officer and/or director of Bath and Body Works, Inc., a Delaware corporation, which anticipates filing an Annual Report on Form 10-K for its fiscal year ended February 1, 2025, under the provisions of the Securities Exchange Act of 1934 with the Securities and Exchange Commission, Washington, DC, hereby constitutes and appoints Gina R. Boswell and Eva C. Boratto,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/s/ ALESSANDRO BOGLIOLO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0">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Alessandro Bogliolo</w:t>
      </w:r>
    </w:p>
    <w:p>
      <w:pPr>
        <w:sectPr>
          <w:pgSz w:w="11900" w:h="16838" w:orient="portrait"/>
          <w:cols w:equalWidth="0" w:num="1">
            <w:col w:w="11240"/>
          </w:cols>
          <w:pgMar w:left="320" w:top="887"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BATH AND BODY WORKS, INC.</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officer and/or director of Bath and Body Works, Inc., a Delaware corporation, which anticipates filing an Annual Report on Form 10-K for its fiscal year ended February 1, 2025, under the provisions of the Securities Exchange Act of 1934 with the Securities and Exchange Commission, Washington, DC, hereby constitutes and appoints Gina R. Boswell and Eva C. Boratto,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/s/ LUCY O.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Lucy O. Brady</w:t>
      </w:r>
    </w:p>
    <w:p>
      <w:pPr>
        <w:sectPr>
          <w:pgSz w:w="11900" w:h="16838" w:orient="portrait"/>
          <w:cols w:equalWidth="0" w:num="1">
            <w:col w:w="11240"/>
          </w:cols>
          <w:pgMar w:left="320" w:top="891"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BATH AND BODY WORKS, INC.</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officer and/or director of Bath and Body Works, Inc., a Delaware corporation, which anticipates filing an Annual Report on Form 10-K for its fiscal year ended February 1, 2025, under the provisions of the Securities Exchange Act of 1934 with the Securities and Exchange Commission, Washington, DC, hereby constitutes and appoints Gina R. Boswell and Eva C. Boratto,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/s/ FRANCIS A. HONDAL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Francis A. Hondal</w:t>
      </w:r>
    </w:p>
    <w:p>
      <w:pPr>
        <w:sectPr>
          <w:pgSz w:w="11900" w:h="16838" w:orient="portrait"/>
          <w:cols w:equalWidth="0" w:num="1">
            <w:col w:w="11240"/>
          </w:cols>
          <w:pgMar w:left="320" w:top="891" w:right="33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BATH AND BODY WORKS, INC.</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officer and/or director of Bath and Body Works, Inc., a Delaware corporation, which anticipates filing an Annual Report on Form 10-K for its fiscal year ended February 1, 2025, under the provisions of the Securities Exchange Act of 1934 with the Securities and Exchange Commission, Washington, DC, hereby constitutes and appoints Gina R. Boswell and Eva C. Boratto,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11</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/s/ DANIELLE M.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Danielle M. Lee</w:t>
      </w:r>
    </w:p>
    <w:p>
      <w:pPr>
        <w:sectPr>
          <w:pgSz w:w="11900" w:h="16838" w:orient="portrait"/>
          <w:cols w:equalWidth="0" w:num="1">
            <w:col w:w="11240"/>
          </w:cols>
          <w:pgMar w:left="320" w:top="891"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BATH AND BODY WORKS, INC.</w:t>
      </w:r>
    </w:p>
    <w:p>
      <w:pPr>
        <w:spacing w:after="0" w:line="1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officer and/or director of Bath and Body Works, Inc., a Delaware corporation, which anticipates filing an Annual Report on Form 10-K for its fiscal year ended February 1, 2025, under the provisions of the Securities Exchange Act of 1934 with the Securities and Exchange Commission, Washington, DC, hereby constitutes and appoints Gina R. Boswell and Eva C. Boratto,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8"/>
          <w:szCs w:val="18"/>
          <w:color w:val="auto"/>
        </w:rPr>
        <w:t>/s/ SARAH E.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wp:posOffset>
            </wp:positionV>
            <wp:extent cx="28289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8"/>
          <w:szCs w:val="18"/>
          <w:color w:val="auto"/>
        </w:rPr>
        <w:t>Sarah E. Nash</w:t>
      </w:r>
    </w:p>
    <w:p>
      <w:pPr>
        <w:sectPr>
          <w:pgSz w:w="11900" w:h="16838" w:orient="portrait"/>
          <w:cols w:equalWidth="0" w:num="1">
            <w:col w:w="11240"/>
          </w:cols>
          <w:pgMar w:left="320" w:top="891"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BATH AND BODY WORKS, INC.</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officer and/or director of Bath and Body Works, Inc., a Delaware corporation, which anticipates filing an Annual Report on Form 10-K for its fiscal year ended February 1, 2025, under the provisions of the Securities Exchange Act of 1934 with the Securities and Exchange Commission, Washington, DC, hereby constitutes and appoints Gina R. Boswell and Eva C. Boratto,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/s/ JUAN RAJLIN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Juan Rajlin</w:t>
      </w:r>
    </w:p>
    <w:p>
      <w:pPr>
        <w:sectPr>
          <w:pgSz w:w="11900" w:h="16838" w:orient="portrait"/>
          <w:cols w:equalWidth="0" w:num="1">
            <w:col w:w="11240"/>
          </w:cols>
          <w:pgMar w:left="320" w:top="891"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BATH AND BODY WORKS, INC.</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officer and/or director of Bath and Body Works, Inc., a Delaware corporation, which anticipates filing an Annual Report on Form 10-K for its fiscal year ended February 1, 2025, under the provisions of the Securities Exchange Act of 1934 with the Securities and Exchange Commission, Washington, DC, hereby constitutes and appoints Gina R. Boswell and Eva C. Boratto,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8"/>
          <w:szCs w:val="18"/>
          <w:color w:val="auto"/>
        </w:rPr>
        <w:t>/s/ STEPHEN D. STEINOUR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17145</wp:posOffset>
            </wp:positionV>
            <wp:extent cx="28289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800"/>
        <w:spacing w:after="0"/>
        <w:rPr>
          <w:sz w:val="20"/>
          <w:szCs w:val="20"/>
          <w:color w:val="auto"/>
        </w:rPr>
      </w:pPr>
      <w:r>
        <w:rPr>
          <w:rFonts w:ascii="Times New Roman" w:cs="Times New Roman" w:eastAsia="Times New Roman" w:hAnsi="Times New Roman"/>
          <w:sz w:val="18"/>
          <w:szCs w:val="18"/>
          <w:color w:val="auto"/>
        </w:rPr>
        <w:t>Stephen D. Steinour</w:t>
      </w:r>
    </w:p>
    <w:p>
      <w:pPr>
        <w:sectPr>
          <w:pgSz w:w="11900" w:h="16838" w:orient="portrait"/>
          <w:cols w:equalWidth="0" w:num="1">
            <w:col w:w="11240"/>
          </w:cols>
          <w:pgMar w:left="320" w:top="891"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BATH AND BODY WORKS, INC.</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officer and/or director of Bath and Body Works, Inc., a Delaware corporation, which anticipates filing an Annual Report on Form 10-K for its fiscal year ended February 1, 2025, under the provisions of the Securities Exchange Act of 1934 with the Securities and Exchange Commission, Washington, DC, hereby constitutes and appoints Gina R. Boswell and Eva C. Boratto,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/s/ JAMES K. SYMANCYK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James K. Symancyk</w:t>
      </w:r>
    </w:p>
    <w:p>
      <w:pPr>
        <w:sectPr>
          <w:pgSz w:w="11900" w:h="16838" w:orient="portrait"/>
          <w:cols w:equalWidth="0" w:num="1">
            <w:col w:w="11240"/>
          </w:cols>
          <w:pgMar w:left="320" w:top="891"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 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DIRECTORS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BATH AND BODY WORKS, INC.</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officer and/or director of Bath and Body Works, Inc., a Delaware corporation, which anticipates filing an Annual Report on Form 10-K for its fiscal year ended February 1, 2025, under the provisions of the Securities Exchange Act of 1934 with the Securities and Exchange Commission, Washington, DC, hereby constitutes and appoints Gina R. Boswell and Eva C. Boratto, and each of them, with full powers of substitution and resubstitution, as attorney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or her substitute or substitutes may lawfully do or cause to be done by virtue hereof.</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880"/>
        <w:spacing w:after="0"/>
        <w:tabs>
          <w:tab w:leader="none" w:pos="160" w:val="left"/>
        </w:tabs>
        <w:rPr>
          <w:sz w:val="20"/>
          <w:szCs w:val="20"/>
          <w:color w:val="auto"/>
        </w:rPr>
      </w:pPr>
      <w:r>
        <w:rPr>
          <w:rFonts w:ascii="Times New Roman" w:cs="Times New Roman" w:eastAsia="Times New Roman" w:hAnsi="Times New Roman"/>
          <w:sz w:val="18"/>
          <w:szCs w:val="18"/>
          <w:color w:val="auto"/>
        </w:rPr>
        <w:t>/s/</w:t>
        <w:tab/>
        <w:t>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17145</wp:posOffset>
            </wp:positionV>
            <wp:extent cx="28289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Steven E. Voskuil</w:t>
      </w:r>
    </w:p>
    <w:p>
      <w:pPr>
        <w:sectPr>
          <w:pgSz w:w="11900" w:h="16838" w:orient="portrait"/>
          <w:cols w:equalWidth="0" w:num="1">
            <w:col w:w="11240"/>
          </w:cols>
          <w:pgMar w:left="320" w:top="89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Gina R. Boswell, certify that:</w:t>
      </w:r>
    </w:p>
    <w:p>
      <w:pPr>
        <w:spacing w:after="0" w:line="171"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Bath &amp; Body Works,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403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Gina R. Boswell</w:t>
      </w:r>
    </w:p>
    <w:p>
      <w:pPr>
        <w:ind w:left="8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2025</w:t>
      </w:r>
    </w:p>
    <w:p>
      <w:pPr>
        <w:sectPr>
          <w:pgSz w:w="11900" w:h="16838" w:orient="portrait"/>
          <w:cols w:equalWidth="0" w:num="1">
            <w:col w:w="11240"/>
          </w:cols>
          <w:pgMar w:left="32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Eva C. Boratto, certify that:</w:t>
      </w:r>
    </w:p>
    <w:p>
      <w:pPr>
        <w:spacing w:after="0" w:line="171"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Bath &amp; Body Works,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/s/ 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403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Eva C. Boratto</w:t>
      </w:r>
    </w:p>
    <w:p>
      <w:pPr>
        <w:ind w:left="8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2025</w:t>
      </w:r>
    </w:p>
    <w:p>
      <w:pPr>
        <w:sectPr>
          <w:pgSz w:w="11900" w:h="16838" w:orient="portrait"/>
          <w:cols w:equalWidth="0" w:num="1">
            <w:col w:w="11240"/>
          </w:cols>
          <w:pgMar w:left="320" w:top="88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Gina R. Boswell, the Chief Executive Officer, and Eva C. Boratto, the Chief Financial Officer, of Bath &amp; Body Works, Inc. (the “Company”), each certifies that, to the best of our knowledge:</w:t>
      </w:r>
    </w:p>
    <w:p>
      <w:pPr>
        <w:spacing w:after="0" w:line="108" w:lineRule="exact"/>
        <w:rPr>
          <w:sz w:val="20"/>
          <w:szCs w:val="20"/>
          <w:color w:val="auto"/>
        </w:rPr>
      </w:pPr>
    </w:p>
    <w:p>
      <w:pPr>
        <w:ind w:left="660" w:right="480" w:hanging="652"/>
        <w:spacing w:after="0" w:line="282"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dated March 14, 2025 for the fiscal year ended February 1, 2025 (the “Form 10-K”),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left="660" w:right="680" w:hanging="652"/>
        <w:spacing w:after="0" w:line="282" w:lineRule="auto"/>
        <w:tabs>
          <w:tab w:leader="none" w:pos="65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33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34290</wp:posOffset>
            </wp:positionV>
            <wp:extent cx="26403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Gina R. Boswell</w:t>
      </w:r>
    </w:p>
    <w:p>
      <w:pPr>
        <w:ind w:left="7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EVA C. BORATTO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403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Eva C. Boratto</w:t>
      </w:r>
    </w:p>
    <w:p>
      <w:pPr>
        <w:ind w:left="7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14,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amp;"/>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
      <w:numFmt w:val="bullet"/>
      <w:start w:val="1"/>
    </w:lvl>
    <w:lvl w:ilvl="1">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lowerLetter"/>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1)"/>
      <w:numFmt w:val="lowerLetter"/>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1"/>
    </w:lvl>
  </w:abstractNum>
  <w:abstractNum w:abstractNumId="26">
    <w:nsid w:val="3855585C"/>
    <w:multiLevelType w:val="hybridMultilevel"/>
    <w:lvl w:ilvl="0">
      <w:lvlJc w:val="left"/>
      <w:lvlText w:val="%1."/>
      <w:numFmt w:val="decimal"/>
      <w:start w:val="14"/>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decimal"/>
      <w:start w:val="2"/>
    </w:lvl>
  </w:abstractNum>
  <w:abstractNum w:abstractNumId="30">
    <w:nsid w:val="1D4ED43B"/>
    <w:multiLevelType w:val="hybridMultilevel"/>
    <w:lvl w:ilvl="0">
      <w:lvlJc w:val="left"/>
      <w:lvlText w:val="3"/>
      <w:numFmt w:val="bullet"/>
      <w:start w:val="1"/>
    </w:lvl>
  </w:abstractNum>
  <w:abstractNum w:abstractNumId="31">
    <w:nsid w:val="725A06FB"/>
    <w:multiLevelType w:val="hybridMultilevel"/>
    <w:lvl w:ilvl="0">
      <w:lvlJc w:val="left"/>
      <w:lvlText w:val="4"/>
      <w:numFmt w:val="bullet"/>
      <w:start w:val="1"/>
    </w:lvl>
  </w:abstractNum>
  <w:abstractNum w:abstractNumId="32">
    <w:nsid w:val="2CD89A32"/>
    <w:multiLevelType w:val="hybridMultilevel"/>
    <w:lvl w:ilvl="0">
      <w:lvlJc w:val="left"/>
      <w:lvlText w:val="%1"/>
      <w:numFmt w:val="decimal"/>
      <w:start w:val="19"/>
    </w:lvl>
  </w:abstractNum>
  <w:abstractNum w:abstractNumId="33">
    <w:nsid w:val="57E4CCAF"/>
    <w:multiLevelType w:val="hybridMultilevel"/>
    <w:lvl w:ilvl="0">
      <w:lvlJc w:val="left"/>
      <w:lvlText w:val="%1"/>
      <w:numFmt w:val="decimal"/>
      <w:start w:val="21"/>
    </w:lvl>
  </w:abstractNum>
  <w:abstractNum w:abstractNumId="34">
    <w:nsid w:val="7A6D8D3C"/>
    <w:multiLevelType w:val="hybridMultilevel"/>
    <w:lvl w:ilvl="0">
      <w:lvlJc w:val="left"/>
      <w:lvlText w:val="%1"/>
      <w:numFmt w:val="decimal"/>
      <w:start w:val="24"/>
    </w:lvl>
  </w:abstractNum>
  <w:abstractNum w:abstractNumId="35">
    <w:nsid w:val="4B588F54"/>
    <w:multiLevelType w:val="hybridMultilevel"/>
    <w:lvl w:ilvl="0">
      <w:lvlJc w:val="left"/>
      <w:lvlText w:val="%1"/>
      <w:numFmt w:val="decimal"/>
      <w:start w:val="32"/>
    </w:lvl>
  </w:abstractNum>
  <w:abstractNum w:abstractNumId="36">
    <w:nsid w:val="542289EC"/>
    <w:multiLevelType w:val="hybridMultilevel"/>
    <w:lvl w:ilvl="0">
      <w:lvlJc w:val="left"/>
      <w:lvlText w:val="%1"/>
      <w:numFmt w:val="decimal"/>
      <w:start w:val="97"/>
    </w:lvl>
  </w:abstractNum>
  <w:abstractNum w:abstractNumId="37">
    <w:nsid w:val="6DE91B18"/>
    <w:multiLevelType w:val="hybridMultilevel"/>
    <w:lvl w:ilvl="0">
      <w:lvlJc w:val="left"/>
      <w:lvlText w:val="%1"/>
      <w:numFmt w:val="decimal"/>
      <w:start w:val="104"/>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1)"/>
      <w:numFmt w:val="lowerLetter"/>
      <w:start w:val="2"/>
    </w:lvl>
  </w:abstractNum>
  <w:abstractNum w:abstractNumId="41">
    <w:nsid w:val="684A481A"/>
    <w:multiLevelType w:val="hybridMultilevel"/>
    <w:lvl w:ilvl="0">
      <w:lvlJc w:val="left"/>
      <w:lvlText w:val="(%1)"/>
      <w:numFmt w:val="lowerLetter"/>
      <w:start w:val="3"/>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110" Type="http://schemas.openxmlformats.org/officeDocument/2006/relationships/image" Target="media/image76.png"/><Relationship Id="rId130" Type="http://schemas.openxmlformats.org/officeDocument/2006/relationships/image" Target="media/image77.png"/><Relationship Id="rId131" Type="http://schemas.openxmlformats.org/officeDocument/2006/relationships/image" Target="media/image78.png"/><Relationship Id="rId151" Type="http://schemas.openxmlformats.org/officeDocument/2006/relationships/image" Target="media/image79.png"/><Relationship Id="rId152" Type="http://schemas.openxmlformats.org/officeDocument/2006/relationships/image" Target="media/image80.png"/><Relationship Id="rId162" Type="http://schemas.openxmlformats.org/officeDocument/2006/relationships/image" Target="media/image81.png"/><Relationship Id="rId163" Type="http://schemas.openxmlformats.org/officeDocument/2006/relationships/image" Target="media/image82.png"/><Relationship Id="rId164" Type="http://schemas.openxmlformats.org/officeDocument/2006/relationships/image" Target="media/image83.png"/><Relationship Id="rId165" Type="http://schemas.openxmlformats.org/officeDocument/2006/relationships/image" Target="media/image84.png"/><Relationship Id="rId166" Type="http://schemas.openxmlformats.org/officeDocument/2006/relationships/image" Target="media/image85.jpeg"/><Relationship Id="rId167" Type="http://schemas.openxmlformats.org/officeDocument/2006/relationships/image" Target="media/image86.png"/><Relationship Id="rId168" Type="http://schemas.openxmlformats.org/officeDocument/2006/relationships/image" Target="media/image87.png"/><Relationship Id="rId169" Type="http://schemas.openxmlformats.org/officeDocument/2006/relationships/image" Target="media/image88.png"/><Relationship Id="rId170" Type="http://schemas.openxmlformats.org/officeDocument/2006/relationships/image" Target="media/image89.png"/><Relationship Id="rId171" Type="http://schemas.openxmlformats.org/officeDocument/2006/relationships/image" Target="media/image90.png"/><Relationship Id="rId172" Type="http://schemas.openxmlformats.org/officeDocument/2006/relationships/image" Target="media/image91.png"/><Relationship Id="rId173" Type="http://schemas.openxmlformats.org/officeDocument/2006/relationships/image" Target="media/image92.png"/><Relationship Id="rId174" Type="http://schemas.openxmlformats.org/officeDocument/2006/relationships/image" Target="media/image93.png"/><Relationship Id="rId175" Type="http://schemas.openxmlformats.org/officeDocument/2006/relationships/image" Target="media/image94.png"/><Relationship Id="rId176" Type="http://schemas.openxmlformats.org/officeDocument/2006/relationships/image" Target="media/image95.png"/><Relationship Id="rId177" Type="http://schemas.openxmlformats.org/officeDocument/2006/relationships/image" Target="media/image96.png"/><Relationship Id="rId178" Type="http://schemas.openxmlformats.org/officeDocument/2006/relationships/image" Target="media/image97.png"/><Relationship Id="rId179" Type="http://schemas.openxmlformats.org/officeDocument/2006/relationships/image" Target="media/image98.png"/><Relationship Id="rId180" Type="http://schemas.openxmlformats.org/officeDocument/2006/relationships/image" Target="media/image99.png"/><Relationship Id="rId181" Type="http://schemas.openxmlformats.org/officeDocument/2006/relationships/image" Target="media/image100.png"/><Relationship Id="rId182" Type="http://schemas.openxmlformats.org/officeDocument/2006/relationships/image" Target="media/image101.png"/><Relationship Id="rId81" Type="http://schemas.openxmlformats.org/officeDocument/2006/relationships/hyperlink" Target="https://www.sec.gov/Archives/edgar/data/701985/000095010320009937/dp128284_ex0301.htm" TargetMode="External"/><Relationship Id="rId82" Type="http://schemas.openxmlformats.org/officeDocument/2006/relationships/hyperlink" Target="https://www.sec.gov/Archives/edgar/data/701985/000114036121026658/nt10026698x7_ex3-1.htm" TargetMode="External"/><Relationship Id="rId83" Type="http://schemas.openxmlformats.org/officeDocument/2006/relationships/hyperlink" Target="https://www.sec.gov/Archives/edgar/data/701985/000095010324009021/dp213553_ex0301.htm" TargetMode="External"/><Relationship Id="rId84" Type="http://schemas.openxmlformats.org/officeDocument/2006/relationships/hyperlink" Target="https://www.sec.gov/Archives/edgar/data/701985/000095010303001339/may2003_ex0401.txt" TargetMode="External"/><Relationship Id="rId85" Type="http://schemas.openxmlformats.org/officeDocument/2006/relationships/hyperlink" Target="https://www.sec.gov/Archives/edgar/data/701985/000095010305001555/ex040102.htm" TargetMode="External"/><Relationship Id="rId86" Type="http://schemas.openxmlformats.org/officeDocument/2006/relationships/hyperlink" Target="https://www.sec.gov/Archives/edgar/data/701985/000119312507211040/dex413.htm" TargetMode="External"/><Relationship Id="rId87" Type="http://schemas.openxmlformats.org/officeDocument/2006/relationships/hyperlink" Target="https://www.sec.gov/Archives/edgar/data/701985/000095010313006223/dp41492_ex040108.htm" TargetMode="External"/><Relationship Id="rId88" Type="http://schemas.openxmlformats.org/officeDocument/2006/relationships/hyperlink" Target="https://www.sec.gov/Archives/edgar/data/701985/000070198522000009/bbwi129202210kexhibit426.htm" TargetMode="External"/><Relationship Id="rId89" Type="http://schemas.openxmlformats.org/officeDocument/2006/relationships/hyperlink" Target="https://www.sec.gov/Archives/edgar/data/701985/000095010303001167/apr1403_ex04.txt" TargetMode="External"/><Relationship Id="rId92" Type="http://schemas.openxmlformats.org/officeDocument/2006/relationships/hyperlink" Target="https://www.sec.gov/Archives/edgar/data/701985/000070198522000009/bbwi129202210kexhibit427.htm" TargetMode="External"/><Relationship Id="rId93" Type="http://schemas.openxmlformats.org/officeDocument/2006/relationships/hyperlink" Target="https://www.sec.gov/Archives/edgar/data/701985/000070198515000035/a41october2015indenture.htm" TargetMode="External"/><Relationship Id="rId94" Type="http://schemas.openxmlformats.org/officeDocument/2006/relationships/hyperlink" Target="https://www.sec.gov/Archives/edgar/data/701985/000070198522000009/bbwi129202210kexhibit428.htm" TargetMode="External"/><Relationship Id="rId95" Type="http://schemas.openxmlformats.org/officeDocument/2006/relationships/hyperlink" Target="https://www.sec.gov/Archives/edgar/data/701985/000119312516623095/d167047dex41.htm" TargetMode="External"/><Relationship Id="rId96" Type="http://schemas.openxmlformats.org/officeDocument/2006/relationships/hyperlink" Target="https://www.sec.gov/Archives/edgar/data/701985/000119312516623095/d167047dex42.htm" TargetMode="External"/><Relationship Id="rId97" Type="http://schemas.openxmlformats.org/officeDocument/2006/relationships/hyperlink" Target="https://www.sec.gov/Archives/edgar/data/701985/000119312518016808/d527009dex42.htm" TargetMode="External"/><Relationship Id="rId98" Type="http://schemas.openxmlformats.org/officeDocument/2006/relationships/hyperlink" Target="https://www.sec.gov/Archives/edgar/data/701985/000114036119011439/nc10002653x1_ex4-2.htm" TargetMode="External"/><Relationship Id="rId99" Type="http://schemas.openxmlformats.org/officeDocument/2006/relationships/hyperlink" Target="https://www.sec.gov/Archives/edgar/data/701985/000070198519000039/ltd-201983ex41.htm" TargetMode="External"/><Relationship Id="rId100" Type="http://schemas.openxmlformats.org/officeDocument/2006/relationships/hyperlink" Target="https://www.sec.gov/Archives/edgar/data/701985/000070198522000009/bbwi129202210kexhibit429.htm" TargetMode="External"/><Relationship Id="rId101" Type="http://schemas.openxmlformats.org/officeDocument/2006/relationships/hyperlink" Target="https://www.sec.gov/Archives/edgar/data/701985/000114036118038258/s002352x1_ex4-25.htm" TargetMode="External"/><Relationship Id="rId102" Type="http://schemas.openxmlformats.org/officeDocument/2006/relationships/hyperlink" Target="https://www.sec.gov/Archives/edgar/data/701985/000114036118038258/s002352x1_ex4-26.htm" TargetMode="External"/><Relationship Id="rId103" Type="http://schemas.openxmlformats.org/officeDocument/2006/relationships/hyperlink" Target="https://www.sec.gov/Archives/edgar/data/701985/000070198522000009/bbwi129202210kexhibit430.htm" TargetMode="External"/><Relationship Id="rId104" Type="http://schemas.openxmlformats.org/officeDocument/2006/relationships/hyperlink" Target="https://www.sec.gov/Archives/edgar/data/701985/000095010320019266/dp137636_ex0401.htm" TargetMode="External"/><Relationship Id="rId105" Type="http://schemas.openxmlformats.org/officeDocument/2006/relationships/hyperlink" Target="https://www.sec.gov/Archives/edgar/data/701985/000070198522000009/bbwi129202210kexhibit433.htm" TargetMode="External"/><Relationship Id="rId106" Type="http://schemas.openxmlformats.org/officeDocument/2006/relationships/hyperlink" Target="https://www.sec.gov/Archives/edgar/data/701985/000070198522000009/bbwi129202210kexhibit436.htm" TargetMode="External"/><Relationship Id="rId107" Type="http://schemas.openxmlformats.org/officeDocument/2006/relationships/hyperlink" Target="https://www.sec.gov/Archives/edgar/data/701985/000070198523000008/bbwi128202310kexhibit101.htm" TargetMode="External"/><Relationship Id="rId108" Type="http://schemas.openxmlformats.org/officeDocument/2006/relationships/hyperlink" Target="https://www.sec.gov/Archives/edgar/data/701985/000070198512000021/ltd128201210kex1025.htm" TargetMode="External"/><Relationship Id="rId109" Type="http://schemas.openxmlformats.org/officeDocument/2006/relationships/hyperlink" Target="https://www.sec.gov/Archives/edgar/data/701985/000070198515000031/lb2015sbcs-8_ex9912015lbsb.htm" TargetMode="External"/><Relationship Id="rId111" Type="http://schemas.openxmlformats.org/officeDocument/2006/relationships/hyperlink" Target="https://www.sec.gov/Archives/edgar/data/701985/000070198515000030/ltd-201581_ex102.htm" TargetMode="External"/><Relationship Id="rId112" Type="http://schemas.openxmlformats.org/officeDocument/2006/relationships/hyperlink" Target="https://www.sec.gov/Archives/edgar/data/701985/000114036120007807/nc10007975x3_def14a.htm" TargetMode="External"/><Relationship Id="rId113" Type="http://schemas.openxmlformats.org/officeDocument/2006/relationships/hyperlink" Target="https://www.sec.gov/Archives/edgar/data/701985/000070198521000020/ltd-202151_ex101.htm" TargetMode="External"/><Relationship Id="rId114" Type="http://schemas.openxmlformats.org/officeDocument/2006/relationships/hyperlink" Target="https://www.sec.gov/Archives/edgar/data/701985/000070198521000020/ltd-202151_ex102.htm" TargetMode="External"/><Relationship Id="rId115" Type="http://schemas.openxmlformats.org/officeDocument/2006/relationships/hyperlink" Target="https://www.sec.gov/Archives/edgar/data/701985/000070198521000020/ltd-202151_ex103.htm" TargetMode="External"/><Relationship Id="rId116" Type="http://schemas.openxmlformats.org/officeDocument/2006/relationships/hyperlink" Target="https://www.sec.gov/Archives/edgar/data/701985/000110465922032946/tm225370d2_ex10-1.htm" TargetMode="External"/><Relationship Id="rId117" Type="http://schemas.openxmlformats.org/officeDocument/2006/relationships/hyperlink" Target="https://www.sec.gov/Archives/edgar/data/701985/000070198523000008/bbwi128202310kexhibit1011.htm" TargetMode="External"/><Relationship Id="rId118" Type="http://schemas.openxmlformats.org/officeDocument/2006/relationships/hyperlink" Target="https://www.sec.gov/Archives/edgar/data/701985/000070198522000040/bbwi-20221029_ex101.htm" TargetMode="External"/><Relationship Id="rId119" Type="http://schemas.openxmlformats.org/officeDocument/2006/relationships/hyperlink" Target="https://www.sec.gov/Archives/edgar/data/701985/000070198524000010/bbwi23202410kexhibit1012.htm" TargetMode="External"/><Relationship Id="rId120" Type="http://schemas.openxmlformats.org/officeDocument/2006/relationships/hyperlink" Target="https://www.sec.gov/Archives/edgar/data/701985/000095010322008474/dp172990_ex1001.htm" TargetMode="External"/><Relationship Id="rId121" Type="http://schemas.openxmlformats.org/officeDocument/2006/relationships/hyperlink" Target="https://www.sec.gov/Archives/edgar/data/701985/000070198523000008/bbwi128202310kexhibit1014.htm" TargetMode="External"/><Relationship Id="rId122" Type="http://schemas.openxmlformats.org/officeDocument/2006/relationships/hyperlink" Target="https://www.sec.gov/Archives/edgar/data/701985/000070198523000008/bbwi128202310kexhibit1015.htm" TargetMode="External"/><Relationship Id="rId123" Type="http://schemas.openxmlformats.org/officeDocument/2006/relationships/hyperlink" Target="https://www.sec.gov/Archives/edgar/data/701985/000070198523000008/bbwi128202310kexhibit1016.htm" TargetMode="External"/><Relationship Id="rId124" Type="http://schemas.openxmlformats.org/officeDocument/2006/relationships/hyperlink" Target="https://www.sec.gov/Archives/edgar/data/701985/000070198523000030/bbwi-2023729_ex103.htm" TargetMode="External"/><Relationship Id="rId125" Type="http://schemas.openxmlformats.org/officeDocument/2006/relationships/hyperlink" Target="https://www.sec.gov/Archives/edgar/data/701985/000070198523000030/bbwi-2023729_ex104.htm" TargetMode="External"/><Relationship Id="rId126" Type="http://schemas.openxmlformats.org/officeDocument/2006/relationships/hyperlink" Target="https://www.sec.gov/Archives/edgar/data/701985/000070198523000030/bbwi-2023729_ex105.htm" TargetMode="External"/><Relationship Id="rId127" Type="http://schemas.openxmlformats.org/officeDocument/2006/relationships/hyperlink" Target="https://www.sec.gov/Archives/edgar/data/0000701985/000070198521000011/lb130202110kex1026.htm" TargetMode="External"/><Relationship Id="rId128" Type="http://schemas.openxmlformats.org/officeDocument/2006/relationships/hyperlink" Target="https://www.sec.gov/Archives/edgar/data/701985/000070198523000008/bbwi128202310kexhibit1022.htm" TargetMode="External"/><Relationship Id="rId129" Type="http://schemas.openxmlformats.org/officeDocument/2006/relationships/hyperlink" Target="https://www.sec.gov/Archives/edgar/data/701985/000070198522000032/bbwi-2022730_ex104.htm" TargetMode="External"/><Relationship Id="rId132" Type="http://schemas.openxmlformats.org/officeDocument/2006/relationships/hyperlink" Target="https://www.sec.gov/Archives/edgar/data/701985/000070198522000032/bbwi-2022730_ex107.htm" TargetMode="External"/><Relationship Id="rId133" Type="http://schemas.openxmlformats.org/officeDocument/2006/relationships/hyperlink" Target="https://www.sec.gov/Archives/edgar/data/0000701985/000070198521000011/lb130202110kex1025.htm" TargetMode="External"/><Relationship Id="rId134" Type="http://schemas.openxmlformats.org/officeDocument/2006/relationships/hyperlink" Target="https://www.sec.gov/Archives/edgar/data/701985/000070198523000008/bbwi128202310kexhibit1026.htm" TargetMode="External"/><Relationship Id="rId135" Type="http://schemas.openxmlformats.org/officeDocument/2006/relationships/hyperlink" Target="https://www.sec.gov/Archives/edgar/data/701985/000070198522000032/bbwi-2022730_ex105.htm" TargetMode="External"/><Relationship Id="rId136" Type="http://schemas.openxmlformats.org/officeDocument/2006/relationships/hyperlink" Target="https://www.sec.gov/Archives/edgar/data/701985/000070198522000032/bbwi-2022730_ex108.htm" TargetMode="External"/><Relationship Id="rId137" Type="http://schemas.openxmlformats.org/officeDocument/2006/relationships/hyperlink" Target="https://www.sec.gov/Archives/edgar/data/701985/000070198523000008/bbwi128202310kexhibit1030.htm" TargetMode="External"/><Relationship Id="rId138" Type="http://schemas.openxmlformats.org/officeDocument/2006/relationships/hyperlink" Target="https://www.sec.gov/Archives/edgar/data/701985/000070198523000008/bbwi128202310kexhibit1029.htm" TargetMode="External"/><Relationship Id="rId139" Type="http://schemas.openxmlformats.org/officeDocument/2006/relationships/hyperlink" Target="https://www.sec.gov/Archives/edgar/data/701985/000070198523000008/bbwi128202310kexhibit1031.htm" TargetMode="External"/><Relationship Id="rId140" Type="http://schemas.openxmlformats.org/officeDocument/2006/relationships/hyperlink" Target="https://www.sec.gov/Archives/edgar/data/701985/000070198523000008/bbwi128202310kexhibit1032.htm" TargetMode="External"/><Relationship Id="rId141" Type="http://schemas.openxmlformats.org/officeDocument/2006/relationships/hyperlink" Target="https://www.sec.gov/Archives/edgar/data/701985/000070198523000008/bbwi128202310kexhibit1018.htm" TargetMode="External"/><Relationship Id="rId142" Type="http://schemas.openxmlformats.org/officeDocument/2006/relationships/hyperlink" Target="https://www.sec.gov/Archives/edgar/data/701985/000070198522000032/bbwi-2022730_ex103.htm" TargetMode="External"/><Relationship Id="rId143" Type="http://schemas.openxmlformats.org/officeDocument/2006/relationships/hyperlink" Target="https://www.sec.gov/Archives/edgar/data/701985/000070198522000032/bbwi-2022730_ex106.htm" TargetMode="External"/><Relationship Id="rId144" Type="http://schemas.openxmlformats.org/officeDocument/2006/relationships/hyperlink" Target="https://www.sec.gov/Archives/edgar/data/701985/000070198523000030/bbwi-2023729_ex106.htm" TargetMode="External"/><Relationship Id="rId145" Type="http://schemas.openxmlformats.org/officeDocument/2006/relationships/hyperlink" Target="https://www.sec.gov/Archives/edgar/data/701985/000070198524000010/bbwi23202410kexhibit1036.htm" TargetMode="External"/><Relationship Id="rId146" Type="http://schemas.openxmlformats.org/officeDocument/2006/relationships/hyperlink" Target="https://www.sec.gov/Archives/edgar/data/0000701985/000114036121026658/nt10026698x7_ex2-1.htm" TargetMode="External"/><Relationship Id="rId147" Type="http://schemas.openxmlformats.org/officeDocument/2006/relationships/hyperlink" Target="https://www.sec.gov/Archives/edgar/data/0000701985/000114036121026658/nt10026698x7_ex10-1.htm" TargetMode="External"/><Relationship Id="rId148" Type="http://schemas.openxmlformats.org/officeDocument/2006/relationships/hyperlink" Target="https://www.sec.gov/Archives/edgar/data/701985/000070198522000032/bbwi-2022730_ex109.htm" TargetMode="External"/><Relationship Id="rId149" Type="http://schemas.openxmlformats.org/officeDocument/2006/relationships/hyperlink" Target="https://www.sec.gov/Archives/edgar/data/701985/000070198523000008/bbwi128202310kexhibit1039.htm" TargetMode="External"/><Relationship Id="rId150" Type="http://schemas.openxmlformats.org/officeDocument/2006/relationships/hyperlink" Target="https://www.sec.gov/Archives/edgar/data/0000701985/000114036121026658/nt10026698x7_ex10-2.htm" TargetMode="External"/><Relationship Id="rId153" Type="http://schemas.openxmlformats.org/officeDocument/2006/relationships/hyperlink" Target="https://www.sec.gov/Archives/edgar/data/701985/000070198522000032/bbwi-2022730_ex1010.htm" TargetMode="External"/><Relationship Id="rId154" Type="http://schemas.openxmlformats.org/officeDocument/2006/relationships/hyperlink" Target="https://www.sec.gov/Archives/edgar/data/701985/000070198523000008/bbwi128202310kexhibit1042.htm" TargetMode="External"/><Relationship Id="rId155" Type="http://schemas.openxmlformats.org/officeDocument/2006/relationships/hyperlink" Target="https://www.sec.gov/Archives/edgar/data/701985/000070198523000030/bbwi-2023729_ex102.htm" TargetMode="External"/><Relationship Id="rId156" Type="http://schemas.openxmlformats.org/officeDocument/2006/relationships/hyperlink" Target="https://www.sec.gov/Archives/edgar/data/0000701985/000114036121026658/nt10026698x7_ex10-3.htm" TargetMode="External"/><Relationship Id="rId157" Type="http://schemas.openxmlformats.org/officeDocument/2006/relationships/hyperlink" Target="https://www.sec.gov/Archives/edgar/data/0000701985/000114036121026658/nt10026698x7_ex10-4.htm" TargetMode="External"/><Relationship Id="rId158" Type="http://schemas.openxmlformats.org/officeDocument/2006/relationships/hyperlink" Target="https://www.sec.gov/Archives/edgar/data/0000701985/000114036121026658/nt10026698x7_ex10-5.htm" TargetMode="External"/><Relationship Id="rId159" Type="http://schemas.openxmlformats.org/officeDocument/2006/relationships/hyperlink" Target="https://www.sec.gov/Archives/edgar/data/701985/000070198523000030/bbwi-2023729_ex101.htm" TargetMode="External"/><Relationship Id="rId160" Type="http://schemas.openxmlformats.org/officeDocument/2006/relationships/hyperlink" Target="https://www.sec.gov/Archives/edgar/data/701985/000070198524000033/bbwi-2024112_ex101.htm" TargetMode="External"/><Relationship Id="rId161" Type="http://schemas.openxmlformats.org/officeDocument/2006/relationships/hyperlink" Target="https://www.sec.gov/Archives/edgar/data/701985/000070198524000010/bbwi23202410k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2025-03-14T15:56:53Z</dcterms:created>
  <dcterms:modified xsi:type="dcterms:W3CDTF">2025-03-14T15:56:53Z</dcterms:modified>
</cp:coreProperties>
</file>